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embeddings/Microsoft_Visio_2003-2010___5.vsd" ContentType="application/vnd.visio"/>
  <Override PartName="/word/embeddings/Microsoft_Visio_2003-2010___6.vsd" ContentType="application/vnd.visio"/>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EFC82">
      <w:pPr>
        <w:rPr>
          <w:rFonts w:hint="default" w:ascii="Times New Roman" w:hAnsi="Times New Roman" w:eastAsia="仿宋_GB2312" w:cs="Times New Roman"/>
          <w:color w:val="auto"/>
          <w:highlight w:val="none"/>
        </w:rPr>
      </w:pPr>
    </w:p>
    <w:p w14:paraId="32F9D8C0">
      <w:pPr>
        <w:rPr>
          <w:rFonts w:hint="default" w:ascii="Times New Roman" w:hAnsi="Times New Roman" w:eastAsia="仿宋_GB2312" w:cs="Times New Roman"/>
          <w:color w:val="auto"/>
          <w:sz w:val="36"/>
          <w:szCs w:val="36"/>
          <w:highlight w:val="none"/>
        </w:rPr>
      </w:pPr>
    </w:p>
    <w:p w14:paraId="35FD0934">
      <w:pPr>
        <w:rPr>
          <w:rFonts w:hint="default" w:ascii="Times New Roman" w:hAnsi="Times New Roman" w:eastAsia="仿宋_GB2312" w:cs="Times New Roman"/>
          <w:color w:val="auto"/>
          <w:sz w:val="36"/>
          <w:szCs w:val="36"/>
          <w:highlight w:val="none"/>
        </w:rPr>
      </w:pPr>
    </w:p>
    <w:p w14:paraId="4756E65C">
      <w:pPr>
        <w:snapToGrid w:val="0"/>
        <w:jc w:val="center"/>
        <w:outlineLvl w:val="0"/>
        <w:rPr>
          <w:rFonts w:hint="default" w:ascii="Times New Roman" w:hAnsi="Times New Roman" w:eastAsia="方正小标宋_GBK" w:cs="Times New Roman"/>
          <w:color w:val="auto"/>
          <w:sz w:val="72"/>
          <w:highlight w:val="none"/>
        </w:rPr>
      </w:pPr>
      <w:bookmarkStart w:id="0" w:name="_Toc221181282"/>
      <w:r>
        <w:rPr>
          <w:rFonts w:hint="default" w:ascii="Times New Roman" w:hAnsi="Times New Roman" w:eastAsia="方正小标宋_GBK" w:cs="Times New Roman"/>
          <w:color w:val="auto"/>
          <w:sz w:val="72"/>
          <w:highlight w:val="none"/>
        </w:rPr>
        <w:t>建设项目</w:t>
      </w:r>
      <w:r>
        <w:rPr>
          <w:rFonts w:hint="default" w:ascii="Times New Roman" w:hAnsi="Times New Roman" w:eastAsia="方正小标宋_GBK" w:cs="Times New Roman"/>
          <w:color w:val="auto"/>
          <w:sz w:val="72"/>
          <w:highlight w:val="none"/>
          <w:lang w:val="en-US" w:eastAsia="zh-CN"/>
        </w:rPr>
        <w:t>生态</w:t>
      </w:r>
      <w:r>
        <w:rPr>
          <w:rFonts w:hint="default" w:ascii="Times New Roman" w:hAnsi="Times New Roman" w:eastAsia="方正小标宋_GBK" w:cs="Times New Roman"/>
          <w:color w:val="auto"/>
          <w:sz w:val="72"/>
          <w:highlight w:val="none"/>
        </w:rPr>
        <w:t>环境影响报告表</w:t>
      </w:r>
      <w:bookmarkEnd w:id="0"/>
    </w:p>
    <w:p w14:paraId="6BD0226C">
      <w:pPr>
        <w:snapToGrid w:val="0"/>
        <w:spacing w:before="192" w:beforeLines="80"/>
        <w:jc w:val="center"/>
        <w:rPr>
          <w:rFonts w:hint="default" w:ascii="Times New Roman" w:hAnsi="Times New Roman" w:eastAsia="楷体_GB2312" w:cs="Times New Roman"/>
          <w:color w:val="auto"/>
          <w:sz w:val="48"/>
          <w:highlight w:val="none"/>
        </w:rPr>
      </w:pPr>
      <w:r>
        <w:rPr>
          <w:rFonts w:hint="default" w:ascii="Times New Roman" w:hAnsi="Times New Roman" w:eastAsia="楷体_GB2312" w:cs="Times New Roman"/>
          <w:color w:val="auto"/>
          <w:sz w:val="48"/>
          <w:highlight w:val="none"/>
        </w:rPr>
        <w:t>（污染影响类）</w:t>
      </w:r>
    </w:p>
    <w:p w14:paraId="6E9AA1D2">
      <w:pPr>
        <w:snapToGrid w:val="0"/>
        <w:spacing w:before="192" w:beforeLines="80"/>
        <w:jc w:val="center"/>
        <w:rPr>
          <w:rFonts w:hint="eastAsia" w:ascii="Times New Roman" w:hAnsi="Times New Roman" w:eastAsia="楷体_GB2312" w:cs="Times New Roman"/>
          <w:color w:val="auto"/>
          <w:sz w:val="48"/>
          <w:highlight w:val="none"/>
          <w:lang w:eastAsia="zh-CN"/>
        </w:rPr>
      </w:pPr>
      <w:r>
        <w:rPr>
          <w:rFonts w:hint="eastAsia" w:eastAsia="楷体_GB2312" w:cs="Times New Roman"/>
          <w:color w:val="auto"/>
          <w:sz w:val="48"/>
          <w:highlight w:val="none"/>
          <w:lang w:eastAsia="zh-CN"/>
        </w:rPr>
        <w:t>（</w:t>
      </w:r>
      <w:r>
        <w:rPr>
          <w:rFonts w:hint="eastAsia" w:eastAsia="楷体_GB2312" w:cs="Times New Roman"/>
          <w:color w:val="auto"/>
          <w:sz w:val="48"/>
          <w:highlight w:val="none"/>
          <w:lang w:val="en-US" w:eastAsia="zh-CN"/>
        </w:rPr>
        <w:t>报批稿</w:t>
      </w:r>
      <w:r>
        <w:rPr>
          <w:rFonts w:hint="eastAsia" w:eastAsia="楷体_GB2312" w:cs="Times New Roman"/>
          <w:color w:val="auto"/>
          <w:sz w:val="48"/>
          <w:highlight w:val="none"/>
          <w:lang w:eastAsia="zh-CN"/>
        </w:rPr>
        <w:t>）</w:t>
      </w:r>
    </w:p>
    <w:p w14:paraId="2AC5829F">
      <w:pPr>
        <w:pStyle w:val="20"/>
        <w:rPr>
          <w:rFonts w:hint="default" w:ascii="Times New Roman" w:hAnsi="Times New Roman" w:eastAsia="Times New Roman" w:cs="Times New Roman"/>
          <w:color w:val="auto"/>
          <w:highlight w:val="none"/>
        </w:rPr>
      </w:pPr>
    </w:p>
    <w:p w14:paraId="7630CB20">
      <w:pPr>
        <w:pStyle w:val="5"/>
        <w:rPr>
          <w:rFonts w:hint="default" w:ascii="Times New Roman" w:hAnsi="Times New Roman" w:cs="Times New Roman"/>
          <w:color w:val="auto"/>
          <w:sz w:val="24"/>
          <w:highlight w:val="none"/>
        </w:rPr>
      </w:pPr>
    </w:p>
    <w:p w14:paraId="48ED81C3">
      <w:pPr>
        <w:ind w:firstLine="1040"/>
        <w:rPr>
          <w:rFonts w:hint="default" w:ascii="Times New Roman" w:hAnsi="Times New Roman" w:eastAsia="Times New Roman" w:cs="Times New Roman"/>
          <w:color w:val="auto"/>
          <w:highlight w:val="none"/>
        </w:rPr>
      </w:pPr>
    </w:p>
    <w:p w14:paraId="5A97E87C">
      <w:pPr>
        <w:pStyle w:val="20"/>
        <w:rPr>
          <w:rFonts w:hint="default" w:ascii="Times New Roman" w:hAnsi="Times New Roman" w:eastAsia="Times New Roman" w:cs="Times New Roman"/>
          <w:color w:val="auto"/>
          <w:highlight w:val="none"/>
        </w:rPr>
      </w:pPr>
    </w:p>
    <w:p w14:paraId="10BEC44D">
      <w:pPr>
        <w:pStyle w:val="5"/>
        <w:rPr>
          <w:rFonts w:hint="default" w:ascii="Times New Roman" w:hAnsi="Times New Roman" w:eastAsia="Times New Roman" w:cs="Times New Roman"/>
          <w:color w:val="auto"/>
          <w:highlight w:val="none"/>
        </w:rPr>
      </w:pPr>
    </w:p>
    <w:p w14:paraId="017D7CFE">
      <w:pPr>
        <w:pStyle w:val="5"/>
        <w:rPr>
          <w:rFonts w:hint="default" w:ascii="Times New Roman" w:hAnsi="Times New Roman" w:eastAsia="Times New Roman" w:cs="Times New Roman"/>
          <w:color w:val="auto"/>
          <w:highlight w:val="none"/>
        </w:rPr>
      </w:pPr>
    </w:p>
    <w:p w14:paraId="4630C688">
      <w:pPr>
        <w:pStyle w:val="5"/>
        <w:rPr>
          <w:rFonts w:hint="default" w:ascii="Times New Roman" w:hAnsi="Times New Roman" w:eastAsia="Times New Roman" w:cs="Times New Roman"/>
          <w:color w:val="auto"/>
          <w:highlight w:val="none"/>
        </w:rPr>
      </w:pPr>
    </w:p>
    <w:p w14:paraId="583D3A54">
      <w:pPr>
        <w:pStyle w:val="5"/>
        <w:rPr>
          <w:rFonts w:hint="default" w:ascii="Times New Roman" w:hAnsi="Times New Roman" w:eastAsia="Times New Roman" w:cs="Times New Roman"/>
          <w:color w:val="auto"/>
          <w:highlight w:val="none"/>
        </w:rPr>
      </w:pPr>
    </w:p>
    <w:p w14:paraId="3FF39589">
      <w:pPr>
        <w:pStyle w:val="5"/>
        <w:rPr>
          <w:rFonts w:hint="default" w:ascii="Times New Roman" w:hAnsi="Times New Roman" w:eastAsia="Times New Roman" w:cs="Times New Roman"/>
          <w:color w:val="auto"/>
          <w:highlight w:val="none"/>
        </w:rPr>
      </w:pPr>
    </w:p>
    <w:p w14:paraId="7EBC8D9F">
      <w:pPr>
        <w:pStyle w:val="5"/>
        <w:rPr>
          <w:rFonts w:hint="default" w:ascii="Times New Roman" w:hAnsi="Times New Roman" w:eastAsia="Times New Roman" w:cs="Times New Roman"/>
          <w:color w:val="auto"/>
          <w:highlight w:val="none"/>
        </w:rPr>
      </w:pPr>
    </w:p>
    <w:p w14:paraId="570EC02B">
      <w:pPr>
        <w:pStyle w:val="5"/>
        <w:rPr>
          <w:rFonts w:hint="default" w:ascii="Times New Roman" w:hAnsi="Times New Roman" w:eastAsia="Times New Roman" w:cs="Times New Roman"/>
          <w:color w:val="auto"/>
          <w:highlight w:val="none"/>
        </w:rPr>
      </w:pPr>
    </w:p>
    <w:p w14:paraId="295DD7F7">
      <w:pPr>
        <w:pStyle w:val="5"/>
        <w:rPr>
          <w:rFonts w:hint="default" w:ascii="Times New Roman" w:hAnsi="Times New Roman" w:eastAsia="Times New Roman" w:cs="Times New Roman"/>
          <w:color w:val="auto"/>
          <w:highlight w:val="none"/>
        </w:rPr>
      </w:pPr>
    </w:p>
    <w:p w14:paraId="2291F956">
      <w:pPr>
        <w:pStyle w:val="5"/>
        <w:rPr>
          <w:rFonts w:hint="default" w:ascii="Times New Roman" w:hAnsi="Times New Roman" w:eastAsia="Times New Roman" w:cs="Times New Roman"/>
          <w:color w:val="auto"/>
          <w:highlight w:val="none"/>
        </w:rPr>
      </w:pPr>
    </w:p>
    <w:p w14:paraId="5517135C">
      <w:pPr>
        <w:ind w:firstLine="1040"/>
        <w:rPr>
          <w:rFonts w:hint="default" w:ascii="Times New Roman" w:hAnsi="Times New Roman" w:eastAsia="Times New Roman" w:cs="Times New Roman"/>
          <w:color w:val="auto"/>
          <w:highlight w:val="none"/>
        </w:rPr>
      </w:pPr>
    </w:p>
    <w:p w14:paraId="714E9652">
      <w:pPr>
        <w:ind w:firstLine="1040"/>
        <w:rPr>
          <w:rFonts w:hint="default" w:ascii="Times New Roman" w:hAnsi="Times New Roman" w:eastAsia="Times New Roman" w:cs="Times New Roman"/>
          <w:color w:val="auto"/>
          <w:highlight w:val="none"/>
        </w:rPr>
      </w:pPr>
    </w:p>
    <w:p w14:paraId="6EE9C930">
      <w:pPr>
        <w:keepNext w:val="0"/>
        <w:keepLines w:val="0"/>
        <w:pageBreakBefore w:val="0"/>
        <w:widowControl w:val="0"/>
        <w:kinsoku/>
        <w:wordWrap/>
        <w:overflowPunct/>
        <w:topLinePunct w:val="0"/>
        <w:autoSpaceDE/>
        <w:autoSpaceDN/>
        <w:bidi w:val="0"/>
        <w:adjustRightInd/>
        <w:snapToGrid w:val="0"/>
        <w:spacing w:line="408" w:lineRule="auto"/>
        <w:ind w:firstLine="720" w:firstLineChars="200"/>
        <w:textAlignment w:val="auto"/>
        <w:rPr>
          <w:rFonts w:hint="default" w:ascii="Times New Roman" w:hAnsi="Times New Roman" w:eastAsia="仿宋_GB2312" w:cs="Times New Roman"/>
          <w:color w:val="auto"/>
          <w:sz w:val="36"/>
          <w:highlight w:val="none"/>
          <w:u w:val="single"/>
        </w:rPr>
      </w:pPr>
      <w:r>
        <w:rPr>
          <w:rFonts w:hint="default" w:ascii="Times New Roman" w:hAnsi="Times New Roman" w:eastAsia="仿宋_GB2312" w:cs="Times New Roman"/>
          <w:color w:val="auto"/>
          <w:sz w:val="36"/>
          <w:highlight w:val="none"/>
        </w:rPr>
        <w:t>项目名称：</w:t>
      </w:r>
      <w:r>
        <w:rPr>
          <w:rFonts w:hint="default" w:ascii="Times New Roman" w:hAnsi="Times New Roman" w:eastAsia="仿宋_GB2312" w:cs="Times New Roman"/>
          <w:color w:val="auto"/>
          <w:sz w:val="36"/>
          <w:highlight w:val="none"/>
          <w:u w:val="single"/>
        </w:rPr>
        <w:t xml:space="preserve">华宁县疾病预防控制中心综合实验楼建设项目                                  </w:t>
      </w:r>
    </w:p>
    <w:p w14:paraId="19D82AF4">
      <w:pPr>
        <w:keepNext w:val="0"/>
        <w:keepLines w:val="0"/>
        <w:pageBreakBefore w:val="0"/>
        <w:widowControl w:val="0"/>
        <w:kinsoku/>
        <w:wordWrap/>
        <w:overflowPunct/>
        <w:topLinePunct w:val="0"/>
        <w:autoSpaceDE/>
        <w:autoSpaceDN/>
        <w:bidi w:val="0"/>
        <w:adjustRightInd/>
        <w:snapToGrid w:val="0"/>
        <w:spacing w:line="408" w:lineRule="auto"/>
        <w:ind w:firstLine="720" w:firstLineChars="200"/>
        <w:textAlignment w:val="auto"/>
        <w:rPr>
          <w:rFonts w:hint="default" w:ascii="Times New Roman" w:hAnsi="Times New Roman" w:eastAsia="仿宋_GB2312" w:cs="Times New Roman"/>
          <w:color w:val="auto"/>
          <w:sz w:val="36"/>
          <w:highlight w:val="none"/>
          <w:u w:val="single"/>
        </w:rPr>
      </w:pPr>
      <w:r>
        <w:rPr>
          <w:rFonts w:hint="default" w:ascii="Times New Roman" w:hAnsi="Times New Roman" w:eastAsia="仿宋_GB2312" w:cs="Times New Roman"/>
          <w:color w:val="auto"/>
          <w:sz w:val="36"/>
          <w:highlight w:val="none"/>
        </w:rPr>
        <w:t>建设单位（盖章）：</w:t>
      </w:r>
      <w:r>
        <w:rPr>
          <w:rFonts w:hint="default" w:ascii="Times New Roman" w:hAnsi="Times New Roman" w:eastAsia="仿宋_GB2312" w:cs="Times New Roman"/>
          <w:color w:val="auto"/>
          <w:sz w:val="36"/>
          <w:highlight w:val="none"/>
          <w:u w:val="single"/>
        </w:rPr>
        <w:t xml:space="preserve">华宁县疾病预防控制中心     </w:t>
      </w:r>
      <w:r>
        <w:rPr>
          <w:rFonts w:hint="default" w:ascii="Times New Roman" w:hAnsi="Times New Roman" w:eastAsia="仿宋_GB2312" w:cs="Times New Roman"/>
          <w:color w:val="auto"/>
          <w:sz w:val="36"/>
          <w:highlight w:val="none"/>
          <w:u w:val="single"/>
          <w:lang w:val="en-US" w:eastAsia="zh-CN"/>
        </w:rPr>
        <w:t xml:space="preserve">    </w:t>
      </w:r>
      <w:r>
        <w:rPr>
          <w:rFonts w:hint="default" w:ascii="Times New Roman" w:hAnsi="Times New Roman" w:eastAsia="仿宋_GB2312" w:cs="Times New Roman"/>
          <w:color w:val="auto"/>
          <w:sz w:val="36"/>
          <w:highlight w:val="none"/>
          <w:u w:val="single"/>
        </w:rPr>
        <w:t xml:space="preserve">     </w:t>
      </w:r>
    </w:p>
    <w:p w14:paraId="14F49781">
      <w:pPr>
        <w:keepNext w:val="0"/>
        <w:keepLines w:val="0"/>
        <w:pageBreakBefore w:val="0"/>
        <w:widowControl w:val="0"/>
        <w:kinsoku/>
        <w:wordWrap/>
        <w:overflowPunct/>
        <w:topLinePunct w:val="0"/>
        <w:autoSpaceDE/>
        <w:autoSpaceDN/>
        <w:bidi w:val="0"/>
        <w:adjustRightInd/>
        <w:snapToGrid w:val="0"/>
        <w:spacing w:line="408" w:lineRule="auto"/>
        <w:ind w:firstLine="720" w:firstLineChars="200"/>
        <w:textAlignment w:val="auto"/>
        <w:rPr>
          <w:rFonts w:hint="default" w:ascii="Times New Roman" w:hAnsi="Times New Roman" w:eastAsia="仿宋_GB2312" w:cs="Times New Roman"/>
          <w:color w:val="auto"/>
          <w:sz w:val="36"/>
          <w:highlight w:val="none"/>
          <w:u w:val="single"/>
        </w:rPr>
      </w:pPr>
      <w:r>
        <w:rPr>
          <w:rFonts w:hint="default" w:ascii="Times New Roman" w:hAnsi="Times New Roman" w:eastAsia="仿宋_GB2312" w:cs="Times New Roman"/>
          <w:color w:val="auto"/>
          <w:sz w:val="36"/>
          <w:highlight w:val="none"/>
        </w:rPr>
        <w:t>编制日期：</w:t>
      </w:r>
      <w:r>
        <w:rPr>
          <w:rFonts w:hint="default" w:ascii="Times New Roman" w:hAnsi="Times New Roman" w:eastAsia="仿宋_GB2312" w:cs="Times New Roman"/>
          <w:color w:val="auto"/>
          <w:sz w:val="36"/>
          <w:highlight w:val="none"/>
          <w:u w:val="single"/>
          <w:lang w:val="en-US" w:eastAsia="zh-CN"/>
        </w:rPr>
        <w:t>2026</w:t>
      </w:r>
      <w:r>
        <w:rPr>
          <w:rFonts w:hint="default" w:ascii="Times New Roman" w:hAnsi="Times New Roman" w:eastAsia="仿宋_GB2312" w:cs="Times New Roman"/>
          <w:color w:val="auto"/>
          <w:sz w:val="36"/>
          <w:highlight w:val="none"/>
          <w:u w:val="single"/>
        </w:rPr>
        <w:t>年</w:t>
      </w:r>
      <w:r>
        <w:rPr>
          <w:rFonts w:hint="default" w:ascii="Times New Roman" w:hAnsi="Times New Roman" w:eastAsia="仿宋_GB2312" w:cs="Times New Roman"/>
          <w:color w:val="auto"/>
          <w:sz w:val="36"/>
          <w:highlight w:val="none"/>
          <w:u w:val="single"/>
          <w:lang w:val="en-US" w:eastAsia="zh-CN"/>
        </w:rPr>
        <w:t>9</w:t>
      </w:r>
      <w:r>
        <w:rPr>
          <w:rFonts w:hint="default" w:ascii="Times New Roman" w:hAnsi="Times New Roman" w:eastAsia="仿宋_GB2312" w:cs="Times New Roman"/>
          <w:color w:val="auto"/>
          <w:sz w:val="36"/>
          <w:highlight w:val="none"/>
          <w:u w:val="single"/>
        </w:rPr>
        <w:t xml:space="preserve">月              </w:t>
      </w:r>
      <w:r>
        <w:rPr>
          <w:rFonts w:hint="default" w:ascii="Times New Roman" w:hAnsi="Times New Roman" w:eastAsia="仿宋_GB2312" w:cs="Times New Roman"/>
          <w:color w:val="auto"/>
          <w:sz w:val="36"/>
          <w:highlight w:val="none"/>
          <w:u w:val="single"/>
          <w:lang w:val="en-US" w:eastAsia="zh-CN"/>
        </w:rPr>
        <w:t xml:space="preserve">              </w:t>
      </w:r>
      <w:r>
        <w:rPr>
          <w:rFonts w:hint="default" w:ascii="Times New Roman" w:hAnsi="Times New Roman" w:eastAsia="仿宋_GB2312" w:cs="Times New Roman"/>
          <w:color w:val="auto"/>
          <w:sz w:val="36"/>
          <w:highlight w:val="none"/>
          <w:u w:val="single"/>
        </w:rPr>
        <w:t xml:space="preserve">     </w:t>
      </w:r>
    </w:p>
    <w:p w14:paraId="0664E092">
      <w:pPr>
        <w:snapToGrid w:val="0"/>
        <w:spacing w:line="288" w:lineRule="auto"/>
        <w:ind w:firstLine="1040"/>
        <w:rPr>
          <w:rFonts w:hint="default" w:ascii="Times New Roman" w:hAnsi="Times New Roman" w:eastAsia="仿宋_GB2312" w:cs="Times New Roman"/>
          <w:color w:val="auto"/>
          <w:sz w:val="24"/>
          <w:szCs w:val="24"/>
          <w:highlight w:val="none"/>
          <w:u w:val="single"/>
        </w:rPr>
      </w:pPr>
      <w:bookmarkStart w:id="1" w:name="_Hlk57884087"/>
    </w:p>
    <w:p w14:paraId="6707F70F">
      <w:pPr>
        <w:snapToGrid w:val="0"/>
        <w:spacing w:line="288" w:lineRule="auto"/>
        <w:ind w:firstLine="1040"/>
        <w:rPr>
          <w:rFonts w:hint="default" w:ascii="Times New Roman" w:hAnsi="Times New Roman" w:eastAsia="仿宋_GB2312" w:cs="Times New Roman"/>
          <w:color w:val="auto"/>
          <w:sz w:val="24"/>
          <w:szCs w:val="24"/>
          <w:highlight w:val="none"/>
        </w:rPr>
      </w:pPr>
    </w:p>
    <w:p w14:paraId="3AD01405">
      <w:pPr>
        <w:snapToGrid w:val="0"/>
        <w:spacing w:line="288" w:lineRule="auto"/>
        <w:ind w:firstLine="1040"/>
        <w:rPr>
          <w:rFonts w:hint="default" w:ascii="Times New Roman" w:hAnsi="Times New Roman" w:eastAsia="仿宋_GB2312" w:cs="Times New Roman"/>
          <w:color w:val="auto"/>
          <w:sz w:val="24"/>
          <w:szCs w:val="24"/>
          <w:highlight w:val="none"/>
        </w:rPr>
      </w:pPr>
    </w:p>
    <w:p w14:paraId="45E9A0BF">
      <w:pPr>
        <w:snapToGrid w:val="0"/>
        <w:spacing w:line="288" w:lineRule="auto"/>
        <w:ind w:firstLine="1040"/>
        <w:rPr>
          <w:rFonts w:hint="default" w:ascii="Times New Roman" w:hAnsi="Times New Roman" w:eastAsia="仿宋_GB2312" w:cs="Times New Roman"/>
          <w:color w:val="auto"/>
          <w:sz w:val="24"/>
          <w:szCs w:val="24"/>
          <w:highlight w:val="none"/>
        </w:rPr>
      </w:pPr>
    </w:p>
    <w:p w14:paraId="10F03B77">
      <w:pPr>
        <w:snapToGrid w:val="0"/>
        <w:spacing w:line="288" w:lineRule="auto"/>
        <w:ind w:firstLine="1040"/>
        <w:rPr>
          <w:rFonts w:hint="default" w:ascii="Times New Roman" w:hAnsi="Times New Roman" w:eastAsia="仿宋_GB2312" w:cs="Times New Roman"/>
          <w:color w:val="auto"/>
          <w:sz w:val="24"/>
          <w:szCs w:val="24"/>
          <w:highlight w:val="none"/>
        </w:rPr>
      </w:pPr>
    </w:p>
    <w:p w14:paraId="20D9270A">
      <w:pPr>
        <w:snapToGrid w:val="0"/>
        <w:spacing w:line="288" w:lineRule="auto"/>
        <w:ind w:firstLine="1040"/>
        <w:rPr>
          <w:rFonts w:hint="default" w:ascii="Times New Roman" w:hAnsi="Times New Roman" w:eastAsia="仿宋_GB2312" w:cs="Times New Roman"/>
          <w:color w:val="auto"/>
          <w:sz w:val="24"/>
          <w:szCs w:val="24"/>
          <w:highlight w:val="none"/>
        </w:rPr>
      </w:pPr>
    </w:p>
    <w:p w14:paraId="379DF93B">
      <w:pPr>
        <w:snapToGrid w:val="0"/>
        <w:spacing w:line="288" w:lineRule="auto"/>
        <w:ind w:firstLine="1040"/>
        <w:rPr>
          <w:rFonts w:hint="default" w:ascii="Times New Roman" w:hAnsi="Times New Roman" w:eastAsia="仿宋_GB2312" w:cs="Times New Roman"/>
          <w:color w:val="auto"/>
          <w:sz w:val="24"/>
          <w:szCs w:val="24"/>
          <w:highlight w:val="none"/>
        </w:rPr>
      </w:pPr>
    </w:p>
    <w:p w14:paraId="426F0CCC">
      <w:pPr>
        <w:snapToGrid w:val="0"/>
        <w:spacing w:line="288" w:lineRule="auto"/>
        <w:ind w:firstLine="1040"/>
        <w:rPr>
          <w:rFonts w:hint="default" w:ascii="Times New Roman" w:hAnsi="Times New Roman" w:eastAsia="仿宋_GB2312" w:cs="Times New Roman"/>
          <w:color w:val="auto"/>
          <w:sz w:val="24"/>
          <w:szCs w:val="24"/>
          <w:highlight w:val="none"/>
        </w:rPr>
      </w:pPr>
    </w:p>
    <w:p w14:paraId="394AC913">
      <w:pPr>
        <w:snapToGrid w:val="0"/>
        <w:spacing w:line="288" w:lineRule="auto"/>
        <w:ind w:firstLine="1040"/>
        <w:rPr>
          <w:rFonts w:hint="default" w:ascii="Times New Roman" w:hAnsi="Times New Roman" w:eastAsia="仿宋_GB2312" w:cs="Times New Roman"/>
          <w:color w:val="auto"/>
          <w:sz w:val="24"/>
          <w:szCs w:val="24"/>
          <w:highlight w:val="none"/>
        </w:rPr>
      </w:pPr>
    </w:p>
    <w:bookmarkEnd w:id="1"/>
    <w:p w14:paraId="45D055ED">
      <w:pPr>
        <w:snapToGrid w:val="0"/>
        <w:spacing w:line="288" w:lineRule="auto"/>
        <w:jc w:val="center"/>
        <w:rPr>
          <w:rFonts w:hint="default" w:ascii="Times New Roman" w:hAnsi="Times New Roman" w:eastAsia="楷体_GB2312" w:cs="Times New Roman"/>
          <w:color w:val="auto"/>
          <w:sz w:val="36"/>
          <w:highlight w:val="none"/>
        </w:rPr>
        <w:sectPr>
          <w:footerReference r:id="rId3" w:type="default"/>
          <w:pgSz w:w="11906" w:h="16838"/>
          <w:pgMar w:top="1701" w:right="1134" w:bottom="1701" w:left="1134" w:header="851" w:footer="1077" w:gutter="0"/>
          <w:pgNumType w:start="1"/>
          <w:cols w:space="720" w:num="1"/>
          <w:docGrid w:linePitch="312" w:charSpace="0"/>
        </w:sectPr>
      </w:pPr>
      <w:r>
        <w:rPr>
          <w:rFonts w:hint="default" w:ascii="Times New Roman" w:hAnsi="Times New Roman" w:eastAsia="楷体_GB2312" w:cs="Times New Roman"/>
          <w:color w:val="auto"/>
          <w:sz w:val="36"/>
          <w:highlight w:val="none"/>
        </w:rPr>
        <w:t>中华人民共和国生态环境部制</w:t>
      </w:r>
    </w:p>
    <w:p w14:paraId="5DFD17C1">
      <w:pPr>
        <w:spacing w:line="360" w:lineRule="auto"/>
        <w:rPr>
          <w:rFonts w:hint="default" w:ascii="Times New Roman" w:hAnsi="Times New Roman" w:cs="Times New Roman"/>
          <w:color w:val="auto"/>
          <w:sz w:val="24"/>
          <w:highlight w:val="none"/>
        </w:rPr>
      </w:pPr>
      <w:r>
        <w:rPr>
          <w:sz w:val="21"/>
        </w:rPr>
        <mc:AlternateContent>
          <mc:Choice Requires="wps">
            <w:drawing>
              <wp:anchor distT="0" distB="0" distL="114300" distR="114300" simplePos="0" relativeHeight="251659264" behindDoc="0" locked="0" layoutInCell="1" allowOverlap="1">
                <wp:simplePos x="0" y="0"/>
                <wp:positionH relativeFrom="column">
                  <wp:posOffset>2549525</wp:posOffset>
                </wp:positionH>
                <wp:positionV relativeFrom="paragraph">
                  <wp:posOffset>104140</wp:posOffset>
                </wp:positionV>
                <wp:extent cx="4918075" cy="39560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4918075" cy="3956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D0960D">
                            <w:pPr>
                              <w:jc w:val="both"/>
                              <w:rPr>
                                <w:rFonts w:hint="eastAsia" w:eastAsia="宋体"/>
                                <w:b/>
                                <w:bCs/>
                                <w:sz w:val="28"/>
                                <w:szCs w:val="28"/>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0.75pt;margin-top:8.2pt;height:31.15pt;width:387.25pt;z-index:251659264;mso-width-relative:page;mso-height-relative:page;" filled="f" stroked="f" coordsize="21600,21600" o:gfxdata="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BTwA92gAAAAoBAAAPAAAAAAAAAAEAIAAAACIAAABk&#10;cnMvZG93bnJldi54bWxQSwECFAAUAAAACACHTuJAeCwA9z0CAABoBAAADgAAAAAAAAABACAAAAAp&#10;AQAAZHJzL2Uyb0RvYy54bWxQSwUGAAAAAAYABgBZAQAA2AUAAAAA&#10;">
                <v:fill on="f" focussize="0,0"/>
                <v:stroke on="f" weight="0.5pt"/>
                <v:imagedata o:title=""/>
                <o:lock v:ext="edit" aspectratio="f"/>
                <v:textbox>
                  <w:txbxContent>
                    <w:p w14:paraId="61D0960D">
                      <w:pPr>
                        <w:jc w:val="both"/>
                        <w:rPr>
                          <w:rFonts w:hint="eastAsia" w:eastAsia="宋体"/>
                          <w:b/>
                          <w:bCs/>
                          <w:sz w:val="28"/>
                          <w:szCs w:val="28"/>
                          <w:lang w:val="en-US" w:eastAsia="zh-CN"/>
                        </w:rPr>
                      </w:pPr>
                    </w:p>
                  </w:txbxContent>
                </v:textbox>
              </v:shape>
            </w:pict>
          </mc:Fallback>
        </mc:AlternateContent>
      </w:r>
      <w:r>
        <w:rPr>
          <w:rFonts w:hint="default" w:ascii="Times New Roman" w:hAnsi="Times New Roman" w:cs="Times New Roman"/>
          <w:b/>
          <w:color w:val="auto"/>
          <w:sz w:val="32"/>
          <w:highlight w:val="none"/>
        </w:rPr>
        <w:t>目  录</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TOC \o "1-1" \h \u </w:instrText>
      </w:r>
      <w:r>
        <w:rPr>
          <w:rFonts w:hint="default" w:ascii="Times New Roman" w:hAnsi="Times New Roman" w:cs="Times New Roman"/>
          <w:color w:val="auto"/>
          <w:sz w:val="24"/>
          <w:highlight w:val="none"/>
        </w:rPr>
        <w:fldChar w:fldCharType="separate"/>
      </w:r>
    </w:p>
    <w:p w14:paraId="7DFFE345">
      <w:pPr>
        <w:pStyle w:val="27"/>
        <w:tabs>
          <w:tab w:val="right" w:leader="dot" w:pos="8834"/>
        </w:tabs>
        <w:spacing w:line="480" w:lineRule="auto"/>
        <w:rPr>
          <w:rFonts w:hint="default" w:ascii="Times New Roman" w:hAnsi="Times New Roman" w:cs="Times New Roman"/>
          <w:b/>
          <w:bCs/>
          <w:color w:val="auto"/>
          <w:highlight w:val="none"/>
          <w14:ligatures w14:val="standardContextual"/>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"_Toc221181283" </w:instrText>
      </w:r>
      <w:r>
        <w:rPr>
          <w:rFonts w:hint="default" w:ascii="Times New Roman" w:hAnsi="Times New Roman" w:cs="Times New Roman"/>
          <w:color w:val="auto"/>
          <w:highlight w:val="none"/>
        </w:rPr>
        <w:fldChar w:fldCharType="separate"/>
      </w:r>
      <w:r>
        <w:rPr>
          <w:rStyle w:val="38"/>
          <w:rFonts w:hint="default" w:ascii="Times New Roman" w:hAnsi="Times New Roman" w:cs="Times New Roman"/>
          <w:b/>
          <w:bCs/>
          <w:snapToGrid w:val="0"/>
          <w:color w:val="auto"/>
          <w:highlight w:val="none"/>
        </w:rPr>
        <w:t>一、建设项目基本情况</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_Toc221181283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5CBED636">
      <w:pPr>
        <w:pStyle w:val="27"/>
        <w:tabs>
          <w:tab w:val="right" w:leader="dot" w:pos="8834"/>
        </w:tabs>
        <w:spacing w:line="480" w:lineRule="auto"/>
        <w:rPr>
          <w:rFonts w:hint="default" w:ascii="Times New Roman" w:hAnsi="Times New Roman" w:cs="Times New Roman"/>
          <w:b/>
          <w:bCs/>
          <w:color w:val="auto"/>
          <w:highlight w:val="none"/>
          <w14:ligatures w14:val="standardContextual"/>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"_Toc221181284" </w:instrText>
      </w:r>
      <w:r>
        <w:rPr>
          <w:rFonts w:hint="default" w:ascii="Times New Roman" w:hAnsi="Times New Roman" w:cs="Times New Roman"/>
          <w:color w:val="auto"/>
          <w:highlight w:val="none"/>
        </w:rPr>
        <w:fldChar w:fldCharType="separate"/>
      </w:r>
      <w:r>
        <w:rPr>
          <w:rStyle w:val="38"/>
          <w:rFonts w:hint="default" w:ascii="Times New Roman" w:hAnsi="Times New Roman" w:cs="Times New Roman"/>
          <w:b/>
          <w:bCs/>
          <w:snapToGrid w:val="0"/>
          <w:color w:val="auto"/>
          <w:highlight w:val="none"/>
        </w:rPr>
        <w:t>二、建设项目工程分析</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_Toc221181284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24</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6D932A54">
      <w:pPr>
        <w:pStyle w:val="27"/>
        <w:tabs>
          <w:tab w:val="right" w:leader="dot" w:pos="8834"/>
        </w:tabs>
        <w:spacing w:line="480" w:lineRule="auto"/>
        <w:rPr>
          <w:rFonts w:hint="default" w:ascii="Times New Roman" w:hAnsi="Times New Roman" w:cs="Times New Roman"/>
          <w:b/>
          <w:bCs/>
          <w:color w:val="auto"/>
          <w:highlight w:val="none"/>
          <w14:ligatures w14:val="standardContextual"/>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"_Toc221181286" </w:instrText>
      </w:r>
      <w:r>
        <w:rPr>
          <w:rFonts w:hint="default" w:ascii="Times New Roman" w:hAnsi="Times New Roman" w:cs="Times New Roman"/>
          <w:color w:val="auto"/>
          <w:highlight w:val="none"/>
        </w:rPr>
        <w:fldChar w:fldCharType="separate"/>
      </w:r>
      <w:r>
        <w:rPr>
          <w:rStyle w:val="38"/>
          <w:rFonts w:hint="default" w:ascii="Times New Roman" w:hAnsi="Times New Roman" w:cs="Times New Roman"/>
          <w:b/>
          <w:bCs/>
          <w:snapToGrid w:val="0"/>
          <w:color w:val="auto"/>
          <w:highlight w:val="none"/>
        </w:rPr>
        <w:t>三、区域环境质量现状、环境保护目标及评价标准</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_Toc221181286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51</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41CBCA55">
      <w:pPr>
        <w:pStyle w:val="27"/>
        <w:tabs>
          <w:tab w:val="right" w:leader="dot" w:pos="8834"/>
        </w:tabs>
        <w:spacing w:line="480" w:lineRule="auto"/>
        <w:rPr>
          <w:rFonts w:hint="default" w:ascii="Times New Roman" w:hAnsi="Times New Roman" w:cs="Times New Roman"/>
          <w:b/>
          <w:bCs/>
          <w:color w:val="auto"/>
          <w:highlight w:val="none"/>
          <w14:ligatures w14:val="standardContextual"/>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"_Toc221181287" </w:instrText>
      </w:r>
      <w:r>
        <w:rPr>
          <w:rFonts w:hint="default" w:ascii="Times New Roman" w:hAnsi="Times New Roman" w:cs="Times New Roman"/>
          <w:color w:val="auto"/>
          <w:highlight w:val="none"/>
        </w:rPr>
        <w:fldChar w:fldCharType="separate"/>
      </w:r>
      <w:r>
        <w:rPr>
          <w:rStyle w:val="38"/>
          <w:rFonts w:hint="default" w:ascii="Times New Roman" w:hAnsi="Times New Roman" w:cs="Times New Roman"/>
          <w:b/>
          <w:bCs/>
          <w:snapToGrid w:val="0"/>
          <w:color w:val="auto"/>
          <w:highlight w:val="none"/>
        </w:rPr>
        <w:t>四、主要</w:t>
      </w:r>
      <w:r>
        <w:rPr>
          <w:rStyle w:val="38"/>
          <w:rFonts w:hint="eastAsia" w:ascii="Times New Roman" w:hAnsi="Times New Roman" w:cs="Times New Roman"/>
          <w:b/>
          <w:bCs/>
          <w:snapToGrid w:val="0"/>
          <w:color w:val="auto"/>
          <w:highlight w:val="none"/>
          <w:lang w:val="en-US" w:eastAsia="zh-CN"/>
        </w:rPr>
        <w:t>生态</w:t>
      </w:r>
      <w:r>
        <w:rPr>
          <w:rStyle w:val="38"/>
          <w:rFonts w:hint="default" w:ascii="Times New Roman" w:hAnsi="Times New Roman" w:cs="Times New Roman"/>
          <w:b/>
          <w:bCs/>
          <w:snapToGrid w:val="0"/>
          <w:color w:val="auto"/>
          <w:highlight w:val="none"/>
        </w:rPr>
        <w:t>环境影响和保护措施</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_Toc221181287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60</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421DF56C">
      <w:pPr>
        <w:pStyle w:val="27"/>
        <w:tabs>
          <w:tab w:val="right" w:leader="dot" w:pos="8834"/>
        </w:tabs>
        <w:spacing w:line="480" w:lineRule="auto"/>
        <w:rPr>
          <w:rFonts w:hint="default" w:ascii="Times New Roman" w:hAnsi="Times New Roman" w:cs="Times New Roman"/>
          <w:b/>
          <w:bCs/>
          <w:color w:val="auto"/>
          <w:highlight w:val="none"/>
          <w14:ligatures w14:val="standardContextual"/>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"_Toc221181288" </w:instrText>
      </w:r>
      <w:r>
        <w:rPr>
          <w:rFonts w:hint="default" w:ascii="Times New Roman" w:hAnsi="Times New Roman" w:cs="Times New Roman"/>
          <w:color w:val="auto"/>
          <w:highlight w:val="none"/>
        </w:rPr>
        <w:fldChar w:fldCharType="separate"/>
      </w:r>
      <w:r>
        <w:rPr>
          <w:rStyle w:val="38"/>
          <w:rFonts w:hint="default" w:ascii="Times New Roman" w:hAnsi="Times New Roman" w:cs="Times New Roman"/>
          <w:b/>
          <w:bCs/>
          <w:snapToGrid w:val="0"/>
          <w:color w:val="auto"/>
          <w:highlight w:val="none"/>
        </w:rPr>
        <w:t>五、环境保护措施监督检查清单</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_Toc221181288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102</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125D0236">
      <w:pPr>
        <w:pStyle w:val="27"/>
        <w:tabs>
          <w:tab w:val="right" w:leader="dot" w:pos="8834"/>
        </w:tabs>
        <w:spacing w:line="480" w:lineRule="auto"/>
        <w:rPr>
          <w:rFonts w:hint="default" w:ascii="Times New Roman" w:hAnsi="Times New Roman" w:cs="Times New Roman"/>
          <w:b/>
          <w:bCs/>
          <w:color w:val="auto"/>
          <w:highlight w:val="none"/>
          <w14:ligatures w14:val="standardContextual"/>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"_Toc221181289" </w:instrText>
      </w:r>
      <w:r>
        <w:rPr>
          <w:rFonts w:hint="default" w:ascii="Times New Roman" w:hAnsi="Times New Roman" w:cs="Times New Roman"/>
          <w:color w:val="auto"/>
          <w:highlight w:val="none"/>
        </w:rPr>
        <w:fldChar w:fldCharType="separate"/>
      </w:r>
      <w:r>
        <w:rPr>
          <w:rStyle w:val="38"/>
          <w:rFonts w:hint="default" w:ascii="Times New Roman" w:hAnsi="Times New Roman" w:cs="Times New Roman"/>
          <w:b/>
          <w:bCs/>
          <w:snapToGrid w:val="0"/>
          <w:color w:val="auto"/>
          <w:highlight w:val="none"/>
        </w:rPr>
        <w:t>六、结论</w:t>
      </w:r>
      <w:r>
        <w:rPr>
          <w:rFonts w:hint="default" w:ascii="Times New Roman" w:hAnsi="Times New Roman" w:cs="Times New Roman"/>
          <w:b/>
          <w:bCs/>
          <w:color w:val="auto"/>
          <w:highlight w:val="none"/>
        </w:rPr>
        <w:tab/>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PAGEREF _Toc221181289 \h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107</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fldChar w:fldCharType="end"/>
      </w:r>
    </w:p>
    <w:p w14:paraId="3806C33B">
      <w:pPr>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fldChar w:fldCharType="end"/>
      </w:r>
    </w:p>
    <w:p w14:paraId="767C8460">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br w:type="page"/>
      </w:r>
      <w:r>
        <w:rPr>
          <w:rFonts w:hint="default" w:ascii="Times New Roman" w:hAnsi="Times New Roman" w:cs="Times New Roman"/>
          <w:b/>
          <w:color w:val="auto"/>
          <w:sz w:val="24"/>
          <w:highlight w:val="none"/>
        </w:rPr>
        <w:t>附件</w:t>
      </w:r>
    </w:p>
    <w:p w14:paraId="21EF3DD4">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附件1 委托书</w:t>
      </w:r>
    </w:p>
    <w:p w14:paraId="7223B7AB">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附件2 关于《华宁县疾病预防控制中心综合实验楼建设项目可行性研究报告》的批复</w:t>
      </w:r>
    </w:p>
    <w:p w14:paraId="5F4A0A2A">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附件3 不动产权证书</w:t>
      </w:r>
    </w:p>
    <w:p w14:paraId="3674CE97">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附件4 建设用地规划许可证</w:t>
      </w:r>
    </w:p>
    <w:p w14:paraId="3A264ED2">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附件5 固定污染源排污登记回执</w:t>
      </w:r>
    </w:p>
    <w:p w14:paraId="6AAAB191">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附件6 医疗废物处置合同</w:t>
      </w:r>
    </w:p>
    <w:p w14:paraId="316AFB5E">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附件7 危险废物转移联单</w:t>
      </w:r>
    </w:p>
    <w:p w14:paraId="703A0A01">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附件8 环境噪声检测报告</w:t>
      </w:r>
    </w:p>
    <w:p w14:paraId="7D9EC5CA">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附件9 现有项目环评批复</w:t>
      </w:r>
    </w:p>
    <w:p w14:paraId="4F16D948">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附件10 环境分区管控单元查询</w:t>
      </w:r>
    </w:p>
    <w:p w14:paraId="07A39137">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附件11 </w:t>
      </w:r>
      <w:r>
        <w:rPr>
          <w:rFonts w:hint="eastAsia" w:cs="Times New Roman"/>
          <w:color w:val="auto"/>
          <w:sz w:val="24"/>
          <w:highlight w:val="none"/>
          <w:lang w:val="en-US" w:eastAsia="zh-CN"/>
        </w:rPr>
        <w:t>环评单位</w:t>
      </w:r>
      <w:r>
        <w:rPr>
          <w:rFonts w:hint="default" w:ascii="Times New Roman" w:hAnsi="Times New Roman" w:cs="Times New Roman"/>
          <w:color w:val="auto"/>
          <w:sz w:val="24"/>
          <w:highlight w:val="none"/>
        </w:rPr>
        <w:t>进度表</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内审表</w:t>
      </w:r>
    </w:p>
    <w:p w14:paraId="73ACD5AF">
      <w:pPr>
        <w:tabs>
          <w:tab w:val="left" w:pos="357"/>
        </w:tabs>
        <w:autoSpaceDE w:val="0"/>
        <w:autoSpaceDN w:val="0"/>
        <w:adjustRightIn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 xml:space="preserve">附件12 </w:t>
      </w:r>
      <w:r>
        <w:rPr>
          <w:rFonts w:hint="eastAsia" w:cs="Times New Roman"/>
          <w:color w:val="auto"/>
          <w:sz w:val="24"/>
          <w:highlight w:val="none"/>
          <w:lang w:val="en-US" w:eastAsia="zh-CN"/>
        </w:rPr>
        <w:t>报告表编制单位变更《情况说明》</w:t>
      </w:r>
    </w:p>
    <w:p w14:paraId="4B486454">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附件13 环评技术合同</w:t>
      </w:r>
    </w:p>
    <w:p w14:paraId="7696DA43">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附件14 专家评审意见</w:t>
      </w:r>
    </w:p>
    <w:p w14:paraId="295118FF">
      <w:pPr>
        <w:tabs>
          <w:tab w:val="left" w:pos="357"/>
        </w:tabs>
        <w:autoSpaceDE w:val="0"/>
        <w:autoSpaceDN w:val="0"/>
        <w:adjustRightIn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 xml:space="preserve">附件15 </w:t>
      </w:r>
      <w:r>
        <w:rPr>
          <w:rFonts w:hint="eastAsia" w:cs="Times New Roman"/>
          <w:color w:val="auto"/>
          <w:sz w:val="24"/>
          <w:highlight w:val="none"/>
          <w:lang w:val="en-US" w:eastAsia="zh-CN"/>
        </w:rPr>
        <w:t>专家签字表</w:t>
      </w:r>
    </w:p>
    <w:p w14:paraId="44230881">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 xml:space="preserve">附件16 </w:t>
      </w:r>
      <w:r>
        <w:rPr>
          <w:rFonts w:hint="default" w:ascii="Times New Roman" w:hAnsi="Times New Roman" w:cs="Times New Roman"/>
          <w:color w:val="auto"/>
          <w:sz w:val="24"/>
          <w:highlight w:val="none"/>
        </w:rPr>
        <w:t>修改清单</w:t>
      </w:r>
    </w:p>
    <w:p w14:paraId="3A9A8595">
      <w:pPr>
        <w:spacing w:line="360" w:lineRule="auto"/>
        <w:rPr>
          <w:rFonts w:hint="default" w:ascii="Times New Roman" w:hAnsi="Times New Roman" w:cs="Times New Roman"/>
          <w:b/>
          <w:color w:val="auto"/>
          <w:sz w:val="24"/>
          <w:highlight w:val="none"/>
        </w:rPr>
      </w:pPr>
    </w:p>
    <w:p w14:paraId="55038A95">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附图</w:t>
      </w:r>
    </w:p>
    <w:p w14:paraId="03E84DB9">
      <w:pPr>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附图1 项目区地理位置图</w:t>
      </w:r>
    </w:p>
    <w:p w14:paraId="01FA72A6">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附图2 环境保护目标分布图</w:t>
      </w:r>
    </w:p>
    <w:p w14:paraId="000D05E0">
      <w:pPr>
        <w:tabs>
          <w:tab w:val="left" w:pos="357"/>
        </w:tabs>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附图3 项目区水系图</w:t>
      </w:r>
    </w:p>
    <w:p w14:paraId="0EA7255E">
      <w:pPr>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附图4 总平面布置图</w:t>
      </w:r>
    </w:p>
    <w:p w14:paraId="3D513A18">
      <w:pPr>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附图5 声功能区划图</w:t>
      </w:r>
    </w:p>
    <w:p w14:paraId="702E875D">
      <w:pPr>
        <w:autoSpaceDE w:val="0"/>
        <w:autoSpaceDN w:val="0"/>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附图6 分区防渗图</w:t>
      </w:r>
    </w:p>
    <w:p w14:paraId="2466489E">
      <w:pPr>
        <w:pStyle w:val="28"/>
        <w:jc w:val="both"/>
        <w:outlineLvl w:val="0"/>
        <w:rPr>
          <w:rFonts w:hint="default" w:ascii="Times New Roman" w:hAnsi="Times New Roman" w:cs="Times New Roman"/>
          <w:b/>
          <w:bCs/>
          <w:snapToGrid w:val="0"/>
          <w:color w:val="auto"/>
          <w:sz w:val="30"/>
          <w:szCs w:val="30"/>
          <w:highlight w:val="none"/>
        </w:rPr>
        <w:sectPr>
          <w:footerReference r:id="rId4" w:type="default"/>
          <w:pgSz w:w="11906" w:h="16838"/>
          <w:pgMar w:top="1701" w:right="1531" w:bottom="1701" w:left="1531" w:header="851" w:footer="1077" w:gutter="0"/>
          <w:pgNumType w:start="1"/>
          <w:cols w:space="720" w:num="1"/>
          <w:docGrid w:linePitch="312" w:charSpace="0"/>
        </w:sectPr>
      </w:pPr>
    </w:p>
    <w:p w14:paraId="4E14402D">
      <w:pPr>
        <w:pStyle w:val="28"/>
        <w:keepNext w:val="0"/>
        <w:keepLines w:val="0"/>
        <w:widowControl/>
        <w:suppressLineNumbers w:val="0"/>
        <w:shd w:val="clear" w:fill="FFFFFF"/>
        <w:spacing w:before="0" w:beforeAutospacing="0" w:after="192" w:afterAutospacing="0"/>
        <w:ind w:left="0" w:right="0" w:firstLine="0"/>
        <w:jc w:val="center"/>
        <w:rPr>
          <w:rFonts w:hint="default" w:ascii="Segoe UI" w:hAnsi="Segoe UI" w:eastAsia="Segoe UI" w:cs="Segoe UI"/>
          <w:b/>
          <w:bCs/>
          <w:i w:val="0"/>
          <w:iCs w:val="0"/>
          <w:caps w:val="0"/>
          <w:color w:val="0F1115"/>
          <w:spacing w:val="0"/>
          <w:sz w:val="32"/>
          <w:szCs w:val="32"/>
          <w:shd w:val="clear" w:fill="FFFFFF"/>
        </w:rPr>
      </w:pPr>
      <w:r>
        <w:rPr>
          <w:rFonts w:hint="default" w:ascii="Segoe UI" w:hAnsi="Segoe UI" w:eastAsia="Segoe UI" w:cs="Segoe UI"/>
          <w:b/>
          <w:bCs/>
          <w:i w:val="0"/>
          <w:iCs w:val="0"/>
          <w:caps w:val="0"/>
          <w:color w:val="0F1115"/>
          <w:spacing w:val="0"/>
          <w:sz w:val="32"/>
          <w:szCs w:val="32"/>
          <w:shd w:val="clear" w:fill="FFFFFF"/>
        </w:rPr>
        <w:t>前 言</w:t>
      </w:r>
    </w:p>
    <w:p w14:paraId="4AB03073">
      <w:pPr>
        <w:pStyle w:val="28"/>
        <w:keepNext w:val="0"/>
        <w:keepLines w:val="0"/>
        <w:widowControl/>
        <w:suppressLineNumbers w:val="0"/>
        <w:shd w:val="clear" w:fill="FFFFFF"/>
        <w:spacing w:before="0" w:beforeAutospacing="0" w:after="192" w:afterAutospacing="0"/>
        <w:ind w:left="0" w:right="0" w:firstLine="0"/>
        <w:jc w:val="center"/>
        <w:rPr>
          <w:rFonts w:hint="default" w:ascii="Segoe UI" w:hAnsi="Segoe UI" w:eastAsia="Segoe UI" w:cs="Segoe UI"/>
          <w:b/>
          <w:bCs/>
          <w:i w:val="0"/>
          <w:iCs w:val="0"/>
          <w:caps w:val="0"/>
          <w:color w:val="0F1115"/>
          <w:spacing w:val="0"/>
          <w:sz w:val="32"/>
          <w:szCs w:val="32"/>
          <w:shd w:val="clear" w:fill="FFFFFF"/>
        </w:rPr>
      </w:pPr>
    </w:p>
    <w:p w14:paraId="2FBA1547">
      <w:pPr>
        <w:pStyle w:val="2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i w:val="0"/>
          <w:iCs w:val="0"/>
          <w:caps w:val="0"/>
          <w:color w:val="0F1115"/>
          <w:spacing w:val="0"/>
          <w:sz w:val="24"/>
          <w:szCs w:val="24"/>
        </w:rPr>
      </w:pPr>
      <w:r>
        <w:rPr>
          <w:rFonts w:hint="default" w:ascii="Times New Roman" w:hAnsi="Times New Roman" w:eastAsia="宋体" w:cs="Times New Roman"/>
          <w:i w:val="0"/>
          <w:iCs w:val="0"/>
          <w:caps w:val="0"/>
          <w:color w:val="0F1115"/>
          <w:spacing w:val="0"/>
          <w:sz w:val="24"/>
          <w:szCs w:val="24"/>
          <w:shd w:val="clear" w:fill="FFFFFF"/>
        </w:rPr>
        <w:t>华宁县疾病预防控制中心综合实验楼建设项目位于云南省玉溪市华宁县东风路与松山路交叉路口，华宁县疾病预防控制中心原址旁地块。为提高疾病预防控制检测工作效率，保障人民群众健康与安全，改善疾控中心办公及实验条件，华宁县疾病预防控制中心决定在现有疾控中心原址旁地块进行改扩建。项目总用地面积为1654.86m²，新增一栋五层实验楼，功能包括理化检验、微生物检验、应急物资库等，实验楼建筑面积为2365.99m²（不含隔震层），设备用房建筑面积为86.85m²，总投资1500万元。项目已取得华宁县发展和改革局《关于〈华宁县疾病预防控制中心综合实验楼建设项目可行性研究报告〉的批复》（华发改投资〔2021〕219号），项目代码为2112-530424-04-01-838082。</w:t>
      </w:r>
    </w:p>
    <w:p w14:paraId="0C539692">
      <w:pPr>
        <w:pStyle w:val="2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i w:val="0"/>
          <w:iCs w:val="0"/>
          <w:caps w:val="0"/>
          <w:color w:val="0F1115"/>
          <w:spacing w:val="0"/>
          <w:sz w:val="24"/>
          <w:szCs w:val="24"/>
        </w:rPr>
      </w:pPr>
      <w:r>
        <w:rPr>
          <w:rFonts w:hint="default" w:ascii="Times New Roman" w:hAnsi="Times New Roman" w:eastAsia="宋体" w:cs="Times New Roman"/>
          <w:i w:val="0"/>
          <w:iCs w:val="0"/>
          <w:caps w:val="0"/>
          <w:color w:val="0F1115"/>
          <w:spacing w:val="0"/>
          <w:sz w:val="24"/>
          <w:szCs w:val="24"/>
          <w:shd w:val="clear" w:fill="FFFFFF"/>
        </w:rPr>
        <w:t>根据《中华人民共和国生态环境法典》以及《建设项目环境保护管理条例》（国务院令第682号）的要求，本项目应进行环境影响评价。对照《建设项目环境影响评价分类管理名录（2021年版）》，本项目属于“四十九、卫生84，109疾病预防控制中心8431”中的“其他”类，应编制</w:t>
      </w:r>
      <w:r>
        <w:rPr>
          <w:rFonts w:hint="eastAsia" w:ascii="Times New Roman" w:hAnsi="Times New Roman" w:cs="Times New Roman"/>
          <w:i w:val="0"/>
          <w:iCs w:val="0"/>
          <w:caps w:val="0"/>
          <w:color w:val="0F1115"/>
          <w:spacing w:val="0"/>
          <w:sz w:val="24"/>
          <w:szCs w:val="24"/>
          <w:shd w:val="clear" w:fill="FFFFFF"/>
          <w:lang w:val="en-US" w:eastAsia="zh-CN"/>
        </w:rPr>
        <w:t>生态</w:t>
      </w:r>
      <w:r>
        <w:rPr>
          <w:rFonts w:hint="default" w:ascii="Times New Roman" w:hAnsi="Times New Roman" w:eastAsia="宋体" w:cs="Times New Roman"/>
          <w:i w:val="0"/>
          <w:iCs w:val="0"/>
          <w:caps w:val="0"/>
          <w:color w:val="0F1115"/>
          <w:spacing w:val="0"/>
          <w:sz w:val="24"/>
          <w:szCs w:val="24"/>
          <w:shd w:val="clear" w:fill="FFFFFF"/>
        </w:rPr>
        <w:t>环境影响报告表。</w:t>
      </w:r>
    </w:p>
    <w:p w14:paraId="507E7C05">
      <w:pPr>
        <w:pStyle w:val="2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i w:val="0"/>
          <w:iCs w:val="0"/>
          <w:caps w:val="0"/>
          <w:color w:val="0F1115"/>
          <w:spacing w:val="0"/>
          <w:sz w:val="24"/>
          <w:szCs w:val="24"/>
          <w:shd w:val="clear" w:fill="FFFFFF"/>
        </w:rPr>
      </w:pPr>
      <w:r>
        <w:rPr>
          <w:rFonts w:hint="default" w:ascii="Times New Roman" w:hAnsi="Times New Roman" w:eastAsia="宋体" w:cs="Times New Roman"/>
          <w:i w:val="0"/>
          <w:iCs w:val="0"/>
          <w:caps w:val="0"/>
          <w:color w:val="0F1115"/>
          <w:spacing w:val="0"/>
          <w:sz w:val="24"/>
          <w:szCs w:val="24"/>
          <w:shd w:val="clear" w:fill="FFFFFF"/>
        </w:rPr>
        <w:t>本项目原环境影响评价文件编制单位为云南智深环保科技发展有限公司。因该公司于2026年6月在环境影响评价信用平台注销，不再具备环境影响评价文件编制及报批相关条件，无法继续完成本项目已通过技术评审会议的环评文本后续完善及报批工作。为保障项目环评工作顺利推进，华宁县疾病预防控制中心于2026年9月委托云南德源绿创环保科技有限公司承接本项目环评后续全部工作。</w:t>
      </w:r>
    </w:p>
    <w:p w14:paraId="45C7F956">
      <w:pPr>
        <w:pStyle w:val="28"/>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i w:val="0"/>
          <w:iCs w:val="0"/>
          <w:caps w:val="0"/>
          <w:color w:val="0F1115"/>
          <w:spacing w:val="0"/>
          <w:sz w:val="24"/>
          <w:szCs w:val="24"/>
        </w:rPr>
      </w:pPr>
      <w:r>
        <w:rPr>
          <w:rFonts w:hint="default" w:ascii="Times New Roman" w:hAnsi="Times New Roman" w:eastAsia="宋体" w:cs="Times New Roman"/>
          <w:i w:val="0"/>
          <w:iCs w:val="0"/>
          <w:caps w:val="0"/>
          <w:color w:val="0F1115"/>
          <w:spacing w:val="0"/>
          <w:sz w:val="24"/>
          <w:szCs w:val="24"/>
          <w:shd w:val="clear" w:fill="FFFFFF"/>
        </w:rPr>
        <w:t>编制单位变更后，云南德源绿创环保科技有限公司在资料收集、现场踏勘、综合分析的基础上，按照相关法律法规、技术导则及标准要求，对原环评文本进行全面复核，落实专家及技术评审意见，完成报告内审、编制完成了《华宁县疾病预防控制中心综合实验楼建设项目</w:t>
      </w:r>
      <w:r>
        <w:rPr>
          <w:rFonts w:hint="eastAsia" w:ascii="Times New Roman" w:hAnsi="Times New Roman" w:eastAsia="宋体" w:cs="Times New Roman"/>
          <w:i w:val="0"/>
          <w:iCs w:val="0"/>
          <w:caps w:val="0"/>
          <w:color w:val="0F1115"/>
          <w:spacing w:val="0"/>
          <w:sz w:val="24"/>
          <w:szCs w:val="24"/>
          <w:shd w:val="clear" w:fill="FFFFFF"/>
          <w:lang w:val="en-US" w:eastAsia="zh-CN"/>
        </w:rPr>
        <w:t>生态</w:t>
      </w:r>
      <w:r>
        <w:rPr>
          <w:rFonts w:hint="default" w:ascii="Times New Roman" w:hAnsi="Times New Roman" w:eastAsia="宋体" w:cs="Times New Roman"/>
          <w:i w:val="0"/>
          <w:iCs w:val="0"/>
          <w:caps w:val="0"/>
          <w:color w:val="0F1115"/>
          <w:spacing w:val="0"/>
          <w:sz w:val="24"/>
          <w:szCs w:val="24"/>
          <w:shd w:val="clear" w:fill="FFFFFF"/>
        </w:rPr>
        <w:t>环境影响报告表》（报批稿），提交建设单位华宁县疾病预防控制中心上报玉溪市生态环境局审批。</w:t>
      </w:r>
    </w:p>
    <w:p w14:paraId="551D7974">
      <w:pPr>
        <w:pStyle w:val="28"/>
        <w:jc w:val="both"/>
        <w:outlineLvl w:val="0"/>
        <w:rPr>
          <w:rFonts w:hint="default" w:ascii="Times New Roman" w:hAnsi="Times New Roman" w:cs="Times New Roman"/>
          <w:b/>
          <w:bCs/>
          <w:snapToGrid w:val="0"/>
          <w:color w:val="auto"/>
          <w:sz w:val="30"/>
          <w:szCs w:val="30"/>
          <w:highlight w:val="none"/>
        </w:rPr>
        <w:sectPr>
          <w:pgSz w:w="11906" w:h="16838"/>
          <w:pgMar w:top="1701" w:right="1531" w:bottom="1701" w:left="1531" w:header="851" w:footer="1077" w:gutter="0"/>
          <w:pgNumType w:start="1"/>
          <w:cols w:space="720" w:num="1"/>
          <w:docGrid w:linePitch="312" w:charSpace="0"/>
        </w:sectPr>
      </w:pPr>
    </w:p>
    <w:p w14:paraId="1B3B2724">
      <w:pPr>
        <w:pStyle w:val="28"/>
        <w:jc w:val="center"/>
        <w:outlineLvl w:val="0"/>
        <w:rPr>
          <w:rFonts w:hint="default" w:ascii="Times New Roman" w:hAnsi="Times New Roman" w:cs="Times New Roman"/>
          <w:b/>
          <w:bCs/>
          <w:snapToGrid w:val="0"/>
          <w:color w:val="auto"/>
          <w:sz w:val="30"/>
          <w:szCs w:val="30"/>
          <w:highlight w:val="none"/>
        </w:rPr>
      </w:pPr>
      <w:bookmarkStart w:id="2" w:name="_Toc221181283"/>
      <w:r>
        <w:rPr>
          <w:rFonts w:hint="default" w:ascii="Times New Roman" w:hAnsi="Times New Roman" w:cs="Times New Roman"/>
          <w:b/>
          <w:bCs/>
          <w:snapToGrid w:val="0"/>
          <w:color w:val="auto"/>
          <w:sz w:val="30"/>
          <w:szCs w:val="30"/>
          <w:highlight w:val="none"/>
        </w:rPr>
        <w:t>一、建设项目基本情况</w:t>
      </w:r>
      <w:bookmarkEnd w:id="2"/>
    </w:p>
    <w:tbl>
      <w:tblPr>
        <w:tblStyle w:val="33"/>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12"/>
        <w:gridCol w:w="735"/>
        <w:gridCol w:w="1838"/>
        <w:gridCol w:w="2280"/>
        <w:gridCol w:w="3143"/>
      </w:tblGrid>
      <w:tr w14:paraId="775C20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57" w:type="pct"/>
            <w:gridSpan w:val="2"/>
            <w:tcMar>
              <w:top w:w="16" w:type="dxa"/>
              <w:left w:w="16" w:type="dxa"/>
              <w:right w:w="16" w:type="dxa"/>
            </w:tcMar>
            <w:vAlign w:val="center"/>
          </w:tcPr>
          <w:p w14:paraId="45C698AA">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建设项目名称</w:t>
            </w:r>
          </w:p>
        </w:tc>
        <w:tc>
          <w:tcPr>
            <w:tcW w:w="3942" w:type="pct"/>
            <w:gridSpan w:val="3"/>
            <w:vAlign w:val="center"/>
          </w:tcPr>
          <w:p w14:paraId="6EDB8A7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华宁县疾病预防控制中心综合实验楼建设项目</w:t>
            </w:r>
          </w:p>
        </w:tc>
      </w:tr>
      <w:tr w14:paraId="193880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57" w:type="pct"/>
            <w:gridSpan w:val="2"/>
            <w:tcMar>
              <w:top w:w="16" w:type="dxa"/>
              <w:left w:w="16" w:type="dxa"/>
              <w:right w:w="16" w:type="dxa"/>
            </w:tcMar>
            <w:vAlign w:val="center"/>
          </w:tcPr>
          <w:p w14:paraId="244BE8B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项目代码</w:t>
            </w:r>
          </w:p>
        </w:tc>
        <w:tc>
          <w:tcPr>
            <w:tcW w:w="3942" w:type="pct"/>
            <w:gridSpan w:val="3"/>
            <w:vAlign w:val="center"/>
          </w:tcPr>
          <w:p w14:paraId="0F2BAA7F">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2112-530424-04-01-838082</w:t>
            </w:r>
          </w:p>
        </w:tc>
      </w:tr>
      <w:tr w14:paraId="137423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57" w:type="pct"/>
            <w:gridSpan w:val="2"/>
            <w:tcMar>
              <w:top w:w="16" w:type="dxa"/>
              <w:left w:w="16" w:type="dxa"/>
              <w:right w:w="16" w:type="dxa"/>
            </w:tcMar>
            <w:vAlign w:val="center"/>
          </w:tcPr>
          <w:p w14:paraId="26E2DF7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建设单位联系人</w:t>
            </w:r>
          </w:p>
        </w:tc>
        <w:tc>
          <w:tcPr>
            <w:tcW w:w="998" w:type="pct"/>
            <w:vAlign w:val="center"/>
          </w:tcPr>
          <w:p w14:paraId="68A2D06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魏跃</w:t>
            </w:r>
          </w:p>
        </w:tc>
        <w:tc>
          <w:tcPr>
            <w:tcW w:w="1238" w:type="pct"/>
            <w:vAlign w:val="center"/>
          </w:tcPr>
          <w:p w14:paraId="492133B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联系方式</w:t>
            </w:r>
          </w:p>
        </w:tc>
        <w:tc>
          <w:tcPr>
            <w:tcW w:w="1705" w:type="pct"/>
            <w:vAlign w:val="center"/>
          </w:tcPr>
          <w:p w14:paraId="19CAC855">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15188189784</w:t>
            </w:r>
          </w:p>
        </w:tc>
      </w:tr>
      <w:tr w14:paraId="39E2CA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57" w:type="pct"/>
            <w:gridSpan w:val="2"/>
            <w:tcMar>
              <w:top w:w="16" w:type="dxa"/>
              <w:left w:w="16" w:type="dxa"/>
              <w:right w:w="16" w:type="dxa"/>
            </w:tcMar>
            <w:vAlign w:val="center"/>
          </w:tcPr>
          <w:p w14:paraId="6977F9FA">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建设地点</w:t>
            </w:r>
          </w:p>
        </w:tc>
        <w:tc>
          <w:tcPr>
            <w:tcW w:w="3942" w:type="pct"/>
            <w:gridSpan w:val="3"/>
            <w:vAlign w:val="center"/>
          </w:tcPr>
          <w:p w14:paraId="3ABDD57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云南</w:t>
            </w:r>
            <w:r>
              <w:rPr>
                <w:rFonts w:hint="default" w:ascii="Times New Roman" w:hAnsi="Times New Roman" w:cs="Times New Roman"/>
                <w:color w:val="auto"/>
                <w:sz w:val="24"/>
                <w:highlight w:val="none"/>
              </w:rPr>
              <w:t>省（自治区）</w:t>
            </w:r>
            <w:r>
              <w:rPr>
                <w:rFonts w:hint="default" w:ascii="Times New Roman" w:hAnsi="Times New Roman" w:cs="Times New Roman"/>
                <w:color w:val="auto"/>
                <w:sz w:val="24"/>
                <w:highlight w:val="none"/>
                <w:u w:val="single"/>
              </w:rPr>
              <w:t>玉溪</w:t>
            </w:r>
            <w:r>
              <w:rPr>
                <w:rFonts w:hint="default" w:ascii="Times New Roman" w:hAnsi="Times New Roman" w:cs="Times New Roman"/>
                <w:color w:val="auto"/>
                <w:sz w:val="24"/>
                <w:highlight w:val="none"/>
              </w:rPr>
              <w:t>（市）</w:t>
            </w:r>
          </w:p>
          <w:p w14:paraId="1FB33AC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华宁县东风路与松山路交叉路口，疾病预防控制中心原址旁地块</w:t>
            </w:r>
          </w:p>
        </w:tc>
      </w:tr>
      <w:tr w14:paraId="0A5B33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57" w:type="pct"/>
            <w:gridSpan w:val="2"/>
            <w:tcMar>
              <w:top w:w="16" w:type="dxa"/>
              <w:left w:w="16" w:type="dxa"/>
              <w:right w:w="16" w:type="dxa"/>
            </w:tcMar>
            <w:vAlign w:val="center"/>
          </w:tcPr>
          <w:p w14:paraId="4C7F3AAF">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地理坐标</w:t>
            </w:r>
          </w:p>
        </w:tc>
        <w:tc>
          <w:tcPr>
            <w:tcW w:w="3942" w:type="pct"/>
            <w:gridSpan w:val="3"/>
            <w:vAlign w:val="center"/>
          </w:tcPr>
          <w:p w14:paraId="47FB2F87">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102 </w:t>
            </w:r>
            <w:r>
              <w:rPr>
                <w:rFonts w:hint="default" w:ascii="Times New Roman" w:hAnsi="Times New Roman" w:cs="Times New Roman"/>
                <w:color w:val="auto"/>
                <w:sz w:val="24"/>
                <w:highlight w:val="none"/>
              </w:rPr>
              <w:t>度</w:t>
            </w:r>
            <w:r>
              <w:rPr>
                <w:rFonts w:hint="default" w:ascii="Times New Roman" w:hAnsi="Times New Roman" w:cs="Times New Roman"/>
                <w:color w:val="auto"/>
                <w:sz w:val="24"/>
                <w:highlight w:val="none"/>
                <w:u w:val="single"/>
              </w:rPr>
              <w:t xml:space="preserve"> 55 </w:t>
            </w:r>
            <w:r>
              <w:rPr>
                <w:rFonts w:hint="default" w:ascii="Times New Roman" w:hAnsi="Times New Roman" w:cs="Times New Roman"/>
                <w:color w:val="auto"/>
                <w:sz w:val="24"/>
                <w:highlight w:val="none"/>
              </w:rPr>
              <w:t>分</w:t>
            </w:r>
            <w:r>
              <w:rPr>
                <w:rFonts w:hint="default" w:ascii="Times New Roman" w:hAnsi="Times New Roman" w:cs="Times New Roman"/>
                <w:color w:val="auto"/>
                <w:sz w:val="24"/>
                <w:highlight w:val="none"/>
                <w:u w:val="single"/>
              </w:rPr>
              <w:t xml:space="preserve"> 50.887 </w:t>
            </w:r>
            <w:r>
              <w:rPr>
                <w:rFonts w:hint="default" w:ascii="Times New Roman" w:hAnsi="Times New Roman" w:cs="Times New Roman"/>
                <w:color w:val="auto"/>
                <w:sz w:val="24"/>
                <w:highlight w:val="none"/>
              </w:rPr>
              <w:t>秒，</w:t>
            </w:r>
            <w:r>
              <w:rPr>
                <w:rFonts w:hint="default" w:ascii="Times New Roman" w:hAnsi="Times New Roman" w:cs="Times New Roman"/>
                <w:color w:val="auto"/>
                <w:sz w:val="24"/>
                <w:highlight w:val="none"/>
                <w:u w:val="single"/>
              </w:rPr>
              <w:t xml:space="preserve"> 24 </w:t>
            </w:r>
            <w:r>
              <w:rPr>
                <w:rFonts w:hint="default" w:ascii="Times New Roman" w:hAnsi="Times New Roman" w:cs="Times New Roman"/>
                <w:color w:val="auto"/>
                <w:sz w:val="24"/>
                <w:highlight w:val="none"/>
              </w:rPr>
              <w:t>度</w:t>
            </w:r>
            <w:r>
              <w:rPr>
                <w:rFonts w:hint="default" w:ascii="Times New Roman" w:hAnsi="Times New Roman" w:cs="Times New Roman"/>
                <w:color w:val="auto"/>
                <w:sz w:val="24"/>
                <w:highlight w:val="none"/>
                <w:u w:val="single"/>
              </w:rPr>
              <w:t xml:space="preserve"> 11 </w:t>
            </w:r>
            <w:r>
              <w:rPr>
                <w:rFonts w:hint="default" w:ascii="Times New Roman" w:hAnsi="Times New Roman" w:cs="Times New Roman"/>
                <w:color w:val="auto"/>
                <w:sz w:val="24"/>
                <w:highlight w:val="none"/>
              </w:rPr>
              <w:t>分</w:t>
            </w:r>
            <w:r>
              <w:rPr>
                <w:rFonts w:hint="default" w:ascii="Times New Roman" w:hAnsi="Times New Roman" w:cs="Times New Roman"/>
                <w:color w:val="auto"/>
                <w:sz w:val="24"/>
                <w:highlight w:val="none"/>
                <w:u w:val="single"/>
              </w:rPr>
              <w:t xml:space="preserve"> 43.299 </w:t>
            </w:r>
            <w:r>
              <w:rPr>
                <w:rFonts w:hint="default" w:ascii="Times New Roman" w:hAnsi="Times New Roman" w:cs="Times New Roman"/>
                <w:color w:val="auto"/>
                <w:sz w:val="24"/>
                <w:highlight w:val="none"/>
              </w:rPr>
              <w:t>秒）</w:t>
            </w:r>
          </w:p>
        </w:tc>
      </w:tr>
      <w:tr w14:paraId="52044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057" w:type="pct"/>
            <w:gridSpan w:val="2"/>
            <w:tcMar>
              <w:top w:w="16" w:type="dxa"/>
              <w:left w:w="16" w:type="dxa"/>
              <w:right w:w="16" w:type="dxa"/>
            </w:tcMar>
            <w:vAlign w:val="center"/>
          </w:tcPr>
          <w:p w14:paraId="67DC0656">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国民经济</w:t>
            </w:r>
          </w:p>
          <w:p w14:paraId="7EEC120A">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行业类别</w:t>
            </w:r>
          </w:p>
        </w:tc>
        <w:tc>
          <w:tcPr>
            <w:tcW w:w="998" w:type="pct"/>
            <w:vAlign w:val="center"/>
          </w:tcPr>
          <w:p w14:paraId="417D130D">
            <w:pPr>
              <w:widowControl/>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疾病预防控制中心Q8431</w:t>
            </w:r>
          </w:p>
        </w:tc>
        <w:tc>
          <w:tcPr>
            <w:tcW w:w="1238" w:type="pct"/>
            <w:vAlign w:val="center"/>
          </w:tcPr>
          <w:p w14:paraId="7650B8A7">
            <w:pPr>
              <w:adjustRightInd w:val="0"/>
              <w:snapToGrid w:val="0"/>
              <w:jc w:val="center"/>
              <w:rPr>
                <w:rFonts w:hint="default" w:ascii="Times New Roman" w:hAnsi="Times New Roman" w:cs="Times New Roman"/>
                <w:color w:val="auto"/>
                <w:sz w:val="24"/>
                <w:highlight w:val="none"/>
              </w:rPr>
            </w:pPr>
            <w:bookmarkStart w:id="3" w:name="_Hlk49843745"/>
            <w:r>
              <w:rPr>
                <w:rFonts w:hint="default" w:ascii="Times New Roman" w:hAnsi="Times New Roman" w:cs="Times New Roman"/>
                <w:color w:val="auto"/>
                <w:sz w:val="24"/>
                <w:highlight w:val="none"/>
              </w:rPr>
              <w:t>建设项目</w:t>
            </w:r>
          </w:p>
          <w:p w14:paraId="11C8E43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行业类别</w:t>
            </w:r>
            <w:bookmarkEnd w:id="3"/>
          </w:p>
        </w:tc>
        <w:tc>
          <w:tcPr>
            <w:tcW w:w="1705" w:type="pct"/>
            <w:vAlign w:val="center"/>
          </w:tcPr>
          <w:p w14:paraId="62E6F9A6">
            <w:pPr>
              <w:adjustRightInd w:val="0"/>
              <w:snapToGrid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四十九、卫生84，109疾病预防控制中心8431</w:t>
            </w:r>
          </w:p>
        </w:tc>
      </w:tr>
      <w:tr w14:paraId="473B58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57" w:type="pct"/>
            <w:gridSpan w:val="2"/>
            <w:tcMar>
              <w:top w:w="16" w:type="dxa"/>
              <w:left w:w="16" w:type="dxa"/>
              <w:right w:w="16" w:type="dxa"/>
            </w:tcMar>
            <w:vAlign w:val="center"/>
          </w:tcPr>
          <w:p w14:paraId="09BBE02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建设性质</w:t>
            </w:r>
          </w:p>
        </w:tc>
        <w:tc>
          <w:tcPr>
            <w:tcW w:w="998" w:type="pct"/>
            <w:vAlign w:val="center"/>
          </w:tcPr>
          <w:p w14:paraId="0792575D">
            <w:pPr>
              <w:ind w:firstLine="240" w:firstLineChars="1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新建（迁建）</w:t>
            </w:r>
          </w:p>
          <w:p w14:paraId="142E4A8D">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改建</w:t>
            </w:r>
          </w:p>
          <w:p w14:paraId="4EEECCCD">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扩建</w:t>
            </w:r>
          </w:p>
          <w:p w14:paraId="3A33BC8C">
            <w:pPr>
              <w:ind w:firstLine="240" w:firstLineChars="1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技术改造</w:t>
            </w:r>
          </w:p>
        </w:tc>
        <w:tc>
          <w:tcPr>
            <w:tcW w:w="1238" w:type="pct"/>
            <w:vAlign w:val="center"/>
          </w:tcPr>
          <w:p w14:paraId="6DD52C2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w:t>
            </w:r>
          </w:p>
          <w:p w14:paraId="260C10EA">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申报情形</w:t>
            </w:r>
          </w:p>
        </w:tc>
        <w:tc>
          <w:tcPr>
            <w:tcW w:w="1705" w:type="pct"/>
            <w:vAlign w:val="center"/>
          </w:tcPr>
          <w:p w14:paraId="37F1A9C4">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首次申报项目             </w:t>
            </w:r>
          </w:p>
          <w:p w14:paraId="4D0A85FD">
            <w:pPr>
              <w:ind w:firstLine="240" w:firstLineChars="1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不予批准后再次申报项目</w:t>
            </w:r>
          </w:p>
          <w:p w14:paraId="27C3272F">
            <w:pPr>
              <w:ind w:firstLine="240" w:firstLineChars="1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超五年重新审核项目     </w:t>
            </w:r>
          </w:p>
          <w:p w14:paraId="04C2FB9D">
            <w:pPr>
              <w:ind w:firstLine="240" w:firstLineChars="1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重大变动重新报批项目</w:t>
            </w:r>
          </w:p>
        </w:tc>
      </w:tr>
      <w:tr w14:paraId="3254B7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057" w:type="pct"/>
            <w:gridSpan w:val="2"/>
            <w:tcMar>
              <w:top w:w="16" w:type="dxa"/>
              <w:left w:w="16" w:type="dxa"/>
              <w:right w:w="16" w:type="dxa"/>
            </w:tcMar>
            <w:vAlign w:val="center"/>
          </w:tcPr>
          <w:p w14:paraId="6A80743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项目审批（核准/</w:t>
            </w:r>
          </w:p>
          <w:p w14:paraId="5CF775B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备案）部门（选填）</w:t>
            </w:r>
          </w:p>
        </w:tc>
        <w:tc>
          <w:tcPr>
            <w:tcW w:w="998" w:type="pct"/>
            <w:vAlign w:val="center"/>
          </w:tcPr>
          <w:p w14:paraId="1C6CB4FF">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华宁县发展和</w:t>
            </w:r>
          </w:p>
          <w:p w14:paraId="11684C3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改革局</w:t>
            </w:r>
          </w:p>
        </w:tc>
        <w:tc>
          <w:tcPr>
            <w:tcW w:w="1238" w:type="pct"/>
            <w:vAlign w:val="center"/>
          </w:tcPr>
          <w:p w14:paraId="6941A370">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项目审批（核准/</w:t>
            </w:r>
          </w:p>
          <w:p w14:paraId="1627F36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备案）文号（选填）</w:t>
            </w:r>
          </w:p>
        </w:tc>
        <w:tc>
          <w:tcPr>
            <w:tcW w:w="1705" w:type="pct"/>
            <w:vAlign w:val="center"/>
          </w:tcPr>
          <w:p w14:paraId="15B0951A">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华发改投资〔2021〕219号</w:t>
            </w:r>
          </w:p>
        </w:tc>
      </w:tr>
      <w:tr w14:paraId="4AC52A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57" w:type="pct"/>
            <w:gridSpan w:val="2"/>
            <w:tcMar>
              <w:top w:w="16" w:type="dxa"/>
              <w:left w:w="16" w:type="dxa"/>
              <w:right w:w="16" w:type="dxa"/>
            </w:tcMar>
            <w:vAlign w:val="center"/>
          </w:tcPr>
          <w:p w14:paraId="4A847537">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总投资（万元）</w:t>
            </w:r>
          </w:p>
        </w:tc>
        <w:tc>
          <w:tcPr>
            <w:tcW w:w="998" w:type="pct"/>
            <w:vAlign w:val="center"/>
          </w:tcPr>
          <w:p w14:paraId="5691A5B5">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1500</w:t>
            </w:r>
          </w:p>
        </w:tc>
        <w:tc>
          <w:tcPr>
            <w:tcW w:w="1238" w:type="pct"/>
            <w:tcMar>
              <w:top w:w="16" w:type="dxa"/>
              <w:left w:w="16" w:type="dxa"/>
              <w:right w:w="16" w:type="dxa"/>
            </w:tcMar>
            <w:vAlign w:val="center"/>
          </w:tcPr>
          <w:p w14:paraId="2C8EEBB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环保投资（万元）</w:t>
            </w:r>
          </w:p>
        </w:tc>
        <w:tc>
          <w:tcPr>
            <w:tcW w:w="1705" w:type="pct"/>
            <w:vAlign w:val="center"/>
          </w:tcPr>
          <w:p w14:paraId="01F5B8F4">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122</w:t>
            </w:r>
          </w:p>
        </w:tc>
      </w:tr>
      <w:tr w14:paraId="61084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57" w:type="pct"/>
            <w:gridSpan w:val="2"/>
            <w:tcMar>
              <w:top w:w="16" w:type="dxa"/>
              <w:left w:w="16" w:type="dxa"/>
              <w:right w:w="16" w:type="dxa"/>
            </w:tcMar>
            <w:vAlign w:val="center"/>
          </w:tcPr>
          <w:p w14:paraId="43D1B254">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环保投资占比（%）</w:t>
            </w:r>
          </w:p>
        </w:tc>
        <w:tc>
          <w:tcPr>
            <w:tcW w:w="998" w:type="pct"/>
            <w:vAlign w:val="center"/>
          </w:tcPr>
          <w:p w14:paraId="5EB3279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0.813</w:t>
            </w:r>
          </w:p>
        </w:tc>
        <w:tc>
          <w:tcPr>
            <w:tcW w:w="1238" w:type="pct"/>
            <w:tcMar>
              <w:top w:w="16" w:type="dxa"/>
              <w:left w:w="16" w:type="dxa"/>
              <w:right w:w="16" w:type="dxa"/>
            </w:tcMar>
            <w:vAlign w:val="center"/>
          </w:tcPr>
          <w:p w14:paraId="1A03AFD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施工工期</w:t>
            </w:r>
          </w:p>
        </w:tc>
        <w:tc>
          <w:tcPr>
            <w:tcW w:w="1705" w:type="pct"/>
            <w:vAlign w:val="center"/>
          </w:tcPr>
          <w:p w14:paraId="1A7DA3F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12个月</w:t>
            </w:r>
          </w:p>
        </w:tc>
      </w:tr>
      <w:tr w14:paraId="13242C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57" w:type="pct"/>
            <w:gridSpan w:val="2"/>
            <w:tcMar>
              <w:top w:w="16" w:type="dxa"/>
              <w:left w:w="16" w:type="dxa"/>
              <w:right w:w="16" w:type="dxa"/>
            </w:tcMar>
            <w:vAlign w:val="center"/>
          </w:tcPr>
          <w:p w14:paraId="241471B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是否开工建设</w:t>
            </w:r>
          </w:p>
        </w:tc>
        <w:tc>
          <w:tcPr>
            <w:tcW w:w="998" w:type="pct"/>
            <w:vAlign w:val="center"/>
          </w:tcPr>
          <w:p w14:paraId="3F5A6679">
            <w:pPr>
              <w:adjustRightInd w:val="0"/>
              <w:snapToGrid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否</w:t>
            </w:r>
          </w:p>
          <w:p w14:paraId="0A19FB43">
            <w:pPr>
              <w:adjustRightInd w:val="0"/>
              <w:snapToGrid w:val="0"/>
              <w:ind w:firstLine="240" w:firstLineChars="1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是：</w:t>
            </w:r>
            <w:r>
              <w:rPr>
                <w:rFonts w:hint="default" w:ascii="Times New Roman" w:hAnsi="Times New Roman" w:cs="Times New Roman"/>
                <w:color w:val="auto"/>
                <w:sz w:val="24"/>
                <w:highlight w:val="none"/>
                <w:u w:val="single"/>
              </w:rPr>
              <w:t xml:space="preserve">             </w:t>
            </w:r>
          </w:p>
        </w:tc>
        <w:tc>
          <w:tcPr>
            <w:tcW w:w="1238" w:type="pct"/>
            <w:tcMar>
              <w:top w:w="16" w:type="dxa"/>
              <w:left w:w="16" w:type="dxa"/>
              <w:right w:w="16" w:type="dxa"/>
            </w:tcMar>
            <w:vAlign w:val="center"/>
          </w:tcPr>
          <w:p w14:paraId="21C901DF">
            <w:pPr>
              <w:adjustRightInd w:val="0"/>
              <w:snapToGrid w:val="0"/>
              <w:jc w:val="center"/>
              <w:rPr>
                <w:rFonts w:hint="default" w:ascii="Times New Roman" w:hAnsi="Times New Roman" w:cs="Times New Roman"/>
                <w:color w:val="auto"/>
                <w:spacing w:val="-6"/>
                <w:sz w:val="24"/>
                <w:highlight w:val="none"/>
              </w:rPr>
            </w:pPr>
            <w:r>
              <w:rPr>
                <w:rFonts w:hint="default" w:ascii="Times New Roman" w:hAnsi="Times New Roman" w:cs="Times New Roman"/>
                <w:color w:val="auto"/>
                <w:spacing w:val="-6"/>
                <w:sz w:val="24"/>
                <w:highlight w:val="none"/>
              </w:rPr>
              <w:t>用地（用海）</w:t>
            </w:r>
          </w:p>
          <w:p w14:paraId="37599B4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pacing w:val="-6"/>
                <w:sz w:val="24"/>
                <w:highlight w:val="none"/>
              </w:rPr>
              <w:t>面积（m</w:t>
            </w:r>
            <w:r>
              <w:rPr>
                <w:rFonts w:hint="default" w:ascii="Times New Roman" w:hAnsi="Times New Roman" w:cs="Times New Roman"/>
                <w:color w:val="auto"/>
                <w:spacing w:val="-6"/>
                <w:sz w:val="24"/>
                <w:highlight w:val="none"/>
                <w:vertAlign w:val="superscript"/>
              </w:rPr>
              <w:t>2</w:t>
            </w:r>
            <w:r>
              <w:rPr>
                <w:rFonts w:hint="default" w:ascii="Times New Roman" w:hAnsi="Times New Roman" w:cs="Times New Roman"/>
                <w:color w:val="auto"/>
                <w:spacing w:val="-6"/>
                <w:sz w:val="24"/>
                <w:highlight w:val="none"/>
              </w:rPr>
              <w:t>）</w:t>
            </w:r>
          </w:p>
        </w:tc>
        <w:tc>
          <w:tcPr>
            <w:tcW w:w="1705" w:type="pct"/>
            <w:vAlign w:val="center"/>
          </w:tcPr>
          <w:p w14:paraId="03A60540">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1654.86</w:t>
            </w:r>
          </w:p>
        </w:tc>
      </w:tr>
      <w:tr w14:paraId="5C47B2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58" w:type="pct"/>
            <w:vAlign w:val="center"/>
          </w:tcPr>
          <w:p w14:paraId="6DD22303">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专项评价设置情况</w:t>
            </w:r>
          </w:p>
        </w:tc>
        <w:tc>
          <w:tcPr>
            <w:tcW w:w="4341" w:type="pct"/>
            <w:gridSpan w:val="4"/>
            <w:vAlign w:val="center"/>
          </w:tcPr>
          <w:p w14:paraId="31961F34">
            <w:pPr>
              <w:autoSpaceDE w:val="0"/>
              <w:autoSpaceDN w:val="0"/>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根据《建设项目环境影响报告表编制技术指南（污染影响类）（试行）》，本项目不涉及集中式饮用水水源和热水、矿泉水、温泉等特殊地下水资源保护区，因此不设置地下水专项评价。具体专项评价设置原则及本项目判定情况见下表。</w:t>
            </w:r>
          </w:p>
          <w:p w14:paraId="6737E422">
            <w:pPr>
              <w:autoSpaceDE w:val="0"/>
              <w:autoSpaceDN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表1-1 专项评价设置原则与本项目判定情况对照表</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2399"/>
              <w:gridCol w:w="3569"/>
              <w:gridCol w:w="808"/>
            </w:tblGrid>
            <w:tr w14:paraId="00D39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637" w:type="pct"/>
                  <w:vAlign w:val="center"/>
                </w:tcPr>
                <w:p w14:paraId="6637C8D0">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专项</w:t>
                  </w:r>
                </w:p>
                <w:p w14:paraId="051FB2F3">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评价的类别</w:t>
                  </w:r>
                </w:p>
              </w:tc>
              <w:tc>
                <w:tcPr>
                  <w:tcW w:w="1545" w:type="pct"/>
                  <w:vAlign w:val="center"/>
                </w:tcPr>
                <w:p w14:paraId="2C20D085">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设置原则</w:t>
                  </w:r>
                </w:p>
              </w:tc>
              <w:tc>
                <w:tcPr>
                  <w:tcW w:w="2298" w:type="pct"/>
                  <w:vAlign w:val="center"/>
                </w:tcPr>
                <w:p w14:paraId="01EC59A8">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项目判定情况</w:t>
                  </w:r>
                </w:p>
              </w:tc>
              <w:tc>
                <w:tcPr>
                  <w:tcW w:w="518" w:type="pct"/>
                  <w:vAlign w:val="center"/>
                </w:tcPr>
                <w:p w14:paraId="6338459D">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是否设置专题</w:t>
                  </w:r>
                </w:p>
              </w:tc>
            </w:tr>
            <w:tr w14:paraId="25B8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pct"/>
                  <w:vAlign w:val="center"/>
                </w:tcPr>
                <w:p w14:paraId="4F988F70">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大气</w:t>
                  </w:r>
                </w:p>
              </w:tc>
              <w:tc>
                <w:tcPr>
                  <w:tcW w:w="1545" w:type="pct"/>
                  <w:vAlign w:val="center"/>
                </w:tcPr>
                <w:p w14:paraId="2AC3AB09">
                  <w:pPr>
                    <w:widowControl/>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排放废气含有毒有害污染物</w:t>
                  </w:r>
                  <w:r>
                    <w:rPr>
                      <w:rFonts w:hint="default" w:ascii="Times New Roman" w:hAnsi="Times New Roman" w:cs="Times New Roman"/>
                      <w:b w:val="0"/>
                      <w:bCs w:val="0"/>
                      <w:color w:val="auto"/>
                      <w:szCs w:val="21"/>
                      <w:highlight w:val="none"/>
                      <w:vertAlign w:val="superscript"/>
                    </w:rPr>
                    <w:t>1</w:t>
                  </w:r>
                  <w:r>
                    <w:rPr>
                      <w:rFonts w:hint="default" w:ascii="Times New Roman" w:hAnsi="Times New Roman" w:cs="Times New Roman"/>
                      <w:b w:val="0"/>
                      <w:bCs w:val="0"/>
                      <w:color w:val="auto"/>
                      <w:szCs w:val="21"/>
                      <w:highlight w:val="none"/>
                    </w:rPr>
                    <w:t>、二噁英、苯并[</w:t>
                  </w:r>
                  <w:r>
                    <w:rPr>
                      <w:rFonts w:hint="default" w:ascii="Times New Roman" w:hAnsi="Times New Roman" w:cs="Times New Roman"/>
                      <w:b w:val="0"/>
                      <w:bCs w:val="0"/>
                      <w:i/>
                      <w:iCs/>
                      <w:color w:val="auto"/>
                      <w:kern w:val="0"/>
                      <w:szCs w:val="21"/>
                      <w:highlight w:val="none"/>
                      <w:lang w:bidi="ar"/>
                    </w:rPr>
                    <w:t>a</w:t>
                  </w:r>
                  <w:r>
                    <w:rPr>
                      <w:rFonts w:hint="default" w:ascii="Times New Roman" w:hAnsi="Times New Roman" w:cs="Times New Roman"/>
                      <w:b w:val="0"/>
                      <w:bCs w:val="0"/>
                      <w:color w:val="auto"/>
                      <w:szCs w:val="21"/>
                      <w:highlight w:val="none"/>
                    </w:rPr>
                    <w:t>]芘、</w:t>
                  </w:r>
                  <w:r>
                    <w:rPr>
                      <w:rFonts w:hint="default" w:ascii="Times New Roman" w:hAnsi="Times New Roman" w:cs="Times New Roman"/>
                      <w:b w:val="0"/>
                      <w:bCs w:val="0"/>
                      <w:color w:val="auto"/>
                      <w:kern w:val="0"/>
                      <w:szCs w:val="21"/>
                      <w:highlight w:val="none"/>
                      <w:lang w:bidi="ar"/>
                    </w:rPr>
                    <w:t>氰化物、氯气且厂界外500米范围内有环境空气保护目标</w:t>
                  </w:r>
                  <w:r>
                    <w:rPr>
                      <w:rFonts w:hint="default" w:ascii="Times New Roman" w:hAnsi="Times New Roman" w:cs="Times New Roman"/>
                      <w:b w:val="0"/>
                      <w:bCs w:val="0"/>
                      <w:color w:val="auto"/>
                      <w:kern w:val="0"/>
                      <w:szCs w:val="21"/>
                      <w:highlight w:val="none"/>
                      <w:vertAlign w:val="superscript"/>
                      <w:lang w:bidi="ar"/>
                    </w:rPr>
                    <w:t>2</w:t>
                  </w:r>
                  <w:r>
                    <w:rPr>
                      <w:rFonts w:hint="default" w:ascii="Times New Roman" w:hAnsi="Times New Roman" w:cs="Times New Roman"/>
                      <w:b w:val="0"/>
                      <w:bCs w:val="0"/>
                      <w:color w:val="auto"/>
                      <w:kern w:val="0"/>
                      <w:szCs w:val="21"/>
                      <w:highlight w:val="none"/>
                      <w:lang w:bidi="ar"/>
                    </w:rPr>
                    <w:t>的建设项目排放废气含有毒有害污染物</w:t>
                  </w:r>
                </w:p>
              </w:tc>
              <w:tc>
                <w:tcPr>
                  <w:tcW w:w="2298" w:type="pct"/>
                  <w:vAlign w:val="center"/>
                </w:tcPr>
                <w:p w14:paraId="2F853410">
                  <w:pPr>
                    <w:pStyle w:val="19"/>
                    <w:spacing w:line="240" w:lineRule="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kern w:val="0"/>
                      <w:sz w:val="21"/>
                      <w:szCs w:val="21"/>
                      <w:highlight w:val="none"/>
                    </w:rPr>
                    <w:t>本项目排放的废气主要为氨气、NO</w:t>
                  </w:r>
                  <w:r>
                    <w:rPr>
                      <w:rFonts w:hint="default" w:ascii="Times New Roman" w:hAnsi="Times New Roman" w:cs="Times New Roman"/>
                      <w:b w:val="0"/>
                      <w:bCs w:val="0"/>
                      <w:color w:val="auto"/>
                      <w:kern w:val="0"/>
                      <w:sz w:val="21"/>
                      <w:szCs w:val="21"/>
                      <w:highlight w:val="none"/>
                      <w:vertAlign w:val="subscript"/>
                    </w:rPr>
                    <w:t>2</w:t>
                  </w:r>
                  <w:r>
                    <w:rPr>
                      <w:rFonts w:hint="default" w:ascii="Times New Roman" w:hAnsi="Times New Roman" w:cs="Times New Roman"/>
                      <w:b w:val="0"/>
                      <w:bCs w:val="0"/>
                      <w:color w:val="auto"/>
                      <w:kern w:val="0"/>
                      <w:sz w:val="21"/>
                      <w:szCs w:val="21"/>
                      <w:highlight w:val="none"/>
                    </w:rPr>
                    <w:t>、硫酸雾、HCl、非甲烷总烃、甲醇、三溴甲烷、二溴一氯甲烷、一溴二氯甲烷、三氯甲烷、四氯化碳、正己烷、丙酮、苯酚、无水乙醇、异丙醇和乙腈。其中三氯甲烷属于《</w:t>
                  </w:r>
                  <w:r>
                    <w:rPr>
                      <w:rFonts w:hint="default" w:ascii="Times New Roman" w:hAnsi="Times New Roman" w:cs="Times New Roman"/>
                      <w:b w:val="0"/>
                      <w:bCs w:val="0"/>
                      <w:color w:val="auto"/>
                      <w:kern w:val="0"/>
                      <w:sz w:val="21"/>
                      <w:szCs w:val="21"/>
                      <w:highlight w:val="none"/>
                      <w:lang w:bidi="ar"/>
                    </w:rPr>
                    <w:t>有毒有害大气污染物名录</w:t>
                  </w:r>
                  <w:r>
                    <w:rPr>
                      <w:rFonts w:hint="default" w:ascii="Times New Roman" w:hAnsi="Times New Roman" w:cs="Times New Roman"/>
                      <w:b w:val="0"/>
                      <w:bCs w:val="0"/>
                      <w:color w:val="auto"/>
                      <w:kern w:val="0"/>
                      <w:sz w:val="21"/>
                      <w:szCs w:val="21"/>
                      <w:highlight w:val="none"/>
                    </w:rPr>
                    <w:t>》中</w:t>
                  </w:r>
                  <w:r>
                    <w:rPr>
                      <w:rFonts w:hint="default" w:ascii="Times New Roman" w:hAnsi="Times New Roman" w:cs="Times New Roman"/>
                      <w:b w:val="0"/>
                      <w:bCs w:val="0"/>
                      <w:color w:val="auto"/>
                      <w:kern w:val="0"/>
                      <w:sz w:val="21"/>
                      <w:szCs w:val="21"/>
                      <w:highlight w:val="none"/>
                      <w:lang w:bidi="ar"/>
                    </w:rPr>
                    <w:t>的污染物，但根据注释“</w:t>
                  </w:r>
                  <w:r>
                    <w:rPr>
                      <w:rFonts w:hint="default" w:ascii="Times New Roman" w:hAnsi="Times New Roman" w:cs="Times New Roman"/>
                      <w:b w:val="0"/>
                      <w:bCs w:val="0"/>
                      <w:color w:val="auto"/>
                      <w:sz w:val="21"/>
                      <w:szCs w:val="21"/>
                      <w:highlight w:val="none"/>
                    </w:rPr>
                    <w:t>废气中有毒有害污染物指纳入《有毒有害大气污染物名录》的污染物（不包括无排放标准的污染物）</w:t>
                  </w:r>
                  <w:r>
                    <w:rPr>
                      <w:rFonts w:hint="default" w:ascii="Times New Roman" w:hAnsi="Times New Roman" w:cs="Times New Roman"/>
                      <w:b w:val="0"/>
                      <w:bCs w:val="0"/>
                      <w:color w:val="auto"/>
                      <w:kern w:val="0"/>
                      <w:sz w:val="21"/>
                      <w:szCs w:val="21"/>
                      <w:highlight w:val="none"/>
                      <w:lang w:bidi="ar"/>
                    </w:rPr>
                    <w:t>”，本项目废气执行《大气污染物综合排放标准》（GB16297-1996），标准中无</w:t>
                  </w:r>
                  <w:r>
                    <w:rPr>
                      <w:rFonts w:hint="default" w:ascii="Times New Roman" w:hAnsi="Times New Roman" w:cs="Times New Roman"/>
                      <w:b w:val="0"/>
                      <w:bCs w:val="0"/>
                      <w:color w:val="auto"/>
                      <w:kern w:val="0"/>
                      <w:sz w:val="21"/>
                      <w:szCs w:val="21"/>
                      <w:highlight w:val="none"/>
                    </w:rPr>
                    <w:t>三氯甲烷排放标准，因此，项目无需设置专项评价。</w:t>
                  </w:r>
                </w:p>
              </w:tc>
              <w:tc>
                <w:tcPr>
                  <w:tcW w:w="518" w:type="pct"/>
                  <w:vAlign w:val="center"/>
                </w:tcPr>
                <w:p w14:paraId="242B21B5">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否</w:t>
                  </w:r>
                </w:p>
              </w:tc>
            </w:tr>
            <w:tr w14:paraId="5AA8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637" w:type="pct"/>
                  <w:vAlign w:val="center"/>
                </w:tcPr>
                <w:p w14:paraId="3E7814D7">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地表水</w:t>
                  </w:r>
                </w:p>
              </w:tc>
              <w:tc>
                <w:tcPr>
                  <w:tcW w:w="1545" w:type="pct"/>
                  <w:vAlign w:val="center"/>
                </w:tcPr>
                <w:p w14:paraId="1FC44098">
                  <w:pPr>
                    <w:widowControl/>
                    <w:jc w:val="left"/>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kern w:val="0"/>
                      <w:szCs w:val="21"/>
                      <w:highlight w:val="none"/>
                      <w:lang w:bidi="ar"/>
                    </w:rPr>
                    <w:t>新增工业废水直排建设项目（槽罐车外送污水处理厂的除外）；新增废水直排的污水集中处理厂</w:t>
                  </w:r>
                </w:p>
              </w:tc>
              <w:tc>
                <w:tcPr>
                  <w:tcW w:w="2298" w:type="pct"/>
                  <w:vAlign w:val="center"/>
                </w:tcPr>
                <w:p w14:paraId="46EEBB72">
                  <w:pPr>
                    <w:pStyle w:val="19"/>
                    <w:spacing w:line="240" w:lineRule="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项目各类废水分类收集，分质预处理使重金属等第一类水污染物达标后，进入1座处理规模为10m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b w:val="0"/>
                      <w:bCs w:val="0"/>
                      <w:color w:val="auto"/>
                      <w:sz w:val="21"/>
                      <w:szCs w:val="21"/>
                      <w:highlight w:val="none"/>
                    </w:rPr>
                    <w:t>/d“缺氧+接触氧化+MBR+次氯酸钠消毒”工艺的污水处理站处理达《医疗机构水污染物排放标准》</w:t>
                  </w:r>
                  <w:r>
                    <w:rPr>
                      <w:rFonts w:hint="eastAsia" w:ascii="Times New Roman" w:hAnsi="Times New Roman" w:cs="Times New Roman"/>
                      <w:b w:val="0"/>
                      <w:bCs w:val="0"/>
                      <w:color w:val="auto"/>
                      <w:sz w:val="21"/>
                      <w:szCs w:val="21"/>
                      <w:highlight w:val="none"/>
                      <w:lang w:eastAsia="zh-CN"/>
                    </w:rPr>
                    <w:t>（GB18466-2005，含2026年第1号修改单）</w:t>
                  </w:r>
                  <w:r>
                    <w:rPr>
                      <w:rFonts w:hint="default" w:ascii="Times New Roman" w:hAnsi="Times New Roman" w:cs="Times New Roman"/>
                      <w:b w:val="0"/>
                      <w:bCs w:val="0"/>
                      <w:color w:val="auto"/>
                      <w:sz w:val="21"/>
                      <w:szCs w:val="21"/>
                      <w:highlight w:val="none"/>
                    </w:rPr>
                    <w:t>中表2标准后，排入市政污水管网，最终进入华宁县污水处理厂。</w:t>
                  </w:r>
                </w:p>
              </w:tc>
              <w:tc>
                <w:tcPr>
                  <w:tcW w:w="518" w:type="pct"/>
                  <w:vAlign w:val="center"/>
                </w:tcPr>
                <w:p w14:paraId="4F99CF0B">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否</w:t>
                  </w:r>
                </w:p>
              </w:tc>
            </w:tr>
            <w:tr w14:paraId="6137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pct"/>
                  <w:vAlign w:val="center"/>
                </w:tcPr>
                <w:p w14:paraId="1463131B">
                  <w:pPr>
                    <w:widowControl/>
                    <w:jc w:val="center"/>
                    <w:rPr>
                      <w:rFonts w:hint="default" w:ascii="Times New Roman" w:hAnsi="Times New Roman" w:cs="Times New Roman"/>
                      <w:b w:val="0"/>
                      <w:bCs w:val="0"/>
                      <w:color w:val="auto"/>
                      <w:kern w:val="0"/>
                      <w:szCs w:val="21"/>
                      <w:highlight w:val="none"/>
                      <w:lang w:bidi="ar"/>
                    </w:rPr>
                  </w:pPr>
                  <w:r>
                    <w:rPr>
                      <w:rFonts w:hint="default" w:ascii="Times New Roman" w:hAnsi="Times New Roman" w:cs="Times New Roman"/>
                      <w:b w:val="0"/>
                      <w:bCs w:val="0"/>
                      <w:color w:val="auto"/>
                      <w:kern w:val="0"/>
                      <w:szCs w:val="21"/>
                      <w:highlight w:val="none"/>
                      <w:lang w:bidi="ar"/>
                    </w:rPr>
                    <w:t>环境</w:t>
                  </w:r>
                </w:p>
                <w:p w14:paraId="37E0C1B5">
                  <w:pPr>
                    <w:widowControl/>
                    <w:jc w:val="center"/>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kern w:val="0"/>
                      <w:szCs w:val="21"/>
                      <w:highlight w:val="none"/>
                      <w:lang w:bidi="ar"/>
                    </w:rPr>
                    <w:t>风险</w:t>
                  </w:r>
                </w:p>
              </w:tc>
              <w:tc>
                <w:tcPr>
                  <w:tcW w:w="1545" w:type="pct"/>
                  <w:vAlign w:val="center"/>
                </w:tcPr>
                <w:p w14:paraId="447420DC">
                  <w:pPr>
                    <w:widowControl/>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kern w:val="0"/>
                      <w:szCs w:val="21"/>
                      <w:highlight w:val="none"/>
                      <w:lang w:bidi="ar"/>
                    </w:rPr>
                    <w:t>有毒有害和易燃易爆危险物质存储量超过临界量</w:t>
                  </w:r>
                  <w:r>
                    <w:rPr>
                      <w:rFonts w:hint="default" w:ascii="Times New Roman" w:hAnsi="Times New Roman" w:cs="Times New Roman"/>
                      <w:b w:val="0"/>
                      <w:bCs w:val="0"/>
                      <w:color w:val="auto"/>
                      <w:szCs w:val="21"/>
                      <w:highlight w:val="none"/>
                      <w:vertAlign w:val="superscript"/>
                    </w:rPr>
                    <w:t>3</w:t>
                  </w:r>
                  <w:r>
                    <w:rPr>
                      <w:rFonts w:hint="default" w:ascii="Times New Roman" w:hAnsi="Times New Roman" w:cs="Times New Roman"/>
                      <w:b w:val="0"/>
                      <w:bCs w:val="0"/>
                      <w:color w:val="auto"/>
                      <w:kern w:val="0"/>
                      <w:szCs w:val="21"/>
                      <w:highlight w:val="none"/>
                      <w:lang w:bidi="ar"/>
                    </w:rPr>
                    <w:t>的建设项目</w:t>
                  </w:r>
                </w:p>
              </w:tc>
              <w:tc>
                <w:tcPr>
                  <w:tcW w:w="2298" w:type="pct"/>
                  <w:vAlign w:val="center"/>
                </w:tcPr>
                <w:p w14:paraId="361D652D">
                  <w:pPr>
                    <w:pStyle w:val="19"/>
                    <w:spacing w:line="240" w:lineRule="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本项目危险物质数量与临界量比值Q=0.001315432＜1，未超过临界值。</w:t>
                  </w:r>
                </w:p>
              </w:tc>
              <w:tc>
                <w:tcPr>
                  <w:tcW w:w="518" w:type="pct"/>
                  <w:vAlign w:val="center"/>
                </w:tcPr>
                <w:p w14:paraId="20BF2D3E">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否</w:t>
                  </w:r>
                </w:p>
              </w:tc>
            </w:tr>
            <w:tr w14:paraId="7B60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pct"/>
                  <w:vAlign w:val="center"/>
                </w:tcPr>
                <w:p w14:paraId="2F764DE8">
                  <w:pPr>
                    <w:widowControl/>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kern w:val="0"/>
                      <w:szCs w:val="21"/>
                      <w:highlight w:val="none"/>
                      <w:lang w:bidi="ar"/>
                    </w:rPr>
                    <w:t>生态</w:t>
                  </w:r>
                </w:p>
              </w:tc>
              <w:tc>
                <w:tcPr>
                  <w:tcW w:w="1545" w:type="pct"/>
                  <w:vAlign w:val="center"/>
                </w:tcPr>
                <w:p w14:paraId="6897923F">
                  <w:pPr>
                    <w:widowControl/>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kern w:val="0"/>
                      <w:szCs w:val="21"/>
                      <w:highlight w:val="none"/>
                      <w:lang w:bidi="ar"/>
                    </w:rPr>
                    <w:t>取水口下游500米范围内有重要水生生物的自然产卵场、索饵场、越冬场和洄游通道的新增河道取水的污染类建设项目</w:t>
                  </w:r>
                </w:p>
              </w:tc>
              <w:tc>
                <w:tcPr>
                  <w:tcW w:w="2298" w:type="pct"/>
                  <w:vAlign w:val="center"/>
                </w:tcPr>
                <w:p w14:paraId="19D27A58">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本项目不涉及</w:t>
                  </w:r>
                </w:p>
              </w:tc>
              <w:tc>
                <w:tcPr>
                  <w:tcW w:w="518" w:type="pct"/>
                  <w:vAlign w:val="center"/>
                </w:tcPr>
                <w:p w14:paraId="3AAC3452">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否</w:t>
                  </w:r>
                </w:p>
              </w:tc>
            </w:tr>
            <w:tr w14:paraId="70E5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7" w:type="pct"/>
                  <w:vAlign w:val="center"/>
                </w:tcPr>
                <w:p w14:paraId="38C8A3F0">
                  <w:pPr>
                    <w:widowControl/>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kern w:val="0"/>
                      <w:szCs w:val="21"/>
                      <w:highlight w:val="none"/>
                      <w:lang w:bidi="ar"/>
                    </w:rPr>
                    <w:t>海洋</w:t>
                  </w:r>
                </w:p>
              </w:tc>
              <w:tc>
                <w:tcPr>
                  <w:tcW w:w="1545" w:type="pct"/>
                  <w:vAlign w:val="center"/>
                </w:tcPr>
                <w:p w14:paraId="0445EFFA">
                  <w:pPr>
                    <w:widowControl/>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kern w:val="0"/>
                      <w:szCs w:val="21"/>
                      <w:highlight w:val="none"/>
                      <w:lang w:bidi="ar"/>
                    </w:rPr>
                    <w:t>直接向海排放污染物的海洋工程建设项目</w:t>
                  </w:r>
                </w:p>
              </w:tc>
              <w:tc>
                <w:tcPr>
                  <w:tcW w:w="2298" w:type="pct"/>
                  <w:vAlign w:val="center"/>
                </w:tcPr>
                <w:p w14:paraId="0A140FBB">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本项目不涉及</w:t>
                  </w:r>
                </w:p>
              </w:tc>
              <w:tc>
                <w:tcPr>
                  <w:tcW w:w="518" w:type="pct"/>
                  <w:vAlign w:val="center"/>
                </w:tcPr>
                <w:p w14:paraId="3EAC3E78">
                  <w:pPr>
                    <w:pStyle w:val="19"/>
                    <w:spacing w:line="240" w:lineRule="auto"/>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否</w:t>
                  </w:r>
                </w:p>
              </w:tc>
            </w:tr>
            <w:tr w14:paraId="308D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276D9FF8">
                  <w:pPr>
                    <w:pStyle w:val="19"/>
                    <w:spacing w:line="240" w:lineRule="auto"/>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注：1.废气中有毒有害污染物指纳入《有毒有害大气污染物名录》的污染物（不包括无排放标准的污染物）。</w:t>
                  </w:r>
                </w:p>
                <w:p w14:paraId="339EA2AB">
                  <w:pPr>
                    <w:pStyle w:val="19"/>
                    <w:spacing w:line="240" w:lineRule="auto"/>
                    <w:ind w:firstLine="420" w:firstLineChars="20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2.环境空气保护目标指自然保护区、风景名胜区、居住区、文化区和农村地区中人群较集中的区域。</w:t>
                  </w:r>
                </w:p>
                <w:p w14:paraId="67D34F16">
                  <w:pPr>
                    <w:pStyle w:val="19"/>
                    <w:spacing w:line="240" w:lineRule="auto"/>
                    <w:ind w:firstLine="420" w:firstLineChars="200"/>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3.临界量及其计算方法可参考《建设项目环境风险评价技术导则》（HJ 169）附录B、附录C。</w:t>
                  </w:r>
                </w:p>
              </w:tc>
            </w:tr>
          </w:tbl>
          <w:p w14:paraId="52673421">
            <w:pPr>
              <w:autoSpaceDE w:val="0"/>
              <w:autoSpaceDN w:val="0"/>
              <w:adjustRightInd w:val="0"/>
              <w:snapToGrid w:val="0"/>
              <w:jc w:val="center"/>
              <w:rPr>
                <w:rFonts w:hint="default" w:ascii="Times New Roman" w:hAnsi="Times New Roman" w:cs="Times New Roman"/>
                <w:color w:val="auto"/>
                <w:kern w:val="0"/>
                <w:sz w:val="24"/>
                <w:highlight w:val="none"/>
              </w:rPr>
            </w:pPr>
          </w:p>
        </w:tc>
      </w:tr>
      <w:tr w14:paraId="6A3751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8" w:type="pct"/>
            <w:vAlign w:val="center"/>
          </w:tcPr>
          <w:p w14:paraId="458D258D">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规划情况</w:t>
            </w:r>
          </w:p>
        </w:tc>
        <w:tc>
          <w:tcPr>
            <w:tcW w:w="4341" w:type="pct"/>
            <w:gridSpan w:val="4"/>
            <w:vAlign w:val="center"/>
          </w:tcPr>
          <w:p w14:paraId="52E65AD4">
            <w:pPr>
              <w:pStyle w:val="19"/>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无</w:t>
            </w:r>
          </w:p>
        </w:tc>
      </w:tr>
      <w:tr w14:paraId="4BCBF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658" w:type="pct"/>
            <w:vAlign w:val="center"/>
          </w:tcPr>
          <w:p w14:paraId="196B78E5">
            <w:pPr>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规划环境影响评价情况</w:t>
            </w:r>
          </w:p>
        </w:tc>
        <w:tc>
          <w:tcPr>
            <w:tcW w:w="4341" w:type="pct"/>
            <w:gridSpan w:val="4"/>
            <w:vAlign w:val="center"/>
          </w:tcPr>
          <w:p w14:paraId="4B09A356">
            <w:pPr>
              <w:autoSpaceDE w:val="0"/>
              <w:autoSpaceDN w:val="0"/>
              <w:spacing w:line="360" w:lineRule="auto"/>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无</w:t>
            </w:r>
          </w:p>
        </w:tc>
      </w:tr>
      <w:tr w14:paraId="4A0601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658" w:type="pct"/>
            <w:vAlign w:val="center"/>
          </w:tcPr>
          <w:p w14:paraId="7716D5FC">
            <w:pPr>
              <w:autoSpaceDE w:val="0"/>
              <w:autoSpaceDN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规划及规划环境影响评价符合性分析</w:t>
            </w:r>
          </w:p>
        </w:tc>
        <w:tc>
          <w:tcPr>
            <w:tcW w:w="4341" w:type="pct"/>
            <w:gridSpan w:val="4"/>
            <w:vAlign w:val="center"/>
          </w:tcPr>
          <w:p w14:paraId="421C12B2">
            <w:pPr>
              <w:spacing w:line="360" w:lineRule="auto"/>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无</w:t>
            </w:r>
          </w:p>
        </w:tc>
      </w:tr>
      <w:tr w14:paraId="6E656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658" w:type="pct"/>
            <w:vAlign w:val="center"/>
          </w:tcPr>
          <w:p w14:paraId="5C0A12B1">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highlight w:val="none"/>
              </w:rPr>
              <w:t>其他符合性分析</w:t>
            </w:r>
          </w:p>
        </w:tc>
        <w:tc>
          <w:tcPr>
            <w:tcW w:w="4341" w:type="pct"/>
            <w:gridSpan w:val="4"/>
            <w:vAlign w:val="center"/>
          </w:tcPr>
          <w:p w14:paraId="097BFF59">
            <w:pPr>
              <w:autoSpaceDE w:val="0"/>
              <w:autoSpaceDN w:val="0"/>
              <w:spacing w:line="360" w:lineRule="auto"/>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（1）产业政策符合性分析</w:t>
            </w:r>
          </w:p>
          <w:p w14:paraId="74FFB426">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lang w:bidi="ar"/>
              </w:rPr>
              <w:t>根据</w:t>
            </w:r>
            <w:r>
              <w:rPr>
                <w:rFonts w:hint="default" w:ascii="Times New Roman" w:hAnsi="Times New Roman" w:cs="Times New Roman"/>
                <w:bCs/>
                <w:color w:val="auto"/>
                <w:sz w:val="24"/>
                <w:highlight w:val="none"/>
                <w:lang w:bidi="ar"/>
              </w:rPr>
              <w:t>《产业结构调整指导目录（2024年本）》</w:t>
            </w:r>
            <w:r>
              <w:rPr>
                <w:rFonts w:hint="default" w:ascii="Times New Roman" w:hAnsi="Times New Roman" w:cs="Times New Roman"/>
                <w:color w:val="auto"/>
                <w:sz w:val="24"/>
                <w:highlight w:val="none"/>
                <w:lang w:bidi="ar"/>
              </w:rPr>
              <w:t>，本项目属于鼓励类中“三十七、卫生健康，1.医疗服务设施建设”。项目于2021年12月9日取得华宁县发展和改革局签发的“关于《</w:t>
            </w:r>
            <w:r>
              <w:rPr>
                <w:rFonts w:hint="default" w:ascii="Times New Roman" w:hAnsi="Times New Roman" w:cs="Times New Roman"/>
                <w:color w:val="auto"/>
                <w:sz w:val="24"/>
                <w:highlight w:val="none"/>
              </w:rPr>
              <w:t>华宁县疾病预防控制中心综合实验楼建设项目可行性研究报告</w:t>
            </w:r>
            <w:r>
              <w:rPr>
                <w:rFonts w:hint="default" w:ascii="Times New Roman" w:hAnsi="Times New Roman" w:cs="Times New Roman"/>
                <w:color w:val="auto"/>
                <w:sz w:val="24"/>
                <w:highlight w:val="none"/>
                <w:lang w:bidi="ar"/>
              </w:rPr>
              <w:t>》的批复”，文号为：</w:t>
            </w:r>
            <w:r>
              <w:rPr>
                <w:rFonts w:hint="default" w:ascii="Times New Roman" w:hAnsi="Times New Roman" w:cs="Times New Roman"/>
                <w:color w:val="auto"/>
                <w:sz w:val="24"/>
                <w:highlight w:val="none"/>
              </w:rPr>
              <w:t>华发改投资〔2021〕219号，同意项目实施。</w:t>
            </w:r>
            <w:r>
              <w:rPr>
                <w:rFonts w:hint="default" w:ascii="Times New Roman" w:hAnsi="Times New Roman" w:cs="Times New Roman"/>
                <w:bCs/>
                <w:color w:val="auto"/>
                <w:sz w:val="24"/>
                <w:highlight w:val="none"/>
              </w:rPr>
              <w:t>因此，项目建设符合国家相关产业政策。</w:t>
            </w:r>
          </w:p>
          <w:p w14:paraId="10AF0633">
            <w:pPr>
              <w:autoSpaceDE w:val="0"/>
              <w:autoSpaceDN w:val="0"/>
              <w:spacing w:line="360" w:lineRule="auto"/>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（2）</w:t>
            </w:r>
            <w:r>
              <w:rPr>
                <w:rFonts w:ascii="Segoe UI" w:hAnsi="Segoe UI" w:eastAsia="Segoe UI" w:cs="Segoe UI"/>
                <w:b/>
                <w:bCs/>
                <w:i w:val="0"/>
                <w:iCs w:val="0"/>
                <w:caps w:val="0"/>
                <w:color w:val="0F1115"/>
                <w:spacing w:val="0"/>
                <w:sz w:val="24"/>
                <w:szCs w:val="24"/>
                <w:shd w:val="clear" w:fill="FFFFFF"/>
              </w:rPr>
              <w:t>生态环境分区管控</w:t>
            </w:r>
            <w:r>
              <w:rPr>
                <w:rFonts w:hint="default" w:ascii="Times New Roman" w:hAnsi="Times New Roman" w:cs="Times New Roman"/>
                <w:b/>
                <w:bCs/>
                <w:color w:val="auto"/>
                <w:kern w:val="0"/>
                <w:sz w:val="24"/>
                <w:highlight w:val="none"/>
              </w:rPr>
              <w:t>符合性分析</w:t>
            </w:r>
          </w:p>
          <w:p w14:paraId="3CCB118E">
            <w:pPr>
              <w:spacing w:line="360" w:lineRule="auto"/>
              <w:ind w:firstLine="480" w:firstLineChars="200"/>
              <w:rPr>
                <w:rFonts w:hint="eastAsia"/>
                <w:color w:val="auto"/>
                <w:sz w:val="24"/>
                <w:highlight w:val="none"/>
                <w:lang w:val="en-US" w:eastAsia="zh-CN"/>
              </w:rPr>
            </w:pPr>
            <w:r>
              <w:rPr>
                <w:rFonts w:hint="default" w:ascii="Times New Roman" w:hAnsi="Times New Roman" w:cs="Times New Roman"/>
                <w:color w:val="auto"/>
                <w:sz w:val="24"/>
                <w:highlight w:val="none"/>
              </w:rPr>
              <w:t>据2021年12月8日玉溪市人民政府发布的《玉溪市人民政府关于印发玉溪市“三线一单”生态环境分区管控实施意见的通知》（玉政发〔2021〕15号）和2024年6月7日玉溪市人民政府发布的《玉溪市生态环境分区管控动态更新调整方案（2023年）》（玉市环〔2024〕40号）；</w:t>
            </w:r>
            <w:r>
              <w:rPr>
                <w:rFonts w:hint="eastAsia"/>
                <w:color w:val="auto"/>
                <w:sz w:val="24"/>
                <w:highlight w:val="none"/>
                <w:lang w:val="en-US" w:eastAsia="zh-CN"/>
              </w:rPr>
              <w:t>根据</w:t>
            </w:r>
            <w:r>
              <w:rPr>
                <w:color w:val="auto"/>
                <w:sz w:val="24"/>
                <w:highlight w:val="none"/>
              </w:rPr>
              <w:t>华宁县疾病预防控制中心综合实验楼建设项目项目涉及生态环境管控单元与环境管控详情</w:t>
            </w:r>
            <w:r>
              <w:rPr>
                <w:rFonts w:hint="eastAsia"/>
                <w:color w:val="auto"/>
                <w:sz w:val="24"/>
                <w:highlight w:val="none"/>
                <w:lang w:val="en-US" w:eastAsia="zh-CN"/>
              </w:rPr>
              <w:t>查询结果，</w:t>
            </w:r>
            <w:r>
              <w:rPr>
                <w:color w:val="auto"/>
                <w:sz w:val="24"/>
                <w:highlight w:val="none"/>
              </w:rPr>
              <w:t>本项目位于华宁县城区生活污染重点管控单元</w:t>
            </w:r>
            <w:r>
              <w:rPr>
                <w:rFonts w:hint="eastAsia"/>
                <w:color w:val="auto"/>
                <w:sz w:val="24"/>
                <w:highlight w:val="none"/>
                <w:lang w:eastAsia="zh-CN"/>
              </w:rPr>
              <w:t>（</w:t>
            </w:r>
            <w:r>
              <w:rPr>
                <w:rFonts w:hint="eastAsia"/>
                <w:color w:val="auto"/>
                <w:sz w:val="24"/>
                <w:highlight w:val="none"/>
                <w:lang w:val="en-US" w:eastAsia="zh-CN"/>
              </w:rPr>
              <w:t>编码：ZH53042420001</w:t>
            </w:r>
            <w:r>
              <w:rPr>
                <w:rFonts w:hint="eastAsia"/>
                <w:color w:val="auto"/>
                <w:sz w:val="24"/>
                <w:highlight w:val="none"/>
                <w:lang w:eastAsia="zh-CN"/>
              </w:rPr>
              <w:t>），</w:t>
            </w:r>
            <w:r>
              <w:rPr>
                <w:rFonts w:hint="eastAsia"/>
                <w:color w:val="auto"/>
                <w:sz w:val="24"/>
                <w:highlight w:val="none"/>
                <w:lang w:val="en-US" w:eastAsia="zh-CN"/>
              </w:rPr>
              <w:t>项目涉及的管控单元见下图。</w:t>
            </w:r>
          </w:p>
          <w:p w14:paraId="551C5332">
            <w:pPr>
              <w:spacing w:line="360" w:lineRule="auto"/>
              <w:ind w:firstLine="480" w:firstLineChars="200"/>
              <w:rPr>
                <w:rFonts w:hint="default" w:ascii="Times New Roman" w:hAnsi="Times New Roman" w:cs="Times New Roman"/>
                <w:color w:val="auto"/>
                <w:sz w:val="24"/>
                <w:highlight w:val="none"/>
              </w:rPr>
            </w:pPr>
            <w:r>
              <w:rPr>
                <w:rFonts w:hint="eastAsia" w:eastAsia="宋体"/>
                <w:color w:val="auto"/>
                <w:sz w:val="24"/>
                <w:highlight w:val="none"/>
                <w:lang w:eastAsia="zh-CN"/>
              </w:rPr>
              <w:drawing>
                <wp:inline distT="0" distB="0" distL="114300" distR="114300">
                  <wp:extent cx="4443730" cy="4251960"/>
                  <wp:effectExtent l="0" t="0" r="13970" b="15240"/>
                  <wp:docPr id="2" name="图片 2" descr="管控单元截图2026092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管控单元截图20260929 (2)"/>
                          <pic:cNvPicPr>
                            <a:picLocks noChangeAspect="1"/>
                          </pic:cNvPicPr>
                        </pic:nvPicPr>
                        <pic:blipFill>
                          <a:blip r:embed="rId8"/>
                          <a:stretch>
                            <a:fillRect/>
                          </a:stretch>
                        </pic:blipFill>
                        <pic:spPr>
                          <a:xfrm>
                            <a:off x="0" y="0"/>
                            <a:ext cx="4443730" cy="4251960"/>
                          </a:xfrm>
                          <a:prstGeom prst="rect">
                            <a:avLst/>
                          </a:prstGeom>
                        </pic:spPr>
                      </pic:pic>
                    </a:graphicData>
                  </a:graphic>
                </wp:inline>
              </w:drawing>
            </w:r>
          </w:p>
          <w:p w14:paraId="03E0D7AA">
            <w:pPr>
              <w:spacing w:line="360" w:lineRule="auto"/>
              <w:ind w:firstLine="422" w:firstLineChars="200"/>
              <w:jc w:val="center"/>
              <w:rPr>
                <w:color w:val="auto"/>
                <w:sz w:val="24"/>
                <w:highlight w:val="none"/>
              </w:rPr>
            </w:pPr>
            <w:r>
              <w:rPr>
                <w:rFonts w:hint="eastAsia"/>
                <w:b/>
                <w:bCs/>
                <w:color w:val="auto"/>
                <w:lang w:val="en-US" w:eastAsia="zh-CN"/>
              </w:rPr>
              <w:t>图1-1    项目涉及管控单元截图</w:t>
            </w:r>
          </w:p>
          <w:p w14:paraId="258D97B0">
            <w:pPr>
              <w:spacing w:line="360" w:lineRule="auto"/>
              <w:ind w:firstLine="480" w:firstLineChars="200"/>
              <w:rPr>
                <w:rFonts w:hint="default" w:ascii="Times New Roman" w:hAnsi="Times New Roman" w:cs="Times New Roman"/>
                <w:b/>
                <w:color w:val="auto"/>
                <w:kern w:val="0"/>
                <w:szCs w:val="21"/>
                <w:highlight w:val="none"/>
              </w:rPr>
            </w:pPr>
            <w:r>
              <w:rPr>
                <w:rFonts w:hint="default" w:ascii="Times New Roman" w:hAnsi="Times New Roman" w:cs="Times New Roman"/>
                <w:color w:val="auto"/>
                <w:sz w:val="24"/>
                <w:highlight w:val="none"/>
              </w:rPr>
              <w:t>项目与华宁县城区生活污染重点管控单元的分区管控要求相符性分析见下表。</w:t>
            </w:r>
          </w:p>
          <w:p w14:paraId="6FC0032F">
            <w:pPr>
              <w:autoSpaceDE w:val="0"/>
              <w:autoSpaceDN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表1-2 项目与“三线一单”文件相符合性分析</w:t>
            </w:r>
          </w:p>
          <w:tbl>
            <w:tblPr>
              <w:tblStyle w:val="33"/>
              <w:tblpPr w:leftFromText="180" w:rightFromText="180" w:vertAnchor="text" w:horzAnchor="margin" w:tblpY="290"/>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1"/>
              <w:gridCol w:w="474"/>
              <w:gridCol w:w="2971"/>
              <w:gridCol w:w="3076"/>
              <w:gridCol w:w="772"/>
            </w:tblGrid>
            <w:tr w14:paraId="352C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9" w:type="pct"/>
                  <w:gridSpan w:val="2"/>
                  <w:vAlign w:val="center"/>
                </w:tcPr>
                <w:p w14:paraId="768A1EDA">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类别</w:t>
                  </w:r>
                </w:p>
              </w:tc>
              <w:tc>
                <w:tcPr>
                  <w:tcW w:w="1913" w:type="pct"/>
                  <w:vAlign w:val="center"/>
                </w:tcPr>
                <w:p w14:paraId="2BCE9179">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文件内容</w:t>
                  </w:r>
                </w:p>
              </w:tc>
              <w:tc>
                <w:tcPr>
                  <w:tcW w:w="1981" w:type="pct"/>
                  <w:vAlign w:val="center"/>
                </w:tcPr>
                <w:p w14:paraId="2EAFA799">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相符性分析</w:t>
                  </w:r>
                </w:p>
              </w:tc>
              <w:tc>
                <w:tcPr>
                  <w:tcW w:w="495" w:type="pct"/>
                  <w:vAlign w:val="center"/>
                </w:tcPr>
                <w:p w14:paraId="23BD6DDA">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符合性</w:t>
                  </w:r>
                </w:p>
              </w:tc>
            </w:tr>
            <w:tr w14:paraId="2019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5000" w:type="pct"/>
                  <w:gridSpan w:val="5"/>
                  <w:vAlign w:val="center"/>
                </w:tcPr>
                <w:p w14:paraId="76D9E456">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szCs w:val="21"/>
                      <w:highlight w:val="none"/>
                    </w:rPr>
                    <w:t>一、“三线”的符合性分析</w:t>
                  </w:r>
                </w:p>
              </w:tc>
            </w:tr>
            <w:tr w14:paraId="54C4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gridSpan w:val="2"/>
                  <w:vAlign w:val="center"/>
                </w:tcPr>
                <w:p w14:paraId="1634DB70">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
                      <w:color w:val="auto"/>
                      <w:szCs w:val="21"/>
                      <w:highlight w:val="none"/>
                    </w:rPr>
                    <w:t>生态保护红线</w:t>
                  </w:r>
                </w:p>
              </w:tc>
              <w:tc>
                <w:tcPr>
                  <w:tcW w:w="1913" w:type="pct"/>
                  <w:vAlign w:val="center"/>
                </w:tcPr>
                <w:p w14:paraId="04D32192">
                  <w:pPr>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生态保护红线和一般生态空间。</w:t>
                  </w:r>
                  <w:r>
                    <w:rPr>
                      <w:rFonts w:hint="default" w:ascii="Times New Roman" w:hAnsi="Times New Roman" w:cs="Times New Roman"/>
                      <w:color w:val="auto"/>
                      <w:szCs w:val="21"/>
                      <w:highlight w:val="none"/>
                      <w:shd w:val="clear" w:color="auto" w:fill="FFFFFF"/>
                    </w:rPr>
                    <w:t>执行《云南省人民政府关于发布云南省生态保护红线的通知》（云政发〔2018〕32号），生态保护红线评估调整成果获批后，按照批准成果执行。将未划入生态保护红线的自然保护地、饮用水水源保护区、重要湿地、基本草原、生态公益林、天然林等生态功能重要、生态环境敏感区域划为一般生态空间。</w:t>
                  </w:r>
                </w:p>
              </w:tc>
              <w:tc>
                <w:tcPr>
                  <w:tcW w:w="1981" w:type="pct"/>
                  <w:vAlign w:val="center"/>
                </w:tcPr>
                <w:p w14:paraId="32BB9543">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本项目位于云南省玉溪市华宁县东风路与松山路交叉路口，项目位于城市建成区，用地类型为医疗卫生用地，</w:t>
                  </w:r>
                  <w:r>
                    <w:rPr>
                      <w:rFonts w:hint="default" w:ascii="Times New Roman" w:hAnsi="Times New Roman" w:cs="Times New Roman"/>
                      <w:color w:val="auto"/>
                      <w:szCs w:val="21"/>
                      <w:highlight w:val="none"/>
                    </w:rPr>
                    <w:t>不涉及自然保护地、饮用水水源保护区、重要湿地、基本草原、</w:t>
                  </w:r>
                  <w:r>
                    <w:rPr>
                      <w:rFonts w:hint="default" w:ascii="Times New Roman" w:hAnsi="Times New Roman" w:cs="Times New Roman"/>
                      <w:color w:val="auto"/>
                      <w:szCs w:val="21"/>
                      <w:highlight w:val="none"/>
                      <w:shd w:val="clear" w:color="auto" w:fill="FFFFFF"/>
                    </w:rPr>
                    <w:t>生态公益林、天然林等生态功能重要、生态环境敏感区域</w:t>
                  </w:r>
                  <w:r>
                    <w:rPr>
                      <w:rFonts w:hint="default" w:ascii="Times New Roman" w:hAnsi="Times New Roman" w:cs="Times New Roman"/>
                      <w:bCs/>
                      <w:color w:val="auto"/>
                      <w:szCs w:val="21"/>
                      <w:highlight w:val="none"/>
                    </w:rPr>
                    <w:t>。</w:t>
                  </w:r>
                </w:p>
              </w:tc>
              <w:tc>
                <w:tcPr>
                  <w:tcW w:w="495" w:type="pct"/>
                  <w:vAlign w:val="center"/>
                </w:tcPr>
                <w:p w14:paraId="615A0028">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6DD1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vMerge w:val="restart"/>
                  <w:vAlign w:val="center"/>
                </w:tcPr>
                <w:p w14:paraId="2239DD52">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highlight w:val="none"/>
                    </w:rPr>
                    <w:t>环境质量底线</w:t>
                  </w:r>
                </w:p>
              </w:tc>
              <w:tc>
                <w:tcPr>
                  <w:tcW w:w="304" w:type="pct"/>
                  <w:vAlign w:val="center"/>
                </w:tcPr>
                <w:p w14:paraId="20EC47EA">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highlight w:val="none"/>
                    </w:rPr>
                    <w:t>水环境质量底线</w:t>
                  </w:r>
                </w:p>
              </w:tc>
              <w:tc>
                <w:tcPr>
                  <w:tcW w:w="1913" w:type="pct"/>
                  <w:vAlign w:val="center"/>
                </w:tcPr>
                <w:p w14:paraId="238FAD88">
                  <w:pP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到2025年，全市水环境质量持续改善，纳入国家和省级考核的地表水监测断面水质优良率稳步提升。抚仙湖水质稳定保持Ⅰ类水质标准，星云湖、杞麓湖水质指标均达到Ⅴ类水质标准。中心城区及县城集中式饮用水水源地水质达标率为100%。到2035年，全市水环境质量总体改善，水生生态系统功能恢复。地表水水体水质优良率全面提升，彻底消除劣V类水体。抚仙湖水质稳定保持Ⅰ类水质标准，星云湖和杞麓湖水质持续稳定向好。</w:t>
                  </w:r>
                </w:p>
              </w:tc>
              <w:tc>
                <w:tcPr>
                  <w:tcW w:w="1981" w:type="pct"/>
                  <w:vAlign w:val="center"/>
                </w:tcPr>
                <w:p w14:paraId="5A0105DC">
                  <w:pPr>
                    <w:pStyle w:val="9"/>
                    <w:jc w:val="both"/>
                    <w:rPr>
                      <w:rFonts w:hint="default" w:ascii="Times New Roman" w:hAnsi="Times New Roman" w:cs="Times New Roman"/>
                      <w:bCs/>
                      <w:color w:val="auto"/>
                      <w:szCs w:val="21"/>
                      <w:highlight w:val="none"/>
                    </w:rPr>
                  </w:pPr>
                  <w:r>
                    <w:rPr>
                      <w:rFonts w:hint="default" w:ascii="Times New Roman" w:hAnsi="Times New Roman" w:cs="Times New Roman"/>
                      <w:color w:val="auto"/>
                      <w:sz w:val="21"/>
                      <w:szCs w:val="21"/>
                      <w:highlight w:val="none"/>
                    </w:rPr>
                    <w:t>项目理化实验室废水经预处理后，排入污水处理站处理；微生物实验室废水投加次氯酸钠消毒预处理后排入污水处理站处理；纯水制备系统产生的浓水排入污水处理站处理。各类废水分类收集，分质预处理，重金属等第一类水污染物达标后，进入1座处理规模为10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/d工艺为“缺氧+接触氧化+MBR+次氯酸钠消毒”的污水处理站处理达标后，排入市政污水管网，最终进入华宁县污水处理厂。</w:t>
                  </w:r>
                  <w:r>
                    <w:rPr>
                      <w:rFonts w:hint="default" w:ascii="Times New Roman" w:hAnsi="Times New Roman" w:cs="Times New Roman"/>
                      <w:bCs/>
                      <w:color w:val="auto"/>
                      <w:sz w:val="21"/>
                      <w:szCs w:val="21"/>
                      <w:highlight w:val="none"/>
                    </w:rPr>
                    <w:t>不会对地表水造成不利影响，未突破水环境质量底线</w:t>
                  </w:r>
                  <w:r>
                    <w:rPr>
                      <w:rFonts w:hint="default" w:ascii="Times New Roman" w:hAnsi="Times New Roman" w:cs="Times New Roman"/>
                      <w:bCs/>
                      <w:color w:val="auto"/>
                      <w:szCs w:val="21"/>
                      <w:highlight w:val="none"/>
                    </w:rPr>
                    <w:t>。</w:t>
                  </w:r>
                </w:p>
              </w:tc>
              <w:tc>
                <w:tcPr>
                  <w:tcW w:w="495" w:type="pct"/>
                  <w:vAlign w:val="center"/>
                </w:tcPr>
                <w:p w14:paraId="744A9F63">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260F6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vMerge w:val="continue"/>
                  <w:vAlign w:val="center"/>
                </w:tcPr>
                <w:p w14:paraId="1AB4B1FA">
                  <w:pPr>
                    <w:jc w:val="center"/>
                    <w:rPr>
                      <w:rFonts w:hint="default" w:ascii="Times New Roman" w:hAnsi="Times New Roman" w:cs="Times New Roman"/>
                      <w:b/>
                      <w:bCs/>
                      <w:color w:val="auto"/>
                      <w:kern w:val="0"/>
                      <w:szCs w:val="21"/>
                      <w:highlight w:val="none"/>
                    </w:rPr>
                  </w:pPr>
                </w:p>
              </w:tc>
              <w:tc>
                <w:tcPr>
                  <w:tcW w:w="304" w:type="pct"/>
                  <w:vAlign w:val="center"/>
                </w:tcPr>
                <w:p w14:paraId="211C883B">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highlight w:val="none"/>
                    </w:rPr>
                    <w:t>大气环境质量底线</w:t>
                  </w:r>
                </w:p>
              </w:tc>
              <w:tc>
                <w:tcPr>
                  <w:tcW w:w="1913" w:type="pct"/>
                  <w:vAlign w:val="center"/>
                </w:tcPr>
                <w:p w14:paraId="5EA3130D">
                  <w:pP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到2025年，全市环境空气质量稳中向好，中心城区城市空气质量优良天数比率保持稳定，主要污染物排放量达到国家和省级污染物总量控制要求，单位GDP二氧化碳排放控制在省下达指标内。到2035年，全市环境空气质量持续保持优良，实现稳中向好，主要污染物排放总量和二氧化碳排放量持续减少。</w:t>
                  </w:r>
                </w:p>
              </w:tc>
              <w:tc>
                <w:tcPr>
                  <w:tcW w:w="1981" w:type="pct"/>
                  <w:vAlign w:val="center"/>
                </w:tcPr>
                <w:p w14:paraId="311ECED6">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项目所在区域为环境空气质量达标区，项目运营期废气均能够实现达标排放，不会改变区域环境空气质量功能。</w:t>
                  </w:r>
                </w:p>
              </w:tc>
              <w:tc>
                <w:tcPr>
                  <w:tcW w:w="495" w:type="pct"/>
                  <w:vAlign w:val="center"/>
                </w:tcPr>
                <w:p w14:paraId="05F1BDEA">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3B04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 w:type="pct"/>
                  <w:vMerge w:val="continue"/>
                  <w:vAlign w:val="center"/>
                </w:tcPr>
                <w:p w14:paraId="38414738">
                  <w:pPr>
                    <w:jc w:val="center"/>
                    <w:rPr>
                      <w:rFonts w:hint="default" w:ascii="Times New Roman" w:hAnsi="Times New Roman" w:cs="Times New Roman"/>
                      <w:b/>
                      <w:bCs/>
                      <w:color w:val="auto"/>
                      <w:kern w:val="0"/>
                      <w:szCs w:val="21"/>
                      <w:highlight w:val="none"/>
                    </w:rPr>
                  </w:pPr>
                </w:p>
              </w:tc>
              <w:tc>
                <w:tcPr>
                  <w:tcW w:w="304" w:type="pct"/>
                  <w:vAlign w:val="center"/>
                </w:tcPr>
                <w:p w14:paraId="3B561193">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highlight w:val="none"/>
                    </w:rPr>
                    <w:t>土壤环境风险防控底线</w:t>
                  </w:r>
                </w:p>
              </w:tc>
              <w:tc>
                <w:tcPr>
                  <w:tcW w:w="1913" w:type="pct"/>
                  <w:vAlign w:val="center"/>
                </w:tcPr>
                <w:p w14:paraId="6FED1342">
                  <w:pP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到2025年，全市土壤环境风险防范体系进一步完善，受污染耕地安全利用率和污染地块安全利用率达到省下达的目标要求。到2035年，全市土壤环境质量稳中向好，农用地和建设用地土壤环境安全得到有效保障，受污染耕地安全利用率和污染地块安全利用率进一步提高，土壤环境风险得到全面管控。</w:t>
                  </w:r>
                </w:p>
              </w:tc>
              <w:tc>
                <w:tcPr>
                  <w:tcW w:w="1981" w:type="pct"/>
                  <w:vAlign w:val="center"/>
                </w:tcPr>
                <w:p w14:paraId="7508C987">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项目已对依托的</w:t>
                  </w:r>
                  <w:r>
                    <w:rPr>
                      <w:rFonts w:hint="default" w:ascii="Times New Roman" w:hAnsi="Times New Roman" w:cs="Times New Roman"/>
                      <w:color w:val="auto"/>
                      <w:kern w:val="0"/>
                      <w:szCs w:val="21"/>
                      <w:highlight w:val="none"/>
                      <w:lang w:bidi="ar"/>
                    </w:rPr>
                    <w:t>医疗固废暂存间</w:t>
                  </w:r>
                  <w:r>
                    <w:rPr>
                      <w:rFonts w:hint="default" w:ascii="Times New Roman" w:hAnsi="Times New Roman" w:cs="Times New Roman"/>
                      <w:bCs/>
                      <w:color w:val="auto"/>
                      <w:kern w:val="0"/>
                      <w:szCs w:val="21"/>
                      <w:highlight w:val="none"/>
                    </w:rPr>
                    <w:t>进行重点防渗，要求对改造的化粪池和污水处理站进行一般防渗，其他区域进行水泥硬化，对土壤环境影响较小，符合土壤环境风险防控底线。</w:t>
                  </w:r>
                </w:p>
              </w:tc>
              <w:tc>
                <w:tcPr>
                  <w:tcW w:w="495" w:type="pct"/>
                  <w:vAlign w:val="center"/>
                </w:tcPr>
                <w:p w14:paraId="6D28384D">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761F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609" w:type="pct"/>
                  <w:gridSpan w:val="2"/>
                  <w:vAlign w:val="center"/>
                </w:tcPr>
                <w:p w14:paraId="42B988E0">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highlight w:val="none"/>
                    </w:rPr>
                    <w:t>资源利用上线</w:t>
                  </w:r>
                </w:p>
              </w:tc>
              <w:tc>
                <w:tcPr>
                  <w:tcW w:w="1913" w:type="pct"/>
                  <w:vAlign w:val="center"/>
                </w:tcPr>
                <w:p w14:paraId="62C4C919">
                  <w:pP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强化资源能源节约集约利用，持续提升资源能源利用效率，水资源、土地资源、能源消耗等达到或优于省下达的总量和强度控制目标。</w:t>
                  </w:r>
                </w:p>
              </w:tc>
              <w:tc>
                <w:tcPr>
                  <w:tcW w:w="1981" w:type="pct"/>
                  <w:vAlign w:val="center"/>
                </w:tcPr>
                <w:p w14:paraId="3263A81D">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本项目用水量为128m</w:t>
                  </w:r>
                  <w:r>
                    <w:rPr>
                      <w:rFonts w:hint="default" w:ascii="Times New Roman" w:hAnsi="Times New Roman" w:cs="Times New Roman"/>
                      <w:bCs/>
                      <w:color w:val="auto"/>
                      <w:kern w:val="0"/>
                      <w:szCs w:val="21"/>
                      <w:highlight w:val="none"/>
                      <w:vertAlign w:val="superscript"/>
                    </w:rPr>
                    <w:t>3</w:t>
                  </w:r>
                  <w:r>
                    <w:rPr>
                      <w:rFonts w:hint="default" w:ascii="Times New Roman" w:hAnsi="Times New Roman" w:cs="Times New Roman"/>
                      <w:bCs/>
                      <w:color w:val="auto"/>
                      <w:kern w:val="0"/>
                      <w:szCs w:val="21"/>
                      <w:highlight w:val="none"/>
                    </w:rPr>
                    <w:t>/a，不会突破水资源利用上线；项目用地性质为医疗卫生用地，已取得土地证和工规证，不占用基本农田和耕地，符合当地规划要求，符合</w:t>
                  </w:r>
                  <w:r>
                    <w:rPr>
                      <w:rFonts w:hint="default" w:ascii="Times New Roman" w:hAnsi="Times New Roman" w:cs="Times New Roman"/>
                      <w:color w:val="auto"/>
                      <w:highlight w:val="none"/>
                    </w:rPr>
                    <w:t>土地资源</w:t>
                  </w:r>
                  <w:r>
                    <w:rPr>
                      <w:rFonts w:hint="default" w:ascii="Times New Roman" w:hAnsi="Times New Roman" w:cs="Times New Roman"/>
                      <w:bCs/>
                      <w:color w:val="auto"/>
                      <w:kern w:val="0"/>
                      <w:szCs w:val="21"/>
                      <w:highlight w:val="none"/>
                    </w:rPr>
                    <w:t>利用上线；本项目不属于高耗能行业，符合资源利用上线。</w:t>
                  </w:r>
                </w:p>
              </w:tc>
              <w:tc>
                <w:tcPr>
                  <w:tcW w:w="495" w:type="pct"/>
                  <w:vAlign w:val="center"/>
                </w:tcPr>
                <w:p w14:paraId="343526D2">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3124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5000" w:type="pct"/>
                  <w:gridSpan w:val="5"/>
                  <w:vAlign w:val="center"/>
                </w:tcPr>
                <w:p w14:paraId="1F8E4CCA">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
                      <w:color w:val="auto"/>
                      <w:szCs w:val="21"/>
                      <w:highlight w:val="none"/>
                    </w:rPr>
                    <w:t>二、生态环境管控总体要求（玉市环〔2024〕40号）</w:t>
                  </w:r>
                </w:p>
              </w:tc>
            </w:tr>
            <w:tr w14:paraId="7B50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gridSpan w:val="2"/>
                  <w:vAlign w:val="center"/>
                </w:tcPr>
                <w:p w14:paraId="644A03C3">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color w:val="auto"/>
                      <w:szCs w:val="21"/>
                      <w:highlight w:val="none"/>
                    </w:rPr>
                    <w:t>空间布局约束</w:t>
                  </w:r>
                </w:p>
              </w:tc>
              <w:tc>
                <w:tcPr>
                  <w:tcW w:w="1913" w:type="pct"/>
                  <w:vAlign w:val="center"/>
                </w:tcPr>
                <w:p w14:paraId="067F494D">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严格落实国家产业政策、国家产业结构调整指导目录。坚决遏制高耗能、高排放、低水平项目盲目发展，项目审批严格落实国家和云南省相关政策要求。严格落实钢铁、水泥、平板玻璃、电解铝等行业产能置换相关政策，严管严控新增电解铝和工业硅产能。</w:t>
                  </w:r>
                </w:p>
                <w:p w14:paraId="5C2BD34E">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加强河湖水域岸线空间管控，严格落实九大高原湖泊（抚仙湖、星云湖、杞麓湖）“两线三区”相关管控要求。加快推动重点区域、重点流域落后和过剩产能退出。依法加快城市建成区重污染企业搬迁改造或关闭退出。</w:t>
                  </w:r>
                </w:p>
                <w:p w14:paraId="18564A5B">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禁止在合规园区外新建、扩建钢铁、石化、化工、焦化、建材、有色、制浆造纸行业中的高污染项目。禁止新建、扩建不符合国家石化、现代煤化工等产业布局规划的项目。禁止列入《云南省城镇人口密集区危险化学品生产企业搬迁改造名单》的搬迁改造企业在原址新建、扩建危险化学品生产项目。新建、改建、扩建“两高”项目须符合生态环境保护法律法规和相关法定规划，满足重点污染物排放总量控制、碳排放达峰目标、生态环境准入清单、相关规划环评和相应行业建设项目环境准入条件、环评文件审批原则要求。</w:t>
                  </w:r>
                </w:p>
                <w:p w14:paraId="416F3191">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4、禁止在九大高原湖泊（抚仙湖、星云湖、杞麓湖）流域内新建、改建、扩建污染环境、高耗水、高耗能、破坏生态平衡和自然景观的项目。</w:t>
                  </w:r>
                </w:p>
                <w:p w14:paraId="61CD5D78">
                  <w:pPr>
                    <w:rPr>
                      <w:rFonts w:hint="default" w:ascii="Times New Roman" w:hAnsi="Times New Roman" w:cs="Times New Roman"/>
                      <w:color w:val="auto"/>
                      <w:highlight w:val="none"/>
                    </w:rPr>
                  </w:pPr>
                  <w:r>
                    <w:rPr>
                      <w:rFonts w:hint="default" w:ascii="Times New Roman" w:hAnsi="Times New Roman" w:cs="Times New Roman"/>
                      <w:bCs/>
                      <w:color w:val="auto"/>
                      <w:szCs w:val="21"/>
                      <w:highlight w:val="none"/>
                    </w:rPr>
                    <w:t>5、落实云南省碳达峰碳中和相关要求，处理好发展和减排、整体和局部、长远目标和短期目标、政府和市场的关系，坚定不移走生态优先、绿色低碳的高质量发展道路。</w:t>
                  </w:r>
                </w:p>
              </w:tc>
              <w:tc>
                <w:tcPr>
                  <w:tcW w:w="1981" w:type="pct"/>
                  <w:vAlign w:val="center"/>
                </w:tcPr>
                <w:p w14:paraId="1E879D9C">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1、项目不在生态红线范围内。对照《产业结构调整指导目录（2024年本）》，本项目属于“鼓励类”，符合产业政策。</w:t>
                  </w:r>
                </w:p>
                <w:p w14:paraId="53B63B6B">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2、本项目不在“三湖”流域范围内。</w:t>
                  </w:r>
                </w:p>
                <w:p w14:paraId="1112583B">
                  <w:pPr>
                    <w:rPr>
                      <w:rFonts w:hint="default" w:ascii="Times New Roman" w:hAnsi="Times New Roman" w:cs="Times New Roman"/>
                      <w:bCs/>
                      <w:color w:val="auto"/>
                      <w:szCs w:val="21"/>
                      <w:highlight w:val="none"/>
                    </w:rPr>
                  </w:pPr>
                  <w:r>
                    <w:rPr>
                      <w:rFonts w:hint="default" w:ascii="Times New Roman" w:hAnsi="Times New Roman" w:cs="Times New Roman"/>
                      <w:bCs/>
                      <w:color w:val="auto"/>
                      <w:kern w:val="0"/>
                      <w:szCs w:val="21"/>
                      <w:highlight w:val="none"/>
                    </w:rPr>
                    <w:t>3、本项目属于医疗服务设施建设，不属于“两高”项目；不属于</w:t>
                  </w:r>
                  <w:r>
                    <w:rPr>
                      <w:rFonts w:hint="default" w:ascii="Times New Roman" w:hAnsi="Times New Roman" w:cs="Times New Roman"/>
                      <w:bCs/>
                      <w:color w:val="auto"/>
                      <w:szCs w:val="21"/>
                      <w:highlight w:val="none"/>
                    </w:rPr>
                    <w:t>列入《云南省城镇人口密集区危险化学品生产企业搬迁改造名单》的搬迁改造企业。</w:t>
                  </w:r>
                </w:p>
                <w:p w14:paraId="531D7377">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w:t>
                  </w:r>
                  <w:r>
                    <w:rPr>
                      <w:rFonts w:hint="default" w:ascii="Times New Roman" w:hAnsi="Times New Roman" w:cs="Times New Roman"/>
                      <w:bCs/>
                      <w:color w:val="auto"/>
                      <w:szCs w:val="21"/>
                      <w:highlight w:val="none"/>
                    </w:rPr>
                    <w:t>项目不属于抚仙湖、星云湖、杞麓湖径流区范围</w:t>
                  </w:r>
                  <w:r>
                    <w:rPr>
                      <w:rFonts w:hint="default" w:ascii="Times New Roman" w:hAnsi="Times New Roman" w:cs="Times New Roman"/>
                      <w:bCs/>
                      <w:color w:val="auto"/>
                      <w:kern w:val="0"/>
                      <w:szCs w:val="21"/>
                      <w:highlight w:val="none"/>
                    </w:rPr>
                    <w:t>。</w:t>
                  </w:r>
                </w:p>
                <w:p w14:paraId="07CF998B">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5、项目使用能源为电能，能满足云南省碳达峰碳中和相关要求。</w:t>
                  </w:r>
                </w:p>
              </w:tc>
              <w:tc>
                <w:tcPr>
                  <w:tcW w:w="495" w:type="pct"/>
                  <w:vAlign w:val="center"/>
                </w:tcPr>
                <w:p w14:paraId="42420F43">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07B2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gridSpan w:val="2"/>
                  <w:vAlign w:val="center"/>
                </w:tcPr>
                <w:p w14:paraId="51926F63">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color w:val="auto"/>
                      <w:szCs w:val="21"/>
                      <w:highlight w:val="none"/>
                    </w:rPr>
                    <w:t>污染物排放管控</w:t>
                  </w:r>
                </w:p>
              </w:tc>
              <w:tc>
                <w:tcPr>
                  <w:tcW w:w="1913" w:type="pct"/>
                  <w:vAlign w:val="center"/>
                </w:tcPr>
                <w:p w14:paraId="79C7FF81">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1、严格落实强制性清洁生产审核要求，引导重点行业实施清洁生产改造，到2025年底，重点行业企业基本达到国内清洁生产先进水平。</w:t>
                  </w:r>
                </w:p>
                <w:p w14:paraId="08A1F034">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2、加大</w:t>
                  </w:r>
                  <w:r>
                    <w:rPr>
                      <w:rFonts w:hint="default" w:ascii="Times New Roman" w:hAnsi="Times New Roman" w:cs="Times New Roman"/>
                      <w:bCs/>
                      <w:color w:val="auto"/>
                      <w:kern w:val="0"/>
                      <w:szCs w:val="21"/>
                      <w:highlight w:val="none"/>
                    </w:rPr>
                    <w:t>“三湖”</w:t>
                  </w:r>
                  <w:r>
                    <w:rPr>
                      <w:rFonts w:hint="default" w:ascii="Times New Roman" w:hAnsi="Times New Roman" w:cs="Times New Roman"/>
                      <w:bCs/>
                      <w:color w:val="auto"/>
                      <w:szCs w:val="21"/>
                      <w:highlight w:val="none"/>
                    </w:rPr>
                    <w:t>（抚仙湖、星云湖、杞麓湖）及“两江”（南盘江干流、红河水系玉溪段）流域的保护和治理，推进流域环湖截污治污，加强湖泊内源污染风险防范，开展污水处理提质增效、农业面源污染治理、入河排污口整治、开发区污染治理、“三磷”和重金属行业排查等专项行动，建立水环境质量管理长效机制，持续巩固治理成效。持续打好城市黑臭水体治理攻坚战，有效控制入河污染物排放，强化溯源整治，推进城镇污水管网全覆盖。</w:t>
                  </w:r>
                </w:p>
                <w:p w14:paraId="4788A394">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3、严格保护城乡饮用水水源地，整治饮用水水源保护区内的污染源，确保饮水安全。</w:t>
                  </w:r>
                </w:p>
                <w:p w14:paraId="5FF83071">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开展细颗粒物和臭氧协同控制、挥发性有机物和氮氧化物协同减排。石化、化工、包装印刷、工业涂装等VOCs排放重点源，纳入重点排污单位名录，推进挥发性有机物综合治理，实施原辅材料和产品源头替代工程，排污口安装自动监控设施。推进运输结构调整，开展清洁柴油车（机）、清洁油品、车用尿素等专项行动，开展建筑施工工地扬尘专项治理；加大餐饮油烟污染、恶臭异味治理力度，强化秸秆综合利用和禁烧管控。推动有色金属、钢铁、磷化工、建材等重点行业节能降碳升级改造，淘汰落后工艺技术和生产装置，实施煤电、水泥、焦化企业超低排放改造，到2025年，钢铁行业全面完成超低排放改造。</w:t>
                  </w:r>
                </w:p>
                <w:p w14:paraId="4F674A6C">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5、加大环境污染物减排力度，到2025年，实现氮氧化物减排1224吨，挥发性有机物减排1393吨，化学需氧量减排2461吨，氨氮减排230吨。</w:t>
                  </w:r>
                </w:p>
                <w:p w14:paraId="489EF63D">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严格管控农用地，不得在特定农产品禁止生产区域种植食用农产品；安全利用农用地，制定受污染耕地安全利用方案，降低农产品超标风险。合理规划污染地块土地用途，从严管控农药、化工、有色金属等行业企业重度污染地块开发利用，对列入建设用地土壤污染风险管控和修复名录的地块不得作为住宅、公共管理与公共服务用地，不得办理土地征收、收回、收购、土地供应以及改变土地用途等手续，应当依法开展土壤污染状况调查、治理与修复，并符合相应规划用地土壤环境质量要求后，方可进入用地程序。</w:t>
                  </w:r>
                </w:p>
                <w:p w14:paraId="1559564F">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7、加快“无废城市”建设，产生工业固体废物的单位应当建立健全工业固体废物产生、收集、贮存、运输、利用、处置全过程的污染环境防治责任制度，按照国家有关规定建立工业固体废物管理台账，加强重金属污染物排放管理，落实区域“减量替代”和“等量替代”要求，重金属污染物排放量2025年比2020年削减4%。</w:t>
                  </w:r>
                </w:p>
                <w:p w14:paraId="1F50C781">
                  <w:pPr>
                    <w:rPr>
                      <w:rFonts w:hint="default" w:ascii="Times New Roman" w:hAnsi="Times New Roman" w:cs="Times New Roman"/>
                      <w:color w:val="auto"/>
                      <w:highlight w:val="none"/>
                    </w:rPr>
                  </w:pPr>
                  <w:r>
                    <w:rPr>
                      <w:rFonts w:hint="default" w:ascii="Times New Roman" w:hAnsi="Times New Roman" w:cs="Times New Roman"/>
                      <w:bCs/>
                      <w:color w:val="auto"/>
                      <w:szCs w:val="21"/>
                      <w:highlight w:val="none"/>
                    </w:rPr>
                    <w:t>8、到2025年，中心城区细颗粒物（PM2.5）平均浓度控制在21微克/立方米以内，城市空气质量优良天数比率达到98.5%以上，坚决防范重度及以上污染天气发生，全市地表水国控断面优良水体比例达80%，消除城市黑臭水体，消除劣Ⅴ类水体。</w:t>
                  </w:r>
                </w:p>
              </w:tc>
              <w:tc>
                <w:tcPr>
                  <w:tcW w:w="1981" w:type="pct"/>
                  <w:vAlign w:val="center"/>
                </w:tcPr>
                <w:p w14:paraId="7902592E">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1、本项目不属于重点行业，若本环评审批后，相关政策文件下发，则依据相关政策要求进行清洁生产工作。</w:t>
                  </w:r>
                </w:p>
                <w:p w14:paraId="6A243830">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2、项目不位于“三湖”及“两江”流域范围内。</w:t>
                  </w:r>
                </w:p>
                <w:p w14:paraId="0A8C7AA8">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3、本项目不在饮用水水源地范围内。</w:t>
                  </w:r>
                </w:p>
                <w:p w14:paraId="4A4A441D">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本项目施工期采取洒水扬尘、篷布遮盖、施工围挡、控制车速等废气治理措施。项目运营期产生的有机废气（以非甲烷总烃计）经实验室通风柜密封收集+二级活性炭吸附处理达标后，通过1根23m高的排气筒（DA001）排放；</w:t>
                  </w:r>
                  <w:r>
                    <w:rPr>
                      <w:rFonts w:hint="default" w:ascii="Times New Roman" w:hAnsi="Times New Roman" w:cs="Times New Roman"/>
                      <w:color w:val="auto"/>
                      <w:kern w:val="0"/>
                      <w:szCs w:val="21"/>
                      <w:highlight w:val="none"/>
                      <w:lang w:bidi="ar"/>
                    </w:rPr>
                    <w:t>NO</w:t>
                  </w:r>
                  <w:r>
                    <w:rPr>
                      <w:rFonts w:hint="default" w:ascii="Times New Roman" w:hAnsi="Times New Roman" w:cs="Times New Roman"/>
                      <w:color w:val="auto"/>
                      <w:kern w:val="0"/>
                      <w:szCs w:val="21"/>
                      <w:highlight w:val="none"/>
                      <w:vertAlign w:val="subscript"/>
                      <w:lang w:bidi="ar"/>
                    </w:rPr>
                    <w:t>2</w:t>
                  </w:r>
                  <w:r>
                    <w:rPr>
                      <w:rFonts w:hint="default" w:ascii="Times New Roman" w:hAnsi="Times New Roman" w:cs="Times New Roman"/>
                      <w:color w:val="auto"/>
                      <w:kern w:val="0"/>
                      <w:szCs w:val="21"/>
                      <w:highlight w:val="none"/>
                      <w:lang w:bidi="ar"/>
                    </w:rPr>
                    <w:t>、硫酸雾、HCl经</w:t>
                  </w:r>
                  <w:r>
                    <w:rPr>
                      <w:rFonts w:hint="default" w:ascii="Times New Roman" w:hAnsi="Times New Roman" w:cs="Times New Roman"/>
                      <w:color w:val="auto"/>
                      <w:szCs w:val="21"/>
                      <w:highlight w:val="none"/>
                    </w:rPr>
                    <w:t>实验室通风柜密封收集+碱液吸收+烟气干燥+二级活性炭吸附处理</w:t>
                  </w:r>
                  <w:r>
                    <w:rPr>
                      <w:rFonts w:hint="default" w:ascii="Times New Roman" w:hAnsi="Times New Roman" w:cs="Times New Roman"/>
                      <w:bCs/>
                      <w:color w:val="auto"/>
                      <w:kern w:val="0"/>
                      <w:szCs w:val="21"/>
                      <w:highlight w:val="none"/>
                    </w:rPr>
                    <w:t>达标后，通过1根23m高的排气筒（DA001）排放；生物实验室颗粒物（含细菌气溶胶团）经</w:t>
                  </w:r>
                  <w:r>
                    <w:rPr>
                      <w:rFonts w:hint="default" w:ascii="Times New Roman" w:hAnsi="Times New Roman" w:cs="Times New Roman"/>
                      <w:color w:val="auto"/>
                      <w:szCs w:val="21"/>
                      <w:highlight w:val="none"/>
                    </w:rPr>
                    <w:t>生物安全柜（含高效过滤器）+紫外消毒装置处理后，</w:t>
                  </w:r>
                  <w:r>
                    <w:rPr>
                      <w:rFonts w:hint="default" w:ascii="Times New Roman" w:hAnsi="Times New Roman" w:cs="Times New Roman"/>
                      <w:bCs/>
                      <w:color w:val="auto"/>
                      <w:kern w:val="0"/>
                      <w:szCs w:val="21"/>
                      <w:highlight w:val="none"/>
                    </w:rPr>
                    <w:t>空气在生物实验室内循环。本项目不涉及餐饮业、不使用秸秆。不属于有色金属、钢铁、磷化工、建材等重点行业。</w:t>
                  </w:r>
                </w:p>
                <w:p w14:paraId="1E23F882">
                  <w:pPr>
                    <w:rPr>
                      <w:rFonts w:hint="default" w:ascii="Times New Roman" w:hAnsi="Times New Roman" w:cs="Times New Roman"/>
                      <w:color w:val="auto"/>
                      <w:highlight w:val="none"/>
                    </w:rPr>
                  </w:pPr>
                  <w:r>
                    <w:rPr>
                      <w:rFonts w:hint="default" w:ascii="Times New Roman" w:hAnsi="Times New Roman" w:cs="Times New Roman"/>
                      <w:bCs/>
                      <w:color w:val="auto"/>
                      <w:kern w:val="0"/>
                      <w:szCs w:val="21"/>
                      <w:highlight w:val="none"/>
                    </w:rPr>
                    <w:t>5、本项目产生的</w:t>
                  </w:r>
                  <w:r>
                    <w:rPr>
                      <w:rFonts w:hint="default" w:ascii="Times New Roman" w:hAnsi="Times New Roman" w:cs="Times New Roman"/>
                      <w:color w:val="auto"/>
                      <w:kern w:val="0"/>
                      <w:szCs w:val="21"/>
                      <w:highlight w:val="none"/>
                      <w:lang w:bidi="ar"/>
                    </w:rPr>
                    <w:t>NO</w:t>
                  </w:r>
                  <w:r>
                    <w:rPr>
                      <w:rFonts w:hint="default" w:ascii="Times New Roman" w:hAnsi="Times New Roman" w:cs="Times New Roman"/>
                      <w:color w:val="auto"/>
                      <w:kern w:val="0"/>
                      <w:szCs w:val="21"/>
                      <w:highlight w:val="none"/>
                      <w:vertAlign w:val="subscript"/>
                      <w:lang w:bidi="ar"/>
                    </w:rPr>
                    <w:t>2</w:t>
                  </w:r>
                  <w:r>
                    <w:rPr>
                      <w:rFonts w:hint="default" w:ascii="Times New Roman" w:hAnsi="Times New Roman" w:cs="Times New Roman"/>
                      <w:color w:val="auto"/>
                      <w:kern w:val="0"/>
                      <w:szCs w:val="21"/>
                      <w:highlight w:val="none"/>
                      <w:lang w:bidi="ar"/>
                    </w:rPr>
                    <w:t>、硫酸雾、HCl</w:t>
                  </w:r>
                  <w:r>
                    <w:rPr>
                      <w:rFonts w:hint="default" w:ascii="Times New Roman" w:hAnsi="Times New Roman" w:cs="Times New Roman"/>
                      <w:bCs/>
                      <w:color w:val="auto"/>
                      <w:kern w:val="0"/>
                      <w:szCs w:val="21"/>
                      <w:highlight w:val="none"/>
                    </w:rPr>
                    <w:t>经</w:t>
                  </w:r>
                  <w:r>
                    <w:rPr>
                      <w:rFonts w:hint="default" w:ascii="Times New Roman" w:hAnsi="Times New Roman" w:cs="Times New Roman"/>
                      <w:color w:val="auto"/>
                      <w:szCs w:val="21"/>
                      <w:highlight w:val="none"/>
                    </w:rPr>
                    <w:t>实验室通风柜密封收集+碱液吸收+烟气干燥+二级活性炭吸附处理达标后，通过1根23m高的排气筒排放（DA001）；产生的有机废气（以非甲烷总烃计）经实验室通风柜密封收集+二级活性炭吸附处理达标后，通过1根23m高的排气筒排放（DA001）。项目各类废水分类收集，分质预处理使重金属等第一类水污染物达标后，进入1座处理规模为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/d“缺氧+接触氧化+MBR+次氯酸钠消毒”工艺的污水处理站处理达《医疗机构水污染物排放标准》</w:t>
                  </w:r>
                  <w:r>
                    <w:rPr>
                      <w:rFonts w:hint="eastAsia" w:ascii="Times New Roman" w:hAnsi="Times New Roman" w:cs="Times New Roman"/>
                      <w:color w:val="auto"/>
                      <w:szCs w:val="21"/>
                      <w:highlight w:val="none"/>
                      <w:lang w:eastAsia="zh-CN"/>
                    </w:rPr>
                    <w:t>（GB18466-2005，含2026年第1号修改单）</w:t>
                  </w:r>
                  <w:r>
                    <w:rPr>
                      <w:rFonts w:hint="default" w:ascii="Times New Roman" w:hAnsi="Times New Roman" w:cs="Times New Roman"/>
                      <w:color w:val="auto"/>
                      <w:szCs w:val="21"/>
                      <w:highlight w:val="none"/>
                    </w:rPr>
                    <w:t>中表2综合医疗机构和其他医疗机构水污染物排放限值预处理标准后，排入市政污水管网，最终进入华宁县污水处理厂。</w:t>
                  </w:r>
                </w:p>
                <w:p w14:paraId="6501633F">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6、项目不属于农用地，不属于列入建设用地土壤污染风险管控和修复名录的地块。</w:t>
                  </w:r>
                </w:p>
                <w:p w14:paraId="014967CB">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7、建立健全固体废物产生、收集、贮存、运输、利用、处置全过程的污染环境防治责任制度，按照国家有关规定建立固体废物管理台账，本项目产生的固废清运处置率100%。</w:t>
                  </w:r>
                </w:p>
                <w:p w14:paraId="781F8C8B">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8、本项目产生的</w:t>
                  </w:r>
                  <w:r>
                    <w:rPr>
                      <w:rFonts w:hint="default" w:ascii="Times New Roman" w:hAnsi="Times New Roman" w:cs="Times New Roman"/>
                      <w:color w:val="auto"/>
                      <w:kern w:val="0"/>
                      <w:szCs w:val="21"/>
                      <w:highlight w:val="none"/>
                      <w:lang w:bidi="ar"/>
                    </w:rPr>
                    <w:t>NO</w:t>
                  </w:r>
                  <w:r>
                    <w:rPr>
                      <w:rFonts w:hint="default" w:ascii="Times New Roman" w:hAnsi="Times New Roman" w:cs="Times New Roman"/>
                      <w:color w:val="auto"/>
                      <w:kern w:val="0"/>
                      <w:szCs w:val="21"/>
                      <w:highlight w:val="none"/>
                      <w:vertAlign w:val="subscript"/>
                      <w:lang w:bidi="ar"/>
                    </w:rPr>
                    <w:t>2</w:t>
                  </w:r>
                  <w:r>
                    <w:rPr>
                      <w:rFonts w:hint="default" w:ascii="Times New Roman" w:hAnsi="Times New Roman" w:cs="Times New Roman"/>
                      <w:color w:val="auto"/>
                      <w:kern w:val="0"/>
                      <w:szCs w:val="21"/>
                      <w:highlight w:val="none"/>
                      <w:lang w:bidi="ar"/>
                    </w:rPr>
                    <w:t>、硫酸雾、HCl</w:t>
                  </w:r>
                  <w:r>
                    <w:rPr>
                      <w:rFonts w:hint="default" w:ascii="Times New Roman" w:hAnsi="Times New Roman" w:cs="Times New Roman"/>
                      <w:bCs/>
                      <w:color w:val="auto"/>
                      <w:kern w:val="0"/>
                      <w:szCs w:val="21"/>
                      <w:highlight w:val="none"/>
                    </w:rPr>
                    <w:t>经</w:t>
                  </w:r>
                  <w:r>
                    <w:rPr>
                      <w:rFonts w:hint="default" w:ascii="Times New Roman" w:hAnsi="Times New Roman" w:cs="Times New Roman"/>
                      <w:color w:val="auto"/>
                      <w:szCs w:val="21"/>
                      <w:highlight w:val="none"/>
                    </w:rPr>
                    <w:t>实验室通风柜密封收集+碱液吸收+烟气干燥+二级活性炭吸附处理达标后，通过1根23m高的排气筒排放（DA001）；产生的有机废气（以非甲烷总烃计）经实验室通风柜密封收集+二级活性炭吸附处理达标后，通过1根23m高的排气筒排放（DA001）；生物实验室颗粒物（含细菌气溶胶团）经生物安全柜（含高效过滤器）+紫外消毒装置处理后，空气在生物实验室内循环。项目各类废水分类收集，分质预处理使重金属等第一类水污染物达标后，进入1座处理规模为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/d“缺氧+接触氧化+MBR+次氯酸钠消毒”工艺的污水处理站处理达《医疗机构水污染物排放标准》</w:t>
                  </w:r>
                  <w:r>
                    <w:rPr>
                      <w:rFonts w:hint="eastAsia" w:ascii="Times New Roman" w:hAnsi="Times New Roman" w:cs="Times New Roman"/>
                      <w:color w:val="auto"/>
                      <w:szCs w:val="21"/>
                      <w:highlight w:val="none"/>
                      <w:lang w:eastAsia="zh-CN"/>
                    </w:rPr>
                    <w:t>（GB18466-2005，含2026年第1号修改单）</w:t>
                  </w:r>
                  <w:r>
                    <w:rPr>
                      <w:rFonts w:hint="default" w:ascii="Times New Roman" w:hAnsi="Times New Roman" w:cs="Times New Roman"/>
                      <w:color w:val="auto"/>
                      <w:szCs w:val="21"/>
                      <w:highlight w:val="none"/>
                    </w:rPr>
                    <w:t>中表2综合医疗机构和其他医疗机构水污染物排放限值预处理标准后，排入市政污水管网，最终进入华宁县污水处理厂。</w:t>
                  </w:r>
                </w:p>
              </w:tc>
              <w:tc>
                <w:tcPr>
                  <w:tcW w:w="495" w:type="pct"/>
                  <w:vAlign w:val="center"/>
                </w:tcPr>
                <w:p w14:paraId="6D5F9A5E">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20F9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gridSpan w:val="2"/>
                  <w:vAlign w:val="center"/>
                </w:tcPr>
                <w:p w14:paraId="53BDB907">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color w:val="auto"/>
                      <w:szCs w:val="21"/>
                      <w:highlight w:val="none"/>
                    </w:rPr>
                    <w:t>环境风险防控</w:t>
                  </w:r>
                </w:p>
              </w:tc>
              <w:tc>
                <w:tcPr>
                  <w:tcW w:w="1913" w:type="pct"/>
                  <w:vAlign w:val="center"/>
                </w:tcPr>
                <w:p w14:paraId="30702799">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1、强化与其他滇中城市的大气、水污染防治联防联控协作机制，加强区域内重污染天气和跨界水体风险应急联动。</w:t>
                  </w:r>
                </w:p>
                <w:p w14:paraId="59ABDB31">
                  <w:pPr>
                    <w:rPr>
                      <w:rFonts w:hint="default" w:ascii="Times New Roman" w:hAnsi="Times New Roman" w:cs="Times New Roman"/>
                      <w:color w:val="auto"/>
                      <w:highlight w:val="none"/>
                    </w:rPr>
                  </w:pPr>
                  <w:r>
                    <w:rPr>
                      <w:rFonts w:hint="default" w:ascii="Times New Roman" w:hAnsi="Times New Roman" w:cs="Times New Roman"/>
                      <w:bCs/>
                      <w:color w:val="auto"/>
                      <w:szCs w:val="21"/>
                      <w:highlight w:val="none"/>
                    </w:rPr>
                    <w:t>2、开展涉危险废物涉重金属企业、化工园区等重点领域环境风险调查评估，加强危险化学品运输全链条安全监管。完善环境应急管理体系，提升市县两级环境应急响应能力，推进应急物资库建设。开展涉铊企业排查整治行动。建立“平战结合”医疗废物应急处置体系。</w:t>
                  </w:r>
                </w:p>
              </w:tc>
              <w:tc>
                <w:tcPr>
                  <w:tcW w:w="1981" w:type="pct"/>
                  <w:vAlign w:val="center"/>
                </w:tcPr>
                <w:p w14:paraId="3104D300">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1、项目建成后，企业将积极配合环保主管部门与其他滇中城市的大气污染防治联防联控协作，加强区域内重污染天气和跨界水体风险应急联动。</w:t>
                  </w:r>
                </w:p>
                <w:p w14:paraId="211F6591">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szCs w:val="21"/>
                      <w:highlight w:val="none"/>
                    </w:rPr>
                    <w:t>2、</w:t>
                  </w:r>
                  <w:r>
                    <w:rPr>
                      <w:rFonts w:hint="default" w:ascii="Times New Roman" w:hAnsi="Times New Roman" w:cs="Times New Roman"/>
                      <w:bCs/>
                      <w:color w:val="auto"/>
                      <w:kern w:val="0"/>
                      <w:szCs w:val="21"/>
                      <w:highlight w:val="none"/>
                    </w:rPr>
                    <w:t>项目建设完成后及时编制突发环境事件应急预案并定期进行演练，降低环境风险。</w:t>
                  </w:r>
                </w:p>
              </w:tc>
              <w:tc>
                <w:tcPr>
                  <w:tcW w:w="495" w:type="pct"/>
                  <w:vAlign w:val="center"/>
                </w:tcPr>
                <w:p w14:paraId="4C8838DA">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6BD1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9" w:type="pct"/>
                  <w:gridSpan w:val="2"/>
                  <w:vAlign w:val="center"/>
                </w:tcPr>
                <w:p w14:paraId="2D25ADFE">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color w:val="auto"/>
                      <w:szCs w:val="21"/>
                      <w:highlight w:val="none"/>
                    </w:rPr>
                    <w:t>资源开发利用效率</w:t>
                  </w:r>
                </w:p>
              </w:tc>
              <w:tc>
                <w:tcPr>
                  <w:tcW w:w="1913" w:type="pct"/>
                  <w:vAlign w:val="center"/>
                </w:tcPr>
                <w:p w14:paraId="1990C4EA">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1、降低水、土地、能源、矿产资源消耗强度，强化约束性指标管理。</w:t>
                  </w:r>
                </w:p>
                <w:p w14:paraId="61DEFE1A">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实行最严格的水资源管理制度，严格用水总量、强度指标管理，严格取水管控，建立重点监控取水单位名录，强化重点监控取水单位管理。全市年用水总量、万元工业增加值用水量降幅等指标达到省考核要求。</w:t>
                  </w:r>
                </w:p>
                <w:p w14:paraId="42C71505">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3、坚持最严格的耕地保护制度，守住耕地保护红线。坚持节约用地，严格执行耕地占补平衡等制度，提高土地投资强度和单位面积产出水平。</w:t>
                  </w:r>
                </w:p>
                <w:p w14:paraId="6A7E3808">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4、全市单位GDP二氧化碳排放累计下降率完成云南省下达的指标；单位GDP能耗持续下降，到2025年，全市单位GDP能耗累计下降率14%。</w:t>
                  </w:r>
                </w:p>
                <w:p w14:paraId="0738753C">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5、高污染燃料禁燃区按照《高污染燃料目录》及当地有关禁燃区管理规定执行。</w:t>
                  </w:r>
                </w:p>
                <w:p w14:paraId="1BF6289C">
                  <w:pPr>
                    <w:rPr>
                      <w:rFonts w:hint="default" w:ascii="Times New Roman" w:hAnsi="Times New Roman" w:cs="Times New Roman"/>
                      <w:color w:val="auto"/>
                      <w:highlight w:val="none"/>
                    </w:rPr>
                  </w:pPr>
                  <w:r>
                    <w:rPr>
                      <w:rFonts w:hint="default" w:ascii="Times New Roman" w:hAnsi="Times New Roman" w:cs="Times New Roman"/>
                      <w:bCs/>
                      <w:color w:val="auto"/>
                      <w:szCs w:val="21"/>
                      <w:highlight w:val="none"/>
                    </w:rPr>
                    <w:t>6、实施高效节水灌溉工程，大力推广高效节水灌溉措施，到2025年，农田灌溉水有效利用系数达到0.55。</w:t>
                  </w:r>
                </w:p>
              </w:tc>
              <w:tc>
                <w:tcPr>
                  <w:tcW w:w="1981" w:type="pct"/>
                  <w:vAlign w:val="center"/>
                </w:tcPr>
                <w:p w14:paraId="4D80A9C9">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1、本项目用地性质为</w:t>
                  </w:r>
                  <w:r>
                    <w:rPr>
                      <w:rFonts w:hint="default" w:ascii="Times New Roman" w:hAnsi="Times New Roman" w:cs="Times New Roman"/>
                      <w:bCs/>
                      <w:color w:val="auto"/>
                      <w:kern w:val="0"/>
                      <w:szCs w:val="21"/>
                      <w:highlight w:val="none"/>
                    </w:rPr>
                    <w:t>医疗卫生用地，已取得工规证</w:t>
                  </w:r>
                  <w:r>
                    <w:rPr>
                      <w:rFonts w:hint="default" w:ascii="Times New Roman" w:hAnsi="Times New Roman" w:cs="Times New Roman"/>
                      <w:bCs/>
                      <w:color w:val="auto"/>
                      <w:szCs w:val="21"/>
                      <w:highlight w:val="none"/>
                    </w:rPr>
                    <w:t>，不占用农用地；不涉及矿产资源消耗，用水量为</w:t>
                  </w:r>
                  <w:r>
                    <w:rPr>
                      <w:rFonts w:hint="default" w:ascii="Times New Roman" w:hAnsi="Times New Roman" w:cs="Times New Roman"/>
                      <w:bCs/>
                      <w:color w:val="auto"/>
                      <w:kern w:val="0"/>
                      <w:szCs w:val="21"/>
                      <w:highlight w:val="none"/>
                    </w:rPr>
                    <w:t>128m</w:t>
                  </w:r>
                  <w:r>
                    <w:rPr>
                      <w:rFonts w:hint="default" w:ascii="Times New Roman" w:hAnsi="Times New Roman" w:cs="Times New Roman"/>
                      <w:bCs/>
                      <w:color w:val="auto"/>
                      <w:kern w:val="0"/>
                      <w:szCs w:val="21"/>
                      <w:highlight w:val="none"/>
                      <w:vertAlign w:val="superscript"/>
                    </w:rPr>
                    <w:t>3</w:t>
                  </w:r>
                  <w:r>
                    <w:rPr>
                      <w:rFonts w:hint="default" w:ascii="Times New Roman" w:hAnsi="Times New Roman" w:cs="Times New Roman"/>
                      <w:bCs/>
                      <w:color w:val="auto"/>
                      <w:kern w:val="0"/>
                      <w:szCs w:val="21"/>
                      <w:highlight w:val="none"/>
                    </w:rPr>
                    <w:t>/a</w:t>
                  </w:r>
                  <w:r>
                    <w:rPr>
                      <w:rFonts w:hint="default" w:ascii="Times New Roman" w:hAnsi="Times New Roman" w:cs="Times New Roman"/>
                      <w:bCs/>
                      <w:color w:val="auto"/>
                      <w:szCs w:val="21"/>
                      <w:highlight w:val="none"/>
                    </w:rPr>
                    <w:t>，资源消耗强度小。</w:t>
                  </w:r>
                </w:p>
                <w:p w14:paraId="5BFE57F0">
                  <w:pPr>
                    <w:rPr>
                      <w:rFonts w:hint="default" w:ascii="Times New Roman" w:hAnsi="Times New Roman" w:cs="Times New Roman"/>
                      <w:color w:val="auto"/>
                      <w:highlight w:val="none"/>
                    </w:rPr>
                  </w:pPr>
                  <w:r>
                    <w:rPr>
                      <w:rFonts w:hint="default" w:ascii="Times New Roman" w:hAnsi="Times New Roman" w:cs="Times New Roman"/>
                      <w:bCs/>
                      <w:color w:val="auto"/>
                      <w:szCs w:val="21"/>
                      <w:highlight w:val="none"/>
                    </w:rPr>
                    <w:t>2、本项目不属于工业项目，</w:t>
                  </w:r>
                  <w:r>
                    <w:rPr>
                      <w:rFonts w:hint="default" w:ascii="Times New Roman" w:hAnsi="Times New Roman" w:cs="Times New Roman"/>
                      <w:color w:val="auto"/>
                      <w:highlight w:val="none"/>
                    </w:rPr>
                    <w:t>用水量为</w:t>
                  </w:r>
                  <w:r>
                    <w:rPr>
                      <w:rFonts w:hint="default" w:ascii="Times New Roman" w:hAnsi="Times New Roman" w:cs="Times New Roman"/>
                      <w:bCs/>
                      <w:color w:val="auto"/>
                      <w:kern w:val="0"/>
                      <w:szCs w:val="21"/>
                      <w:highlight w:val="none"/>
                    </w:rPr>
                    <w:t>128m</w:t>
                  </w:r>
                  <w:r>
                    <w:rPr>
                      <w:rFonts w:hint="default" w:ascii="Times New Roman" w:hAnsi="Times New Roman" w:cs="Times New Roman"/>
                      <w:bCs/>
                      <w:color w:val="auto"/>
                      <w:kern w:val="0"/>
                      <w:szCs w:val="21"/>
                      <w:highlight w:val="none"/>
                      <w:vertAlign w:val="superscript"/>
                    </w:rPr>
                    <w:t>3</w:t>
                  </w:r>
                  <w:r>
                    <w:rPr>
                      <w:rFonts w:hint="default" w:ascii="Times New Roman" w:hAnsi="Times New Roman" w:cs="Times New Roman"/>
                      <w:bCs/>
                      <w:color w:val="auto"/>
                      <w:kern w:val="0"/>
                      <w:szCs w:val="21"/>
                      <w:highlight w:val="none"/>
                    </w:rPr>
                    <w:t>/a，用水量较小</w:t>
                  </w:r>
                  <w:r>
                    <w:rPr>
                      <w:rFonts w:hint="default" w:ascii="Times New Roman" w:hAnsi="Times New Roman" w:cs="Times New Roman"/>
                      <w:color w:val="auto"/>
                      <w:highlight w:val="none"/>
                    </w:rPr>
                    <w:t>。</w:t>
                  </w:r>
                </w:p>
                <w:p w14:paraId="47807CC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r>
                    <w:rPr>
                      <w:rFonts w:hint="default" w:ascii="Times New Roman" w:hAnsi="Times New Roman" w:cs="Times New Roman"/>
                      <w:bCs/>
                      <w:color w:val="auto"/>
                      <w:szCs w:val="21"/>
                      <w:highlight w:val="none"/>
                    </w:rPr>
                    <w:t>项目用地性质为</w:t>
                  </w:r>
                  <w:r>
                    <w:rPr>
                      <w:rFonts w:hint="default" w:ascii="Times New Roman" w:hAnsi="Times New Roman" w:cs="Times New Roman"/>
                      <w:bCs/>
                      <w:color w:val="auto"/>
                      <w:kern w:val="0"/>
                      <w:szCs w:val="21"/>
                      <w:highlight w:val="none"/>
                    </w:rPr>
                    <w:t>医疗卫生用地</w:t>
                  </w:r>
                  <w:r>
                    <w:rPr>
                      <w:rFonts w:hint="default" w:ascii="Times New Roman" w:hAnsi="Times New Roman" w:cs="Times New Roman"/>
                      <w:color w:val="auto"/>
                      <w:szCs w:val="21"/>
                      <w:highlight w:val="none"/>
                    </w:rPr>
                    <w:t>，</w:t>
                  </w:r>
                  <w:r>
                    <w:rPr>
                      <w:rFonts w:hint="default" w:ascii="Times New Roman" w:hAnsi="Times New Roman" w:cs="Times New Roman"/>
                      <w:bCs/>
                      <w:color w:val="auto"/>
                      <w:szCs w:val="21"/>
                      <w:highlight w:val="none"/>
                    </w:rPr>
                    <w:t>不涉及耕地。</w:t>
                  </w:r>
                </w:p>
                <w:p w14:paraId="2740FD3F">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4、项目能耗小，不涉及二氧化碳排放。</w:t>
                  </w:r>
                </w:p>
                <w:p w14:paraId="034030E2">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5、本项目不涉及高污染燃料使用。</w:t>
                  </w:r>
                </w:p>
                <w:p w14:paraId="509FFD28">
                  <w:pP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szCs w:val="21"/>
                      <w:highlight w:val="none"/>
                    </w:rPr>
                    <w:t>6、本项目不涉及灌溉。</w:t>
                  </w:r>
                </w:p>
              </w:tc>
              <w:tc>
                <w:tcPr>
                  <w:tcW w:w="495" w:type="pct"/>
                  <w:vAlign w:val="center"/>
                </w:tcPr>
                <w:p w14:paraId="24BFC412">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符合</w:t>
                  </w:r>
                </w:p>
              </w:tc>
            </w:tr>
            <w:tr w14:paraId="6777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5000" w:type="pct"/>
                  <w:gridSpan w:val="5"/>
                  <w:vAlign w:val="center"/>
                </w:tcPr>
                <w:p w14:paraId="6860DFD3">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
                      <w:color w:val="auto"/>
                      <w:szCs w:val="21"/>
                      <w:highlight w:val="none"/>
                    </w:rPr>
                    <w:t>三、</w:t>
                  </w:r>
                  <w:r>
                    <w:rPr>
                      <w:rFonts w:hint="default" w:ascii="Times New Roman" w:hAnsi="Times New Roman" w:cs="Times New Roman"/>
                      <w:b/>
                      <w:bCs/>
                      <w:color w:val="auto"/>
                      <w:szCs w:val="21"/>
                      <w:highlight w:val="none"/>
                    </w:rPr>
                    <w:t>华宁县城区生活污染重点管控单元</w:t>
                  </w:r>
                </w:p>
              </w:tc>
            </w:tr>
            <w:tr w14:paraId="023C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609" w:type="pct"/>
                  <w:gridSpan w:val="2"/>
                  <w:vAlign w:val="center"/>
                </w:tcPr>
                <w:p w14:paraId="6E30DDC9">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空间布局约束</w:t>
                  </w:r>
                </w:p>
              </w:tc>
              <w:tc>
                <w:tcPr>
                  <w:tcW w:w="1913" w:type="pct"/>
                  <w:vAlign w:val="center"/>
                </w:tcPr>
                <w:p w14:paraId="63B96CDE">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1、抚仙湖流域内开发建设活动必须严格遵守《云南省抚仙湖保护条例》要求。</w:t>
                  </w:r>
                </w:p>
                <w:p w14:paraId="5B925C6F">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2、禁止在居民住宅楼、未配套设立专用烟道的商住综合楼以及商住综合楼内与居住层相邻的商业楼层内新建、改建、扩建产生油烟、异味、废气的餐饮服务项目。</w:t>
                  </w:r>
                </w:p>
                <w:p w14:paraId="18F0FBB9">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3、高污染燃料禁燃区，禁止新建、改建、扩建高污染燃料燃用设施。 </w:t>
                  </w:r>
                </w:p>
              </w:tc>
              <w:tc>
                <w:tcPr>
                  <w:tcW w:w="1981" w:type="pct"/>
                  <w:vAlign w:val="center"/>
                </w:tcPr>
                <w:p w14:paraId="6FF5A32C">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1、本项目不在抚仙湖流域内。</w:t>
                  </w:r>
                </w:p>
                <w:p w14:paraId="3D81CD50">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2、不涉及食堂油烟。</w:t>
                  </w:r>
                </w:p>
                <w:p w14:paraId="37AE597E">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3、不涉及使用高污染燃料。</w:t>
                  </w:r>
                </w:p>
              </w:tc>
              <w:tc>
                <w:tcPr>
                  <w:tcW w:w="495" w:type="pct"/>
                  <w:vAlign w:val="center"/>
                </w:tcPr>
                <w:p w14:paraId="36AC120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kern w:val="0"/>
                      <w:szCs w:val="21"/>
                      <w:highlight w:val="none"/>
                    </w:rPr>
                    <w:t>符合</w:t>
                  </w:r>
                </w:p>
              </w:tc>
            </w:tr>
            <w:tr w14:paraId="7231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609" w:type="pct"/>
                  <w:gridSpan w:val="2"/>
                  <w:vAlign w:val="center"/>
                </w:tcPr>
                <w:p w14:paraId="708E5D10">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污染物排放管控 </w:t>
                  </w:r>
                </w:p>
              </w:tc>
              <w:tc>
                <w:tcPr>
                  <w:tcW w:w="1913" w:type="pct"/>
                  <w:vAlign w:val="center"/>
                </w:tcPr>
                <w:p w14:paraId="20952A86">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1、禁止在人口集中地区、交通干线附近和其他依法需要特殊保护的区域内焚烧沥青、油毡、橡胶、塑料、皮革、秸秆、落叶、垃圾以及其他产生有毒有害烟尘和恶臭气体的物质。</w:t>
                  </w:r>
                </w:p>
                <w:p w14:paraId="158D1CE4">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2、高污染燃料禁燃区严格建筑工地施工扬尘监管，加强噪声、臭气异味、油烟、挥发性有机物等污染防治。</w:t>
                  </w:r>
                </w:p>
                <w:p w14:paraId="619A11DF">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3、实施雨污分流体制，建设海绵城市，完善城镇污水管网，扩建华宁县污水处理厂。城镇污水处理设施出水确保稳定达到《城镇污水处理厂污染物排放标准》（GB18918－2002）一级标准的A标准。</w:t>
                  </w:r>
                </w:p>
                <w:p w14:paraId="6EAC76F1">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4、全面推行建筑工地扬尘污染防治网格化管理，严格渣土运输车辆规范化管理，严格执行餐饮业油烟排放标准。</w:t>
                  </w:r>
                </w:p>
                <w:p w14:paraId="695C0112">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5、严禁洗车污水、餐饮泔水、施工泥浆等通过雨水口进入管网后直排入河。</w:t>
                  </w:r>
                </w:p>
              </w:tc>
              <w:tc>
                <w:tcPr>
                  <w:tcW w:w="1981" w:type="pct"/>
                  <w:vAlign w:val="center"/>
                </w:tcPr>
                <w:p w14:paraId="09A203C2">
                  <w:pP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1、本项不涉及焚烧沥青、油毡、橡胶、塑料、皮革、秸秆、落叶、垃圾以及其他产生有毒有害烟尘和恶臭气体的物质。</w:t>
                  </w:r>
                </w:p>
                <w:p w14:paraId="2776D26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本项目施工期采取对施工场地、入场道路进行定期洒水降尘，一天洒水不少于两次，大风天气加大频次；设置施工围挡，施工公示牌，并在施工围挡上设施喷淋降尘措施；车辆进行篷布遮盖、控制车速等措施后，能够减少施工期产生的废气对周围大气环境的影响；加强室内通风换气，油漆作业结束后，应每天进行通风换气一至二个月后使用。</w:t>
                  </w:r>
                </w:p>
                <w:p w14:paraId="1472008D">
                  <w:pPr>
                    <w:rPr>
                      <w:rFonts w:hint="default" w:ascii="Times New Roman" w:hAnsi="Times New Roman" w:cs="Times New Roman"/>
                      <w:color w:val="auto"/>
                      <w:highlight w:val="none"/>
                    </w:rPr>
                  </w:pPr>
                  <w:r>
                    <w:rPr>
                      <w:rFonts w:hint="default" w:ascii="Times New Roman" w:hAnsi="Times New Roman" w:cs="Times New Roman"/>
                      <w:color w:val="auto"/>
                      <w:highlight w:val="none"/>
                    </w:rPr>
                    <w:t>3、项目已实施雨污分流体制，项目理化实验室废水经预处理后，排入污水处理站处理；微生物实验室废水投加次氯酸钠消毒预处理后排入污水处理站处理；纯水制备系统产生的浓水排入污水处理站处理。各类废水分类收集，分质预处理使重金属等第一类水污染物达标后，进入1座处理规模为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w:t>
                  </w:r>
                  <w:r>
                    <w:rPr>
                      <w:rFonts w:hint="default" w:ascii="Times New Roman" w:hAnsi="Times New Roman" w:cs="Times New Roman"/>
                      <w:color w:val="auto"/>
                      <w:szCs w:val="21"/>
                      <w:highlight w:val="none"/>
                    </w:rPr>
                    <w:t>“缺氧+接触氧化+MBR+次氯酸钠消毒”工艺的</w:t>
                  </w:r>
                  <w:r>
                    <w:rPr>
                      <w:rFonts w:hint="default" w:ascii="Times New Roman" w:hAnsi="Times New Roman" w:cs="Times New Roman"/>
                      <w:color w:val="auto"/>
                      <w:highlight w:val="none"/>
                    </w:rPr>
                    <w:t>污水处理站处理达标后，排入市政污水管网，最终进入华宁县污水处理厂。</w:t>
                  </w:r>
                </w:p>
                <w:p w14:paraId="748BD9D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项目施工期对施工场地、入场道路进行定期洒水降尘；一天洒水不少于两次，大风天气加大频次；设置施工围挡，施工公示牌，并在施工围挡上设施喷淋降尘措施；车辆进行篷布遮盖、控制车速等措施后，能够减少施工期产生的废气对周围大气环境的影响。</w:t>
                  </w:r>
                </w:p>
                <w:p w14:paraId="3431FFC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5、本项目不设置食堂，项目施工期修建临时沉砂池，施工废水经临时沉砂池沉淀后回用于施工场地洒水降尘。</w:t>
                  </w:r>
                </w:p>
              </w:tc>
              <w:tc>
                <w:tcPr>
                  <w:tcW w:w="495" w:type="pct"/>
                  <w:vAlign w:val="center"/>
                </w:tcPr>
                <w:p w14:paraId="7D2E3EF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kern w:val="0"/>
                      <w:szCs w:val="21"/>
                      <w:highlight w:val="none"/>
                    </w:rPr>
                    <w:t>符合</w:t>
                  </w:r>
                </w:p>
              </w:tc>
            </w:tr>
            <w:tr w14:paraId="5FA3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609" w:type="pct"/>
                  <w:gridSpan w:val="2"/>
                  <w:vAlign w:val="center"/>
                </w:tcPr>
                <w:p w14:paraId="78917055">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环境风险防控</w:t>
                  </w:r>
                </w:p>
              </w:tc>
              <w:tc>
                <w:tcPr>
                  <w:tcW w:w="1913" w:type="pct"/>
                  <w:vAlign w:val="center"/>
                </w:tcPr>
                <w:p w14:paraId="7E8F6B48">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禁止建设排放重金属、“三致物”、剧毒物质污染物的项目，严格控制持久性有机污染物的项目。</w:t>
                  </w:r>
                </w:p>
              </w:tc>
              <w:tc>
                <w:tcPr>
                  <w:tcW w:w="1981" w:type="pct"/>
                  <w:vAlign w:val="center"/>
                </w:tcPr>
                <w:p w14:paraId="5F13937A">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本项目不排放重金属、“三致物”、剧毒物质污染物。</w:t>
                  </w:r>
                </w:p>
              </w:tc>
              <w:tc>
                <w:tcPr>
                  <w:tcW w:w="495" w:type="pct"/>
                  <w:vAlign w:val="center"/>
                </w:tcPr>
                <w:p w14:paraId="0D0DA5EF">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kern w:val="0"/>
                      <w:szCs w:val="21"/>
                      <w:highlight w:val="none"/>
                    </w:rPr>
                    <w:t>符合</w:t>
                  </w:r>
                </w:p>
              </w:tc>
            </w:tr>
            <w:tr w14:paraId="3C07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609" w:type="pct"/>
                  <w:gridSpan w:val="2"/>
                  <w:vAlign w:val="center"/>
                </w:tcPr>
                <w:p w14:paraId="1FEE5915">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资源开发效率要求</w:t>
                  </w:r>
                </w:p>
              </w:tc>
              <w:tc>
                <w:tcPr>
                  <w:tcW w:w="1913" w:type="pct"/>
                  <w:vAlign w:val="center"/>
                </w:tcPr>
                <w:p w14:paraId="15DC3F44">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1、完善再生利用设施及其管道，污水处理厂处理达标后出水优先回用于城市绿化。</w:t>
                  </w:r>
                </w:p>
                <w:p w14:paraId="3D73D5DE">
                  <w:pPr>
                    <w:rPr>
                      <w:rFonts w:hint="eastAsia" w:ascii="Times New Roman" w:hAnsi="Times New Roman" w:eastAsia="宋体" w:cs="Times New Roman"/>
                      <w:bCs/>
                      <w:color w:val="auto"/>
                      <w:szCs w:val="21"/>
                      <w:highlight w:val="none"/>
                      <w:lang w:eastAsia="zh-CN"/>
                    </w:rPr>
                  </w:pPr>
                  <w:r>
                    <w:rPr>
                      <w:rFonts w:hint="default" w:ascii="Times New Roman" w:hAnsi="Times New Roman" w:cs="Times New Roman"/>
                      <w:bCs/>
                      <w:color w:val="auto"/>
                      <w:szCs w:val="21"/>
                      <w:highlight w:val="none"/>
                    </w:rPr>
                    <w:t>2、推进“煤改气”、“煤改电”</w:t>
                  </w:r>
                  <w:r>
                    <w:rPr>
                      <w:rFonts w:hint="eastAsia" w:cs="Times New Roman"/>
                      <w:bCs/>
                      <w:color w:val="auto"/>
                      <w:szCs w:val="21"/>
                      <w:highlight w:val="none"/>
                      <w:lang w:eastAsia="zh-CN"/>
                    </w:rPr>
                    <w:t>。</w:t>
                  </w:r>
                </w:p>
                <w:p w14:paraId="1FE0680A">
                  <w:pPr>
                    <w:rPr>
                      <w:rFonts w:hint="eastAsia" w:ascii="Times New Roman" w:hAnsi="Times New Roman" w:eastAsia="宋体" w:cs="Times New Roman"/>
                      <w:bCs/>
                      <w:color w:val="auto"/>
                      <w:szCs w:val="21"/>
                      <w:highlight w:val="none"/>
                      <w:lang w:eastAsia="zh-CN"/>
                    </w:rPr>
                  </w:pPr>
                  <w:r>
                    <w:rPr>
                      <w:rFonts w:hint="default" w:ascii="Times New Roman" w:hAnsi="Times New Roman" w:cs="Times New Roman"/>
                      <w:bCs/>
                      <w:color w:val="auto"/>
                      <w:szCs w:val="21"/>
                      <w:highlight w:val="none"/>
                    </w:rPr>
                    <w:t>3、提高土地节约集约利用水平</w:t>
                  </w:r>
                  <w:r>
                    <w:rPr>
                      <w:rFonts w:hint="eastAsia" w:cs="Times New Roman"/>
                      <w:bCs/>
                      <w:color w:val="auto"/>
                      <w:szCs w:val="21"/>
                      <w:highlight w:val="none"/>
                      <w:lang w:eastAsia="zh-CN"/>
                    </w:rPr>
                    <w:t>。</w:t>
                  </w:r>
                </w:p>
                <w:p w14:paraId="7F03F88F">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4、全面巩固最严格水资源管理制度，全面禁止向抚仙湖取水，特殊情况下确需取水须遵守《云南省抚仙湖保护条例》相关要求。</w:t>
                  </w:r>
                </w:p>
              </w:tc>
              <w:tc>
                <w:tcPr>
                  <w:tcW w:w="1981" w:type="pct"/>
                  <w:vAlign w:val="center"/>
                </w:tcPr>
                <w:p w14:paraId="5663773D">
                  <w:pPr>
                    <w:rPr>
                      <w:rFonts w:hint="default" w:ascii="Times New Roman" w:hAnsi="Times New Roman" w:cs="Times New Roman"/>
                      <w:color w:val="auto"/>
                      <w:highlight w:val="none"/>
                    </w:rPr>
                  </w:pPr>
                  <w:r>
                    <w:rPr>
                      <w:rFonts w:hint="default" w:ascii="Times New Roman" w:hAnsi="Times New Roman" w:cs="Times New Roman"/>
                      <w:bCs/>
                      <w:color w:val="auto"/>
                      <w:szCs w:val="21"/>
                      <w:highlight w:val="none"/>
                    </w:rPr>
                    <w:t>1、项目各类废水分类收集，分质预处理使重金属等第一类水污染物达标后，进入1座处理规模为10m</w:t>
                  </w:r>
                  <w:r>
                    <w:rPr>
                      <w:rFonts w:hint="default" w:ascii="Times New Roman" w:hAnsi="Times New Roman" w:cs="Times New Roman"/>
                      <w:bCs/>
                      <w:color w:val="auto"/>
                      <w:szCs w:val="21"/>
                      <w:highlight w:val="none"/>
                      <w:vertAlign w:val="superscript"/>
                    </w:rPr>
                    <w:t>3</w:t>
                  </w:r>
                  <w:r>
                    <w:rPr>
                      <w:rFonts w:hint="default" w:ascii="Times New Roman" w:hAnsi="Times New Roman" w:cs="Times New Roman"/>
                      <w:bCs/>
                      <w:color w:val="auto"/>
                      <w:szCs w:val="21"/>
                      <w:highlight w:val="none"/>
                    </w:rPr>
                    <w:t>/d</w:t>
                  </w:r>
                  <w:r>
                    <w:rPr>
                      <w:rFonts w:hint="default" w:ascii="Times New Roman" w:hAnsi="Times New Roman" w:cs="Times New Roman"/>
                      <w:color w:val="auto"/>
                      <w:szCs w:val="21"/>
                      <w:highlight w:val="none"/>
                    </w:rPr>
                    <w:t>“缺氧接触氧化+MBR+次氯酸钠消毒”工艺的</w:t>
                  </w:r>
                  <w:r>
                    <w:rPr>
                      <w:rFonts w:hint="default" w:ascii="Times New Roman" w:hAnsi="Times New Roman" w:cs="Times New Roman"/>
                      <w:bCs/>
                      <w:color w:val="auto"/>
                      <w:szCs w:val="21"/>
                      <w:highlight w:val="none"/>
                    </w:rPr>
                    <w:t>污水处理站处理达标后，排入</w:t>
                  </w:r>
                  <w:r>
                    <w:rPr>
                      <w:rFonts w:hint="default" w:ascii="Times New Roman" w:hAnsi="Times New Roman" w:cs="Times New Roman"/>
                      <w:color w:val="auto"/>
                      <w:highlight w:val="none"/>
                    </w:rPr>
                    <w:t>市政污水管网，最终进入华宁县污水处理厂。</w:t>
                  </w:r>
                </w:p>
                <w:p w14:paraId="40E25193">
                  <w:pP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2、项目用电</w:t>
                  </w:r>
                  <w:r>
                    <w:rPr>
                      <w:rFonts w:hint="default" w:ascii="Times New Roman" w:hAnsi="Times New Roman" w:cs="Times New Roman"/>
                      <w:color w:val="auto"/>
                      <w:szCs w:val="21"/>
                      <w:highlight w:val="none"/>
                    </w:rPr>
                    <w:t>由华宁县电力公司引入，不进行燃煤供电、供气。</w:t>
                  </w:r>
                </w:p>
                <w:p w14:paraId="45605C41">
                  <w:pP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3、本项目利用地下空间建设消防水池，释放地面空间，</w:t>
                  </w:r>
                  <w:r>
                    <w:rPr>
                      <w:rFonts w:hint="default" w:ascii="Times New Roman" w:hAnsi="Times New Roman" w:cs="Times New Roman"/>
                      <w:bCs/>
                      <w:color w:val="auto"/>
                      <w:szCs w:val="21"/>
                      <w:highlight w:val="none"/>
                    </w:rPr>
                    <w:t>提高土地节约集约利用水平。</w:t>
                  </w:r>
                </w:p>
                <w:p w14:paraId="1CBFFA04">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4、本项目供水</w:t>
                  </w:r>
                  <w:r>
                    <w:rPr>
                      <w:rFonts w:hint="default" w:ascii="Times New Roman" w:hAnsi="Times New Roman" w:cs="Times New Roman"/>
                      <w:color w:val="auto"/>
                      <w:szCs w:val="21"/>
                      <w:highlight w:val="none"/>
                    </w:rPr>
                    <w:t>由市政给水管网供给，不涉及</w:t>
                  </w:r>
                  <w:r>
                    <w:rPr>
                      <w:rFonts w:hint="default" w:ascii="Times New Roman" w:hAnsi="Times New Roman" w:cs="Times New Roman"/>
                      <w:bCs/>
                      <w:color w:val="auto"/>
                      <w:szCs w:val="21"/>
                      <w:highlight w:val="none"/>
                    </w:rPr>
                    <w:t>向抚仙湖取水。</w:t>
                  </w:r>
                </w:p>
              </w:tc>
              <w:tc>
                <w:tcPr>
                  <w:tcW w:w="495" w:type="pct"/>
                  <w:vAlign w:val="center"/>
                </w:tcPr>
                <w:p w14:paraId="0BE71B1C">
                  <w:pPr>
                    <w:jc w:val="center"/>
                    <w:rPr>
                      <w:rFonts w:hint="default" w:ascii="Times New Roman" w:hAnsi="Times New Roman" w:cs="Times New Roman"/>
                      <w:b/>
                      <w:color w:val="auto"/>
                      <w:szCs w:val="21"/>
                      <w:highlight w:val="none"/>
                    </w:rPr>
                  </w:pPr>
                  <w:r>
                    <w:rPr>
                      <w:rFonts w:hint="default" w:ascii="Times New Roman" w:hAnsi="Times New Roman" w:cs="Times New Roman"/>
                      <w:bCs/>
                      <w:color w:val="auto"/>
                      <w:kern w:val="0"/>
                      <w:szCs w:val="21"/>
                      <w:highlight w:val="none"/>
                    </w:rPr>
                    <w:t>符合</w:t>
                  </w:r>
                </w:p>
              </w:tc>
            </w:tr>
          </w:tbl>
          <w:p w14:paraId="11AC7352">
            <w:pPr>
              <w:pStyle w:val="8"/>
              <w:spacing w:line="360" w:lineRule="auto"/>
              <w:ind w:firstLine="480" w:firstLineChars="200"/>
              <w:rPr>
                <w:rFonts w:hint="default" w:ascii="Times New Roman" w:hAnsi="Times New Roman" w:cs="Times New Roman"/>
                <w:b/>
                <w:bCs/>
                <w:color w:val="auto"/>
                <w:highlight w:val="none"/>
                <w:lang w:bidi="ar"/>
              </w:rPr>
            </w:pPr>
            <w:r>
              <w:rPr>
                <w:rFonts w:hint="default" w:ascii="Times New Roman" w:hAnsi="Times New Roman" w:cs="Times New Roman"/>
                <w:color w:val="auto"/>
                <w:highlight w:val="none"/>
                <w:lang w:bidi="ar"/>
              </w:rPr>
              <w:t>综上，本项目不违反《玉溪市人民政府关于印发玉溪市“三线一单”生态环境分区管控实施意见的通知》和《玉溪市生态环境分区管控动态更新调整方案（2023年）》中的相关要求。</w:t>
            </w:r>
          </w:p>
          <w:p w14:paraId="1FD0CBE9">
            <w:pPr>
              <w:autoSpaceDE w:val="0"/>
              <w:autoSpaceDN w:val="0"/>
              <w:adjustRightInd w:val="0"/>
              <w:snapToGrid w:val="0"/>
              <w:spacing w:line="360" w:lineRule="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（3）与《长江经济带发展负面清单指南（试行，2022年版)》符合性分析</w:t>
            </w:r>
          </w:p>
          <w:p w14:paraId="282B692F">
            <w:pPr>
              <w:autoSpaceDE w:val="0"/>
              <w:autoSpaceDN w:val="0"/>
              <w:adjustRightInd w:val="0"/>
              <w:snapToGrid w:val="0"/>
              <w:spacing w:before="120" w:beforeLines="50" w:line="360" w:lineRule="auto"/>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表1-3 项目与《长江经济带发展负面清单指南》符合性分析</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
              <w:gridCol w:w="4020"/>
              <w:gridCol w:w="2370"/>
              <w:gridCol w:w="901"/>
            </w:tblGrid>
            <w:tr w14:paraId="50E0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246F0B1D">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序号</w:t>
                  </w:r>
                </w:p>
              </w:tc>
              <w:tc>
                <w:tcPr>
                  <w:tcW w:w="2588" w:type="pct"/>
                  <w:vAlign w:val="center"/>
                </w:tcPr>
                <w:p w14:paraId="530A259C">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清单要求</w:t>
                  </w:r>
                </w:p>
              </w:tc>
              <w:tc>
                <w:tcPr>
                  <w:tcW w:w="1526" w:type="pct"/>
                  <w:vAlign w:val="center"/>
                </w:tcPr>
                <w:p w14:paraId="4751B5DA">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本项目情况</w:t>
                  </w:r>
                </w:p>
              </w:tc>
              <w:tc>
                <w:tcPr>
                  <w:tcW w:w="580" w:type="pct"/>
                  <w:vAlign w:val="center"/>
                </w:tcPr>
                <w:p w14:paraId="24BA406B">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是否属于</w:t>
                  </w:r>
                </w:p>
                <w:p w14:paraId="184602A5">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负面清单</w:t>
                  </w:r>
                </w:p>
              </w:tc>
            </w:tr>
            <w:tr w14:paraId="50BD0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42972292">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2588" w:type="pct"/>
                  <w:vAlign w:val="center"/>
                </w:tcPr>
                <w:p w14:paraId="3B16025F">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禁止建设不符合全国和省级港口布局规划以及港口总体规划的码头项目，禁止建设不符合《长江干线过江通道布局规划》的过长江通道项目。</w:t>
                  </w:r>
                </w:p>
              </w:tc>
              <w:tc>
                <w:tcPr>
                  <w:tcW w:w="1526" w:type="pct"/>
                  <w:vAlign w:val="center"/>
                </w:tcPr>
                <w:p w14:paraId="5665CD5A">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本项目不属于码头及长江通道项目。</w:t>
                  </w:r>
                </w:p>
              </w:tc>
              <w:tc>
                <w:tcPr>
                  <w:tcW w:w="580" w:type="pct"/>
                  <w:vAlign w:val="center"/>
                </w:tcPr>
                <w:p w14:paraId="1A83E38B">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2669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7F32153E">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2588" w:type="pct"/>
                  <w:vAlign w:val="center"/>
                </w:tcPr>
                <w:p w14:paraId="3F65F76A">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禁止在自然保护区核心区、缓冲区的岸线和河段范围内投资建设旅游和生产经营项目。禁止在风景名胜区核心景区的岸线和河段范围内投资建设与风景名胜资源保护无关的项目。</w:t>
                  </w:r>
                </w:p>
              </w:tc>
              <w:tc>
                <w:tcPr>
                  <w:tcW w:w="1526" w:type="pct"/>
                  <w:vAlign w:val="center"/>
                </w:tcPr>
                <w:p w14:paraId="45D17C24">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本项目不涉及自然保护区核心区、缓冲区，不涉及风景名胜区。</w:t>
                  </w:r>
                </w:p>
              </w:tc>
              <w:tc>
                <w:tcPr>
                  <w:tcW w:w="580" w:type="pct"/>
                  <w:vAlign w:val="center"/>
                </w:tcPr>
                <w:p w14:paraId="10945ABB">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6964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35F12551">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p>
              </w:tc>
              <w:tc>
                <w:tcPr>
                  <w:tcW w:w="2588" w:type="pct"/>
                  <w:vAlign w:val="center"/>
                </w:tcPr>
                <w:p w14:paraId="7F3164F8">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526" w:type="pct"/>
                  <w:vAlign w:val="center"/>
                </w:tcPr>
                <w:p w14:paraId="24FB886A">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本项目不涉及饮用水水源一级保护区及二级保护区。</w:t>
                  </w:r>
                </w:p>
              </w:tc>
              <w:tc>
                <w:tcPr>
                  <w:tcW w:w="580" w:type="pct"/>
                  <w:vAlign w:val="center"/>
                </w:tcPr>
                <w:p w14:paraId="60AD09F8">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5BF8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4C31323D">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w:t>
                  </w:r>
                </w:p>
              </w:tc>
              <w:tc>
                <w:tcPr>
                  <w:tcW w:w="2588" w:type="pct"/>
                  <w:vAlign w:val="center"/>
                </w:tcPr>
                <w:p w14:paraId="166131F8">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526" w:type="pct"/>
                  <w:vAlign w:val="center"/>
                </w:tcPr>
                <w:p w14:paraId="29C6A879">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本项目不涉及水产种质资源保护区、国家湿地公园。</w:t>
                  </w:r>
                </w:p>
              </w:tc>
              <w:tc>
                <w:tcPr>
                  <w:tcW w:w="580" w:type="pct"/>
                  <w:vAlign w:val="center"/>
                </w:tcPr>
                <w:p w14:paraId="4539F85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796E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6E4DDAC6">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w:t>
                  </w:r>
                </w:p>
              </w:tc>
              <w:tc>
                <w:tcPr>
                  <w:tcW w:w="2588" w:type="pct"/>
                  <w:vAlign w:val="center"/>
                </w:tcPr>
                <w:p w14:paraId="3BCEBF90">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526" w:type="pct"/>
                  <w:vAlign w:val="center"/>
                </w:tcPr>
                <w:p w14:paraId="0597C4DE">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本项目属于疾控中心实验楼建设，不属于本条所述占用河湖岸线建设项目。</w:t>
                  </w:r>
                </w:p>
              </w:tc>
              <w:tc>
                <w:tcPr>
                  <w:tcW w:w="580" w:type="pct"/>
                  <w:vAlign w:val="center"/>
                </w:tcPr>
                <w:p w14:paraId="2A682C0D">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6564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27CC681C">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w:t>
                  </w:r>
                </w:p>
              </w:tc>
              <w:tc>
                <w:tcPr>
                  <w:tcW w:w="2588" w:type="pct"/>
                  <w:vAlign w:val="center"/>
                </w:tcPr>
                <w:p w14:paraId="67C2C805">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禁止未经许可在长江干支流及湖泊新设、改设或扩大排污口。</w:t>
                  </w:r>
                </w:p>
              </w:tc>
              <w:tc>
                <w:tcPr>
                  <w:tcW w:w="1526" w:type="pct"/>
                  <w:vAlign w:val="center"/>
                </w:tcPr>
                <w:p w14:paraId="36805D74">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本项目各类废水分类收集，分质预处理使重金属等第一类水污染物达标后，进入1座处理规模为10m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w:t>
                  </w:r>
                  <w:r>
                    <w:rPr>
                      <w:rFonts w:hint="default" w:ascii="Times New Roman" w:hAnsi="Times New Roman" w:cs="Times New Roman"/>
                      <w:color w:val="auto"/>
                      <w:szCs w:val="21"/>
                      <w:highlight w:val="none"/>
                    </w:rPr>
                    <w:t>“缺氧+接触氧化+MBR+次氯酸钠消毒”工艺的</w:t>
                  </w:r>
                  <w:r>
                    <w:rPr>
                      <w:rFonts w:hint="default" w:ascii="Times New Roman" w:hAnsi="Times New Roman" w:cs="Times New Roman"/>
                      <w:color w:val="auto"/>
                      <w:highlight w:val="none"/>
                    </w:rPr>
                    <w:t>污水处理站处理达标后，排入市政污水管网，最终进入华宁县污水处理厂。不设废水直接排污口。</w:t>
                  </w:r>
                </w:p>
              </w:tc>
              <w:tc>
                <w:tcPr>
                  <w:tcW w:w="580" w:type="pct"/>
                  <w:vAlign w:val="center"/>
                </w:tcPr>
                <w:p w14:paraId="758E0BB8">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6A70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5F09FF1B">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w:t>
                  </w:r>
                </w:p>
              </w:tc>
              <w:tc>
                <w:tcPr>
                  <w:tcW w:w="2588" w:type="pct"/>
                  <w:vAlign w:val="center"/>
                </w:tcPr>
                <w:p w14:paraId="1D8C9EC1">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526" w:type="pct"/>
                  <w:vAlign w:val="center"/>
                </w:tcPr>
                <w:p w14:paraId="36B313D4">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本项目不涉及长江干支流、重要湖泊岸线。本项目属于疾控中心实验楼建设，不属于本条所述情形。</w:t>
                  </w:r>
                </w:p>
              </w:tc>
              <w:tc>
                <w:tcPr>
                  <w:tcW w:w="580" w:type="pct"/>
                  <w:vAlign w:val="center"/>
                </w:tcPr>
                <w:p w14:paraId="0F0C6AF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457B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6622D61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8</w:t>
                  </w:r>
                </w:p>
              </w:tc>
              <w:tc>
                <w:tcPr>
                  <w:tcW w:w="2588" w:type="pct"/>
                  <w:vAlign w:val="center"/>
                </w:tcPr>
                <w:p w14:paraId="617B7815">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禁止在合规园区外新建、扩建钢铁、石化、化工、焦化、建材、有色、制浆造纸等高污染项目。</w:t>
                  </w:r>
                </w:p>
              </w:tc>
              <w:tc>
                <w:tcPr>
                  <w:tcW w:w="1526" w:type="pct"/>
                  <w:vAlign w:val="center"/>
                </w:tcPr>
                <w:p w14:paraId="58BAAE05">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本项目属于疾控中心实验楼建设，不属于本条所述情形。</w:t>
                  </w:r>
                </w:p>
              </w:tc>
              <w:tc>
                <w:tcPr>
                  <w:tcW w:w="580" w:type="pct"/>
                  <w:vAlign w:val="center"/>
                </w:tcPr>
                <w:p w14:paraId="0CB2E158">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6B6AF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30CA3DFA">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w:t>
                  </w:r>
                </w:p>
              </w:tc>
              <w:tc>
                <w:tcPr>
                  <w:tcW w:w="2588" w:type="pct"/>
                  <w:vAlign w:val="center"/>
                </w:tcPr>
                <w:p w14:paraId="59B879BC">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禁止新建、扩建不符合国家石化、现代煤化工等产业布局规划的项目。</w:t>
                  </w:r>
                </w:p>
              </w:tc>
              <w:tc>
                <w:tcPr>
                  <w:tcW w:w="1526" w:type="pct"/>
                  <w:vAlign w:val="center"/>
                </w:tcPr>
                <w:p w14:paraId="1522F9F1">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本项目属于疾控中心实验楼建设，不属于本条所述情形。</w:t>
                  </w:r>
                </w:p>
              </w:tc>
              <w:tc>
                <w:tcPr>
                  <w:tcW w:w="580" w:type="pct"/>
                  <w:vAlign w:val="center"/>
                </w:tcPr>
                <w:p w14:paraId="79DB4174">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6878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14:paraId="0123781E">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w:t>
                  </w:r>
                </w:p>
              </w:tc>
              <w:tc>
                <w:tcPr>
                  <w:tcW w:w="2588" w:type="pct"/>
                  <w:vAlign w:val="center"/>
                </w:tcPr>
                <w:p w14:paraId="48C3D550">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禁止新建、扩建法律法规和相关政策明令禁止的落后产能项目。禁止新建、扩建不符合国家产能置换要求的严重过剩产能行业的项目。禁止新建、扩建不符合要求的高耗能高排放项目。</w:t>
                  </w:r>
                </w:p>
              </w:tc>
              <w:tc>
                <w:tcPr>
                  <w:tcW w:w="1526" w:type="pct"/>
                  <w:vAlign w:val="center"/>
                </w:tcPr>
                <w:p w14:paraId="1BDB43AB">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本项目属于疾控中心实验楼建设，不属于本条所述情形。</w:t>
                  </w:r>
                </w:p>
              </w:tc>
              <w:tc>
                <w:tcPr>
                  <w:tcW w:w="580" w:type="pct"/>
                  <w:vAlign w:val="center"/>
                </w:tcPr>
                <w:p w14:paraId="45BFC1C0">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bl>
          <w:p w14:paraId="7A694437">
            <w:pPr>
              <w:autoSpaceDE w:val="0"/>
              <w:autoSpaceDN w:val="0"/>
              <w:adjustRightInd w:val="0"/>
              <w:snapToGrid w:val="0"/>
              <w:spacing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根据上表可知，本项目不属于《长江经济带发展负面清单指南》（试行，2022年版）中所列的负面清单内容。</w:t>
            </w:r>
          </w:p>
          <w:p w14:paraId="336AE73F">
            <w:pPr>
              <w:autoSpaceDE w:val="0"/>
              <w:autoSpaceDN w:val="0"/>
              <w:adjustRightInd w:val="0"/>
              <w:snapToGrid w:val="0"/>
              <w:spacing w:line="360" w:lineRule="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（4）与《云南省长江经济带发展负面清单指南实施细则（试行，2022年版)》符合性分析</w:t>
            </w:r>
          </w:p>
          <w:p w14:paraId="273619B4">
            <w:pPr>
              <w:autoSpaceDE w:val="0"/>
              <w:autoSpaceDN w:val="0"/>
              <w:adjustRightInd w:val="0"/>
              <w:snapToGrid w:val="0"/>
              <w:spacing w:line="360" w:lineRule="auto"/>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表1-4 项目与《云南省长江经济带发展负面清单指南实施细则》符合性分析</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
              <w:gridCol w:w="5058"/>
              <w:gridCol w:w="1041"/>
              <w:gridCol w:w="1181"/>
            </w:tblGrid>
            <w:tr w14:paraId="5D16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6184E29C">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序号</w:t>
                  </w:r>
                </w:p>
              </w:tc>
              <w:tc>
                <w:tcPr>
                  <w:tcW w:w="3254" w:type="pct"/>
                  <w:vAlign w:val="center"/>
                </w:tcPr>
                <w:p w14:paraId="41F65ACE">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清单要求</w:t>
                  </w:r>
                </w:p>
              </w:tc>
              <w:tc>
                <w:tcPr>
                  <w:tcW w:w="670" w:type="pct"/>
                  <w:vAlign w:val="center"/>
                </w:tcPr>
                <w:p w14:paraId="23066C67">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本项目情况</w:t>
                  </w:r>
                </w:p>
              </w:tc>
              <w:tc>
                <w:tcPr>
                  <w:tcW w:w="760" w:type="pct"/>
                  <w:vAlign w:val="center"/>
                </w:tcPr>
                <w:p w14:paraId="48795D8B">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是否属于</w:t>
                  </w:r>
                </w:p>
                <w:p w14:paraId="73068B30">
                  <w:pPr>
                    <w:autoSpaceDE w:val="0"/>
                    <w:autoSpaceDN w:val="0"/>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负面清单</w:t>
                  </w:r>
                </w:p>
              </w:tc>
            </w:tr>
            <w:tr w14:paraId="1F37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4A105A7F">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3254" w:type="pct"/>
                  <w:vAlign w:val="center"/>
                </w:tcPr>
                <w:p w14:paraId="706CA5E2">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禁止建设不符合全国和省级港口布局规划以及港口总体规划的码头项目。</w:t>
                  </w:r>
                </w:p>
              </w:tc>
              <w:tc>
                <w:tcPr>
                  <w:tcW w:w="670" w:type="pct"/>
                  <w:vAlign w:val="center"/>
                </w:tcPr>
                <w:p w14:paraId="1324B096">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01972A1C">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6B2B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23322EE2">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3254" w:type="pct"/>
                  <w:vAlign w:val="center"/>
                </w:tcPr>
                <w:p w14:paraId="573D5DCB">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生态保护红线范围内投资建设项目，生态保护红线内、自然保护地核心保护区原则上禁止人为活动；其他区域严格禁止开发性、生产性建设活动。除国家重大战略资源勘查项目、生态保护修复和环境治理项目、重大基础设施项目、军事国防项目以及农牧民基本生产生活等必要的民生项目以外的项目。生态保护红线原则上按禁止开发区域的要求进行管理外，仅允许对生态功能不造成破坏的有限人为活动。</w:t>
                  </w:r>
                </w:p>
              </w:tc>
              <w:tc>
                <w:tcPr>
                  <w:tcW w:w="670" w:type="pct"/>
                  <w:vAlign w:val="center"/>
                </w:tcPr>
                <w:p w14:paraId="68441417">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本项目不涉及生态保护红线范围。</w:t>
                  </w:r>
                </w:p>
              </w:tc>
              <w:tc>
                <w:tcPr>
                  <w:tcW w:w="760" w:type="pct"/>
                  <w:vAlign w:val="center"/>
                </w:tcPr>
                <w:p w14:paraId="16C3A8B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47058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0214F062">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p>
              </w:tc>
              <w:tc>
                <w:tcPr>
                  <w:tcW w:w="3254" w:type="pct"/>
                  <w:vAlign w:val="center"/>
                </w:tcPr>
                <w:p w14:paraId="78568EE1">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自然保护区内进行砍伐、放牧、狩猎、捕捞、采药、开垦、烧荒、开矿、采石、挖沙等活动；禁止任何人进入自然保护区的核心区；禁止在自然保护区的缓冲区开展旅游和生产经营活动；严禁开设与自然保护区保护方向不一致的参观、旅游项目；在自然保护区的实验区内，不得建设污染环境、破坏资源或者景观的生产设施；自然保护区核心区，严禁任何生产经营活动；新建公路、铁路和其他基础设施不得穿越自然保护区核心区，尽量避免穿越缓冲区；禁止在自然保护区的核心区和缓冲区内建设畜禽养殖场、养殖小区。</w:t>
                  </w:r>
                </w:p>
              </w:tc>
              <w:tc>
                <w:tcPr>
                  <w:tcW w:w="670" w:type="pct"/>
                  <w:vAlign w:val="center"/>
                </w:tcPr>
                <w:p w14:paraId="2BB43F2F">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3CE8B8C7">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772F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3A37B7B0">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w:t>
                  </w:r>
                </w:p>
              </w:tc>
              <w:tc>
                <w:tcPr>
                  <w:tcW w:w="3254" w:type="pct"/>
                  <w:vAlign w:val="center"/>
                </w:tcPr>
                <w:p w14:paraId="068EAA37">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风景名胜区内进行开山、采石、开矿、开荒、修坟立碑等破坏景观、植被和地形地貌的活动以及修建储存爆炸性、易燃性、放射性、毒害性、腐蚀性物品的设施；禁止违反风景名胜区规划，在风景名胜区内设立各类开发区和在核心景区内建设宾馆、招待所、培训中心、疗养院以及与风景名胜资源保护无关的其他建筑物；禁止在风景名胜区从事与风景名胜资源无关的生产建设活动；风景名胜区内的水源、水体应当严加保护，禁止污染水源、水体，禁止擅自围、填、堵塞水面和围湖造田等；禁止在风景名胜区内建设畜禽养殖场、养殖小区。</w:t>
                  </w:r>
                </w:p>
              </w:tc>
              <w:tc>
                <w:tcPr>
                  <w:tcW w:w="670" w:type="pct"/>
                  <w:vAlign w:val="center"/>
                </w:tcPr>
                <w:p w14:paraId="2A24BA34">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5E081589">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03EF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635B5722">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w:t>
                  </w:r>
                </w:p>
              </w:tc>
              <w:tc>
                <w:tcPr>
                  <w:tcW w:w="3254" w:type="pct"/>
                  <w:vAlign w:val="center"/>
                </w:tcPr>
                <w:p w14:paraId="422A9B94">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擅自征收、占用国家湿地公园的土地。除国家另有规定外，禁止在国家湿地公园内开（围）垦、填埋或者排干湿地；截断湿地水源；挖沙、采矿，倾倒有毒有害物质、废弃物、垃圾；从事房地产、度假村、高尔夫球场、风力发电、光伏发电等任何不符合主体功能定位的建设项目和开发活动；破坏野生动物栖息地和迁徙通道、鱼类洄游通道；滥采滥捕野生动植物，引入外来物种；擅自放牧、捕捞、取土、取水、排污、放生等破坏湿地及其生态功能的活动。国家湿地公园保育区除开展保护、监测、科学研究等必需的保护管理活动外，不得进行任何与湿地生态系统保护和管理无关的其他活动。</w:t>
                  </w:r>
                </w:p>
              </w:tc>
              <w:tc>
                <w:tcPr>
                  <w:tcW w:w="670" w:type="pct"/>
                  <w:vAlign w:val="center"/>
                </w:tcPr>
                <w:p w14:paraId="779F49A4">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34D9005B">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050A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1324B16C">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w:t>
                  </w:r>
                </w:p>
              </w:tc>
              <w:tc>
                <w:tcPr>
                  <w:tcW w:w="3254" w:type="pct"/>
                  <w:vAlign w:val="center"/>
                </w:tcPr>
                <w:p w14:paraId="01B73F4D">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饮用水水源一级保护区内新建、改建、扩建与供水设施和保护水源无关的建设项目；禁止在饮用水水源一级保护区内从事网箱养殖、旅游、游泳、垂钓或者其他可能污染饮用水水体的活动。禁止在饮用水水源二级保护区内新建、改建、扩建排放污染物的建设项目；在饮用水水源二级保护区内从事网箱养殖、旅游等活动的，应当按照规定采取措施，防止污染饮用水水体。</w:t>
                  </w:r>
                </w:p>
              </w:tc>
              <w:tc>
                <w:tcPr>
                  <w:tcW w:w="670" w:type="pct"/>
                  <w:vAlign w:val="center"/>
                </w:tcPr>
                <w:p w14:paraId="6E040FE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2CE26A09">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5456C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02F5F156">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w:t>
                  </w:r>
                </w:p>
              </w:tc>
              <w:tc>
                <w:tcPr>
                  <w:tcW w:w="3254" w:type="pct"/>
                  <w:vAlign w:val="center"/>
                </w:tcPr>
                <w:p w14:paraId="30382179">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除国家明确支持的重大建设项目、军事国防类项目、交通类项目、能源类项目、水利类项目、国务院投资主管部门或国务院投资主管部门会同有关部门支持和认可的交通、能源、水利基础设施项目外,禁止在永久基本农田范围内投资建设项目。重大建设项目选址确实难以避让永久基本农田的，需在可行性研究阶段，对占用的必要性、合理性和补划方案的可行性进行严格论证，按照“数量不减、质量不降、布局稳定”的要求进行补划，报自然资源部用地预审，依法依规办理农用地转用和土地征收，和法定程序修改相应的国土空间规划用途。</w:t>
                  </w:r>
                </w:p>
              </w:tc>
              <w:tc>
                <w:tcPr>
                  <w:tcW w:w="670" w:type="pct"/>
                  <w:vAlign w:val="center"/>
                </w:tcPr>
                <w:p w14:paraId="7468DF6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764F1E9F">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28E1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1F25FF19">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8</w:t>
                  </w:r>
                </w:p>
              </w:tc>
              <w:tc>
                <w:tcPr>
                  <w:tcW w:w="3254" w:type="pct"/>
                  <w:vAlign w:val="center"/>
                </w:tcPr>
                <w:p w14:paraId="0FB8310F">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全国重要江河湖泊水功能区划》划定的河段及湖泊保护区、保留区内投资建设不利于水资源及自然生态保护的项目。禁止在金沙江、长江一级支流建设除党中央、国务院、国家投资主管部门、省级有关部门批复同意以外的过江基础设施项目；禁止未经许可在长江流域、九大高原湖泊流域新设、改设或扩大排污口，除入河（海）排污口命名与编码规则（HJ1235-2021）规定的第四类“其他排口”外。禁止在水产种质资源保护区内新建排污口，以及从事围湖造田、围湖造地或围填海工程。</w:t>
                  </w:r>
                </w:p>
              </w:tc>
              <w:tc>
                <w:tcPr>
                  <w:tcW w:w="670" w:type="pct"/>
                  <w:vAlign w:val="center"/>
                </w:tcPr>
                <w:p w14:paraId="283ED129">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0CEADB07">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5FE5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683F31DD">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w:t>
                  </w:r>
                </w:p>
              </w:tc>
              <w:tc>
                <w:tcPr>
                  <w:tcW w:w="3254" w:type="pct"/>
                  <w:vAlign w:val="center"/>
                </w:tcPr>
                <w:p w14:paraId="5B68D90E">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金沙江、赤水河、乌江和等水生动植物自然保护区、水产种质资源保护区长江流域禁捕水域开展天然渔业资源生产性捕捞。禁止开（围）垦、填埋或者排干湿地；禁止截断湿地水源、挖沙、采矿、引入外来物种；禁止擅自放牧、捕捞、取土、取水、排污、放生；禁止其他破坏湿地及其生态功能的活动。</w:t>
                  </w:r>
                </w:p>
              </w:tc>
              <w:tc>
                <w:tcPr>
                  <w:tcW w:w="670" w:type="pct"/>
                  <w:vAlign w:val="center"/>
                </w:tcPr>
                <w:p w14:paraId="605BCBE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3CA9F9EA">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09E8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7F4CE5F9">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w:t>
                  </w:r>
                </w:p>
              </w:tc>
              <w:tc>
                <w:tcPr>
                  <w:tcW w:w="3254" w:type="pct"/>
                  <w:vAlign w:val="center"/>
                </w:tcPr>
                <w:p w14:paraId="441F78BE">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金沙江、长江一级支流岸线边界一公里范围内新建、扩建化工园区和化工项目。新建化工园区充分留足与周边城镇未来扩张发展的安全距离，立足于生态工业园区建设方向，推广绿色化学和绿色化工发展模式。化工园区设立及园区产业发展规划由省级业务主管部门牵头组织专家论证后审定。</w:t>
                  </w:r>
                </w:p>
              </w:tc>
              <w:tc>
                <w:tcPr>
                  <w:tcW w:w="670" w:type="pct"/>
                  <w:vAlign w:val="center"/>
                </w:tcPr>
                <w:p w14:paraId="0667F176">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5CA6E69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12D9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38140BC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11</w:t>
                  </w:r>
                </w:p>
              </w:tc>
              <w:tc>
                <w:tcPr>
                  <w:tcW w:w="3254" w:type="pct"/>
                  <w:vAlign w:val="center"/>
                </w:tcPr>
                <w:p w14:paraId="74140098">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禁止在金沙江干流岸线3公里、长江（金沙江）一级支流岸线1公里范围内新建、改建、扩建尾矿库、冶炼渣库和磷石膏库，以提升安全、生态环境保护水平为目的的改建除外。</w:t>
                  </w:r>
                </w:p>
              </w:tc>
              <w:tc>
                <w:tcPr>
                  <w:tcW w:w="670" w:type="pct"/>
                  <w:vAlign w:val="center"/>
                </w:tcPr>
                <w:p w14:paraId="3E67AF5F">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2ABF9592">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587F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49E0C367">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w:t>
                  </w:r>
                </w:p>
              </w:tc>
              <w:tc>
                <w:tcPr>
                  <w:tcW w:w="3254" w:type="pct"/>
                  <w:vAlign w:val="center"/>
                </w:tcPr>
                <w:p w14:paraId="4EB524D4">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禁止在合规园区外新建、扩建钢铁、石化、化工、焦化、建材、有色、制浆造纸等高污染项目。禁止新增钢铁、水泥、平板玻璃等行业建设产能，确有必要建设的，应按规定实施产能等量或减量置换。</w:t>
                  </w:r>
                </w:p>
              </w:tc>
              <w:tc>
                <w:tcPr>
                  <w:tcW w:w="670" w:type="pct"/>
                  <w:vAlign w:val="center"/>
                </w:tcPr>
                <w:p w14:paraId="1652ADC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7CE0D60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4AE1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2FC1842A">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w:t>
                  </w:r>
                </w:p>
              </w:tc>
              <w:tc>
                <w:tcPr>
                  <w:tcW w:w="3254" w:type="pct"/>
                  <w:vAlign w:val="center"/>
                </w:tcPr>
                <w:p w14:paraId="2DF81B45">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新建、扩建不符合国家石化、现代煤化工等产业布局规划的项目。禁止列入《云南省城镇人口密集区危险化学品生产企业搬迁改造名单》的搬迁改造企业在原址新建、扩建危险化学品生产项目，加强搬迁入园、关闭退出企业腾退土地污染风险管控和治理修复，确保腾退土地符合规划用地土壤环境质量标准。</w:t>
                  </w:r>
                </w:p>
              </w:tc>
              <w:tc>
                <w:tcPr>
                  <w:tcW w:w="670" w:type="pct"/>
                  <w:vAlign w:val="center"/>
                </w:tcPr>
                <w:p w14:paraId="223B0201">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4CC8B55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r w14:paraId="2F76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3" w:type="pct"/>
                  <w:vAlign w:val="center"/>
                </w:tcPr>
                <w:p w14:paraId="41D240CF">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14</w:t>
                  </w:r>
                </w:p>
              </w:tc>
              <w:tc>
                <w:tcPr>
                  <w:tcW w:w="3254" w:type="pct"/>
                  <w:vAlign w:val="center"/>
                </w:tcPr>
                <w:p w14:paraId="3A0D2170">
                  <w:pPr>
                    <w:autoSpaceDE w:val="0"/>
                    <w:autoSpaceDN w:val="0"/>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新建、扩建法律法规和相关政策明令禁止的落后产能项目，依法依规淘汰不符合要求的电石炉及开放式电石炉、无化产回收的单一炼焦生产设施，依法依规淘汰不符合要求的硫铁矿制酸、硫磺制酸、黄磷生产、有钙焙烧铬化合物生产装置和有机-无机复混肥料、过磷酸钙和钙镁磷肥生产线。禁止新建、扩建不符合国家产能置换要求的严重过剩产能行业的项目。禁止新建、扩建不符合要求的高耗能高排放项目。禁止建设高毒高残留以及对环境影响大的农药原药生产装置，严格控制尿素、磷铵、电石、焦炭、黄磷、烧碱、纯碱、聚氯乙烯等行业新增产能。</w:t>
                  </w:r>
                </w:p>
              </w:tc>
              <w:tc>
                <w:tcPr>
                  <w:tcW w:w="670" w:type="pct"/>
                  <w:vAlign w:val="center"/>
                </w:tcPr>
                <w:p w14:paraId="24C8902B">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本项目不涉及</w:t>
                  </w:r>
                </w:p>
              </w:tc>
              <w:tc>
                <w:tcPr>
                  <w:tcW w:w="760" w:type="pct"/>
                  <w:vAlign w:val="center"/>
                </w:tcPr>
                <w:p w14:paraId="3D4F8A3A">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不属于</w:t>
                  </w:r>
                </w:p>
              </w:tc>
            </w:tr>
          </w:tbl>
          <w:p w14:paraId="76E297AB">
            <w:pPr>
              <w:autoSpaceDE w:val="0"/>
              <w:autoSpaceDN w:val="0"/>
              <w:adjustRightInd w:val="0"/>
              <w:snapToGrid w:val="0"/>
              <w:spacing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根据上表可知，本项目不属于《云南省长江经济带发展负面清单指南实施细则（试行，2022年版）》中所列的负面清单内容。</w:t>
            </w:r>
          </w:p>
          <w:p w14:paraId="6DE16644">
            <w:pPr>
              <w:spacing w:line="360" w:lineRule="auto"/>
              <w:rPr>
                <w:rFonts w:hint="default" w:ascii="Times New Roman" w:hAnsi="Times New Roman" w:cs="Times New Roman"/>
                <w:b/>
                <w:bCs/>
                <w:color w:val="auto"/>
                <w:kern w:val="0"/>
                <w:sz w:val="24"/>
                <w:highlight w:val="none"/>
                <w:lang w:val="zh-CN"/>
              </w:rPr>
            </w:pPr>
            <w:r>
              <w:rPr>
                <w:rFonts w:hint="default" w:ascii="Times New Roman" w:hAnsi="Times New Roman" w:cs="Times New Roman"/>
                <w:b/>
                <w:color w:val="auto"/>
                <w:sz w:val="24"/>
                <w:highlight w:val="none"/>
              </w:rPr>
              <w:t>（5）</w:t>
            </w:r>
            <w:r>
              <w:rPr>
                <w:rFonts w:hint="default" w:ascii="Times New Roman" w:hAnsi="Times New Roman" w:cs="Times New Roman"/>
                <w:b/>
                <w:bCs/>
                <w:color w:val="auto"/>
                <w:kern w:val="0"/>
                <w:sz w:val="24"/>
                <w:highlight w:val="none"/>
                <w:lang w:val="zh-CN"/>
              </w:rPr>
              <w:t>与生物安全相关规范的符合性分析</w:t>
            </w:r>
          </w:p>
          <w:p w14:paraId="7B1D3550">
            <w:pPr>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color w:val="auto"/>
                <w:sz w:val="24"/>
                <w:highlight w:val="none"/>
                <w:lang w:bidi="ar"/>
              </w:rPr>
              <w:t>根据《生物安全实验室建筑技术规范》（GB50346-2011）有关规定，根据实验室所处理的生物危害程度和采取的防护措施，生物安全实验室分为四级。微生物生物安全实验室可采用BSL-1、BSL-2、BSL-3、BSL-4表示相应级别的实验室。生物安全实验室应按下表进行分级。</w:t>
            </w:r>
          </w:p>
          <w:p w14:paraId="2A932C95">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 xml:space="preserve">表1-5 </w:t>
            </w:r>
            <w:r>
              <w:rPr>
                <w:rFonts w:hint="default" w:ascii="Times New Roman" w:hAnsi="Times New Roman" w:cs="Times New Roman"/>
                <w:b/>
                <w:color w:val="auto"/>
                <w:szCs w:val="21"/>
                <w:highlight w:val="none"/>
                <w:lang w:val="zh-CN"/>
              </w:rPr>
              <w:t>生物安全实验室的分级</w:t>
            </w:r>
          </w:p>
          <w:tbl>
            <w:tblPr>
              <w:tblStyle w:val="3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1619"/>
              <w:gridCol w:w="4174"/>
              <w:gridCol w:w="1262"/>
            </w:tblGrid>
            <w:tr w14:paraId="2486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6B2226F8">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分级</w:t>
                  </w:r>
                </w:p>
              </w:tc>
              <w:tc>
                <w:tcPr>
                  <w:tcW w:w="1042" w:type="pct"/>
                  <w:vAlign w:val="center"/>
                </w:tcPr>
                <w:p w14:paraId="183DE5F1">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生物危害程度</w:t>
                  </w:r>
                </w:p>
              </w:tc>
              <w:tc>
                <w:tcPr>
                  <w:tcW w:w="2686" w:type="pct"/>
                  <w:vAlign w:val="center"/>
                </w:tcPr>
                <w:p w14:paraId="19AB0D1E">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操作对象</w:t>
                  </w:r>
                </w:p>
              </w:tc>
              <w:tc>
                <w:tcPr>
                  <w:tcW w:w="812" w:type="pct"/>
                  <w:vAlign w:val="center"/>
                </w:tcPr>
                <w:p w14:paraId="52230513">
                  <w:pPr>
                    <w:jc w:val="center"/>
                    <w:rPr>
                      <w:rFonts w:hint="default" w:ascii="Times New Roman" w:hAnsi="Times New Roman" w:cs="Times New Roman"/>
                      <w:b/>
                      <w:color w:val="auto"/>
                      <w:sz w:val="24"/>
                      <w:highlight w:val="none"/>
                    </w:rPr>
                  </w:pPr>
                  <w:r>
                    <w:rPr>
                      <w:rFonts w:hint="default" w:ascii="Times New Roman" w:hAnsi="Times New Roman" w:cs="Times New Roman"/>
                      <w:b/>
                      <w:color w:val="auto"/>
                      <w:szCs w:val="21"/>
                      <w:highlight w:val="none"/>
                    </w:rPr>
                    <w:t>本项目</w:t>
                  </w:r>
                </w:p>
              </w:tc>
            </w:tr>
            <w:tr w14:paraId="4227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57FD1BBF">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一级</w:t>
                  </w:r>
                </w:p>
              </w:tc>
              <w:tc>
                <w:tcPr>
                  <w:tcW w:w="1042" w:type="pct"/>
                  <w:vAlign w:val="center"/>
                </w:tcPr>
                <w:p w14:paraId="241E4A07">
                  <w:pP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低个体危害，低群体危害</w:t>
                  </w:r>
                </w:p>
              </w:tc>
              <w:tc>
                <w:tcPr>
                  <w:tcW w:w="2686" w:type="pct"/>
                  <w:vAlign w:val="center"/>
                </w:tcPr>
                <w:p w14:paraId="390AA7A4">
                  <w:pP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对人体、动植物或环境危害较低，不具有对健康成人、动植物致病的致病因子。</w:t>
                  </w:r>
                </w:p>
              </w:tc>
              <w:tc>
                <w:tcPr>
                  <w:tcW w:w="812" w:type="pct"/>
                  <w:vMerge w:val="restart"/>
                  <w:vAlign w:val="center"/>
                </w:tcPr>
                <w:p w14:paraId="68CE01C9">
                  <w:pPr>
                    <w:jc w:val="center"/>
                    <w:rPr>
                      <w:rFonts w:hint="default" w:ascii="Times New Roman" w:hAnsi="Times New Roman" w:cs="Times New Roman"/>
                      <w:b/>
                      <w:color w:val="auto"/>
                      <w:szCs w:val="21"/>
                      <w:highlight w:val="none"/>
                    </w:rPr>
                  </w:pPr>
                  <w:r>
                    <w:rPr>
                      <w:rFonts w:hint="default" w:ascii="Times New Roman" w:hAnsi="Times New Roman" w:cs="Times New Roman"/>
                      <w:bCs/>
                      <w:color w:val="auto"/>
                      <w:szCs w:val="21"/>
                      <w:highlight w:val="none"/>
                    </w:rPr>
                    <w:t>根据建设单位提供的《华宁县疾病预防控制中心综合实验楼建设项目修建性详细规划设计说明》，本项目实验室为二级生物安全实验室。</w:t>
                  </w:r>
                </w:p>
              </w:tc>
            </w:tr>
            <w:tr w14:paraId="7973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7F70CCE7">
                  <w:pPr>
                    <w:jc w:val="center"/>
                    <w:rPr>
                      <w:rFonts w:hint="default" w:ascii="Times New Roman" w:hAnsi="Times New Roman" w:cs="Times New Roman"/>
                      <w:b/>
                      <w:color w:val="auto"/>
                      <w:szCs w:val="21"/>
                      <w:highlight w:val="none"/>
                    </w:rPr>
                  </w:pPr>
                  <w:r>
                    <w:rPr>
                      <w:rFonts w:hint="default" w:ascii="Times New Roman" w:hAnsi="Times New Roman" w:cs="Times New Roman"/>
                      <w:b/>
                      <w:bCs/>
                      <w:color w:val="auto"/>
                      <w:szCs w:val="21"/>
                      <w:highlight w:val="none"/>
                    </w:rPr>
                    <w:t>二级</w:t>
                  </w:r>
                </w:p>
              </w:tc>
              <w:tc>
                <w:tcPr>
                  <w:tcW w:w="1042" w:type="pct"/>
                  <w:vAlign w:val="center"/>
                </w:tcPr>
                <w:p w14:paraId="2571B075">
                  <w:pP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中等个体危害，有限群体危害</w:t>
                  </w:r>
                </w:p>
              </w:tc>
              <w:tc>
                <w:tcPr>
                  <w:tcW w:w="2686" w:type="pct"/>
                  <w:vAlign w:val="center"/>
                </w:tcPr>
                <w:p w14:paraId="158B39C5">
                  <w:pP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对人体、动植物或环境具有中等危害或具有潜在危险的致病因子，对健康成人、动物和环境不会造成严重危害。有有效的预防和治疗措施。</w:t>
                  </w:r>
                </w:p>
              </w:tc>
              <w:tc>
                <w:tcPr>
                  <w:tcW w:w="812" w:type="pct"/>
                  <w:vMerge w:val="continue"/>
                  <w:vAlign w:val="center"/>
                </w:tcPr>
                <w:p w14:paraId="1933F610">
                  <w:pPr>
                    <w:rPr>
                      <w:rFonts w:hint="default" w:ascii="Times New Roman" w:hAnsi="Times New Roman" w:cs="Times New Roman"/>
                      <w:b/>
                      <w:color w:val="auto"/>
                      <w:szCs w:val="21"/>
                      <w:highlight w:val="none"/>
                    </w:rPr>
                  </w:pPr>
                </w:p>
              </w:tc>
            </w:tr>
            <w:tr w14:paraId="34B7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5EFBD4CF">
                  <w:pPr>
                    <w:jc w:val="center"/>
                    <w:rPr>
                      <w:rFonts w:hint="default" w:ascii="Times New Roman" w:hAnsi="Times New Roman" w:cs="Times New Roman"/>
                      <w:b/>
                      <w:color w:val="auto"/>
                      <w:szCs w:val="21"/>
                      <w:highlight w:val="none"/>
                    </w:rPr>
                  </w:pPr>
                  <w:r>
                    <w:rPr>
                      <w:rFonts w:hint="default" w:ascii="Times New Roman" w:hAnsi="Times New Roman" w:cs="Times New Roman"/>
                      <w:b/>
                      <w:bCs/>
                      <w:color w:val="auto"/>
                      <w:szCs w:val="21"/>
                      <w:highlight w:val="none"/>
                    </w:rPr>
                    <w:t>三级</w:t>
                  </w:r>
                </w:p>
              </w:tc>
              <w:tc>
                <w:tcPr>
                  <w:tcW w:w="1042" w:type="pct"/>
                  <w:vAlign w:val="center"/>
                </w:tcPr>
                <w:p w14:paraId="7E1FFF82">
                  <w:pP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高个体危害，低群体危害</w:t>
                  </w:r>
                </w:p>
              </w:tc>
              <w:tc>
                <w:tcPr>
                  <w:tcW w:w="2686" w:type="pct"/>
                  <w:vAlign w:val="center"/>
                </w:tcPr>
                <w:p w14:paraId="2C9A172A">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对人体、动植物或环境具有高度危险性，主要通过气溶胶使人传染上严重的甚至是致命疾病，或对动植物和环境具有高度危害的致病因子。通常有预防治疗措施。</w:t>
                  </w:r>
                </w:p>
              </w:tc>
              <w:tc>
                <w:tcPr>
                  <w:tcW w:w="812" w:type="pct"/>
                  <w:vMerge w:val="continue"/>
                  <w:vAlign w:val="center"/>
                </w:tcPr>
                <w:p w14:paraId="2E776054">
                  <w:pPr>
                    <w:rPr>
                      <w:rFonts w:hint="default" w:ascii="Times New Roman" w:hAnsi="Times New Roman" w:cs="Times New Roman"/>
                      <w:b/>
                      <w:color w:val="auto"/>
                      <w:szCs w:val="21"/>
                      <w:highlight w:val="none"/>
                    </w:rPr>
                  </w:pPr>
                </w:p>
              </w:tc>
            </w:tr>
            <w:tr w14:paraId="6C31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764233DC">
                  <w:pPr>
                    <w:jc w:val="center"/>
                    <w:rPr>
                      <w:rFonts w:hint="default" w:ascii="Times New Roman" w:hAnsi="Times New Roman" w:cs="Times New Roman"/>
                      <w:b/>
                      <w:color w:val="auto"/>
                      <w:szCs w:val="21"/>
                      <w:highlight w:val="none"/>
                    </w:rPr>
                  </w:pPr>
                  <w:r>
                    <w:rPr>
                      <w:rFonts w:hint="default" w:ascii="Times New Roman" w:hAnsi="Times New Roman" w:cs="Times New Roman"/>
                      <w:b/>
                      <w:bCs/>
                      <w:color w:val="auto"/>
                      <w:szCs w:val="21"/>
                      <w:highlight w:val="none"/>
                    </w:rPr>
                    <w:t>四级</w:t>
                  </w:r>
                </w:p>
              </w:tc>
              <w:tc>
                <w:tcPr>
                  <w:tcW w:w="1042" w:type="pct"/>
                  <w:vAlign w:val="center"/>
                </w:tcPr>
                <w:p w14:paraId="64CC6E1D">
                  <w:pP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高个体危害，高群体危害</w:t>
                  </w:r>
                </w:p>
              </w:tc>
              <w:tc>
                <w:tcPr>
                  <w:tcW w:w="2686" w:type="pct"/>
                  <w:vAlign w:val="center"/>
                </w:tcPr>
                <w:p w14:paraId="11A93DA8">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对人体、动植物或环境具有高度危险性，通过气溶胶途径传播或传播途径不明，或未知的、危险的致病因子，没有预防治疗措施。</w:t>
                  </w:r>
                </w:p>
              </w:tc>
              <w:tc>
                <w:tcPr>
                  <w:tcW w:w="812" w:type="pct"/>
                  <w:vMerge w:val="continue"/>
                  <w:vAlign w:val="center"/>
                </w:tcPr>
                <w:p w14:paraId="24AF17D2">
                  <w:pPr>
                    <w:rPr>
                      <w:rFonts w:hint="default" w:ascii="Times New Roman" w:hAnsi="Times New Roman" w:cs="Times New Roman"/>
                      <w:b/>
                      <w:color w:val="auto"/>
                      <w:szCs w:val="21"/>
                      <w:highlight w:val="none"/>
                    </w:rPr>
                  </w:pPr>
                </w:p>
              </w:tc>
            </w:tr>
          </w:tbl>
          <w:p w14:paraId="45CEFF1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生物安全实验室建筑技术规范》（GB50346-2011）有关规定，二级实验室的设立单位须按《实验室生物安全通用要求》（GB19489-2008)、《疾病预防控制中心建筑技术规范》（GB50881-2013）和卫生部《微生物和生物医学实验室安全通用准则》（WS233-2002）要求，进行实验室的设计和建造，配置必要的生物安全防护设备。本项目与生物安全相关规范的符合性分析见下表。</w:t>
            </w:r>
          </w:p>
          <w:p w14:paraId="311BD1DE">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 xml:space="preserve">表1-6 </w:t>
            </w:r>
            <w:r>
              <w:rPr>
                <w:rFonts w:hint="default" w:ascii="Times New Roman" w:hAnsi="Times New Roman" w:cs="Times New Roman"/>
                <w:b/>
                <w:color w:val="auto"/>
                <w:szCs w:val="21"/>
                <w:highlight w:val="none"/>
                <w:lang w:val="zh-CN"/>
              </w:rPr>
              <w:t>与生物安全相关规范的符合性分析</w:t>
            </w:r>
          </w:p>
          <w:tbl>
            <w:tblPr>
              <w:tblStyle w:val="3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3502"/>
              <w:gridCol w:w="2815"/>
              <w:gridCol w:w="741"/>
            </w:tblGrid>
            <w:tr w14:paraId="69A6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134F0F50">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序号</w:t>
                  </w:r>
                </w:p>
              </w:tc>
              <w:tc>
                <w:tcPr>
                  <w:tcW w:w="2254" w:type="pct"/>
                  <w:vAlign w:val="center"/>
                </w:tcPr>
                <w:p w14:paraId="5B0B257C">
                  <w:pPr>
                    <w:widowControl/>
                    <w:jc w:val="center"/>
                    <w:rPr>
                      <w:rFonts w:hint="default" w:ascii="Times New Roman" w:hAnsi="Times New Roman" w:cs="Times New Roman"/>
                      <w:b/>
                      <w:color w:val="auto"/>
                      <w:szCs w:val="21"/>
                      <w:highlight w:val="none"/>
                    </w:rPr>
                  </w:pPr>
                  <w:r>
                    <w:rPr>
                      <w:rFonts w:hint="default" w:ascii="Times New Roman" w:hAnsi="Times New Roman" w:cs="Times New Roman"/>
                      <w:b/>
                      <w:bCs/>
                      <w:color w:val="auto"/>
                      <w:kern w:val="0"/>
                      <w:szCs w:val="21"/>
                      <w:highlight w:val="none"/>
                      <w:lang w:bidi="ar"/>
                    </w:rPr>
                    <w:t>P2级生物实验室施工要求</w:t>
                  </w:r>
                </w:p>
              </w:tc>
              <w:tc>
                <w:tcPr>
                  <w:tcW w:w="1812" w:type="pct"/>
                  <w:vAlign w:val="center"/>
                </w:tcPr>
                <w:p w14:paraId="55A9F371">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本项目情况</w:t>
                  </w:r>
                </w:p>
              </w:tc>
              <w:tc>
                <w:tcPr>
                  <w:tcW w:w="477" w:type="pct"/>
                  <w:vAlign w:val="center"/>
                </w:tcPr>
                <w:p w14:paraId="73ED1761">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符合性</w:t>
                  </w:r>
                </w:p>
              </w:tc>
            </w:tr>
            <w:tr w14:paraId="2DB3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424EB81B">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1</w:t>
                  </w:r>
                </w:p>
              </w:tc>
              <w:tc>
                <w:tcPr>
                  <w:tcW w:w="2254" w:type="pct"/>
                  <w:vAlign w:val="center"/>
                </w:tcPr>
                <w:p w14:paraId="60F9BF12">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可共用建筑物，与建筑物其他部分可相通，但应设可自动关闭的带锁的门。</w:t>
                  </w:r>
                </w:p>
              </w:tc>
              <w:tc>
                <w:tcPr>
                  <w:tcW w:w="1812" w:type="pct"/>
                  <w:vAlign w:val="center"/>
                </w:tcPr>
                <w:p w14:paraId="6823F884">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设置有自动关闭的带锁的门。</w:t>
                  </w:r>
                </w:p>
              </w:tc>
              <w:tc>
                <w:tcPr>
                  <w:tcW w:w="477" w:type="pct"/>
                  <w:vAlign w:val="center"/>
                </w:tcPr>
                <w:p w14:paraId="4701DE2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7ABA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5D35E93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2</w:t>
                  </w:r>
                </w:p>
              </w:tc>
              <w:tc>
                <w:tcPr>
                  <w:tcW w:w="2254" w:type="pct"/>
                  <w:vAlign w:val="center"/>
                </w:tcPr>
                <w:p w14:paraId="784166E7">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生物安全实验室应在入口处设置更衣室或更衣柜。</w:t>
                  </w:r>
                </w:p>
              </w:tc>
              <w:tc>
                <w:tcPr>
                  <w:tcW w:w="1812" w:type="pct"/>
                  <w:vAlign w:val="center"/>
                </w:tcPr>
                <w:p w14:paraId="0015B065">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设置有更衣室、更衣柜。</w:t>
                  </w:r>
                </w:p>
              </w:tc>
              <w:tc>
                <w:tcPr>
                  <w:tcW w:w="477" w:type="pct"/>
                  <w:vAlign w:val="center"/>
                </w:tcPr>
                <w:p w14:paraId="5B1CCB9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0277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529CB96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3</w:t>
                  </w:r>
                </w:p>
              </w:tc>
              <w:tc>
                <w:tcPr>
                  <w:tcW w:w="2254" w:type="pct"/>
                  <w:vAlign w:val="center"/>
                </w:tcPr>
                <w:p w14:paraId="61816993">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二级生物安全实验室应在实验室或实验室所在建筑物内配备高压灭菌或其他消毒灭菌器。</w:t>
                  </w:r>
                </w:p>
              </w:tc>
              <w:tc>
                <w:tcPr>
                  <w:tcW w:w="1812" w:type="pct"/>
                  <w:vAlign w:val="center"/>
                </w:tcPr>
                <w:p w14:paraId="3CBC1F58">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设置有高压灭菌装置。</w:t>
                  </w:r>
                </w:p>
              </w:tc>
              <w:tc>
                <w:tcPr>
                  <w:tcW w:w="477" w:type="pct"/>
                  <w:vAlign w:val="center"/>
                </w:tcPr>
                <w:p w14:paraId="180B3EE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603E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48B0BEB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4</w:t>
                  </w:r>
                </w:p>
              </w:tc>
              <w:tc>
                <w:tcPr>
                  <w:tcW w:w="2254" w:type="pct"/>
                  <w:vAlign w:val="center"/>
                </w:tcPr>
                <w:p w14:paraId="3F922DEE">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二级生物实验室地面应该防滑、无缝隙，不得铺设地毯。</w:t>
                  </w:r>
                </w:p>
              </w:tc>
              <w:tc>
                <w:tcPr>
                  <w:tcW w:w="1812" w:type="pct"/>
                  <w:vAlign w:val="center"/>
                </w:tcPr>
                <w:p w14:paraId="65F8E910">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二级生物实验室地面防滑、无缝隙，无铺设地毯。</w:t>
                  </w:r>
                </w:p>
              </w:tc>
              <w:tc>
                <w:tcPr>
                  <w:tcW w:w="477" w:type="pct"/>
                  <w:vAlign w:val="center"/>
                </w:tcPr>
                <w:p w14:paraId="1911F058">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07C2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4931E5F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5</w:t>
                  </w:r>
                </w:p>
              </w:tc>
              <w:tc>
                <w:tcPr>
                  <w:tcW w:w="2254" w:type="pct"/>
                  <w:vAlign w:val="center"/>
                </w:tcPr>
                <w:p w14:paraId="1A4F0A7F">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涉及可能产生致病微生物气溶胶或出现溅出 的操作均在二级生物安全柜或者其他物理抑制设备中进行，并使用个人防护设备。</w:t>
                  </w:r>
                </w:p>
              </w:tc>
              <w:tc>
                <w:tcPr>
                  <w:tcW w:w="1812" w:type="pct"/>
                  <w:vAlign w:val="center"/>
                </w:tcPr>
                <w:p w14:paraId="65526999">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涉及微生物检验、培养等生物实验室均设置二级生物安全柜。</w:t>
                  </w:r>
                </w:p>
              </w:tc>
              <w:tc>
                <w:tcPr>
                  <w:tcW w:w="477" w:type="pct"/>
                  <w:vAlign w:val="center"/>
                </w:tcPr>
                <w:p w14:paraId="25AA0D04">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71E1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3E04D81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6</w:t>
                  </w:r>
                </w:p>
              </w:tc>
              <w:tc>
                <w:tcPr>
                  <w:tcW w:w="2254" w:type="pct"/>
                  <w:vAlign w:val="center"/>
                </w:tcPr>
                <w:p w14:paraId="5AE381E9">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BSL-2生物安全实验室可设外窗进行自然通风，且外窗应设置防虫纱窗措施。</w:t>
                  </w:r>
                </w:p>
              </w:tc>
              <w:tc>
                <w:tcPr>
                  <w:tcW w:w="1812" w:type="pct"/>
                  <w:vAlign w:val="center"/>
                </w:tcPr>
                <w:p w14:paraId="64FBBC62">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设置空调系统机械通风。</w:t>
                  </w:r>
                </w:p>
              </w:tc>
              <w:tc>
                <w:tcPr>
                  <w:tcW w:w="477" w:type="pct"/>
                  <w:vAlign w:val="center"/>
                </w:tcPr>
                <w:p w14:paraId="2876D54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17F7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6E78BBD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7</w:t>
                  </w:r>
                </w:p>
              </w:tc>
              <w:tc>
                <w:tcPr>
                  <w:tcW w:w="2254" w:type="pct"/>
                  <w:vAlign w:val="center"/>
                </w:tcPr>
                <w:p w14:paraId="28CA0E7A">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实验室门应设置观察窗，并设置门锁。当实验室有压力要求时，实验室门宜开向相对压力要求较高的房间侧。</w:t>
                  </w:r>
                </w:p>
              </w:tc>
              <w:tc>
                <w:tcPr>
                  <w:tcW w:w="1812" w:type="pct"/>
                  <w:vAlign w:val="center"/>
                </w:tcPr>
                <w:p w14:paraId="6A9A3828">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实验室主入口的门能自动关闭，并设置门锁。</w:t>
                  </w:r>
                </w:p>
              </w:tc>
              <w:tc>
                <w:tcPr>
                  <w:tcW w:w="477" w:type="pct"/>
                  <w:vAlign w:val="center"/>
                </w:tcPr>
                <w:p w14:paraId="39694E9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556B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1CDB5C6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8</w:t>
                  </w:r>
                </w:p>
              </w:tc>
              <w:tc>
                <w:tcPr>
                  <w:tcW w:w="2254" w:type="pct"/>
                  <w:vAlign w:val="center"/>
                </w:tcPr>
                <w:p w14:paraId="2674A72C">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生物安全实验室的设计应充分考虑生物安全柜、高压灭菌器、污水处理设备等设备的尺寸要求，必要时应留有足够的搬运孔洞，以及设置局部隔离、防振、排热、排湿设施。</w:t>
                  </w:r>
                </w:p>
              </w:tc>
              <w:tc>
                <w:tcPr>
                  <w:tcW w:w="1812" w:type="pct"/>
                  <w:vAlign w:val="center"/>
                </w:tcPr>
                <w:p w14:paraId="643E0EF6">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生物安全实验室的设计充分考虑生物安全柜、高压灭菌器的尺寸要求，设置局部隔离、防振、排热、排湿设施。</w:t>
                  </w:r>
                </w:p>
              </w:tc>
              <w:tc>
                <w:tcPr>
                  <w:tcW w:w="477" w:type="pct"/>
                  <w:vAlign w:val="center"/>
                </w:tcPr>
                <w:p w14:paraId="3BD0D44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341C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15ABAE3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9</w:t>
                  </w:r>
                </w:p>
              </w:tc>
              <w:tc>
                <w:tcPr>
                  <w:tcW w:w="2254" w:type="pct"/>
                  <w:vAlign w:val="center"/>
                </w:tcPr>
                <w:p w14:paraId="764718B1">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在生物安全实验室的入口，应明确标示出生物防护级别、操作的致病性生物因子、实验室负责人姓名、紧急联络方式等，并应标示出国际通用生物危险符号。</w:t>
                  </w:r>
                </w:p>
              </w:tc>
              <w:tc>
                <w:tcPr>
                  <w:tcW w:w="1812" w:type="pct"/>
                  <w:vAlign w:val="center"/>
                </w:tcPr>
                <w:p w14:paraId="208B3EA8">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拟在生物安全实验室的入口标示出生物防护级别、操作的致病性生物因子、实验室负责人姓名、紧急联络方式等，并标示出国际通用生物危险符号。</w:t>
                  </w:r>
                </w:p>
              </w:tc>
              <w:tc>
                <w:tcPr>
                  <w:tcW w:w="477" w:type="pct"/>
                  <w:vAlign w:val="center"/>
                </w:tcPr>
                <w:p w14:paraId="18EF6C5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785D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46EC466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10</w:t>
                  </w:r>
                </w:p>
              </w:tc>
              <w:tc>
                <w:tcPr>
                  <w:tcW w:w="2254" w:type="pct"/>
                  <w:vAlign w:val="center"/>
                </w:tcPr>
                <w:p w14:paraId="71563BF4">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排风必须与送风连锁，采用上送下排方式。</w:t>
                  </w:r>
                </w:p>
              </w:tc>
              <w:tc>
                <w:tcPr>
                  <w:tcW w:w="1812" w:type="pct"/>
                  <w:vAlign w:val="center"/>
                </w:tcPr>
                <w:p w14:paraId="1446EB9E">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排风与送风连锁，采用上送下排方式。</w:t>
                  </w:r>
                </w:p>
              </w:tc>
              <w:tc>
                <w:tcPr>
                  <w:tcW w:w="477" w:type="pct"/>
                  <w:vAlign w:val="center"/>
                </w:tcPr>
                <w:p w14:paraId="7FC9B62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r w14:paraId="44954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14:paraId="2642CDF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11</w:t>
                  </w:r>
                </w:p>
              </w:tc>
              <w:tc>
                <w:tcPr>
                  <w:tcW w:w="2254" w:type="pct"/>
                  <w:vAlign w:val="center"/>
                </w:tcPr>
                <w:p w14:paraId="6BE440B0">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生物安全实验室防护区的给水管道应采取设 置倒流防止器或其他有限的防止回流的污染的装置，并且这些装置应设置在辅助工作区； 二级生物安全实验室应设洗手装置，并宜设置在靠近实验室的出口处，还应设紧急冲眼装置；室内给水管材宜采用不锈钢、铜管或无毒塑料管等。</w:t>
                  </w:r>
                </w:p>
              </w:tc>
              <w:tc>
                <w:tcPr>
                  <w:tcW w:w="1812" w:type="pct"/>
                  <w:vAlign w:val="center"/>
                </w:tcPr>
                <w:p w14:paraId="2E92967A">
                  <w:pPr>
                    <w:widowControl/>
                    <w:rPr>
                      <w:rFonts w:hint="default" w:ascii="Times New Roman" w:hAnsi="Times New Roman" w:cs="Times New Roman"/>
                      <w:b/>
                      <w:color w:val="auto"/>
                      <w:szCs w:val="21"/>
                      <w:highlight w:val="none"/>
                    </w:rPr>
                  </w:pPr>
                  <w:r>
                    <w:rPr>
                      <w:rFonts w:hint="default" w:ascii="Times New Roman" w:hAnsi="Times New Roman" w:cs="Times New Roman"/>
                      <w:color w:val="auto"/>
                      <w:kern w:val="0"/>
                      <w:szCs w:val="21"/>
                      <w:highlight w:val="none"/>
                      <w:lang w:bidi="ar"/>
                    </w:rPr>
                    <w:t>生物安全实验室防护区的给水管道设置倒流防止器；二级生物实验室拟设置洗手装置和紧急冲眼装置；室内给水管材采用不锈钢管。</w:t>
                  </w:r>
                </w:p>
              </w:tc>
              <w:tc>
                <w:tcPr>
                  <w:tcW w:w="477" w:type="pct"/>
                  <w:vAlign w:val="center"/>
                </w:tcPr>
                <w:p w14:paraId="48A3879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符合</w:t>
                  </w:r>
                </w:p>
              </w:tc>
            </w:tr>
          </w:tbl>
          <w:p w14:paraId="2CEAE5E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综上，本项目的建筑、装修、结构、实验室设计及设备安装均满足生物安全相关规范。</w:t>
            </w:r>
          </w:p>
          <w:p w14:paraId="4A83A1E5">
            <w:pPr>
              <w:spacing w:line="360" w:lineRule="auto"/>
              <w:rPr>
                <w:rFonts w:hint="default" w:ascii="Times New Roman" w:hAnsi="Times New Roman" w:cs="Times New Roman"/>
                <w:b/>
                <w:bCs/>
                <w:color w:val="auto"/>
                <w:sz w:val="24"/>
                <w:highlight w:val="none"/>
              </w:rPr>
            </w:pPr>
            <w:bookmarkStart w:id="4" w:name="_Hlk11854949"/>
            <w:r>
              <w:rPr>
                <w:rFonts w:hint="default" w:ascii="Times New Roman" w:hAnsi="Times New Roman" w:cs="Times New Roman"/>
                <w:b/>
                <w:bCs/>
                <w:color w:val="auto"/>
                <w:sz w:val="24"/>
                <w:highlight w:val="none"/>
              </w:rPr>
              <w:t>（6）与《医疗卫生机构消毒技术规范》相关符合性分析</w:t>
            </w:r>
          </w:p>
          <w:p w14:paraId="36E69E2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医疗卫生机构消毒技术规范》，医疗机构应加强对医务人员及消毒、灭菌工作人员的培训。培训内容应包括消毒、灭菌工作对预防和控制医院感染的意义、相关法律法规的要求、消毒与灭菌的基本原则与知识、消毒与灭菌工作中的职业防护等。</w:t>
            </w:r>
          </w:p>
          <w:p w14:paraId="484D9DA6">
            <w:pPr>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color w:val="auto"/>
                <w:sz w:val="24"/>
                <w:highlight w:val="none"/>
              </w:rPr>
              <w:t>建设单位定期开展医务人员及消毒、灭菌工作人员的培训，能有效提升中心医疗卫生服务水平。因此，项目建设与《医疗卫生机构消毒技术规范》相符合。</w:t>
            </w:r>
          </w:p>
          <w:p w14:paraId="64A5C996">
            <w:pPr>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（7）与《云南省“十四五”医疗卫生服务体系规划》相关符合性分析</w:t>
            </w:r>
          </w:p>
          <w:p w14:paraId="473368F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为进一步优化全省医疗卫生资源配置，有效提升医疗卫生服务的公平性、可及性，增强全方位全生命周期健康服务能力和重大疫情防控救治水平。</w:t>
            </w:r>
          </w:p>
          <w:p w14:paraId="1A4FA886">
            <w:pPr>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color w:val="auto"/>
                <w:sz w:val="24"/>
                <w:highlight w:val="none"/>
              </w:rPr>
              <w:t>华宁县疾病预防控制中心为提高中心疾病预防控制检测的工作效率，确保人民群众健康与安全，决定在疾病预防控制中心东侧原址旁地块新增一栋实验楼，主要开展疾病和健康危害因素的生物、物理、化学因子的检测、检定和评价，为突发公共卫生事件的应急处置、传染性疾病的诊断、疾病和健康相关危害因素的预防控制等提供技术支撑，能够增强全方位全生命周期健康服务能力和重大疫情防控救治水平。因此，项目建设符合《云南省“十四五”医疗卫生服务体系规划》的相关要求。</w:t>
            </w:r>
          </w:p>
          <w:p w14:paraId="7D00E4C2">
            <w:pPr>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（8）与《医疗废物管理条例》相关符合性分析</w:t>
            </w:r>
          </w:p>
          <w:p w14:paraId="2654DCA4">
            <w:pPr>
              <w:pStyle w:val="19"/>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b/>
                <w:color w:val="auto"/>
                <w:sz w:val="21"/>
                <w:szCs w:val="21"/>
                <w:highlight w:val="none"/>
              </w:rPr>
              <w:t>表1-7 项目与《医疗废物管理条例》相关符合性分析</w:t>
            </w:r>
          </w:p>
          <w:tbl>
            <w:tblPr>
              <w:tblStyle w:val="3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9"/>
              <w:gridCol w:w="3334"/>
              <w:gridCol w:w="3186"/>
              <w:gridCol w:w="775"/>
            </w:tblGrid>
            <w:tr w14:paraId="4CBB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20A1444A">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序号</w:t>
                  </w:r>
                </w:p>
              </w:tc>
              <w:tc>
                <w:tcPr>
                  <w:tcW w:w="2147" w:type="pct"/>
                  <w:vAlign w:val="center"/>
                </w:tcPr>
                <w:p w14:paraId="65C59403">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内容</w:t>
                  </w:r>
                </w:p>
              </w:tc>
              <w:tc>
                <w:tcPr>
                  <w:tcW w:w="2052" w:type="pct"/>
                  <w:vAlign w:val="center"/>
                </w:tcPr>
                <w:p w14:paraId="67CC1BB7">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相符性分析</w:t>
                  </w:r>
                </w:p>
              </w:tc>
              <w:tc>
                <w:tcPr>
                  <w:tcW w:w="496" w:type="pct"/>
                  <w:vAlign w:val="center"/>
                </w:tcPr>
                <w:p w14:paraId="1C503983">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符合性</w:t>
                  </w:r>
                </w:p>
              </w:tc>
            </w:tr>
            <w:tr w14:paraId="24B8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417A9D7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2147" w:type="pct"/>
                  <w:vAlign w:val="center"/>
                </w:tcPr>
                <w:p w14:paraId="17F70824">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医疗卫生机构和医疗废物集中处置单位，应当建立、健全医疗废物管理责任制，其法定代表人为第一责任人，切实履行职责，防止因医疗废物导致传染病传播和环境污染事故。</w:t>
                  </w:r>
                </w:p>
              </w:tc>
              <w:tc>
                <w:tcPr>
                  <w:tcW w:w="2052" w:type="pct"/>
                  <w:vAlign w:val="center"/>
                </w:tcPr>
                <w:p w14:paraId="7B000BDD">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华宁县疾病预防控制中心已建立、健全医疗废物管理责任制，能够防止因医疗废物导致传染病传播和环境污染事故。</w:t>
                  </w:r>
                </w:p>
              </w:tc>
              <w:tc>
                <w:tcPr>
                  <w:tcW w:w="496" w:type="pct"/>
                  <w:vAlign w:val="center"/>
                </w:tcPr>
                <w:p w14:paraId="4BD425B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04C1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4CAC5CD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2147" w:type="pct"/>
                  <w:vAlign w:val="center"/>
                </w:tcPr>
                <w:p w14:paraId="0B73573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疗卫生机构和医疗废物集中处置单位，应当制定与医疗废物安全处置有关的规章制度和在发生意外事故时的应急方案；设置监控部门或者专（兼）职人员，负责检查、督促、落实本单位医疗废物的管理工作，防止违反本条例的行为发生。</w:t>
                  </w:r>
                </w:p>
              </w:tc>
              <w:tc>
                <w:tcPr>
                  <w:tcW w:w="2052" w:type="pct"/>
                  <w:vAlign w:val="center"/>
                </w:tcPr>
                <w:p w14:paraId="62E6878A">
                  <w:pPr>
                    <w:pStyle w:val="9"/>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华宁县疾病预防控制中心已制定与医疗废物安全处置有关的规章制度，项目建设完成后及时编制突发环境事件应急预案并定期进行演练，降低环境风险；已设置监控部门负责检查、督促、落实本单位医疗废物的管理工作。</w:t>
                  </w:r>
                </w:p>
              </w:tc>
              <w:tc>
                <w:tcPr>
                  <w:tcW w:w="496" w:type="pct"/>
                  <w:vAlign w:val="center"/>
                </w:tcPr>
                <w:p w14:paraId="40EAA4C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4ECD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06C1395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p>
              </w:tc>
              <w:tc>
                <w:tcPr>
                  <w:tcW w:w="2147" w:type="pct"/>
                  <w:vAlign w:val="center"/>
                </w:tcPr>
                <w:p w14:paraId="3DC232B9">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医疗卫生机构和医疗废物集中处置单位，应当对本单位从事医疗废物收集、运送、贮存、处置等工作的人员和管理人员，进行相关法律和专业技术、安全防护以及紧急处理等知识的培训。</w:t>
                  </w:r>
                </w:p>
              </w:tc>
              <w:tc>
                <w:tcPr>
                  <w:tcW w:w="2052" w:type="pct"/>
                  <w:vAlign w:val="center"/>
                </w:tcPr>
                <w:p w14:paraId="5E20B4CD">
                  <w:pPr>
                    <w:pStyle w:val="9"/>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t>华宁县疾病预防控制中心会定期对从事医疗废物收集、运送、贮存的工作人员和管理人员，进行相关法律和专业技术、安全防护以及紧急处理等知识的培训。</w:t>
                  </w:r>
                </w:p>
              </w:tc>
              <w:tc>
                <w:tcPr>
                  <w:tcW w:w="496" w:type="pct"/>
                  <w:vAlign w:val="center"/>
                </w:tcPr>
                <w:p w14:paraId="27C51542">
                  <w:pPr>
                    <w:pStyle w:val="9"/>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t>符合</w:t>
                  </w:r>
                </w:p>
              </w:tc>
            </w:tr>
            <w:tr w14:paraId="5E3A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369BD68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w:t>
                  </w:r>
                </w:p>
              </w:tc>
              <w:tc>
                <w:tcPr>
                  <w:tcW w:w="2147" w:type="pct"/>
                  <w:vAlign w:val="center"/>
                </w:tcPr>
                <w:p w14:paraId="1381EEE9">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和医疗废物集中处置单位，应当采取有效的职业卫生防护措施，为从事医疗废物收集、运送、贮存、处置的工作人员和管理人员，配备必要的防护用品，定期进行健康检查；必要时，对有关人员进行免疫接种，防止其受到健康损害。</w:t>
                  </w:r>
                </w:p>
              </w:tc>
              <w:tc>
                <w:tcPr>
                  <w:tcW w:w="2052" w:type="pct"/>
                  <w:vAlign w:val="center"/>
                </w:tcPr>
                <w:p w14:paraId="7AB70967">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华宁县疾病预防控制中心已采取有效的职业卫生防护措施，为从事医疗废物收集、运送、贮存、处置的工作人员和管理人员，配备必要的防护用品，并定期进行健康检查。</w:t>
                  </w:r>
                </w:p>
              </w:tc>
              <w:tc>
                <w:tcPr>
                  <w:tcW w:w="496" w:type="pct"/>
                  <w:vAlign w:val="center"/>
                </w:tcPr>
                <w:p w14:paraId="5AF0AD6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3995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7567EB1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w:t>
                  </w:r>
                </w:p>
              </w:tc>
              <w:tc>
                <w:tcPr>
                  <w:tcW w:w="2147" w:type="pct"/>
                  <w:vAlign w:val="center"/>
                </w:tcPr>
                <w:p w14:paraId="2EB25122">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医疗卫生机构和医疗废物集中处置单位，应当依照《中华人民共和国固体废物污染环境防治法》的规定，执行危险废物转移联单管理制度。</w:t>
                  </w:r>
                </w:p>
              </w:tc>
              <w:tc>
                <w:tcPr>
                  <w:tcW w:w="2052" w:type="pct"/>
                  <w:vAlign w:val="center"/>
                </w:tcPr>
                <w:p w14:paraId="09DF4A5D">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华宁县疾病预防控制中心已按要求执行危险废物转移联单管理制度。</w:t>
                  </w:r>
                </w:p>
              </w:tc>
              <w:tc>
                <w:tcPr>
                  <w:tcW w:w="496" w:type="pct"/>
                  <w:vAlign w:val="center"/>
                </w:tcPr>
                <w:p w14:paraId="5634906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061D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366C473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w:t>
                  </w:r>
                </w:p>
              </w:tc>
              <w:tc>
                <w:tcPr>
                  <w:tcW w:w="2147" w:type="pct"/>
                  <w:vAlign w:val="center"/>
                </w:tcPr>
                <w:p w14:paraId="72F3DC1E">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医疗卫生机构和医疗废物集中处置单位，应当对医疗废物进行登记，登记内容应当包括医疗废物的来源、种类、重量或者数量、交接时间、处置方法、最终去向以及经办人签名等项目。登记资料至少保存3年。</w:t>
                  </w:r>
                </w:p>
              </w:tc>
              <w:tc>
                <w:tcPr>
                  <w:tcW w:w="2052" w:type="pct"/>
                  <w:vAlign w:val="center"/>
                </w:tcPr>
                <w:p w14:paraId="10506961">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华宁县疾病预防控制中心已对医疗废物进行登记，登记内容包括医疗废物的来源、种类、数量、交接时间、处置方法、最终去向以及经办人签名，并且登记资料至少保存3年。</w:t>
                  </w:r>
                </w:p>
              </w:tc>
              <w:tc>
                <w:tcPr>
                  <w:tcW w:w="496" w:type="pct"/>
                  <w:vAlign w:val="center"/>
                </w:tcPr>
                <w:p w14:paraId="77E7791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076F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2DFE6E9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w:t>
                  </w:r>
                </w:p>
              </w:tc>
              <w:tc>
                <w:tcPr>
                  <w:tcW w:w="2147" w:type="pct"/>
                  <w:vAlign w:val="center"/>
                </w:tcPr>
                <w:p w14:paraId="14E59B2F">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医疗卫生机构和医疗废物集中处置单位，应当采取有效措施，防止医疗废物流失、泄漏、扩散。</w:t>
                  </w:r>
                </w:p>
              </w:tc>
              <w:tc>
                <w:tcPr>
                  <w:tcW w:w="2052" w:type="pct"/>
                  <w:vAlign w:val="center"/>
                </w:tcPr>
                <w:p w14:paraId="477F0502">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华宁县疾病预防控制中心已按要求设置一个3.5m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kern w:val="0"/>
                      <w:szCs w:val="21"/>
                      <w:highlight w:val="none"/>
                    </w:rPr>
                    <w:t>医疗固废暂存间，用来暂存医疗废物，防止医疗废物流失、泄漏、扩散。</w:t>
                  </w:r>
                </w:p>
              </w:tc>
              <w:tc>
                <w:tcPr>
                  <w:tcW w:w="496" w:type="pct"/>
                  <w:vAlign w:val="center"/>
                </w:tcPr>
                <w:p w14:paraId="6EEFFAA3">
                  <w:pPr>
                    <w:pStyle w:val="9"/>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t>符合</w:t>
                  </w:r>
                </w:p>
              </w:tc>
            </w:tr>
            <w:tr w14:paraId="61B0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4D79F05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8</w:t>
                  </w:r>
                </w:p>
              </w:tc>
              <w:tc>
                <w:tcPr>
                  <w:tcW w:w="2147" w:type="pct"/>
                  <w:vAlign w:val="center"/>
                </w:tcPr>
                <w:p w14:paraId="5A05119D">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禁止任何单位和个人转让、买卖医疗废物。</w:t>
                  </w:r>
                </w:p>
              </w:tc>
              <w:tc>
                <w:tcPr>
                  <w:tcW w:w="2052" w:type="pct"/>
                  <w:vAlign w:val="center"/>
                </w:tcPr>
                <w:p w14:paraId="0F81AB19">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华宁县疾病预防控制中心不进行转让、买卖医疗废物。</w:t>
                  </w:r>
                </w:p>
              </w:tc>
              <w:tc>
                <w:tcPr>
                  <w:tcW w:w="496" w:type="pct"/>
                  <w:vAlign w:val="center"/>
                </w:tcPr>
                <w:p w14:paraId="7C8DA99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4ADB3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506E302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w:t>
                  </w:r>
                </w:p>
              </w:tc>
              <w:tc>
                <w:tcPr>
                  <w:tcW w:w="2147" w:type="pct"/>
                  <w:vAlign w:val="center"/>
                </w:tcPr>
                <w:p w14:paraId="2E393C5A">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禁止邮寄医疗废物。</w:t>
                  </w:r>
                </w:p>
              </w:tc>
              <w:tc>
                <w:tcPr>
                  <w:tcW w:w="2052" w:type="pct"/>
                  <w:vAlign w:val="center"/>
                </w:tcPr>
                <w:p w14:paraId="64CD24C8">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华宁县疾病预防控制中心不涉及邮寄医疗废物。</w:t>
                  </w:r>
                </w:p>
              </w:tc>
              <w:tc>
                <w:tcPr>
                  <w:tcW w:w="496" w:type="pct"/>
                  <w:vAlign w:val="center"/>
                </w:tcPr>
                <w:p w14:paraId="2D08EF9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6DC2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5706565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w:t>
                  </w:r>
                </w:p>
              </w:tc>
              <w:tc>
                <w:tcPr>
                  <w:tcW w:w="2147" w:type="pct"/>
                  <w:vAlign w:val="center"/>
                </w:tcPr>
                <w:p w14:paraId="292BDC9E">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医疗卫生机构应当及时收集本单位产生的医疗废物，并按照类别分置于防渗漏、防锐器穿透的专用包装物或者密闭的容器内。</w:t>
                  </w:r>
                </w:p>
              </w:tc>
              <w:tc>
                <w:tcPr>
                  <w:tcW w:w="2052" w:type="pct"/>
                  <w:vAlign w:val="center"/>
                </w:tcPr>
                <w:p w14:paraId="12BB6108">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华宁县疾病预防控制中心已按要求及时收集产生的医疗废物，并按照类别分置于防渗漏、防锐器穿透的专用包装物或者密闭的容器内。</w:t>
                  </w:r>
                </w:p>
              </w:tc>
              <w:tc>
                <w:tcPr>
                  <w:tcW w:w="496" w:type="pct"/>
                  <w:vAlign w:val="center"/>
                </w:tcPr>
                <w:p w14:paraId="39863C4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62CB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302" w:type="pct"/>
                  <w:vAlign w:val="center"/>
                </w:tcPr>
                <w:p w14:paraId="5BB5028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11</w:t>
                  </w:r>
                </w:p>
              </w:tc>
              <w:tc>
                <w:tcPr>
                  <w:tcW w:w="2147" w:type="pct"/>
                  <w:vAlign w:val="center"/>
                </w:tcPr>
                <w:p w14:paraId="4A2E7FE8">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医疗卫生机构应当建立医疗废物的暂时贮存设施、设备，不得露天存放医疗废物；医疗废物暂时贮存的时间不得超过2天。</w:t>
                  </w:r>
                </w:p>
              </w:tc>
              <w:tc>
                <w:tcPr>
                  <w:tcW w:w="2052" w:type="pct"/>
                  <w:vAlign w:val="center"/>
                </w:tcPr>
                <w:p w14:paraId="74EDCE14">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华宁县疾病预防控制中心已按要求设置一个3.5m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kern w:val="0"/>
                      <w:szCs w:val="21"/>
                      <w:highlight w:val="none"/>
                    </w:rPr>
                    <w:t>医疗固废暂存间，用来暂存医疗废物，并且暂存时间不超过2天。</w:t>
                  </w:r>
                </w:p>
              </w:tc>
              <w:tc>
                <w:tcPr>
                  <w:tcW w:w="496" w:type="pct"/>
                  <w:vAlign w:val="center"/>
                </w:tcPr>
                <w:p w14:paraId="6207DD8F">
                  <w:pPr>
                    <w:pStyle w:val="9"/>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t>符合</w:t>
                  </w:r>
                </w:p>
              </w:tc>
            </w:tr>
            <w:tr w14:paraId="5887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38D44C2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w:t>
                  </w:r>
                </w:p>
              </w:tc>
              <w:tc>
                <w:tcPr>
                  <w:tcW w:w="2147" w:type="pct"/>
                  <w:vAlign w:val="center"/>
                </w:tcPr>
                <w:p w14:paraId="437A66BC">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医疗卫生机构应当使用防渗漏、防遗撒的专用运送工具，按照本单位确定的内部医疗废物运送时间、路线，将医疗废物收集、运送至暂时贮存地点。</w:t>
                  </w:r>
                </w:p>
              </w:tc>
              <w:tc>
                <w:tcPr>
                  <w:tcW w:w="2052" w:type="pct"/>
                  <w:vAlign w:val="center"/>
                </w:tcPr>
                <w:p w14:paraId="49C409B8">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华宁县疾病预防控制中心使用防渗漏、防遗撒的专用运送工具，按照已确定的内部医疗废物运送时间、路线，将医疗废物收集、运送至3.5m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kern w:val="0"/>
                      <w:szCs w:val="21"/>
                      <w:highlight w:val="none"/>
                    </w:rPr>
                    <w:t>医疗固废暂存间。</w:t>
                  </w:r>
                </w:p>
              </w:tc>
              <w:tc>
                <w:tcPr>
                  <w:tcW w:w="496" w:type="pct"/>
                  <w:vAlign w:val="center"/>
                </w:tcPr>
                <w:p w14:paraId="00B5C65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4CD5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69266C1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w:t>
                  </w:r>
                </w:p>
              </w:tc>
              <w:tc>
                <w:tcPr>
                  <w:tcW w:w="2147" w:type="pct"/>
                  <w:vAlign w:val="center"/>
                </w:tcPr>
                <w:p w14:paraId="020DEF73">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医疗卫生机构应当根据就近集中处置的原则，及时将医疗废物交由医疗废物集中处置单位处置。</w:t>
                  </w:r>
                </w:p>
              </w:tc>
              <w:tc>
                <w:tcPr>
                  <w:tcW w:w="2052" w:type="pct"/>
                  <w:vAlign w:val="center"/>
                </w:tcPr>
                <w:p w14:paraId="6BA7C59F">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华宁县疾病预防控制中心已定期将医疗废物交由玉溪兴洁垃圾处理有限公司处置。</w:t>
                  </w:r>
                </w:p>
              </w:tc>
              <w:tc>
                <w:tcPr>
                  <w:tcW w:w="496" w:type="pct"/>
                  <w:vAlign w:val="center"/>
                </w:tcPr>
                <w:p w14:paraId="1E556378">
                  <w:pPr>
                    <w:pStyle w:val="9"/>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t>符合</w:t>
                  </w:r>
                </w:p>
              </w:tc>
            </w:tr>
            <w:tr w14:paraId="018E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3FA6604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14</w:t>
                  </w:r>
                </w:p>
              </w:tc>
              <w:tc>
                <w:tcPr>
                  <w:tcW w:w="2147" w:type="pct"/>
                  <w:vAlign w:val="center"/>
                </w:tcPr>
                <w:p w14:paraId="6CC8E4CD">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医疗卫生机构产生的污水、传染病病人或者疑似传染病病人的排泄物，应当按照国家规定严格消毒；达到国家规定的排放标准后，方可排入污水处理系统。</w:t>
                  </w:r>
                </w:p>
              </w:tc>
              <w:tc>
                <w:tcPr>
                  <w:tcW w:w="2052" w:type="pct"/>
                  <w:vAlign w:val="center"/>
                </w:tcPr>
                <w:p w14:paraId="71FE7838">
                  <w:pP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华宁县疾病预防控制中心不设置传染病房。产生的酸碱废水、含重金属废水、含氰废水、含微生物病原体等废水分类收集，分质预处理后，进入1座处理规模为10m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/d“缺氧+接触氧化+MBR+次氯酸钠消毒”工艺的污水处理站处理达《医疗机构水污染物排放标准》</w:t>
                  </w:r>
                  <w:r>
                    <w:rPr>
                      <w:rFonts w:hint="eastAsia" w:ascii="Times New Roman" w:hAnsi="Times New Roman" w:cs="Times New Roman"/>
                      <w:color w:val="auto"/>
                      <w:szCs w:val="21"/>
                      <w:highlight w:val="none"/>
                      <w:lang w:eastAsia="zh-CN"/>
                    </w:rPr>
                    <w:t>（GB18466-2005，含2026年第1号修改单）</w:t>
                  </w:r>
                  <w:r>
                    <w:rPr>
                      <w:rFonts w:hint="default" w:ascii="Times New Roman" w:hAnsi="Times New Roman" w:cs="Times New Roman"/>
                      <w:color w:val="auto"/>
                      <w:szCs w:val="21"/>
                      <w:highlight w:val="none"/>
                    </w:rPr>
                    <w:t>中表2标准后，排入市政污水管网，最终进入华宁县污水处理厂。</w:t>
                  </w:r>
                </w:p>
              </w:tc>
              <w:tc>
                <w:tcPr>
                  <w:tcW w:w="496" w:type="pct"/>
                  <w:vAlign w:val="center"/>
                </w:tcPr>
                <w:p w14:paraId="4A56DDF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67A8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 w:type="pct"/>
                  <w:vAlign w:val="center"/>
                </w:tcPr>
                <w:p w14:paraId="54D24F4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15</w:t>
                  </w:r>
                </w:p>
              </w:tc>
              <w:tc>
                <w:tcPr>
                  <w:tcW w:w="2147" w:type="pct"/>
                  <w:vAlign w:val="center"/>
                </w:tcPr>
                <w:p w14:paraId="23382180">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不具备集中处置医疗废物条件的农村，医疗卫生机构应当按照县级人民政府卫生行政主管部门、环境保护行政主管部门的要求，自行就地处置其产生的医疗废物。</w:t>
                  </w:r>
                </w:p>
              </w:tc>
              <w:tc>
                <w:tcPr>
                  <w:tcW w:w="2052" w:type="pct"/>
                  <w:vAlign w:val="center"/>
                </w:tcPr>
                <w:p w14:paraId="3B69EE1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不涉及</w:t>
                  </w:r>
                </w:p>
              </w:tc>
              <w:tc>
                <w:tcPr>
                  <w:tcW w:w="496" w:type="pct"/>
                  <w:vAlign w:val="center"/>
                </w:tcPr>
                <w:p w14:paraId="69E0945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41A3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4FB72F71">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备注：其它与项目无关项未列入</w:t>
                  </w:r>
                </w:p>
              </w:tc>
            </w:tr>
          </w:tbl>
          <w:p w14:paraId="46BBC58D">
            <w:pPr>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color w:val="auto"/>
                <w:sz w:val="24"/>
                <w:highlight w:val="none"/>
              </w:rPr>
              <w:t>根据上表，项目建设符合《医疗废物管理条例》的相关要求。</w:t>
            </w:r>
          </w:p>
          <w:p w14:paraId="325268DD">
            <w:pPr>
              <w:autoSpaceDE w:val="0"/>
              <w:autoSpaceDN w:val="0"/>
              <w:adjustRightInd w:val="0"/>
              <w:snapToGrid w:val="0"/>
              <w:spacing w:line="360" w:lineRule="auto"/>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（9）与《医院污水处理工程技术规范》（HJ2029-2013）符合性分析</w:t>
            </w:r>
          </w:p>
          <w:p w14:paraId="1E8DC226">
            <w:pPr>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表1-8  项目与《医院污水处理工程技术规范》（HJ2029-2013）相关符合性分析</w:t>
            </w:r>
          </w:p>
          <w:tbl>
            <w:tblPr>
              <w:tblStyle w:val="3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
              <w:gridCol w:w="4230"/>
              <w:gridCol w:w="2304"/>
              <w:gridCol w:w="760"/>
            </w:tblGrid>
            <w:tr w14:paraId="1837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3F5DF9CE">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序号</w:t>
                  </w:r>
                </w:p>
              </w:tc>
              <w:tc>
                <w:tcPr>
                  <w:tcW w:w="2723" w:type="pct"/>
                  <w:vAlign w:val="center"/>
                </w:tcPr>
                <w:p w14:paraId="1345310D">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内容</w:t>
                  </w:r>
                </w:p>
              </w:tc>
              <w:tc>
                <w:tcPr>
                  <w:tcW w:w="1483" w:type="pct"/>
                  <w:vAlign w:val="center"/>
                </w:tcPr>
                <w:p w14:paraId="607771B3">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相符性分析</w:t>
                  </w:r>
                </w:p>
              </w:tc>
              <w:tc>
                <w:tcPr>
                  <w:tcW w:w="489" w:type="pct"/>
                  <w:vAlign w:val="center"/>
                </w:tcPr>
                <w:p w14:paraId="6151BFC9">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符合性</w:t>
                  </w:r>
                </w:p>
              </w:tc>
            </w:tr>
            <w:tr w14:paraId="34D9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1F950F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2723" w:type="pct"/>
                  <w:vAlign w:val="center"/>
                </w:tcPr>
                <w:p w14:paraId="548D2D24">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医院污水处理工程设计应遵循以下原则：（1）全过程控制，减量化原则；</w:t>
                  </w:r>
                </w:p>
                <w:p w14:paraId="7C37D516">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（2）分类收集、分质处理，就地达标原则；（3）风险控制，无害化原则。</w:t>
                  </w:r>
                </w:p>
              </w:tc>
              <w:tc>
                <w:tcPr>
                  <w:tcW w:w="1483" w:type="pct"/>
                  <w:vAlign w:val="center"/>
                </w:tcPr>
                <w:p w14:paraId="04F6B524">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理化实验室废水、微生物实验室废水分类收集、分质处理，重金属等第一类废水预处理设施排放口达标后与生活污水一同汇入依托现有的污水处理站处理达标后排放周边市政管网最后进入华宁县第一污水处理厂处理。整体全观察控制，风险全过程无害化管控。</w:t>
                  </w:r>
                </w:p>
              </w:tc>
              <w:tc>
                <w:tcPr>
                  <w:tcW w:w="489" w:type="pct"/>
                  <w:vAlign w:val="center"/>
                </w:tcPr>
                <w:p w14:paraId="078FDB3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0C31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0A634CF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2723" w:type="pct"/>
                  <w:vAlign w:val="center"/>
                </w:tcPr>
                <w:p w14:paraId="1E8C4FD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医院污水处理过程产生的污泥、废渣的堆放应符合《医疗废物集中处置技术规范》HJ/T177-2005及HJ/T 276-2006的有关规定。渗出液、沥下液应收集并返回调节池。</w:t>
                  </w:r>
                </w:p>
              </w:tc>
              <w:tc>
                <w:tcPr>
                  <w:tcW w:w="1483" w:type="pct"/>
                  <w:vAlign w:val="center"/>
                </w:tcPr>
                <w:p w14:paraId="07DF8FC0">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依托污水处理站污泥、废渣经污泥池脱水后使用固定容积盛装后暂存于现有项目危废暂存间，符合《医疗废物集中处置技术规范》HJ/T177-2005及HJ/T 276-2006的有关规定。渗出液、沥下液应返回调节池处理处置。</w:t>
                  </w:r>
                </w:p>
              </w:tc>
              <w:tc>
                <w:tcPr>
                  <w:tcW w:w="489" w:type="pct"/>
                  <w:vAlign w:val="center"/>
                </w:tcPr>
                <w:p w14:paraId="269A656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1A98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5538B45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p>
              </w:tc>
              <w:tc>
                <w:tcPr>
                  <w:tcW w:w="2723" w:type="pct"/>
                  <w:vAlign w:val="center"/>
                </w:tcPr>
                <w:p w14:paraId="7B6C2647">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传染病医院污水应在预消毒后采用二级处理+消毒工艺或二级处理+深度处理+消毒工艺</w:t>
                  </w:r>
                </w:p>
              </w:tc>
              <w:tc>
                <w:tcPr>
                  <w:tcW w:w="1483" w:type="pct"/>
                  <w:vAlign w:val="center"/>
                </w:tcPr>
                <w:p w14:paraId="7F057178">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为县级疾控中心，虽然不属于传染病医院，但涉及微生物等传染性指标检测。微生物实验室废水经次氯酸钠预消毒后与其它废水进入依托现有的污水处理站处理达标后排放周边市政管网最后进入华宁县第一污水处理厂处理。污水处理站在二级生化处理后配套有次氯酸钠消毒工艺，该工艺符合本技术规范要求</w:t>
                  </w:r>
                </w:p>
              </w:tc>
              <w:tc>
                <w:tcPr>
                  <w:tcW w:w="489" w:type="pct"/>
                  <w:vAlign w:val="center"/>
                </w:tcPr>
                <w:p w14:paraId="0EDEF638">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符合</w:t>
                  </w:r>
                </w:p>
              </w:tc>
            </w:tr>
            <w:tr w14:paraId="34BD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64715C0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w:t>
                  </w:r>
                </w:p>
              </w:tc>
              <w:tc>
                <w:tcPr>
                  <w:tcW w:w="2723" w:type="pct"/>
                  <w:vAlign w:val="center"/>
                </w:tcPr>
                <w:p w14:paraId="6BE47F30">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特殊性质污水应分类收集，足量后单独预处理，再排入医院污水处理系统。预处理方法分别为：</w:t>
                  </w:r>
                </w:p>
                <w:p w14:paraId="37F03DF0">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（1）酸性污水来源于医院检验或制作化学清洗剂时使用硝酸、硫酸、过氯酸、一氯乙酸等酸性物质而产生的污水。</w:t>
                  </w:r>
                </w:p>
                <w:p w14:paraId="1684F070">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酸性废水宜采取中和法。中和剂可选用氧化钠、石灰等，中和至值7~8后排入医院污水处理系统。</w:t>
                  </w:r>
                </w:p>
                <w:p w14:paraId="0508C0C6">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（2）含氰污水来源于医院在血液、血清、细菌和化学检查分析时使用氣化钾、化钠、铁氰化钾、亚铁氰化钾等含氟化合物而产生的污水。</w:t>
                  </w:r>
                </w:p>
                <w:p w14:paraId="3BD8155E">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含氰废水宜采用碱式氯化法。含废水处理槽有效容积应能容纳不小于半年的污水量。</w:t>
                  </w:r>
                </w:p>
                <w:p w14:paraId="6BB87BC8">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（3）含汞污水来源于医院各种口腔门诊治疗、含汞监测仪器破损、分析检查和诊断中使用氯化高汞、硝酸高汞以及硫氰酸高汞等剧毒物质而产生少量污水。</w:t>
                  </w:r>
                </w:p>
                <w:p w14:paraId="1F71902F">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含汞废水宜采用硫化钠沉淀+活性炭吸附法。再经活性炭吸附后，出水汞浓度符合相关排放标准后方可进入医院污水处理系统。含汞浓度低于0.02mg。</w:t>
                  </w:r>
                </w:p>
                <w:p w14:paraId="62B51D89">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含铬污水来源于医院在病理、血液检查及化验等工作中使用重铬酸钾、三氧化铬、铬酸钾等化学品形成污水。含铬废水宜采用化学还原沉淀法。处理后出水中六价铬浓度符合相关排放标准后方可进入医院污水处理系统。含量小于0.5mg。</w:t>
                  </w:r>
                </w:p>
                <w:p w14:paraId="593AEF07">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（5）洗印污水来源于医院放射科照片胶片洗印加工产生洗印污水和废液。</w:t>
                  </w:r>
                </w:p>
                <w:p w14:paraId="44F0CCB7">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显影污水宜采用过氧化氢氧化法。处理后出水中六价铬浓度符合相关排放标准后方可进入医院污水处理系统。洗印显影废液收集后应交由专业处理危险固体废物的单位处理。</w:t>
                  </w:r>
                </w:p>
                <w:p w14:paraId="64EA54E8">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（6）放射性废水处理</w:t>
                  </w:r>
                </w:p>
                <w:p w14:paraId="0CC82C9D">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a)放射性废水来源于同位素治疗和诊断产生放射性污水。放射性废水浓度范围为3.7×10</w:t>
                  </w:r>
                  <w:r>
                    <w:rPr>
                      <w:rFonts w:hint="default" w:ascii="Times New Roman" w:hAnsi="Times New Roman" w:cs="Times New Roman"/>
                      <w:color w:val="auto"/>
                      <w:kern w:val="0"/>
                      <w:szCs w:val="21"/>
                      <w:highlight w:val="none"/>
                      <w:vertAlign w:val="superscript"/>
                    </w:rPr>
                    <w:t>2</w:t>
                  </w:r>
                  <w:r>
                    <w:rPr>
                      <w:rFonts w:hint="default" w:ascii="Times New Roman" w:hAnsi="Times New Roman" w:cs="Times New Roman"/>
                      <w:color w:val="auto"/>
                      <w:kern w:val="0"/>
                      <w:szCs w:val="21"/>
                      <w:highlight w:val="none"/>
                    </w:rPr>
                    <w:t xml:space="preserve"> Bq/L~3.7×10</w:t>
                  </w:r>
                  <w:r>
                    <w:rPr>
                      <w:rFonts w:hint="default" w:ascii="Times New Roman" w:hAnsi="Times New Roman" w:cs="Times New Roman"/>
                      <w:color w:val="auto"/>
                      <w:kern w:val="0"/>
                      <w:szCs w:val="21"/>
                      <w:highlight w:val="none"/>
                      <w:vertAlign w:val="superscript"/>
                    </w:rPr>
                    <w:t>5</w:t>
                  </w:r>
                  <w:r>
                    <w:rPr>
                      <w:rFonts w:hint="default" w:ascii="Times New Roman" w:hAnsi="Times New Roman" w:cs="Times New Roman"/>
                      <w:color w:val="auto"/>
                      <w:kern w:val="0"/>
                      <w:szCs w:val="21"/>
                      <w:highlight w:val="none"/>
                    </w:rPr>
                    <w:t>Bq/L。</w:t>
                  </w:r>
                </w:p>
                <w:p w14:paraId="76643ED3">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b)放射性废水处理设施出口监测值应满足总a&lt;1Bq，总B&lt;10Bq。</w:t>
                  </w:r>
                </w:p>
                <w:p w14:paraId="7ECB22E7">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c)同位素治疗排放的放射性废水应单独收集，可直接排入衰变池。</w:t>
                  </w:r>
                </w:p>
                <w:p w14:paraId="5206FAAB">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d)收集放射性废水的管道应采用耐腐蚀的特种管道，一般为不锈钢管或塑料管。衰变池应防渗防腐。</w:t>
                  </w:r>
                </w:p>
                <w:p w14:paraId="4306BC12">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e)衰变池按运行方式可分为间歇式和连续式，衰变池按使用的同位素种类和强度设计。衰变池的容积按最长半衰期同位素的10个半衰期计算，或按同位素的衰变公式计算。</w:t>
                  </w:r>
                </w:p>
                <w:p w14:paraId="70CB4A9C">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f)放射性废水处理后直接排放，不进入医院污水综合处理系统。</w:t>
                  </w:r>
                </w:p>
              </w:tc>
              <w:tc>
                <w:tcPr>
                  <w:tcW w:w="1483" w:type="pct"/>
                  <w:vAlign w:val="center"/>
                </w:tcPr>
                <w:p w14:paraId="41FA305E">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（1）项目理化实验室酸性废水采用实验室内1m3/d实验室废水预处理系统中和预处理后排入污水处理站；</w:t>
                  </w:r>
                </w:p>
                <w:p w14:paraId="361E5CFE">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（2）含氰废水主要来源于检测药剂乙腈、二氯异氰尿酸钠、水中氰成分分析标准物质（50ug/ml）、铁氰化钾等检测药剂中所含氰化物，以上药剂年用量分别是1000ml、4g、4ml、22g，本环评要求含氰废水采用不低于1m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的碱性氯化法破氰槽内单独预处理达标后排入污水处理站，满足本技术规范要求。</w:t>
                  </w:r>
                </w:p>
                <w:p w14:paraId="45E243C1">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（3）（4）项目不设口腔门诊，项目含重金属废水主要来源于理化实验室检验检测，本环评要求，理化实验室含重金属废水在1m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的化学沉淀池预处理达标后排入污水处理站，满足本技术规范要求。</w:t>
                  </w:r>
                </w:p>
                <w:p w14:paraId="144E27E5">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（5）（6）本项目不含洗印废水、放射性废水。</w:t>
                  </w:r>
                </w:p>
              </w:tc>
              <w:tc>
                <w:tcPr>
                  <w:tcW w:w="489" w:type="pct"/>
                  <w:vAlign w:val="center"/>
                </w:tcPr>
                <w:p w14:paraId="155D3B6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20A6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70F429F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w:t>
                  </w:r>
                </w:p>
              </w:tc>
              <w:tc>
                <w:tcPr>
                  <w:tcW w:w="2723" w:type="pct"/>
                  <w:vAlign w:val="center"/>
                </w:tcPr>
                <w:p w14:paraId="61FAF1C6">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消毒：医院污水消毒可采用的消毒方法有液氯消毒、二氧化氯消毒、次氯酸钠消毒、臭氧消毒和紫外线消毒。各种常用方法的适用性及特点比较见附录A。含氯消毒剂消毒：</w:t>
                  </w:r>
                </w:p>
                <w:p w14:paraId="731A1B4F">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a)含氯消毒剂消毒系统应参照GB50014的有关规定进行设计。应根据设计处理工艺流程，按最不利情况进行组合，校核实际接触时间，以满足设计要求。</w:t>
                  </w:r>
                </w:p>
                <w:p w14:paraId="4B96927F">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b)接触消毒池的容积应满足接触时间和污泥沉积的要求。传染病医院污水接触消毒时间不宜小于1.5h，非传染病医院污水接触消毒时间不宜小于1.0h。</w:t>
                  </w:r>
                </w:p>
                <w:p w14:paraId="6A7EE215">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c)医院污水消毒可采用连续式消毒或间歇式消毒方式。连续式接触消毒池有效容积为污水容积和污泥容积之和。间歇式接触消毒池的总有效容积应根据工作班次、消毒周期确定，一般宜为调节池容积的1/2。</w:t>
                  </w:r>
                </w:p>
                <w:p w14:paraId="20B43891">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接触消毒池一般分为两格，每格容积为总容积的一半。池内应设导流墙(板)，避免短流。导流墙(板)的净距应根据水量和维修空间要求确定，一般为600~700mm。接触池的长宽比不宜小于20：1。接触池出口处应设取样口。</w:t>
                  </w:r>
                </w:p>
                <w:p w14:paraId="3CEACC99">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e)一级强化处理工艺出水的参考加氯量(以有效氯计)一般为30~50mg。二级处理及深度处理工艺出水的参考加氯量一般为15~25mg。运行中应根据余氯量和实际水质、水量实验确定氯投加量。</w:t>
                  </w:r>
                </w:p>
                <w:p w14:paraId="16B7CCB8">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f)加药设备至少为2套，1用1备。</w:t>
                  </w:r>
                </w:p>
                <w:p w14:paraId="24357F18">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g)液氯消毒适用于处理出水排入市政污水管网的医院污水处理系统。当医院污水处理出水排至地表水体时应采取脱氯措施或慎用氯消毒。</w:t>
                  </w:r>
                </w:p>
                <w:p w14:paraId="335983CD">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h)液氧消毒不宜用于人口稠密区医院及小规模医院的污水消毒，可用于远离人口聚居区的规模较大（&gt;1000床）、管理水平较高的医院污水消毒处理。</w:t>
                  </w:r>
                </w:p>
                <w:p w14:paraId="0C221F46">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i)电解法、化学法二氧化氯消毒及电解法次氯酸钠消毒适用于各种规模医院污水的消毒处理，但要求管理水平较高。</w:t>
                  </w:r>
                </w:p>
                <w:p w14:paraId="14168511">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i)漂粉精、漂白粉适用于规模&lt;300床的经济欠发达地区医院污水处理消毒系统。</w:t>
                  </w:r>
                </w:p>
              </w:tc>
              <w:tc>
                <w:tcPr>
                  <w:tcW w:w="1483" w:type="pct"/>
                  <w:vAlign w:val="center"/>
                </w:tcPr>
                <w:p w14:paraId="3EFB9F56">
                  <w:pP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项目属于县级疾控中心，不属于传染病医院，但涉及微生物等传染性指标检测。经计算微生物实验室废水量为0.62m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/d，废水设置1m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预消毒池加次氯酸钠预消毒后，与其它污水一同进入污水处理站处理达标后排入市政污水管网，最终进入华宁县污水处理厂。依托现有改造后的10m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/d污水处理站配套有消毒池，消毒池容积为2.75m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，消毒工艺采用次氯酸钠消毒。经计算预消毒池及污水处理站消毒池接触消毒时间大于1.5h。消毒工艺、消毒药剂浓度满足本规范要求。</w:t>
                  </w:r>
                </w:p>
              </w:tc>
              <w:tc>
                <w:tcPr>
                  <w:tcW w:w="489" w:type="pct"/>
                  <w:vAlign w:val="center"/>
                </w:tcPr>
                <w:p w14:paraId="561C8EF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bl>
          <w:p w14:paraId="2E2BEE9B">
            <w:pPr>
              <w:autoSpaceDE w:val="0"/>
              <w:autoSpaceDN w:val="0"/>
              <w:adjustRightInd w:val="0"/>
              <w:snapToGrid w:val="0"/>
              <w:spacing w:line="360" w:lineRule="auto"/>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（10）与《排污许可申请与核发技术规范 医疗机构》（HJ1105-2020）符合性分析</w:t>
            </w:r>
          </w:p>
          <w:p w14:paraId="666D7C5C">
            <w:pPr>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表1-9  项目与《排污许可申请与核发技术规范 医疗机构》（HJ1105-2020）相关符合性分析</w:t>
            </w:r>
          </w:p>
          <w:tbl>
            <w:tblPr>
              <w:tblStyle w:val="3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
              <w:gridCol w:w="471"/>
              <w:gridCol w:w="552"/>
              <w:gridCol w:w="1111"/>
              <w:gridCol w:w="2379"/>
              <w:gridCol w:w="1756"/>
              <w:gridCol w:w="968"/>
            </w:tblGrid>
            <w:tr w14:paraId="444F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vAlign w:val="center"/>
                </w:tcPr>
                <w:p w14:paraId="2E91F6D4">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类别</w:t>
                  </w:r>
                </w:p>
              </w:tc>
              <w:tc>
                <w:tcPr>
                  <w:tcW w:w="2904" w:type="pct"/>
                  <w:gridSpan w:val="4"/>
                  <w:vAlign w:val="center"/>
                </w:tcPr>
                <w:p w14:paraId="30B6F909">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相关要求</w:t>
                  </w:r>
                </w:p>
              </w:tc>
              <w:tc>
                <w:tcPr>
                  <w:tcW w:w="1130" w:type="pct"/>
                  <w:vAlign w:val="center"/>
                </w:tcPr>
                <w:p w14:paraId="248CAB67">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符合性分析</w:t>
                  </w:r>
                </w:p>
              </w:tc>
              <w:tc>
                <w:tcPr>
                  <w:tcW w:w="623" w:type="pct"/>
                  <w:vAlign w:val="center"/>
                </w:tcPr>
                <w:p w14:paraId="439849B0">
                  <w:pPr>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符合性结论</w:t>
                  </w:r>
                </w:p>
              </w:tc>
            </w:tr>
            <w:tr w14:paraId="5196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 w:hRule="atLeast"/>
              </w:trPr>
              <w:tc>
                <w:tcPr>
                  <w:tcW w:w="342" w:type="pct"/>
                  <w:vMerge w:val="restart"/>
                  <w:vAlign w:val="center"/>
                </w:tcPr>
                <w:p w14:paraId="7E61022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废水</w:t>
                  </w:r>
                </w:p>
              </w:tc>
              <w:tc>
                <w:tcPr>
                  <w:tcW w:w="303" w:type="pct"/>
                  <w:vMerge w:val="restart"/>
                  <w:vAlign w:val="center"/>
                </w:tcPr>
                <w:p w14:paraId="6A9CBC0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特殊医疗废水</w:t>
                  </w:r>
                </w:p>
              </w:tc>
              <w:tc>
                <w:tcPr>
                  <w:tcW w:w="355" w:type="pct"/>
                  <w:vAlign w:val="center"/>
                </w:tcPr>
                <w:p w14:paraId="19E6505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传染性污水</w:t>
                  </w:r>
                </w:p>
              </w:tc>
              <w:tc>
                <w:tcPr>
                  <w:tcW w:w="715" w:type="pct"/>
                  <w:vAlign w:val="center"/>
                </w:tcPr>
                <w:p w14:paraId="6DE7EA1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肠道致病菌、肠道病毒、结核杆菌</w:t>
                  </w:r>
                </w:p>
              </w:tc>
              <w:tc>
                <w:tcPr>
                  <w:tcW w:w="1530" w:type="pct"/>
                  <w:vAlign w:val="center"/>
                </w:tcPr>
                <w:p w14:paraId="750C189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消毒工艺：加氯消毒，臭氧法消毒，次氯酸钠法、二氧化氯法消毒、紫外线消毒等。</w:t>
                  </w:r>
                </w:p>
              </w:tc>
              <w:tc>
                <w:tcPr>
                  <w:tcW w:w="1130" w:type="pct"/>
                  <w:vAlign w:val="center"/>
                </w:tcPr>
                <w:p w14:paraId="6C19624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微生物实验室预消毒采用次氯酸钠法消毒</w:t>
                  </w:r>
                </w:p>
              </w:tc>
              <w:tc>
                <w:tcPr>
                  <w:tcW w:w="623" w:type="pct"/>
                  <w:vMerge w:val="restart"/>
                  <w:vAlign w:val="center"/>
                </w:tcPr>
                <w:p w14:paraId="24DD1C6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41657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342" w:type="pct"/>
                  <w:vMerge w:val="continue"/>
                  <w:vAlign w:val="center"/>
                </w:tcPr>
                <w:p w14:paraId="571EED48">
                  <w:pPr>
                    <w:jc w:val="center"/>
                    <w:rPr>
                      <w:rFonts w:hint="default" w:ascii="Times New Roman" w:hAnsi="Times New Roman" w:cs="Times New Roman"/>
                      <w:color w:val="auto"/>
                      <w:kern w:val="0"/>
                      <w:szCs w:val="21"/>
                      <w:highlight w:val="none"/>
                    </w:rPr>
                  </w:pPr>
                </w:p>
              </w:tc>
              <w:tc>
                <w:tcPr>
                  <w:tcW w:w="303" w:type="pct"/>
                  <w:vMerge w:val="continue"/>
                  <w:vAlign w:val="center"/>
                </w:tcPr>
                <w:p w14:paraId="5881C443">
                  <w:pPr>
                    <w:jc w:val="center"/>
                    <w:rPr>
                      <w:rFonts w:hint="default" w:ascii="Times New Roman" w:hAnsi="Times New Roman" w:cs="Times New Roman"/>
                      <w:color w:val="auto"/>
                      <w:kern w:val="0"/>
                      <w:szCs w:val="21"/>
                      <w:highlight w:val="none"/>
                    </w:rPr>
                  </w:pPr>
                </w:p>
              </w:tc>
              <w:tc>
                <w:tcPr>
                  <w:tcW w:w="355" w:type="pct"/>
                  <w:vAlign w:val="center"/>
                </w:tcPr>
                <w:p w14:paraId="055327C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实验检验污水</w:t>
                  </w:r>
                </w:p>
              </w:tc>
              <w:tc>
                <w:tcPr>
                  <w:tcW w:w="715" w:type="pct"/>
                  <w:vAlign w:val="center"/>
                </w:tcPr>
                <w:p w14:paraId="6229537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总隔、总铭、六价铬、总、总铅、总汞</w:t>
                  </w:r>
                </w:p>
              </w:tc>
              <w:tc>
                <w:tcPr>
                  <w:tcW w:w="1530" w:type="pct"/>
                  <w:vAlign w:val="center"/>
                </w:tcPr>
                <w:p w14:paraId="6674883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中和法（酸性、碱性）、吸附法、溶剂萃取法、氧化分解法、分离法、Na</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rPr>
                    <w:t>S 沉淀法、FeSO</w:t>
                  </w:r>
                  <w:r>
                    <w:rPr>
                      <w:rFonts w:hint="default" w:ascii="Times New Roman" w:hAnsi="Times New Roman" w:cs="Times New Roman"/>
                      <w:color w:val="auto"/>
                      <w:kern w:val="0"/>
                      <w:szCs w:val="21"/>
                      <w:highlight w:val="none"/>
                      <w:vertAlign w:val="superscript"/>
                    </w:rPr>
                    <w:t>4-</w:t>
                  </w:r>
                  <w:r>
                    <w:rPr>
                      <w:rFonts w:hint="default" w:ascii="Times New Roman" w:hAnsi="Times New Roman" w:cs="Times New Roman"/>
                      <w:color w:val="auto"/>
                      <w:kern w:val="0"/>
                      <w:szCs w:val="21"/>
                      <w:highlight w:val="none"/>
                    </w:rPr>
                    <w:t>石灰法、次氯酸盐氧化法等</w:t>
                  </w:r>
                </w:p>
              </w:tc>
              <w:tc>
                <w:tcPr>
                  <w:tcW w:w="1130" w:type="pct"/>
                  <w:vAlign w:val="center"/>
                </w:tcPr>
                <w:p w14:paraId="1F9BCEA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理化实验室含重金属废水采用化学沉淀法处理预处理达标后排入污水处理站，化学沉淀药剂主要采用石灰（Ca(OH)</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rPr>
                    <w:t>）</w:t>
                  </w:r>
                </w:p>
              </w:tc>
              <w:tc>
                <w:tcPr>
                  <w:tcW w:w="623" w:type="pct"/>
                  <w:vMerge w:val="continue"/>
                  <w:vAlign w:val="center"/>
                </w:tcPr>
                <w:p w14:paraId="37548B01">
                  <w:pPr>
                    <w:jc w:val="center"/>
                    <w:rPr>
                      <w:rFonts w:hint="default" w:ascii="Times New Roman" w:hAnsi="Times New Roman" w:cs="Times New Roman"/>
                      <w:color w:val="auto"/>
                      <w:kern w:val="0"/>
                      <w:szCs w:val="21"/>
                      <w:highlight w:val="none"/>
                    </w:rPr>
                  </w:pPr>
                </w:p>
              </w:tc>
            </w:tr>
            <w:tr w14:paraId="311D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342" w:type="pct"/>
                  <w:vMerge w:val="continue"/>
                  <w:vAlign w:val="center"/>
                </w:tcPr>
                <w:p w14:paraId="5FF3DB2F">
                  <w:pPr>
                    <w:jc w:val="center"/>
                    <w:rPr>
                      <w:rFonts w:hint="default" w:ascii="Times New Roman" w:hAnsi="Times New Roman" w:cs="Times New Roman"/>
                      <w:color w:val="auto"/>
                      <w:kern w:val="0"/>
                      <w:szCs w:val="21"/>
                      <w:highlight w:val="none"/>
                    </w:rPr>
                  </w:pPr>
                </w:p>
              </w:tc>
              <w:tc>
                <w:tcPr>
                  <w:tcW w:w="658" w:type="pct"/>
                  <w:gridSpan w:val="2"/>
                  <w:vAlign w:val="center"/>
                </w:tcPr>
                <w:p w14:paraId="292C7F4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综合医疗废水</w:t>
                  </w:r>
                </w:p>
              </w:tc>
              <w:tc>
                <w:tcPr>
                  <w:tcW w:w="715" w:type="pct"/>
                  <w:vAlign w:val="center"/>
                </w:tcPr>
                <w:p w14:paraId="2B1C960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排放去向：排入城市污水处理厂</w:t>
                  </w:r>
                </w:p>
              </w:tc>
              <w:tc>
                <w:tcPr>
                  <w:tcW w:w="1530" w:type="pct"/>
                  <w:vAlign w:val="center"/>
                </w:tcPr>
                <w:p w14:paraId="02B430F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一级处理/一级强化处理+消毒工艺。二级处理包括：筛滤法；沉淀法；气浮法；预曝气法。</w:t>
                  </w:r>
                </w:p>
                <w:p w14:paraId="55C7EDF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一级强化处理包括：化学混凝处理、机械过滤或不完全生物处理。</w:t>
                  </w:r>
                </w:p>
                <w:p w14:paraId="7201F6D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消毒工艺：加氯消毒，臭氧法消毒，次氯酸钠法、二氧化氯法消毒、紫外线消毒等。</w:t>
                  </w:r>
                </w:p>
              </w:tc>
              <w:tc>
                <w:tcPr>
                  <w:tcW w:w="1130" w:type="pct"/>
                  <w:vAlign w:val="center"/>
                </w:tcPr>
                <w:p w14:paraId="5066ED6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项目综合医疗废水依托现有项目10m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/d污水处理站，处理工艺采用“缺氧+接触氧化+MBR+次氯酸钠消毒”工艺；处理工艺优于排污许可技术规范要求的处理工艺</w:t>
                  </w:r>
                </w:p>
              </w:tc>
              <w:tc>
                <w:tcPr>
                  <w:tcW w:w="623" w:type="pct"/>
                  <w:vMerge w:val="continue"/>
                  <w:vAlign w:val="center"/>
                </w:tcPr>
                <w:p w14:paraId="17AF09F3">
                  <w:pPr>
                    <w:jc w:val="center"/>
                    <w:rPr>
                      <w:rFonts w:hint="default" w:ascii="Times New Roman" w:hAnsi="Times New Roman" w:cs="Times New Roman"/>
                      <w:color w:val="auto"/>
                      <w:kern w:val="0"/>
                      <w:szCs w:val="21"/>
                      <w:highlight w:val="none"/>
                    </w:rPr>
                  </w:pPr>
                </w:p>
              </w:tc>
            </w:tr>
            <w:tr w14:paraId="1BFD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vAlign w:val="center"/>
                </w:tcPr>
                <w:p w14:paraId="72E3DCA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658" w:type="pct"/>
                  <w:gridSpan w:val="2"/>
                  <w:vAlign w:val="center"/>
                </w:tcPr>
                <w:p w14:paraId="394F534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污水处理站无组织</w:t>
                  </w:r>
                </w:p>
                <w:p w14:paraId="2A95E06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2245" w:type="pct"/>
                  <w:gridSpan w:val="2"/>
                  <w:vAlign w:val="center"/>
                </w:tcPr>
                <w:p w14:paraId="52CE4CC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产生恶臭区域加罩或加盖，投放除臭剂；</w:t>
                  </w:r>
                </w:p>
              </w:tc>
              <w:tc>
                <w:tcPr>
                  <w:tcW w:w="1130" w:type="pct"/>
                  <w:vAlign w:val="center"/>
                </w:tcPr>
                <w:p w14:paraId="4F64FA3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项目依托现有污水处理站，该站为地埋式，各处理单元已加盖</w:t>
                  </w:r>
                </w:p>
              </w:tc>
              <w:tc>
                <w:tcPr>
                  <w:tcW w:w="623" w:type="pct"/>
                  <w:vAlign w:val="center"/>
                </w:tcPr>
                <w:p w14:paraId="6FE0BE9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2F3D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2" w:type="pct"/>
                  <w:vAlign w:val="center"/>
                </w:tcPr>
                <w:p w14:paraId="1AEE5C4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固体废物</w:t>
                  </w:r>
                </w:p>
              </w:tc>
              <w:tc>
                <w:tcPr>
                  <w:tcW w:w="2904" w:type="pct"/>
                  <w:gridSpan w:val="4"/>
                  <w:vAlign w:val="center"/>
                </w:tcPr>
                <w:p w14:paraId="4557C4D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a)医疗机构排污单位必须建有规范的医疗废物暂存间，医疗废物暂存间的建设与管理应符合 GB18597 的要求。</w:t>
                  </w:r>
                </w:p>
                <w:p w14:paraId="5328831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b)应按照分类记录医疗废物、废药物、药品和污水处理站污泥的产生量、贮存量和转移量，并向全国固体废物管理信息系统报送相关数据。</w:t>
                  </w:r>
                </w:p>
                <w:p w14:paraId="543AE32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c)各类危险废物应分类收集、分类存放，按类别置于防渗漏、防锐器穿透的包装物或密闭容器内，应当符合 HJ 421要求。</w:t>
                  </w:r>
                </w:p>
                <w:p w14:paraId="72290D0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d)医疗废物暂存间应及时清运。</w:t>
                  </w:r>
                </w:p>
                <w:p w14:paraId="2BE6D3A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e)污水处理站污泥应经过消毒处理，由有资质的单位进行收运处置；污泥清掏前需按照 GB 18466要求进行监测。</w:t>
                  </w:r>
                </w:p>
                <w:p w14:paraId="5151F04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f)医疗废物转移过程中执行《医疗废物集中处置技术规范(试行)》，废药物、药品和污水处理站污泥转移处置过程中执行《危险废物转移联单管理办法》。</w:t>
                  </w:r>
                </w:p>
              </w:tc>
              <w:tc>
                <w:tcPr>
                  <w:tcW w:w="1130" w:type="pct"/>
                  <w:vAlign w:val="center"/>
                </w:tcPr>
                <w:p w14:paraId="4F7C9CE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项目产生的危险废物、医疗废物依托现有项目医疗废物暂存间暂存，并委托有相应危废资质的单位清运处置；据调查，危废暂存间的设置以及运营管理满足本技术排污许可技术规范要求</w:t>
                  </w:r>
                </w:p>
              </w:tc>
              <w:tc>
                <w:tcPr>
                  <w:tcW w:w="623" w:type="pct"/>
                  <w:vAlign w:val="center"/>
                </w:tcPr>
                <w:p w14:paraId="7A9B3495">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符合</w:t>
                  </w:r>
                </w:p>
              </w:tc>
            </w:tr>
          </w:tbl>
          <w:p w14:paraId="2C968DDD">
            <w:pPr>
              <w:autoSpaceDE w:val="0"/>
              <w:autoSpaceDN w:val="0"/>
              <w:adjustRightInd w:val="0"/>
              <w:snapToGrid w:val="0"/>
              <w:spacing w:line="360" w:lineRule="auto"/>
              <w:jc w:val="left"/>
              <w:rPr>
                <w:rFonts w:hint="default" w:ascii="Times New Roman" w:hAnsi="Times New Roman" w:cs="Times New Roman"/>
                <w:color w:val="auto"/>
                <w:sz w:val="24"/>
                <w:highlight w:val="none"/>
              </w:rPr>
            </w:pPr>
            <w:r>
              <w:rPr>
                <w:rFonts w:hint="default" w:ascii="Times New Roman" w:hAnsi="Times New Roman" w:cs="Times New Roman"/>
                <w:b/>
                <w:bCs/>
                <w:color w:val="auto"/>
                <w:kern w:val="0"/>
                <w:sz w:val="24"/>
                <w:highlight w:val="none"/>
              </w:rPr>
              <w:t>（11）选址合理性及环境相容性分析</w:t>
            </w:r>
          </w:p>
          <w:p w14:paraId="26CD1062">
            <w:pPr>
              <w:spacing w:line="360" w:lineRule="auto"/>
              <w:ind w:firstLine="48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sz w:val="24"/>
                <w:highlight w:val="none"/>
              </w:rPr>
              <w:t>根据《华宁县国土空间总体规划（2021-2035年）》中“规划各类医疗卫生设施用地面积9.6公顷，占公共管理与公共服务用地 16.14%，保障华宁县和各个层级生活圈的不同层级综合医院、专科医院、疾控中心、乡镇卫生院、卫生服务中心、村卫生站等医疗卫生设施用地。”本</w:t>
            </w:r>
            <w:r>
              <w:rPr>
                <w:rFonts w:hint="default" w:ascii="Times New Roman" w:hAnsi="Times New Roman" w:cs="Times New Roman"/>
                <w:color w:val="auto"/>
                <w:kern w:val="0"/>
                <w:sz w:val="24"/>
                <w:highlight w:val="none"/>
              </w:rPr>
              <w:t>项目位于云南省玉溪市华宁县东风路与松山路交叉路口</w:t>
            </w:r>
            <w:r>
              <w:rPr>
                <w:rFonts w:hint="default" w:ascii="Times New Roman" w:hAnsi="Times New Roman" w:cs="Times New Roman"/>
                <w:color w:val="auto"/>
                <w:sz w:val="24"/>
                <w:highlight w:val="none"/>
              </w:rPr>
              <w:t>，</w:t>
            </w:r>
            <w:r>
              <w:rPr>
                <w:rFonts w:hint="default" w:ascii="Times New Roman" w:hAnsi="Times New Roman" w:cs="Times New Roman"/>
                <w:color w:val="auto"/>
                <w:kern w:val="0"/>
                <w:sz w:val="24"/>
                <w:highlight w:val="none"/>
                <w:lang w:bidi="ar"/>
              </w:rPr>
              <w:t>用地性质为医疗卫生用地，已取得建设用地规划许可证（华政复[2024]131号），该地块在国土空间规划中亦规划为医疗卫生用地，因此与</w:t>
            </w:r>
            <w:r>
              <w:rPr>
                <w:rFonts w:hint="default" w:ascii="Times New Roman" w:hAnsi="Times New Roman" w:cs="Times New Roman"/>
                <w:color w:val="auto"/>
                <w:sz w:val="24"/>
                <w:highlight w:val="none"/>
              </w:rPr>
              <w:t>《华宁县国土空间总体规划（2021-2035年）》相符合。</w:t>
            </w:r>
          </w:p>
          <w:p w14:paraId="6248B806">
            <w:pPr>
              <w:spacing w:line="360" w:lineRule="auto"/>
              <w:ind w:firstLine="48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lang w:val="zh-CN"/>
              </w:rPr>
              <w:t>根据</w:t>
            </w:r>
            <w:r>
              <w:rPr>
                <w:rFonts w:hint="default" w:ascii="Times New Roman" w:hAnsi="Times New Roman" w:cs="Times New Roman"/>
                <w:color w:val="auto"/>
                <w:kern w:val="0"/>
                <w:sz w:val="24"/>
                <w:highlight w:val="none"/>
              </w:rPr>
              <w:t>环境空气质量自动监测站2023年的六项基本污染物监测数据，项目所在区域大气环境质量良好，满足</w:t>
            </w:r>
            <w:r>
              <w:rPr>
                <w:rFonts w:hint="default" w:ascii="Times New Roman" w:hAnsi="Times New Roman" w:cs="Times New Roman"/>
                <w:color w:val="auto"/>
                <w:sz w:val="24"/>
                <w:highlight w:val="none"/>
              </w:rPr>
              <w:t>《环境空气质量标准》（GB3095-20</w:t>
            </w:r>
            <w:r>
              <w:rPr>
                <w:rFonts w:hint="default" w:ascii="Times New Roman" w:hAnsi="Times New Roman" w:cs="Times New Roman"/>
                <w:color w:val="auto"/>
                <w:sz w:val="24"/>
                <w:highlight w:val="none"/>
                <w:lang w:val="en-US" w:eastAsia="zh-CN"/>
              </w:rPr>
              <w:t>26</w:t>
            </w:r>
            <w:r>
              <w:rPr>
                <w:rFonts w:hint="default" w:ascii="Times New Roman" w:hAnsi="Times New Roman" w:cs="Times New Roman"/>
                <w:color w:val="auto"/>
                <w:sz w:val="24"/>
                <w:highlight w:val="none"/>
              </w:rPr>
              <w:t>）二级标准，大气环境容量较大。</w:t>
            </w:r>
          </w:p>
          <w:p w14:paraId="09CB4389">
            <w:pPr>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项目运营期产生的氨气和有机废气（以非甲烷总烃计）经实验室通风柜密封收集+二级活性炭吸附处理达标后，通过1根23m高的排气筒（DA001）排放；NO</w:t>
            </w:r>
            <w:r>
              <w:rPr>
                <w:rFonts w:hint="default" w:ascii="Times New Roman" w:hAnsi="Times New Roman" w:cs="Times New Roman"/>
                <w:color w:val="auto"/>
                <w:kern w:val="0"/>
                <w:sz w:val="24"/>
                <w:highlight w:val="none"/>
                <w:vertAlign w:val="subscript"/>
              </w:rPr>
              <w:t>2</w:t>
            </w:r>
            <w:r>
              <w:rPr>
                <w:rFonts w:hint="default" w:ascii="Times New Roman" w:hAnsi="Times New Roman" w:cs="Times New Roman"/>
                <w:color w:val="auto"/>
                <w:kern w:val="0"/>
                <w:sz w:val="24"/>
                <w:highlight w:val="none"/>
              </w:rPr>
              <w:t>、硫酸雾、HCl经实验室通风柜密封收集+碱液吸收+烟气干燥+二级活性炭吸附处理达标后，通过1根23m高的排气筒（DA001）排放；微生物实验室颗粒物（含细菌气溶胶团）经生物安全柜（含高效过滤器）+紫外消毒装置处理后，空气在生物实验室内循环。本项目废气排放量较小，经各</w:t>
            </w:r>
            <w:r>
              <w:rPr>
                <w:rFonts w:hint="default" w:ascii="Times New Roman" w:hAnsi="Times New Roman" w:cs="Times New Roman"/>
                <w:color w:val="auto"/>
                <w:sz w:val="24"/>
                <w:highlight w:val="none"/>
              </w:rPr>
              <w:t>废气治理措施处理达标后排放。项目排气筒设于疾控中心主体建筑物顶部，废气排放量很小，楼顶建筑及大气扩散条件有利于废气扩散，对周边大气环境保护目标影响很小。</w:t>
            </w:r>
          </w:p>
          <w:p w14:paraId="69F142DF">
            <w:pPr>
              <w:spacing w:line="360" w:lineRule="auto"/>
              <w:ind w:firstLine="48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项目各类废水分类收集，分质预处理使重金属等第一类水污染物达标后，进入1座处理规模为10m</w:t>
            </w:r>
            <w:r>
              <w:rPr>
                <w:rFonts w:hint="default" w:ascii="Times New Roman" w:hAnsi="Times New Roman" w:cs="Times New Roman"/>
                <w:color w:val="auto"/>
                <w:kern w:val="0"/>
                <w:sz w:val="24"/>
                <w:highlight w:val="none"/>
                <w:vertAlign w:val="superscript"/>
              </w:rPr>
              <w:t>3</w:t>
            </w:r>
            <w:r>
              <w:rPr>
                <w:rFonts w:hint="default" w:ascii="Times New Roman" w:hAnsi="Times New Roman" w:cs="Times New Roman"/>
                <w:color w:val="auto"/>
                <w:kern w:val="0"/>
                <w:sz w:val="24"/>
                <w:highlight w:val="none"/>
              </w:rPr>
              <w:t>/d</w:t>
            </w:r>
            <w:r>
              <w:rPr>
                <w:rFonts w:hint="default" w:ascii="Times New Roman" w:hAnsi="Times New Roman" w:cs="Times New Roman"/>
                <w:color w:val="auto"/>
                <w:sz w:val="24"/>
                <w:highlight w:val="none"/>
              </w:rPr>
              <w:t>“缺氧+接触氧化+MBR+次氯酸钠消毒”工艺的</w:t>
            </w:r>
            <w:r>
              <w:rPr>
                <w:rFonts w:hint="default" w:ascii="Times New Roman" w:hAnsi="Times New Roman" w:cs="Times New Roman"/>
                <w:color w:val="auto"/>
                <w:kern w:val="0"/>
                <w:sz w:val="24"/>
                <w:highlight w:val="none"/>
              </w:rPr>
              <w:t>污水处理站处理达标后，排入市政污水管网，最终进入华宁县污水处理厂。</w:t>
            </w:r>
          </w:p>
          <w:p w14:paraId="02881C59">
            <w:pPr>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噪声通过建筑结构隔声、设备减震措施后达标排放，对周边环境保护目标影响较小。</w:t>
            </w:r>
          </w:p>
          <w:p w14:paraId="3EAE67F7">
            <w:pPr>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微生物实验室废培养基、废标本、废实验用品、多余样品分类收集经消毒灭菌后，暂存于医疗固废暂存间，定期交由玉溪兴洁垃圾处理有限公司处理；理化实验室检毕样品、废弃样品、废实验用品、吸收废气碱液单独收集密封暂存于医疗固废暂存间，定期交由玉溪兴洁垃圾处理有限公司处理；废活性炭暂存于医疗固废暂存间，定期由有相关危废处置资质的单位清运处置；高效过滤器产生的废滤膜经消毒灭菌后，暂存于医疗固废暂存间，定期由有相关危废处置资质的单位清运处置；理化实验室产生的重金属污泥经实验人员脱水后，暂存于医疗固废暂存间，定期由有相关危废处置资质的单位清运处置；污水处理站格栅渣定期交由有相应危废处置资质单位清运处置；污水处理站污泥经在污水处理站区域内脱水后，废水回流自污水处理站调节池，脱水后的污泥暂存于污泥池定期交由有相应危废处置资质单位清运处置；纯水制备系统产生的废反渗透膜由供货商上门回收；化粪池污泥定期委托环卫部门进行清掏处理。项目危废暂存依托现有医废暂存间（3.5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），该暂存间设置于现有项目主体建筑东南角，设专人管理，并按相关管理要求进行管理。固体废物可得到妥善处置。</w:t>
            </w:r>
          </w:p>
          <w:p w14:paraId="52E1FCC7">
            <w:pPr>
              <w:spacing w:line="360" w:lineRule="auto"/>
              <w:ind w:firstLine="48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项目周边无文物保护、自然保护区、风景名胜等环境敏感目标；项目不存在重大环境制约因素，位于城镇开发边界范围内，不涉及生态红线、不涉及基本农田，项目符合环境分区管控要求。本工程经采取有效污染治理，对评价区域环境质量影响很小，对关心目标影响很小，区域环境质量不会发生明显的变化。</w:t>
            </w:r>
          </w:p>
          <w:p w14:paraId="644CB916">
            <w:pPr>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综合评述，项目选址合理、项目与周边环境相容。</w:t>
            </w:r>
            <w:bookmarkEnd w:id="4"/>
          </w:p>
          <w:p w14:paraId="4AFBBF95">
            <w:pPr>
              <w:spacing w:line="360" w:lineRule="auto"/>
              <w:ind w:firstLine="480" w:firstLineChars="200"/>
              <w:jc w:val="left"/>
              <w:rPr>
                <w:rFonts w:hint="default" w:ascii="Times New Roman" w:hAnsi="Times New Roman" w:cs="Times New Roman"/>
                <w:color w:val="auto"/>
                <w:kern w:val="0"/>
                <w:sz w:val="24"/>
                <w:highlight w:val="none"/>
                <w:lang w:bidi="ar"/>
              </w:rPr>
            </w:pPr>
          </w:p>
          <w:p w14:paraId="69F183A8">
            <w:pPr>
              <w:spacing w:line="360" w:lineRule="auto"/>
              <w:ind w:firstLine="480" w:firstLineChars="200"/>
              <w:jc w:val="left"/>
              <w:rPr>
                <w:rFonts w:hint="default" w:ascii="Times New Roman" w:hAnsi="Times New Roman" w:cs="Times New Roman"/>
                <w:color w:val="auto"/>
                <w:kern w:val="0"/>
                <w:sz w:val="24"/>
                <w:highlight w:val="none"/>
                <w:lang w:bidi="ar"/>
              </w:rPr>
            </w:pPr>
          </w:p>
          <w:p w14:paraId="19C92154">
            <w:pPr>
              <w:spacing w:line="360" w:lineRule="auto"/>
              <w:ind w:firstLine="480" w:firstLineChars="200"/>
              <w:jc w:val="left"/>
              <w:rPr>
                <w:rFonts w:hint="default" w:ascii="Times New Roman" w:hAnsi="Times New Roman" w:cs="Times New Roman"/>
                <w:color w:val="auto"/>
                <w:kern w:val="0"/>
                <w:sz w:val="24"/>
                <w:highlight w:val="none"/>
                <w:lang w:bidi="ar"/>
              </w:rPr>
            </w:pPr>
          </w:p>
          <w:p w14:paraId="62E9FFBB">
            <w:pPr>
              <w:spacing w:line="360" w:lineRule="auto"/>
              <w:ind w:firstLine="480" w:firstLineChars="200"/>
              <w:jc w:val="left"/>
              <w:rPr>
                <w:rFonts w:hint="default" w:ascii="Times New Roman" w:hAnsi="Times New Roman" w:cs="Times New Roman"/>
                <w:color w:val="auto"/>
                <w:kern w:val="0"/>
                <w:sz w:val="24"/>
                <w:highlight w:val="none"/>
                <w:lang w:bidi="ar"/>
              </w:rPr>
            </w:pPr>
          </w:p>
          <w:p w14:paraId="52FEA2DB">
            <w:pPr>
              <w:spacing w:line="360" w:lineRule="auto"/>
              <w:ind w:firstLine="480" w:firstLineChars="200"/>
              <w:jc w:val="left"/>
              <w:rPr>
                <w:rFonts w:hint="default" w:ascii="Times New Roman" w:hAnsi="Times New Roman" w:cs="Times New Roman"/>
                <w:color w:val="auto"/>
                <w:kern w:val="0"/>
                <w:sz w:val="24"/>
                <w:highlight w:val="none"/>
                <w:lang w:bidi="ar"/>
              </w:rPr>
            </w:pPr>
          </w:p>
          <w:p w14:paraId="6317ADB2">
            <w:pPr>
              <w:spacing w:line="360" w:lineRule="auto"/>
              <w:ind w:firstLine="480" w:firstLineChars="200"/>
              <w:jc w:val="left"/>
              <w:rPr>
                <w:rFonts w:hint="default" w:ascii="Times New Roman" w:hAnsi="Times New Roman" w:cs="Times New Roman"/>
                <w:color w:val="auto"/>
                <w:kern w:val="0"/>
                <w:sz w:val="24"/>
                <w:highlight w:val="none"/>
                <w:lang w:bidi="ar"/>
              </w:rPr>
            </w:pPr>
          </w:p>
          <w:p w14:paraId="45DAC926">
            <w:pPr>
              <w:spacing w:line="360" w:lineRule="auto"/>
              <w:ind w:firstLine="480" w:firstLineChars="200"/>
              <w:jc w:val="left"/>
              <w:rPr>
                <w:rFonts w:hint="default" w:ascii="Times New Roman" w:hAnsi="Times New Roman" w:cs="Times New Roman"/>
                <w:color w:val="auto"/>
                <w:kern w:val="0"/>
                <w:sz w:val="24"/>
                <w:highlight w:val="none"/>
                <w:lang w:bidi="ar"/>
              </w:rPr>
            </w:pPr>
          </w:p>
          <w:p w14:paraId="09A9E6DD">
            <w:pPr>
              <w:spacing w:line="360" w:lineRule="auto"/>
              <w:ind w:firstLine="480" w:firstLineChars="200"/>
              <w:jc w:val="left"/>
              <w:rPr>
                <w:rFonts w:hint="default" w:ascii="Times New Roman" w:hAnsi="Times New Roman" w:cs="Times New Roman"/>
                <w:color w:val="auto"/>
                <w:kern w:val="0"/>
                <w:sz w:val="24"/>
                <w:highlight w:val="none"/>
                <w:lang w:bidi="ar"/>
              </w:rPr>
            </w:pPr>
          </w:p>
          <w:p w14:paraId="79F95F2B">
            <w:pPr>
              <w:spacing w:line="360" w:lineRule="auto"/>
              <w:ind w:firstLine="480" w:firstLineChars="200"/>
              <w:jc w:val="left"/>
              <w:rPr>
                <w:rFonts w:hint="default" w:ascii="Times New Roman" w:hAnsi="Times New Roman" w:cs="Times New Roman"/>
                <w:color w:val="auto"/>
                <w:kern w:val="0"/>
                <w:sz w:val="24"/>
                <w:highlight w:val="none"/>
                <w:lang w:bidi="ar"/>
              </w:rPr>
            </w:pPr>
          </w:p>
          <w:p w14:paraId="6461A080">
            <w:pPr>
              <w:spacing w:line="360" w:lineRule="auto"/>
              <w:ind w:firstLine="480" w:firstLineChars="200"/>
              <w:jc w:val="left"/>
              <w:rPr>
                <w:rFonts w:hint="default" w:ascii="Times New Roman" w:hAnsi="Times New Roman" w:cs="Times New Roman"/>
                <w:color w:val="auto"/>
                <w:kern w:val="0"/>
                <w:sz w:val="24"/>
                <w:highlight w:val="none"/>
                <w:lang w:bidi="ar"/>
              </w:rPr>
            </w:pPr>
          </w:p>
          <w:p w14:paraId="2A8909D3">
            <w:pPr>
              <w:spacing w:line="360" w:lineRule="auto"/>
              <w:ind w:firstLine="480" w:firstLineChars="200"/>
              <w:jc w:val="left"/>
              <w:rPr>
                <w:rFonts w:hint="default" w:ascii="Times New Roman" w:hAnsi="Times New Roman" w:cs="Times New Roman"/>
                <w:color w:val="auto"/>
                <w:kern w:val="0"/>
                <w:sz w:val="24"/>
                <w:highlight w:val="none"/>
                <w:lang w:bidi="ar"/>
              </w:rPr>
            </w:pPr>
          </w:p>
          <w:p w14:paraId="45786382">
            <w:pPr>
              <w:spacing w:line="360" w:lineRule="auto"/>
              <w:ind w:firstLine="480" w:firstLineChars="200"/>
              <w:jc w:val="left"/>
              <w:rPr>
                <w:rFonts w:hint="default" w:ascii="Times New Roman" w:hAnsi="Times New Roman" w:cs="Times New Roman"/>
                <w:color w:val="auto"/>
                <w:kern w:val="0"/>
                <w:sz w:val="24"/>
                <w:highlight w:val="none"/>
                <w:lang w:bidi="ar"/>
              </w:rPr>
            </w:pPr>
          </w:p>
          <w:p w14:paraId="2ABAF4E2">
            <w:pPr>
              <w:spacing w:line="360" w:lineRule="auto"/>
              <w:ind w:firstLine="480" w:firstLineChars="200"/>
              <w:jc w:val="left"/>
              <w:rPr>
                <w:rFonts w:hint="default" w:ascii="Times New Roman" w:hAnsi="Times New Roman" w:cs="Times New Roman"/>
                <w:color w:val="auto"/>
                <w:kern w:val="0"/>
                <w:sz w:val="24"/>
                <w:highlight w:val="none"/>
                <w:lang w:bidi="ar"/>
              </w:rPr>
            </w:pPr>
          </w:p>
          <w:p w14:paraId="744A7F54">
            <w:pPr>
              <w:spacing w:line="360" w:lineRule="auto"/>
              <w:ind w:firstLine="480" w:firstLineChars="200"/>
              <w:jc w:val="left"/>
              <w:rPr>
                <w:rFonts w:hint="default" w:ascii="Times New Roman" w:hAnsi="Times New Roman" w:cs="Times New Roman"/>
                <w:color w:val="auto"/>
                <w:kern w:val="0"/>
                <w:sz w:val="24"/>
                <w:highlight w:val="none"/>
                <w:lang w:bidi="ar"/>
              </w:rPr>
            </w:pPr>
          </w:p>
          <w:p w14:paraId="69A8FBD8">
            <w:pPr>
              <w:spacing w:line="360" w:lineRule="auto"/>
              <w:ind w:firstLine="480" w:firstLineChars="200"/>
              <w:jc w:val="left"/>
              <w:rPr>
                <w:rFonts w:hint="default" w:ascii="Times New Roman" w:hAnsi="Times New Roman" w:cs="Times New Roman"/>
                <w:color w:val="auto"/>
                <w:kern w:val="0"/>
                <w:sz w:val="24"/>
                <w:highlight w:val="none"/>
                <w:lang w:bidi="ar"/>
              </w:rPr>
            </w:pPr>
          </w:p>
          <w:p w14:paraId="2D37040B">
            <w:pPr>
              <w:spacing w:line="360" w:lineRule="auto"/>
              <w:ind w:firstLine="480" w:firstLineChars="200"/>
              <w:jc w:val="left"/>
              <w:rPr>
                <w:rFonts w:hint="default" w:ascii="Times New Roman" w:hAnsi="Times New Roman" w:cs="Times New Roman"/>
                <w:color w:val="auto"/>
                <w:kern w:val="0"/>
                <w:sz w:val="24"/>
                <w:highlight w:val="none"/>
                <w:lang w:bidi="ar"/>
              </w:rPr>
            </w:pPr>
          </w:p>
          <w:p w14:paraId="6C7CEEE0">
            <w:pPr>
              <w:spacing w:line="360" w:lineRule="auto"/>
              <w:ind w:firstLine="480" w:firstLineChars="200"/>
              <w:jc w:val="left"/>
              <w:rPr>
                <w:rFonts w:hint="default" w:ascii="Times New Roman" w:hAnsi="Times New Roman" w:cs="Times New Roman"/>
                <w:color w:val="auto"/>
                <w:kern w:val="0"/>
                <w:sz w:val="24"/>
                <w:highlight w:val="none"/>
                <w:lang w:bidi="ar"/>
              </w:rPr>
            </w:pPr>
          </w:p>
          <w:p w14:paraId="521FB230">
            <w:pPr>
              <w:spacing w:line="360" w:lineRule="auto"/>
              <w:ind w:firstLine="480" w:firstLineChars="200"/>
              <w:jc w:val="left"/>
              <w:rPr>
                <w:rFonts w:hint="default" w:ascii="Times New Roman" w:hAnsi="Times New Roman" w:cs="Times New Roman"/>
                <w:color w:val="auto"/>
                <w:kern w:val="0"/>
                <w:sz w:val="24"/>
                <w:highlight w:val="none"/>
                <w:lang w:bidi="ar"/>
              </w:rPr>
            </w:pPr>
          </w:p>
          <w:p w14:paraId="2A789600">
            <w:pPr>
              <w:spacing w:line="360" w:lineRule="auto"/>
              <w:ind w:firstLine="480" w:firstLineChars="200"/>
              <w:jc w:val="left"/>
              <w:rPr>
                <w:rFonts w:hint="default" w:ascii="Times New Roman" w:hAnsi="Times New Roman" w:cs="Times New Roman"/>
                <w:color w:val="auto"/>
                <w:kern w:val="0"/>
                <w:sz w:val="24"/>
                <w:highlight w:val="none"/>
                <w:lang w:bidi="ar"/>
              </w:rPr>
            </w:pPr>
          </w:p>
          <w:p w14:paraId="63F1647B">
            <w:pPr>
              <w:spacing w:line="360" w:lineRule="auto"/>
              <w:ind w:firstLine="480" w:firstLineChars="200"/>
              <w:jc w:val="left"/>
              <w:rPr>
                <w:rFonts w:hint="default" w:ascii="Times New Roman" w:hAnsi="Times New Roman" w:cs="Times New Roman"/>
                <w:color w:val="auto"/>
                <w:kern w:val="0"/>
                <w:sz w:val="24"/>
                <w:highlight w:val="none"/>
                <w:lang w:bidi="ar"/>
              </w:rPr>
            </w:pPr>
          </w:p>
          <w:p w14:paraId="57738763">
            <w:pPr>
              <w:spacing w:line="360" w:lineRule="auto"/>
              <w:ind w:firstLine="480" w:firstLineChars="200"/>
              <w:jc w:val="left"/>
              <w:rPr>
                <w:rFonts w:hint="default" w:ascii="Times New Roman" w:hAnsi="Times New Roman" w:cs="Times New Roman"/>
                <w:color w:val="auto"/>
                <w:kern w:val="0"/>
                <w:sz w:val="24"/>
                <w:highlight w:val="none"/>
                <w:lang w:bidi="ar"/>
              </w:rPr>
            </w:pPr>
          </w:p>
        </w:tc>
      </w:tr>
    </w:tbl>
    <w:p w14:paraId="305BE288">
      <w:pPr>
        <w:spacing w:line="360" w:lineRule="auto"/>
        <w:outlineLvl w:val="0"/>
        <w:rPr>
          <w:rFonts w:hint="default" w:ascii="Times New Roman" w:hAnsi="Times New Roman" w:eastAsia="黑体" w:cs="Times New Roman"/>
          <w:color w:val="auto"/>
          <w:sz w:val="30"/>
          <w:highlight w:val="none"/>
        </w:rPr>
        <w:sectPr>
          <w:footerReference r:id="rId5" w:type="default"/>
          <w:pgSz w:w="11906" w:h="16838"/>
          <w:pgMar w:top="1361" w:right="1361" w:bottom="1361" w:left="1361" w:header="851" w:footer="1077" w:gutter="0"/>
          <w:pgNumType w:start="1"/>
          <w:cols w:space="720" w:num="1"/>
          <w:docGrid w:linePitch="312" w:charSpace="0"/>
        </w:sectPr>
      </w:pPr>
    </w:p>
    <w:p w14:paraId="6E4CBD75">
      <w:pPr>
        <w:pStyle w:val="28"/>
        <w:jc w:val="center"/>
        <w:outlineLvl w:val="0"/>
        <w:rPr>
          <w:rFonts w:hint="default" w:ascii="Times New Roman" w:hAnsi="Times New Roman" w:cs="Times New Roman"/>
          <w:b/>
          <w:bCs/>
          <w:snapToGrid w:val="0"/>
          <w:color w:val="auto"/>
          <w:sz w:val="30"/>
          <w:szCs w:val="30"/>
          <w:highlight w:val="none"/>
        </w:rPr>
      </w:pPr>
      <w:bookmarkStart w:id="5" w:name="_Toc221181284"/>
      <w:r>
        <w:rPr>
          <w:rFonts w:hint="default" w:ascii="Times New Roman" w:hAnsi="Times New Roman" w:cs="Times New Roman"/>
          <w:b/>
          <w:bCs/>
          <w:snapToGrid w:val="0"/>
          <w:color w:val="auto"/>
          <w:sz w:val="30"/>
          <w:szCs w:val="30"/>
          <w:highlight w:val="none"/>
        </w:rPr>
        <w:t>二、建设项目工程分析</w:t>
      </w:r>
      <w:bookmarkEnd w:id="5"/>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92"/>
        <w:gridCol w:w="8572"/>
      </w:tblGrid>
      <w:tr w14:paraId="05E360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50" w:hRule="atLeast"/>
          <w:jc w:val="center"/>
        </w:trPr>
        <w:tc>
          <w:tcPr>
            <w:tcW w:w="592" w:type="dxa"/>
            <w:vAlign w:val="center"/>
          </w:tcPr>
          <w:p w14:paraId="110D195C">
            <w:pPr>
              <w:pStyle w:val="28"/>
              <w:adjustRightInd w:val="0"/>
              <w:snapToGrid w:val="0"/>
              <w:spacing w:before="0" w:beforeAutospacing="0" w:after="0" w:afterAutospacing="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建设内容</w:t>
            </w:r>
          </w:p>
        </w:tc>
        <w:tc>
          <w:tcPr>
            <w:tcW w:w="8572" w:type="dxa"/>
          </w:tcPr>
          <w:p w14:paraId="3E92889B">
            <w:pPr>
              <w:adjustRightInd w:val="0"/>
              <w:snapToGrid w:val="0"/>
              <w:spacing w:line="360" w:lineRule="auto"/>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2.1 项目由来</w:t>
            </w:r>
          </w:p>
          <w:p w14:paraId="168F8644">
            <w:p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rPr>
              <w:t>华宁县疾病预防控制中心</w:t>
            </w:r>
            <w:r>
              <w:rPr>
                <w:rFonts w:hint="default" w:ascii="Times New Roman" w:hAnsi="Times New Roman" w:cs="Times New Roman"/>
                <w:color w:val="auto"/>
                <w:sz w:val="24"/>
                <w:highlight w:val="none"/>
              </w:rPr>
              <w:t>负责全县传染病流行、中毒、污染等公共卫生突发事件和救灾防病等问题的调查处理；实施免疫预防接种，负责全县预防用生物制品的使用和管理；承担疾病预防控制及其卫生信息的管理、报告及预测、预报；受卫生行政部门委托承担与卫生监督相关的检验及预防性健康检查工作，按法律法规规定的权限对健康相关产品的卫生质量进行检验、鉴定和卫生学评价；向社会提供相关的健康咨询和结核病、麻风病、性病、艾滋病、职业病的归口管理、治疗和康复工作；开展疾病预防知识的科普宣传和健康教育；组织指导社区卫生服务机构和医院防保科开展卫生防病工作，负责培训初级专业技术人员。</w:t>
            </w:r>
          </w:p>
          <w:p w14:paraId="1B1E9E05">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根据建设单位提供的最新版设计方案总平面布置图，华宁县疾病预防控制中心现有建筑总面积为2935.54m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，包括建筑面积2059m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的综合楼1栋，其中北侧为办公楼（6F），西侧为门诊楼（4F）；建筑面积876.54m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的应急物资、疫苗冷链综合储备库（3F）1栋，位于中心院内西南侧。华宁县疾病预防控制中心为提高中心疾病预防控制检测的工作效率，切保人民群众健康与安全，以及改善华宁县疾病预防控制中心的办公条件，决定在疾病预防控制中心东侧原址旁地块新增一栋实验楼，建筑层数为五层，功能包括理化检验、微生物检验、应急物资库等。实验楼建筑面积为：2365.99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；一栋地下设备用房（消防水池及泵房），建筑面积为：86.85m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；原办公楼加设外挂电梯。</w:t>
            </w:r>
          </w:p>
          <w:p w14:paraId="00A0EBF4">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华宁县疾病预防控制中心综合实验楼建设项目计划投资1500万元，其中申请中央预算资金1000万元，疾控中心事业基金200万元，县财政投资300万元。项目可行性研究报告经华宁县发展和改革局审核，以华发改投资</w:t>
            </w:r>
            <w:r>
              <w:rPr>
                <w:rFonts w:hint="default" w:ascii="Times New Roman" w:hAnsi="Times New Roman" w:cs="Times New Roman"/>
                <w:color w:val="auto"/>
                <w:szCs w:val="24"/>
                <w:highlight w:val="none"/>
                <w:lang w:bidi="ar"/>
              </w:rPr>
              <w:t>〔2021〕</w:t>
            </w:r>
            <w:r>
              <w:rPr>
                <w:rFonts w:hint="default" w:ascii="Times New Roman" w:hAnsi="Times New Roman" w:cs="Times New Roman"/>
                <w:color w:val="auto"/>
                <w:highlight w:val="none"/>
              </w:rPr>
              <w:t>219号同意项目实施（附件2）。</w:t>
            </w:r>
          </w:p>
          <w:p w14:paraId="3888A3B7">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根据《中华人民共和国</w:t>
            </w:r>
            <w:r>
              <w:rPr>
                <w:rFonts w:hint="default" w:ascii="Times New Roman" w:hAnsi="Times New Roman" w:cs="Times New Roman"/>
                <w:color w:val="auto"/>
                <w:highlight w:val="none"/>
                <w:lang w:val="en-US" w:eastAsia="zh-CN"/>
              </w:rPr>
              <w:t>生态环境法典</w:t>
            </w:r>
            <w:r>
              <w:rPr>
                <w:rFonts w:hint="default" w:ascii="Times New Roman" w:hAnsi="Times New Roman" w:cs="Times New Roman"/>
                <w:color w:val="auto"/>
                <w:highlight w:val="none"/>
              </w:rPr>
              <w:t>》，本项目需进行</w:t>
            </w:r>
            <w:r>
              <w:rPr>
                <w:rFonts w:hint="eastAsia" w:ascii="Times New Roman" w:hAnsi="Times New Roman" w:cs="Times New Roman"/>
                <w:color w:val="auto"/>
                <w:highlight w:val="none"/>
                <w:lang w:val="en-US" w:eastAsia="zh-CN"/>
              </w:rPr>
              <w:t>生态</w:t>
            </w:r>
            <w:r>
              <w:rPr>
                <w:rFonts w:hint="default" w:ascii="Times New Roman" w:hAnsi="Times New Roman" w:cs="Times New Roman"/>
                <w:color w:val="auto"/>
                <w:highlight w:val="none"/>
              </w:rPr>
              <w:t>环境影响评价，根据《建设项目环境影响评价分类管理名录（2021年版）》（生态环境部部令第16号）的相关规定，本项目属于“四十九、卫生84，109疾病预防控制中心8431”</w:t>
            </w:r>
            <w:r>
              <w:rPr>
                <w:rFonts w:hint="default" w:ascii="Times New Roman" w:hAnsi="Times New Roman" w:cs="Times New Roman"/>
                <w:color w:val="auto"/>
                <w:szCs w:val="24"/>
                <w:highlight w:val="none"/>
              </w:rPr>
              <w:t>，中“其他”，应编制</w:t>
            </w:r>
            <w:r>
              <w:rPr>
                <w:rFonts w:hint="eastAsia" w:ascii="Times New Roman" w:hAnsi="Times New Roman" w:cs="Times New Roman"/>
                <w:color w:val="auto"/>
                <w:szCs w:val="24"/>
                <w:highlight w:val="none"/>
                <w:lang w:val="en-US" w:eastAsia="zh-CN"/>
              </w:rPr>
              <w:t>生态</w:t>
            </w:r>
            <w:r>
              <w:rPr>
                <w:rFonts w:hint="default" w:ascii="Times New Roman" w:hAnsi="Times New Roman" w:cs="Times New Roman"/>
                <w:color w:val="auto"/>
                <w:szCs w:val="24"/>
                <w:highlight w:val="none"/>
              </w:rPr>
              <w:t>环境影响报告表</w:t>
            </w:r>
            <w:r>
              <w:rPr>
                <w:rFonts w:hint="default" w:ascii="Times New Roman" w:hAnsi="Times New Roman" w:cs="Times New Roman"/>
                <w:color w:val="auto"/>
                <w:highlight w:val="none"/>
              </w:rPr>
              <w:t>。</w:t>
            </w:r>
          </w:p>
          <w:p w14:paraId="0E786707">
            <w:pPr>
              <w:pStyle w:val="11"/>
              <w:rPr>
                <w:rFonts w:hint="default" w:ascii="Times New Roman" w:hAnsi="Times New Roman" w:cs="Times New Roman"/>
                <w:color w:val="auto"/>
                <w:highlight w:val="none"/>
              </w:rPr>
            </w:pPr>
          </w:p>
          <w:p w14:paraId="0EEF8C92">
            <w:pPr>
              <w:pStyle w:val="12"/>
              <w:rPr>
                <w:rFonts w:hint="default" w:ascii="Times New Roman" w:hAnsi="Times New Roman" w:cs="Times New Roman"/>
              </w:rPr>
            </w:pPr>
          </w:p>
          <w:p w14:paraId="6CFD8689">
            <w:pPr>
              <w:adjustRightInd w:val="0"/>
              <w:snapToGrid w:val="0"/>
              <w:spacing w:line="360" w:lineRule="auto"/>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 xml:space="preserve">2.2 本项目建设内容 </w:t>
            </w:r>
          </w:p>
          <w:p w14:paraId="551F2004">
            <w:pPr>
              <w:pStyle w:val="10"/>
              <w:ind w:firstLine="480"/>
              <w:rPr>
                <w:rFonts w:hint="default" w:ascii="Times New Roman" w:hAnsi="Times New Roman" w:cs="Times New Roman"/>
                <w:b/>
                <w:bCs/>
                <w:color w:val="auto"/>
                <w:szCs w:val="21"/>
                <w:highlight w:val="none"/>
              </w:rPr>
            </w:pPr>
            <w:r>
              <w:rPr>
                <w:rFonts w:hint="default" w:ascii="Times New Roman" w:hAnsi="Times New Roman" w:cs="Times New Roman"/>
                <w:color w:val="auto"/>
                <w:szCs w:val="24"/>
                <w:highlight w:val="none"/>
              </w:rPr>
              <w:t>本项目为华宁县疾病预防控制中心实验楼建设项目，项目在现有疾病预防控制中心原址旁地块进行改扩建，改扩建项目总用地面积为1654.86</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szCs w:val="24"/>
                <w:highlight w:val="none"/>
              </w:rPr>
              <w:t>。新增一栋实验楼，建筑层数为五层，功能包括理化检验、微生物检验、应急物资库等。实验楼建筑面积为2365.99</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szCs w:val="24"/>
                <w:highlight w:val="none"/>
              </w:rPr>
              <w:t>（不含隔震层），设备用房建筑面积为86.85</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szCs w:val="24"/>
                <w:highlight w:val="none"/>
              </w:rPr>
              <w:t>。</w:t>
            </w:r>
            <w:r>
              <w:rPr>
                <w:rFonts w:hint="default" w:ascii="Times New Roman" w:hAnsi="Times New Roman" w:cs="Times New Roman"/>
                <w:color w:val="auto"/>
                <w:highlight w:val="none"/>
              </w:rPr>
              <w:t>本项目工程组成见下表。</w:t>
            </w:r>
          </w:p>
          <w:p w14:paraId="261C292C">
            <w:pPr>
              <w:spacing w:before="120" w:beforeLines="5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表2-1 本项目工程组成一览表</w:t>
            </w:r>
          </w:p>
          <w:tbl>
            <w:tblPr>
              <w:tblStyle w:val="3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068"/>
              <w:gridCol w:w="688"/>
              <w:gridCol w:w="2100"/>
              <w:gridCol w:w="3395"/>
              <w:gridCol w:w="668"/>
            </w:tblGrid>
            <w:tr w14:paraId="0023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94" w:type="pct"/>
                  <w:gridSpan w:val="2"/>
                  <w:vAlign w:val="center"/>
                </w:tcPr>
                <w:p w14:paraId="21645028">
                  <w:pPr>
                    <w:pStyle w:val="10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工程分类</w:t>
                  </w:r>
                </w:p>
                <w:p w14:paraId="2063D9D6">
                  <w:pPr>
                    <w:pStyle w:val="102"/>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及名称</w:t>
                  </w:r>
                </w:p>
              </w:tc>
              <w:tc>
                <w:tcPr>
                  <w:tcW w:w="3704" w:type="pct"/>
                  <w:gridSpan w:val="3"/>
                  <w:vAlign w:val="center"/>
                </w:tcPr>
                <w:p w14:paraId="31A8AF46">
                  <w:pPr>
                    <w:pStyle w:val="102"/>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建设内容</w:t>
                  </w:r>
                </w:p>
              </w:tc>
              <w:tc>
                <w:tcPr>
                  <w:tcW w:w="400" w:type="pct"/>
                  <w:vAlign w:val="center"/>
                </w:tcPr>
                <w:p w14:paraId="2F58E3AD">
                  <w:pPr>
                    <w:pStyle w:val="102"/>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备注</w:t>
                  </w:r>
                </w:p>
              </w:tc>
            </w:tr>
            <w:tr w14:paraId="23A5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restart"/>
                  <w:vAlign w:val="center"/>
                </w:tcPr>
                <w:p w14:paraId="61E007AB">
                  <w:pPr>
                    <w:pStyle w:val="102"/>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主体工程</w:t>
                  </w:r>
                </w:p>
              </w:tc>
              <w:tc>
                <w:tcPr>
                  <w:tcW w:w="640" w:type="pct"/>
                  <w:vAlign w:val="center"/>
                </w:tcPr>
                <w:p w14:paraId="6A93251B">
                  <w:pPr>
                    <w:pStyle w:val="102"/>
                    <w:rPr>
                      <w:rFonts w:hint="default" w:ascii="Times New Roman" w:hAnsi="Times New Roman" w:cs="Times New Roman"/>
                      <w:b/>
                      <w:bCs/>
                      <w:color w:val="auto"/>
                      <w:szCs w:val="21"/>
                      <w:highlight w:val="none"/>
                    </w:rPr>
                  </w:pPr>
                  <w:r>
                    <w:rPr>
                      <w:rFonts w:hint="default" w:ascii="Times New Roman" w:hAnsi="Times New Roman" w:cs="Times New Roman"/>
                      <w:color w:val="auto"/>
                      <w:highlight w:val="none"/>
                    </w:rPr>
                    <w:t>实验楼</w:t>
                  </w:r>
                </w:p>
              </w:tc>
              <w:tc>
                <w:tcPr>
                  <w:tcW w:w="3704" w:type="pct"/>
                  <w:gridSpan w:val="3"/>
                  <w:vAlign w:val="center"/>
                </w:tcPr>
                <w:p w14:paraId="2A0359F2">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建筑面积为2365.99m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，5F，层高为4.0m，建筑总高度为21.5m，结构体系为现浇钢筋混凝土框架结构。</w:t>
                  </w:r>
                </w:p>
                <w:p w14:paraId="5D9E6A49">
                  <w:pPr>
                    <w:rPr>
                      <w:rFonts w:hint="default" w:ascii="Times New Roman" w:hAnsi="Times New Roman" w:cs="Times New Roman"/>
                      <w:color w:val="auto"/>
                      <w:highlight w:val="none"/>
                    </w:rPr>
                  </w:pPr>
                  <w:r>
                    <w:rPr>
                      <w:rFonts w:hint="default" w:ascii="Times New Roman" w:hAnsi="Times New Roman" w:cs="Times New Roman"/>
                      <w:color w:val="auto"/>
                      <w:highlight w:val="none"/>
                    </w:rPr>
                    <w:t>一层：应急物资库；</w:t>
                  </w:r>
                </w:p>
                <w:p w14:paraId="21605667">
                  <w:pPr>
                    <w:rPr>
                      <w:rFonts w:hint="default" w:ascii="Times New Roman" w:hAnsi="Times New Roman" w:cs="Times New Roman"/>
                      <w:color w:val="auto"/>
                      <w:highlight w:val="none"/>
                    </w:rPr>
                  </w:pPr>
                  <w:r>
                    <w:rPr>
                      <w:rFonts w:hint="default" w:ascii="Times New Roman" w:hAnsi="Times New Roman" w:cs="Times New Roman"/>
                      <w:color w:val="auto"/>
                      <w:highlight w:val="none"/>
                    </w:rPr>
                    <w:t>二层：艾滋病实验室，鼠疫实验室，采血室，初筛室、咨询室等；</w:t>
                  </w:r>
                </w:p>
                <w:p w14:paraId="07DF65C5">
                  <w:pPr>
                    <w:rPr>
                      <w:rFonts w:hint="default" w:ascii="Times New Roman" w:hAnsi="Times New Roman" w:cs="Times New Roman"/>
                      <w:color w:val="auto"/>
                      <w:highlight w:val="none"/>
                    </w:rPr>
                  </w:pPr>
                  <w:r>
                    <w:rPr>
                      <w:rFonts w:hint="default" w:ascii="Times New Roman" w:hAnsi="Times New Roman" w:cs="Times New Roman"/>
                      <w:color w:val="auto"/>
                      <w:highlight w:val="none"/>
                    </w:rPr>
                    <w:t>三层：微生物实验室（包括病原微生物实验室、免疫实验室、百疾实验室、疟疾实验室，培养室、准备间等）；（设生物安全柜7台，新风空调系统1套）</w:t>
                  </w:r>
                </w:p>
                <w:p w14:paraId="204FDA76">
                  <w:pPr>
                    <w:rPr>
                      <w:rFonts w:hint="default" w:ascii="Times New Roman" w:hAnsi="Times New Roman" w:cs="Times New Roman"/>
                      <w:color w:val="auto"/>
                      <w:highlight w:val="none"/>
                    </w:rPr>
                  </w:pPr>
                  <w:r>
                    <w:rPr>
                      <w:rFonts w:hint="default" w:ascii="Times New Roman" w:hAnsi="Times New Roman" w:cs="Times New Roman"/>
                      <w:color w:val="auto"/>
                      <w:highlight w:val="none"/>
                    </w:rPr>
                    <w:t>四层：公共卫生理化实验室（包含色谱室、原子吸收室、液相色谱室、质谱仪检测室、试剂室等）；（设落地通风柜8台）</w:t>
                  </w:r>
                </w:p>
                <w:p w14:paraId="327C9492">
                  <w:pPr>
                    <w:rPr>
                      <w:rFonts w:hint="default" w:ascii="Times New Roman" w:hAnsi="Times New Roman" w:cs="Times New Roman"/>
                      <w:color w:val="auto"/>
                      <w:highlight w:val="none"/>
                    </w:rPr>
                  </w:pPr>
                  <w:r>
                    <w:rPr>
                      <w:rFonts w:hint="default" w:ascii="Times New Roman" w:hAnsi="Times New Roman" w:cs="Times New Roman"/>
                      <w:color w:val="auto"/>
                      <w:highlight w:val="none"/>
                    </w:rPr>
                    <w:t>五层：职业卫生理化实验室，样品室，天平室，危险化学品储存室等。</w:t>
                  </w:r>
                </w:p>
              </w:tc>
              <w:tc>
                <w:tcPr>
                  <w:tcW w:w="400" w:type="pct"/>
                  <w:vAlign w:val="center"/>
                </w:tcPr>
                <w:p w14:paraId="705C6540">
                  <w:pPr>
                    <w:pStyle w:val="102"/>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新建</w:t>
                  </w:r>
                </w:p>
              </w:tc>
            </w:tr>
            <w:tr w14:paraId="151E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14EDD1EE">
                  <w:pPr>
                    <w:pStyle w:val="102"/>
                    <w:rPr>
                      <w:rFonts w:hint="default" w:ascii="Times New Roman" w:hAnsi="Times New Roman" w:cs="Times New Roman"/>
                      <w:b/>
                      <w:bCs/>
                      <w:color w:val="auto"/>
                      <w:highlight w:val="none"/>
                    </w:rPr>
                  </w:pPr>
                </w:p>
              </w:tc>
              <w:tc>
                <w:tcPr>
                  <w:tcW w:w="640" w:type="pct"/>
                  <w:vAlign w:val="center"/>
                </w:tcPr>
                <w:p w14:paraId="029B58A7">
                  <w:pPr>
                    <w:pStyle w:val="102"/>
                    <w:rPr>
                      <w:rFonts w:hint="default" w:ascii="Times New Roman" w:hAnsi="Times New Roman" w:cs="Times New Roman"/>
                      <w:color w:val="auto"/>
                      <w:highlight w:val="none"/>
                    </w:rPr>
                  </w:pPr>
                  <w:r>
                    <w:rPr>
                      <w:rFonts w:hint="default" w:ascii="Times New Roman" w:hAnsi="Times New Roman" w:cs="Times New Roman"/>
                      <w:color w:val="auto"/>
                      <w:highlight w:val="none"/>
                    </w:rPr>
                    <w:t>设备用房</w:t>
                  </w:r>
                </w:p>
              </w:tc>
              <w:tc>
                <w:tcPr>
                  <w:tcW w:w="3704" w:type="pct"/>
                  <w:gridSpan w:val="3"/>
                  <w:vAlign w:val="center"/>
                </w:tcPr>
                <w:p w14:paraId="1CA4B332">
                  <w:pPr>
                    <w:pStyle w:val="102"/>
                    <w:jc w:val="both"/>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建筑面积为86.85m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，设有消防水泵房、柴油发电机房和配电房。</w:t>
                  </w:r>
                </w:p>
              </w:tc>
              <w:tc>
                <w:tcPr>
                  <w:tcW w:w="400" w:type="pct"/>
                  <w:vAlign w:val="center"/>
                </w:tcPr>
                <w:p w14:paraId="757B454D">
                  <w:pPr>
                    <w:pStyle w:val="102"/>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新建</w:t>
                  </w:r>
                </w:p>
              </w:tc>
            </w:tr>
            <w:tr w14:paraId="00AB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restart"/>
                  <w:vAlign w:val="center"/>
                </w:tcPr>
                <w:p w14:paraId="52AF799C">
                  <w:pPr>
                    <w:pStyle w:val="102"/>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公用工程</w:t>
                  </w:r>
                </w:p>
              </w:tc>
              <w:tc>
                <w:tcPr>
                  <w:tcW w:w="640" w:type="pct"/>
                  <w:vAlign w:val="center"/>
                </w:tcPr>
                <w:p w14:paraId="30D9253F">
                  <w:pPr>
                    <w:widowControl/>
                    <w:spacing w:before="100" w:beforeAutospacing="1" w:after="100" w:afterAutospacing="1"/>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供电</w:t>
                  </w:r>
                </w:p>
              </w:tc>
              <w:tc>
                <w:tcPr>
                  <w:tcW w:w="3704" w:type="pct"/>
                  <w:gridSpan w:val="3"/>
                  <w:vAlign w:val="center"/>
                </w:tcPr>
                <w:p w14:paraId="1576B7FB">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由华宁县电力公司引入</w:t>
                  </w:r>
                </w:p>
              </w:tc>
              <w:tc>
                <w:tcPr>
                  <w:tcW w:w="400" w:type="pct"/>
                  <w:vAlign w:val="center"/>
                </w:tcPr>
                <w:p w14:paraId="067CE6B6">
                  <w:pPr>
                    <w:pStyle w:val="10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6A1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518E8C18">
                  <w:pPr>
                    <w:pStyle w:val="102"/>
                    <w:rPr>
                      <w:rFonts w:hint="default" w:ascii="Times New Roman" w:hAnsi="Times New Roman" w:cs="Times New Roman"/>
                      <w:b/>
                      <w:bCs/>
                      <w:color w:val="auto"/>
                      <w:highlight w:val="none"/>
                    </w:rPr>
                  </w:pPr>
                </w:p>
              </w:tc>
              <w:tc>
                <w:tcPr>
                  <w:tcW w:w="640" w:type="pct"/>
                  <w:vAlign w:val="center"/>
                </w:tcPr>
                <w:p w14:paraId="64A15719">
                  <w:pPr>
                    <w:widowControl/>
                    <w:spacing w:before="100" w:beforeAutospacing="1" w:after="100" w:afterAutospacing="1"/>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供水</w:t>
                  </w:r>
                </w:p>
              </w:tc>
              <w:tc>
                <w:tcPr>
                  <w:tcW w:w="3704" w:type="pct"/>
                  <w:gridSpan w:val="3"/>
                  <w:vAlign w:val="center"/>
                </w:tcPr>
                <w:p w14:paraId="1C975258">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由市政给水管网供给</w:t>
                  </w:r>
                </w:p>
              </w:tc>
              <w:tc>
                <w:tcPr>
                  <w:tcW w:w="400" w:type="pct"/>
                  <w:vAlign w:val="center"/>
                </w:tcPr>
                <w:p w14:paraId="743EC1E6">
                  <w:pPr>
                    <w:pStyle w:val="102"/>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w:t>
                  </w:r>
                </w:p>
              </w:tc>
            </w:tr>
            <w:tr w14:paraId="2EDA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1C3CD19C">
                  <w:pPr>
                    <w:pStyle w:val="102"/>
                    <w:rPr>
                      <w:rFonts w:hint="default" w:ascii="Times New Roman" w:hAnsi="Times New Roman" w:cs="Times New Roman"/>
                      <w:b/>
                      <w:bCs/>
                      <w:color w:val="auto"/>
                      <w:szCs w:val="21"/>
                      <w:highlight w:val="none"/>
                    </w:rPr>
                  </w:pPr>
                </w:p>
              </w:tc>
              <w:tc>
                <w:tcPr>
                  <w:tcW w:w="640" w:type="pct"/>
                  <w:vAlign w:val="center"/>
                </w:tcPr>
                <w:p w14:paraId="6442160D">
                  <w:pPr>
                    <w:widowControl/>
                    <w:spacing w:before="100" w:beforeAutospacing="1" w:after="100" w:afterAutospacing="1"/>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排水</w:t>
                  </w:r>
                </w:p>
              </w:tc>
              <w:tc>
                <w:tcPr>
                  <w:tcW w:w="3704" w:type="pct"/>
                  <w:gridSpan w:val="3"/>
                  <w:vAlign w:val="center"/>
                </w:tcPr>
                <w:p w14:paraId="5654DC65">
                  <w:pPr>
                    <w:pStyle w:val="102"/>
                    <w:jc w:val="both"/>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采用雨污分流，各类废水分类收集，分质预处理使重金属等第一类水污染物达标后，进入1座处理规模为10m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/d“缺氧+接触氧化+MBR+次氯酸钠消毒”工艺的污水处理站处理达标后，排入市政污水管网，最终进入华宁县污水处理厂。</w:t>
                  </w:r>
                </w:p>
              </w:tc>
              <w:tc>
                <w:tcPr>
                  <w:tcW w:w="400" w:type="pct"/>
                  <w:vAlign w:val="center"/>
                </w:tcPr>
                <w:p w14:paraId="1097E935">
                  <w:pPr>
                    <w:pStyle w:val="102"/>
                    <w:rPr>
                      <w:rFonts w:hint="default" w:ascii="Times New Roman" w:hAnsi="Times New Roman" w:cs="Times New Roman"/>
                      <w:b/>
                      <w:bCs/>
                      <w:color w:val="auto"/>
                      <w:szCs w:val="21"/>
                      <w:highlight w:val="none"/>
                    </w:rPr>
                  </w:pPr>
                  <w:r>
                    <w:rPr>
                      <w:rFonts w:hint="default" w:ascii="Times New Roman" w:hAnsi="Times New Roman" w:cs="Times New Roman"/>
                      <w:color w:val="auto"/>
                      <w:highlight w:val="none"/>
                    </w:rPr>
                    <w:t>/</w:t>
                  </w:r>
                </w:p>
              </w:tc>
            </w:tr>
            <w:tr w14:paraId="39F9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09B840AD">
                  <w:pPr>
                    <w:pStyle w:val="102"/>
                    <w:rPr>
                      <w:rFonts w:hint="default" w:ascii="Times New Roman" w:hAnsi="Times New Roman" w:cs="Times New Roman"/>
                      <w:b/>
                      <w:bCs/>
                      <w:color w:val="auto"/>
                      <w:szCs w:val="21"/>
                      <w:highlight w:val="none"/>
                    </w:rPr>
                  </w:pPr>
                </w:p>
              </w:tc>
              <w:tc>
                <w:tcPr>
                  <w:tcW w:w="640" w:type="pct"/>
                  <w:vAlign w:val="center"/>
                </w:tcPr>
                <w:p w14:paraId="7C95D814">
                  <w:pPr>
                    <w:widowControl/>
                    <w:spacing w:before="100" w:beforeAutospacing="1" w:after="100" w:afterAutospacing="1"/>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消防</w:t>
                  </w:r>
                </w:p>
              </w:tc>
              <w:tc>
                <w:tcPr>
                  <w:tcW w:w="3704" w:type="pct"/>
                  <w:gridSpan w:val="3"/>
                  <w:vAlign w:val="center"/>
                </w:tcPr>
                <w:p w14:paraId="1B8F700D">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地下消防水池1个，容积300m</w:t>
                  </w:r>
                  <w:r>
                    <w:rPr>
                      <w:rFonts w:hint="default" w:ascii="Times New Roman" w:hAnsi="Times New Roman" w:cs="Times New Roman"/>
                      <w:color w:val="auto"/>
                      <w:szCs w:val="21"/>
                      <w:highlight w:val="none"/>
                      <w:vertAlign w:val="superscript"/>
                    </w:rPr>
                    <w:t>3</w:t>
                  </w:r>
                </w:p>
              </w:tc>
              <w:tc>
                <w:tcPr>
                  <w:tcW w:w="400" w:type="pct"/>
                  <w:vAlign w:val="center"/>
                </w:tcPr>
                <w:p w14:paraId="68CA7511">
                  <w:pPr>
                    <w:pStyle w:val="102"/>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新建</w:t>
                  </w:r>
                </w:p>
              </w:tc>
            </w:tr>
            <w:tr w14:paraId="6746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restart"/>
                  <w:vAlign w:val="center"/>
                </w:tcPr>
                <w:p w14:paraId="46B54CDF">
                  <w:pPr>
                    <w:pStyle w:val="10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环保</w:t>
                  </w:r>
                </w:p>
                <w:p w14:paraId="3452D623">
                  <w:pPr>
                    <w:pStyle w:val="102"/>
                    <w:rPr>
                      <w:rFonts w:hint="default" w:ascii="Times New Roman" w:hAnsi="Times New Roman" w:cs="Times New Roman"/>
                      <w:b/>
                      <w:bCs/>
                      <w:color w:val="auto"/>
                      <w:szCs w:val="21"/>
                      <w:highlight w:val="none"/>
                    </w:rPr>
                  </w:pPr>
                  <w:r>
                    <w:rPr>
                      <w:rFonts w:hint="default" w:ascii="Times New Roman" w:hAnsi="Times New Roman" w:cs="Times New Roman"/>
                      <w:b/>
                      <w:bCs/>
                      <w:color w:val="auto"/>
                      <w:highlight w:val="none"/>
                    </w:rPr>
                    <w:t>工程</w:t>
                  </w:r>
                </w:p>
              </w:tc>
              <w:tc>
                <w:tcPr>
                  <w:tcW w:w="640" w:type="pct"/>
                  <w:vMerge w:val="restart"/>
                  <w:vAlign w:val="center"/>
                </w:tcPr>
                <w:p w14:paraId="68EDCF5C">
                  <w:pPr>
                    <w:pStyle w:val="102"/>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废气</w:t>
                  </w:r>
                </w:p>
              </w:tc>
              <w:tc>
                <w:tcPr>
                  <w:tcW w:w="412" w:type="pct"/>
                  <w:vMerge w:val="restart"/>
                  <w:vAlign w:val="center"/>
                </w:tcPr>
                <w:p w14:paraId="0638E3AD">
                  <w:pPr>
                    <w:pStyle w:val="10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理化实验室</w:t>
                  </w:r>
                </w:p>
              </w:tc>
              <w:tc>
                <w:tcPr>
                  <w:tcW w:w="1258" w:type="pct"/>
                  <w:vAlign w:val="center"/>
                </w:tcPr>
                <w:p w14:paraId="4F8322DD">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氨气和有机废气（以非甲烷总烃计）</w:t>
                  </w:r>
                </w:p>
              </w:tc>
              <w:tc>
                <w:tcPr>
                  <w:tcW w:w="2034" w:type="pct"/>
                  <w:vAlign w:val="center"/>
                </w:tcPr>
                <w:p w14:paraId="74DD48E8">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实验室通风柜密封收集+</w:t>
                  </w:r>
                  <w:r>
                    <w:rPr>
                      <w:rFonts w:hint="default" w:ascii="Times New Roman" w:hAnsi="Times New Roman" w:cs="Times New Roman"/>
                      <w:color w:val="auto"/>
                      <w:highlight w:val="none"/>
                    </w:rPr>
                    <w:t>二级</w:t>
                  </w:r>
                  <w:r>
                    <w:rPr>
                      <w:rFonts w:hint="default" w:ascii="Times New Roman" w:hAnsi="Times New Roman" w:cs="Times New Roman"/>
                      <w:color w:val="auto"/>
                      <w:szCs w:val="21"/>
                      <w:highlight w:val="none"/>
                    </w:rPr>
                    <w:t>活性炭吸附+1根23m高排气筒排放（DA001）</w:t>
                  </w:r>
                </w:p>
              </w:tc>
              <w:tc>
                <w:tcPr>
                  <w:tcW w:w="400" w:type="pct"/>
                  <w:vMerge w:val="restart"/>
                  <w:vAlign w:val="center"/>
                </w:tcPr>
                <w:p w14:paraId="6842D734">
                  <w:pPr>
                    <w:pStyle w:val="102"/>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新建</w:t>
                  </w:r>
                </w:p>
              </w:tc>
            </w:tr>
            <w:tr w14:paraId="76CC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21612D28">
                  <w:pPr>
                    <w:pStyle w:val="102"/>
                    <w:rPr>
                      <w:rFonts w:hint="default" w:ascii="Times New Roman" w:hAnsi="Times New Roman" w:cs="Times New Roman"/>
                      <w:color w:val="auto"/>
                      <w:highlight w:val="none"/>
                    </w:rPr>
                  </w:pPr>
                </w:p>
              </w:tc>
              <w:tc>
                <w:tcPr>
                  <w:tcW w:w="640" w:type="pct"/>
                  <w:vMerge w:val="continue"/>
                  <w:vAlign w:val="center"/>
                </w:tcPr>
                <w:p w14:paraId="280E2A54">
                  <w:pPr>
                    <w:pStyle w:val="102"/>
                    <w:rPr>
                      <w:rFonts w:hint="default" w:ascii="Times New Roman" w:hAnsi="Times New Roman" w:cs="Times New Roman"/>
                      <w:color w:val="auto"/>
                      <w:highlight w:val="none"/>
                    </w:rPr>
                  </w:pPr>
                </w:p>
              </w:tc>
              <w:tc>
                <w:tcPr>
                  <w:tcW w:w="412" w:type="pct"/>
                  <w:vMerge w:val="continue"/>
                  <w:vAlign w:val="center"/>
                </w:tcPr>
                <w:p w14:paraId="427AA757">
                  <w:pPr>
                    <w:pStyle w:val="102"/>
                    <w:rPr>
                      <w:rFonts w:hint="default" w:ascii="Times New Roman" w:hAnsi="Times New Roman" w:cs="Times New Roman"/>
                      <w:color w:val="auto"/>
                      <w:highlight w:val="none"/>
                    </w:rPr>
                  </w:pPr>
                </w:p>
              </w:tc>
              <w:tc>
                <w:tcPr>
                  <w:tcW w:w="1258" w:type="pct"/>
                  <w:vAlign w:val="center"/>
                </w:tcPr>
                <w:p w14:paraId="767291BD">
                  <w:pPr>
                    <w:pStyle w:val="102"/>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NO</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lang w:bidi="ar"/>
                    </w:rPr>
                    <w:t>、硫酸雾、HCl</w:t>
                  </w:r>
                </w:p>
              </w:tc>
              <w:tc>
                <w:tcPr>
                  <w:tcW w:w="2034" w:type="pct"/>
                  <w:vAlign w:val="center"/>
                </w:tcPr>
                <w:p w14:paraId="244DF766">
                  <w:pPr>
                    <w:pStyle w:val="102"/>
                    <w:jc w:val="both"/>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实验室通风柜密封收集+碱液吸收+</w:t>
                  </w:r>
                  <w:r>
                    <w:rPr>
                      <w:rFonts w:hint="default" w:ascii="Times New Roman" w:hAnsi="Times New Roman" w:cs="Times New Roman"/>
                      <w:color w:val="auto"/>
                      <w:highlight w:val="none"/>
                    </w:rPr>
                    <w:t>烟气干燥+二级</w:t>
                  </w:r>
                  <w:r>
                    <w:rPr>
                      <w:rFonts w:hint="default" w:ascii="Times New Roman" w:hAnsi="Times New Roman" w:cs="Times New Roman"/>
                      <w:color w:val="auto"/>
                      <w:szCs w:val="21"/>
                      <w:highlight w:val="none"/>
                    </w:rPr>
                    <w:t>活性炭吸附+1根23m高排气筒排放（DA001）</w:t>
                  </w:r>
                </w:p>
              </w:tc>
              <w:tc>
                <w:tcPr>
                  <w:tcW w:w="400" w:type="pct"/>
                  <w:vMerge w:val="continue"/>
                  <w:vAlign w:val="center"/>
                </w:tcPr>
                <w:p w14:paraId="5E18C1B8">
                  <w:pPr>
                    <w:pStyle w:val="102"/>
                    <w:rPr>
                      <w:rFonts w:hint="default" w:ascii="Times New Roman" w:hAnsi="Times New Roman" w:cs="Times New Roman"/>
                      <w:color w:val="auto"/>
                      <w:highlight w:val="none"/>
                    </w:rPr>
                  </w:pPr>
                </w:p>
              </w:tc>
            </w:tr>
            <w:tr w14:paraId="25DA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229C4FCA">
                  <w:pPr>
                    <w:pStyle w:val="102"/>
                    <w:rPr>
                      <w:rFonts w:hint="default" w:ascii="Times New Roman" w:hAnsi="Times New Roman" w:cs="Times New Roman"/>
                      <w:b/>
                      <w:bCs/>
                      <w:color w:val="auto"/>
                      <w:highlight w:val="none"/>
                    </w:rPr>
                  </w:pPr>
                </w:p>
              </w:tc>
              <w:tc>
                <w:tcPr>
                  <w:tcW w:w="640" w:type="pct"/>
                  <w:vMerge w:val="continue"/>
                  <w:vAlign w:val="center"/>
                </w:tcPr>
                <w:p w14:paraId="61ADACE8">
                  <w:pPr>
                    <w:pStyle w:val="102"/>
                    <w:rPr>
                      <w:rFonts w:hint="default" w:ascii="Times New Roman" w:hAnsi="Times New Roman" w:cs="Times New Roman"/>
                      <w:color w:val="auto"/>
                      <w:highlight w:val="none"/>
                    </w:rPr>
                  </w:pPr>
                </w:p>
              </w:tc>
              <w:tc>
                <w:tcPr>
                  <w:tcW w:w="412" w:type="pct"/>
                  <w:vAlign w:val="center"/>
                </w:tcPr>
                <w:p w14:paraId="5ECF26C8">
                  <w:pPr>
                    <w:pStyle w:val="10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微生物实验室</w:t>
                  </w:r>
                </w:p>
              </w:tc>
              <w:tc>
                <w:tcPr>
                  <w:tcW w:w="1258" w:type="pct"/>
                  <w:vAlign w:val="center"/>
                </w:tcPr>
                <w:p w14:paraId="4C0FB314">
                  <w:pPr>
                    <w:pStyle w:val="10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颗粒物（含细菌气溶胶团）</w:t>
                  </w:r>
                </w:p>
              </w:tc>
              <w:tc>
                <w:tcPr>
                  <w:tcW w:w="2034" w:type="pct"/>
                  <w:vAlign w:val="center"/>
                </w:tcPr>
                <w:p w14:paraId="1155D9BD">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①设置1套负压新风空调系统</w:t>
                  </w:r>
                </w:p>
                <w:p w14:paraId="258EE87A">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②生物安全柜（含高效过滤器）+紫外消毒装置</w:t>
                  </w:r>
                </w:p>
              </w:tc>
              <w:tc>
                <w:tcPr>
                  <w:tcW w:w="400" w:type="pct"/>
                  <w:vAlign w:val="center"/>
                </w:tcPr>
                <w:p w14:paraId="7679485D">
                  <w:pPr>
                    <w:pStyle w:val="102"/>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新建</w:t>
                  </w:r>
                </w:p>
              </w:tc>
            </w:tr>
            <w:tr w14:paraId="684F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3A139F74">
                  <w:pPr>
                    <w:pStyle w:val="102"/>
                    <w:rPr>
                      <w:rFonts w:hint="default" w:ascii="Times New Roman" w:hAnsi="Times New Roman" w:cs="Times New Roman"/>
                      <w:b/>
                      <w:bCs/>
                      <w:color w:val="auto"/>
                      <w:highlight w:val="none"/>
                    </w:rPr>
                  </w:pPr>
                </w:p>
              </w:tc>
              <w:tc>
                <w:tcPr>
                  <w:tcW w:w="640" w:type="pct"/>
                  <w:vMerge w:val="restart"/>
                  <w:vAlign w:val="center"/>
                </w:tcPr>
                <w:p w14:paraId="1DD8EAD4">
                  <w:pPr>
                    <w:pStyle w:val="102"/>
                    <w:rPr>
                      <w:rFonts w:hint="default" w:ascii="Times New Roman" w:hAnsi="Times New Roman" w:cs="Times New Roman"/>
                      <w:color w:val="auto"/>
                      <w:highlight w:val="none"/>
                    </w:rPr>
                  </w:pPr>
                  <w:r>
                    <w:rPr>
                      <w:rFonts w:hint="default" w:ascii="Times New Roman" w:hAnsi="Times New Roman" w:cs="Times New Roman"/>
                      <w:color w:val="auto"/>
                      <w:highlight w:val="none"/>
                    </w:rPr>
                    <w:t>废水</w:t>
                  </w:r>
                </w:p>
              </w:tc>
              <w:tc>
                <w:tcPr>
                  <w:tcW w:w="3704" w:type="pct"/>
                  <w:gridSpan w:val="3"/>
                  <w:vAlign w:val="center"/>
                </w:tcPr>
                <w:p w14:paraId="25B577A5">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实验室废水预处理：①酸碱废水经1m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的实验室废水预处理系统中和预处理；②含重金属废水经1m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的化学沉淀池预处理；③含氰废水经1m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的碱性氯化法破氰槽预处理；</w:t>
                  </w:r>
                  <w:r>
                    <w:rPr>
                      <w:rFonts w:hint="default" w:ascii="Times New Roman" w:hAnsi="Times New Roman" w:cs="Times New Roman"/>
                      <w:color w:val="auto"/>
                      <w:szCs w:val="21"/>
                      <w:highlight w:val="none"/>
                    </w:rPr>
                    <w:fldChar w:fldCharType="begin"/>
                  </w:r>
                  <w:r>
                    <w:rPr>
                      <w:rFonts w:hint="default" w:ascii="Times New Roman" w:hAnsi="Times New Roman" w:cs="Times New Roman"/>
                      <w:color w:val="auto"/>
                      <w:szCs w:val="21"/>
                      <w:highlight w:val="none"/>
                    </w:rPr>
                    <w:instrText xml:space="preserve"> = 4 \* GB3 \* MERGEFORMAT </w:instrText>
                  </w:r>
                  <w:r>
                    <w:rPr>
                      <w:rFonts w:hint="default" w:ascii="Times New Roman" w:hAnsi="Times New Roman" w:cs="Times New Roman"/>
                      <w:color w:val="auto"/>
                      <w:szCs w:val="21"/>
                      <w:highlight w:val="none"/>
                    </w:rPr>
                    <w:fldChar w:fldCharType="separate"/>
                  </w:r>
                  <w:r>
                    <w:rPr>
                      <w:rFonts w:hint="default" w:ascii="Times New Roman" w:hAnsi="Times New Roman" w:cs="Times New Roman"/>
                      <w:color w:val="auto"/>
                      <w:highlight w:val="none"/>
                    </w:rPr>
                    <w:t>④</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微生物实验室废水经1m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次氯酸钠消毒池预处理。预处理后的各类废水最终汇入现有10m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/d废水处理站。</w:t>
                  </w:r>
                </w:p>
              </w:tc>
              <w:tc>
                <w:tcPr>
                  <w:tcW w:w="400" w:type="pct"/>
                  <w:vAlign w:val="center"/>
                </w:tcPr>
                <w:p w14:paraId="3DBBCA5C">
                  <w:pPr>
                    <w:pStyle w:val="102"/>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新建</w:t>
                  </w:r>
                </w:p>
              </w:tc>
            </w:tr>
            <w:tr w14:paraId="3B4C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3AF1285B">
                  <w:pPr>
                    <w:pStyle w:val="102"/>
                    <w:rPr>
                      <w:rFonts w:hint="default" w:ascii="Times New Roman" w:hAnsi="Times New Roman" w:cs="Times New Roman"/>
                      <w:b/>
                      <w:bCs/>
                      <w:color w:val="auto"/>
                      <w:highlight w:val="none"/>
                    </w:rPr>
                  </w:pPr>
                </w:p>
              </w:tc>
              <w:tc>
                <w:tcPr>
                  <w:tcW w:w="640" w:type="pct"/>
                  <w:vMerge w:val="continue"/>
                  <w:vAlign w:val="center"/>
                </w:tcPr>
                <w:p w14:paraId="50A6098B">
                  <w:pPr>
                    <w:pStyle w:val="102"/>
                    <w:rPr>
                      <w:rFonts w:hint="default" w:ascii="Times New Roman" w:hAnsi="Times New Roman" w:cs="Times New Roman"/>
                      <w:color w:val="auto"/>
                      <w:highlight w:val="none"/>
                    </w:rPr>
                  </w:pPr>
                </w:p>
              </w:tc>
              <w:tc>
                <w:tcPr>
                  <w:tcW w:w="3704" w:type="pct"/>
                  <w:gridSpan w:val="3"/>
                  <w:vAlign w:val="center"/>
                </w:tcPr>
                <w:p w14:paraId="0CC8F536">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1座处理规模为10m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/d“缺氧+接触氧化+MBR+次氯酸钠消毒”工艺的污水处理站</w:t>
                  </w:r>
                </w:p>
              </w:tc>
              <w:tc>
                <w:tcPr>
                  <w:tcW w:w="400" w:type="pct"/>
                  <w:vAlign w:val="center"/>
                </w:tcPr>
                <w:p w14:paraId="1473D8AF">
                  <w:pPr>
                    <w:pStyle w:val="102"/>
                    <w:rPr>
                      <w:rFonts w:hint="default" w:ascii="Times New Roman" w:hAnsi="Times New Roman" w:cs="Times New Roman"/>
                      <w:color w:val="auto"/>
                      <w:highlight w:val="none"/>
                    </w:rPr>
                  </w:pPr>
                  <w:r>
                    <w:rPr>
                      <w:rFonts w:hint="default" w:ascii="Times New Roman" w:hAnsi="Times New Roman" w:cs="Times New Roman"/>
                      <w:color w:val="auto"/>
                      <w:highlight w:val="none"/>
                    </w:rPr>
                    <w:t>依托现有</w:t>
                  </w:r>
                </w:p>
              </w:tc>
            </w:tr>
            <w:tr w14:paraId="2F0B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7E8B0158">
                  <w:pPr>
                    <w:pStyle w:val="102"/>
                    <w:rPr>
                      <w:rFonts w:hint="default" w:ascii="Times New Roman" w:hAnsi="Times New Roman" w:cs="Times New Roman"/>
                      <w:b/>
                      <w:bCs/>
                      <w:color w:val="auto"/>
                      <w:highlight w:val="none"/>
                    </w:rPr>
                  </w:pPr>
                </w:p>
              </w:tc>
              <w:tc>
                <w:tcPr>
                  <w:tcW w:w="640" w:type="pct"/>
                  <w:vMerge w:val="continue"/>
                  <w:vAlign w:val="center"/>
                </w:tcPr>
                <w:p w14:paraId="35BF9A22">
                  <w:pPr>
                    <w:pStyle w:val="102"/>
                    <w:rPr>
                      <w:rFonts w:hint="default" w:ascii="Times New Roman" w:hAnsi="Times New Roman" w:cs="Times New Roman"/>
                      <w:color w:val="auto"/>
                      <w:highlight w:val="none"/>
                    </w:rPr>
                  </w:pPr>
                </w:p>
              </w:tc>
              <w:tc>
                <w:tcPr>
                  <w:tcW w:w="3704" w:type="pct"/>
                  <w:gridSpan w:val="3"/>
                  <w:vAlign w:val="center"/>
                </w:tcPr>
                <w:p w14:paraId="1288EC49">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1个9m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的化粪池</w:t>
                  </w:r>
                </w:p>
              </w:tc>
              <w:tc>
                <w:tcPr>
                  <w:tcW w:w="400" w:type="pct"/>
                  <w:vAlign w:val="center"/>
                </w:tcPr>
                <w:p w14:paraId="29DD6F82">
                  <w:pPr>
                    <w:pStyle w:val="102"/>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依托现有</w:t>
                  </w:r>
                </w:p>
              </w:tc>
            </w:tr>
            <w:tr w14:paraId="39B2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69B4CE74">
                  <w:pPr>
                    <w:pStyle w:val="102"/>
                    <w:rPr>
                      <w:rFonts w:hint="default" w:ascii="Times New Roman" w:hAnsi="Times New Roman" w:cs="Times New Roman"/>
                      <w:b/>
                      <w:bCs/>
                      <w:color w:val="auto"/>
                      <w:highlight w:val="none"/>
                    </w:rPr>
                  </w:pPr>
                </w:p>
              </w:tc>
              <w:tc>
                <w:tcPr>
                  <w:tcW w:w="640" w:type="pct"/>
                  <w:vAlign w:val="center"/>
                </w:tcPr>
                <w:p w14:paraId="58612D8D">
                  <w:pPr>
                    <w:pStyle w:val="102"/>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3704" w:type="pct"/>
                  <w:gridSpan w:val="3"/>
                  <w:vAlign w:val="center"/>
                </w:tcPr>
                <w:p w14:paraId="231D6C44">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建筑结构隔声、设备减震措施；风机设置减震、消音设施，并设置于室内</w:t>
                  </w:r>
                </w:p>
              </w:tc>
              <w:tc>
                <w:tcPr>
                  <w:tcW w:w="400" w:type="pct"/>
                  <w:vAlign w:val="center"/>
                </w:tcPr>
                <w:p w14:paraId="3ACF31B6">
                  <w:pPr>
                    <w:pStyle w:val="102"/>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新建</w:t>
                  </w:r>
                </w:p>
              </w:tc>
            </w:tr>
            <w:tr w14:paraId="1513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21E59169">
                  <w:pPr>
                    <w:pStyle w:val="102"/>
                    <w:rPr>
                      <w:rFonts w:hint="default" w:ascii="Times New Roman" w:hAnsi="Times New Roman" w:cs="Times New Roman"/>
                      <w:b/>
                      <w:bCs/>
                      <w:color w:val="auto"/>
                      <w:highlight w:val="none"/>
                    </w:rPr>
                  </w:pPr>
                </w:p>
              </w:tc>
              <w:tc>
                <w:tcPr>
                  <w:tcW w:w="640" w:type="pct"/>
                  <w:vMerge w:val="restart"/>
                  <w:vAlign w:val="center"/>
                </w:tcPr>
                <w:p w14:paraId="7F081BF1">
                  <w:pPr>
                    <w:pStyle w:val="102"/>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3704" w:type="pct"/>
                  <w:gridSpan w:val="3"/>
                  <w:vAlign w:val="center"/>
                </w:tcPr>
                <w:p w14:paraId="7524F298">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1间3.5m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的</w:t>
                  </w:r>
                  <w:r>
                    <w:rPr>
                      <w:rFonts w:hint="default" w:ascii="Times New Roman" w:hAnsi="Times New Roman" w:cs="Times New Roman"/>
                      <w:color w:val="auto"/>
                      <w:kern w:val="0"/>
                      <w:szCs w:val="21"/>
                      <w:highlight w:val="none"/>
                    </w:rPr>
                    <w:t>医疗固废暂存间</w:t>
                  </w:r>
                </w:p>
              </w:tc>
              <w:tc>
                <w:tcPr>
                  <w:tcW w:w="400" w:type="pct"/>
                  <w:vAlign w:val="center"/>
                </w:tcPr>
                <w:p w14:paraId="257BAFC6">
                  <w:pPr>
                    <w:pStyle w:val="102"/>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依托现有 </w:t>
                  </w:r>
                </w:p>
              </w:tc>
            </w:tr>
            <w:tr w14:paraId="46C8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4" w:type="pct"/>
                  <w:vMerge w:val="continue"/>
                  <w:vAlign w:val="center"/>
                </w:tcPr>
                <w:p w14:paraId="17795CF3">
                  <w:pPr>
                    <w:pStyle w:val="102"/>
                    <w:rPr>
                      <w:rFonts w:hint="default" w:ascii="Times New Roman" w:hAnsi="Times New Roman" w:cs="Times New Roman"/>
                      <w:b/>
                      <w:bCs/>
                      <w:color w:val="auto"/>
                      <w:highlight w:val="none"/>
                    </w:rPr>
                  </w:pPr>
                </w:p>
              </w:tc>
              <w:tc>
                <w:tcPr>
                  <w:tcW w:w="640" w:type="pct"/>
                  <w:vMerge w:val="continue"/>
                  <w:vAlign w:val="center"/>
                </w:tcPr>
                <w:p w14:paraId="25EF9824">
                  <w:pPr>
                    <w:pStyle w:val="102"/>
                    <w:rPr>
                      <w:rFonts w:hint="default" w:ascii="Times New Roman" w:hAnsi="Times New Roman" w:cs="Times New Roman"/>
                      <w:color w:val="auto"/>
                      <w:highlight w:val="none"/>
                    </w:rPr>
                  </w:pPr>
                </w:p>
              </w:tc>
              <w:tc>
                <w:tcPr>
                  <w:tcW w:w="3704" w:type="pct"/>
                  <w:gridSpan w:val="3"/>
                  <w:vAlign w:val="center"/>
                </w:tcPr>
                <w:p w14:paraId="73AC69F4">
                  <w:pPr>
                    <w:pStyle w:val="102"/>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垃圾收集桶，5个</w:t>
                  </w:r>
                </w:p>
              </w:tc>
              <w:tc>
                <w:tcPr>
                  <w:tcW w:w="400" w:type="pct"/>
                  <w:vAlign w:val="center"/>
                </w:tcPr>
                <w:p w14:paraId="38699D6B">
                  <w:pPr>
                    <w:pStyle w:val="102"/>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新建</w:t>
                  </w:r>
                </w:p>
              </w:tc>
            </w:tr>
          </w:tbl>
          <w:p w14:paraId="2294D2FC">
            <w:pPr>
              <w:spacing w:line="360" w:lineRule="auto"/>
              <w:jc w:val="left"/>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2.3 原辅材料用量</w:t>
            </w:r>
          </w:p>
          <w:p w14:paraId="426ED09C">
            <w:pPr>
              <w:pStyle w:val="55"/>
              <w:ind w:left="0" w:firstLine="480" w:firstLineChars="200"/>
              <w:jc w:val="left"/>
              <w:rPr>
                <w:rFonts w:hint="default" w:ascii="Times New Roman" w:hAnsi="Times New Roman" w:cs="Times New Roman"/>
                <w:bCs/>
                <w:color w:val="auto"/>
                <w:highlight w:val="none"/>
              </w:rPr>
            </w:pPr>
            <w:r>
              <w:rPr>
                <w:rFonts w:hint="default" w:ascii="Times New Roman" w:hAnsi="Times New Roman" w:cs="Times New Roman"/>
                <w:color w:val="auto"/>
                <w:highlight w:val="none"/>
              </w:rPr>
              <w:t>项目主要试剂消耗</w:t>
            </w:r>
            <w:r>
              <w:rPr>
                <w:rFonts w:hint="default" w:ascii="Times New Roman" w:hAnsi="Times New Roman" w:cs="Times New Roman"/>
                <w:bCs/>
                <w:color w:val="auto"/>
                <w:highlight w:val="none"/>
              </w:rPr>
              <w:t>详情见下表。</w:t>
            </w:r>
          </w:p>
          <w:p w14:paraId="3045B9F4">
            <w:pPr>
              <w:pStyle w:val="55"/>
              <w:spacing w:before="120" w:beforeLines="50" w:line="240" w:lineRule="auto"/>
              <w:ind w:left="0" w:right="0" w:firstLine="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表2-2 原辅材料消耗一览表</w:t>
            </w:r>
          </w:p>
          <w:tbl>
            <w:tblPr>
              <w:tblStyle w:val="3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0"/>
              <w:gridCol w:w="2102"/>
              <w:gridCol w:w="1314"/>
              <w:gridCol w:w="958"/>
              <w:gridCol w:w="972"/>
              <w:gridCol w:w="1059"/>
              <w:gridCol w:w="1371"/>
            </w:tblGrid>
            <w:tr w14:paraId="711B6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342" w:type="pct"/>
                  <w:vAlign w:val="center"/>
                </w:tcPr>
                <w:p w14:paraId="7DFB91D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1259" w:type="pct"/>
                  <w:vAlign w:val="center"/>
                </w:tcPr>
                <w:p w14:paraId="3716DAE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名称</w:t>
                  </w:r>
                </w:p>
              </w:tc>
              <w:tc>
                <w:tcPr>
                  <w:tcW w:w="787" w:type="pct"/>
                  <w:vAlign w:val="center"/>
                </w:tcPr>
                <w:p w14:paraId="02D84B5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成分</w:t>
                  </w:r>
                </w:p>
              </w:tc>
              <w:tc>
                <w:tcPr>
                  <w:tcW w:w="574" w:type="pct"/>
                  <w:vAlign w:val="center"/>
                </w:tcPr>
                <w:p w14:paraId="3672E1F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年用量</w:t>
                  </w:r>
                </w:p>
              </w:tc>
              <w:tc>
                <w:tcPr>
                  <w:tcW w:w="582" w:type="pct"/>
                  <w:vAlign w:val="center"/>
                </w:tcPr>
                <w:p w14:paraId="705373E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存储</w:t>
                  </w:r>
                </w:p>
                <w:p w14:paraId="4C92677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方式</w:t>
                  </w:r>
                </w:p>
              </w:tc>
              <w:tc>
                <w:tcPr>
                  <w:tcW w:w="634" w:type="pct"/>
                </w:tcPr>
                <w:p w14:paraId="1E91A7D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最大储</w:t>
                  </w:r>
                </w:p>
                <w:p w14:paraId="18AF5369">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存量</w:t>
                  </w:r>
                </w:p>
              </w:tc>
              <w:tc>
                <w:tcPr>
                  <w:tcW w:w="821" w:type="pct"/>
                  <w:vAlign w:val="center"/>
                </w:tcPr>
                <w:p w14:paraId="2797441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存储位置</w:t>
                  </w:r>
                </w:p>
              </w:tc>
            </w:tr>
            <w:tr w14:paraId="70175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360F74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1259" w:type="pct"/>
                  <w:vAlign w:val="center"/>
                </w:tcPr>
                <w:p w14:paraId="79FB0AE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水中铁标准物质（1000mg/L）</w:t>
                  </w:r>
                </w:p>
              </w:tc>
              <w:tc>
                <w:tcPr>
                  <w:tcW w:w="787" w:type="pct"/>
                  <w:vAlign w:val="center"/>
                </w:tcPr>
                <w:p w14:paraId="2EDEFF6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铁、水</w:t>
                  </w:r>
                </w:p>
              </w:tc>
              <w:tc>
                <w:tcPr>
                  <w:tcW w:w="574" w:type="pct"/>
                  <w:vAlign w:val="center"/>
                </w:tcPr>
                <w:p w14:paraId="6602CB1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143589D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6AF94DE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64F6EE0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04621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9ABC59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1259" w:type="pct"/>
                  <w:vAlign w:val="center"/>
                </w:tcPr>
                <w:p w14:paraId="5DC881C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水中锰标准物质（1000mg/L）</w:t>
                  </w:r>
                </w:p>
              </w:tc>
              <w:tc>
                <w:tcPr>
                  <w:tcW w:w="787" w:type="pct"/>
                  <w:vAlign w:val="center"/>
                </w:tcPr>
                <w:p w14:paraId="7027B18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锰、水</w:t>
                  </w:r>
                </w:p>
              </w:tc>
              <w:tc>
                <w:tcPr>
                  <w:tcW w:w="574" w:type="pct"/>
                  <w:vAlign w:val="center"/>
                </w:tcPr>
                <w:p w14:paraId="3DBC45B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7ACB366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0F5F044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60F3CF3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13EC3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119570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p>
              </w:tc>
              <w:tc>
                <w:tcPr>
                  <w:tcW w:w="1259" w:type="pct"/>
                  <w:vAlign w:val="center"/>
                </w:tcPr>
                <w:p w14:paraId="042DAD8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水中铜标准物质（1000mg/L）</w:t>
                  </w:r>
                </w:p>
              </w:tc>
              <w:tc>
                <w:tcPr>
                  <w:tcW w:w="787" w:type="pct"/>
                  <w:vAlign w:val="center"/>
                </w:tcPr>
                <w:p w14:paraId="6767983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铜、水</w:t>
                  </w:r>
                </w:p>
              </w:tc>
              <w:tc>
                <w:tcPr>
                  <w:tcW w:w="574" w:type="pct"/>
                  <w:vAlign w:val="center"/>
                </w:tcPr>
                <w:p w14:paraId="08155EC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36E28DE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28F0DEA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2C6AAFE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088E0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67D0026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w:t>
                  </w:r>
                </w:p>
              </w:tc>
              <w:tc>
                <w:tcPr>
                  <w:tcW w:w="1259" w:type="pct"/>
                  <w:vAlign w:val="center"/>
                </w:tcPr>
                <w:p w14:paraId="31F8CD2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水中锌标准物质（1000mg/L）</w:t>
                  </w:r>
                </w:p>
              </w:tc>
              <w:tc>
                <w:tcPr>
                  <w:tcW w:w="787" w:type="pct"/>
                  <w:vAlign w:val="center"/>
                </w:tcPr>
                <w:p w14:paraId="30E36A0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锌、水</w:t>
                  </w:r>
                </w:p>
              </w:tc>
              <w:tc>
                <w:tcPr>
                  <w:tcW w:w="574" w:type="pct"/>
                  <w:vAlign w:val="center"/>
                </w:tcPr>
                <w:p w14:paraId="54C1A97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24901D2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32D932E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47BBBEA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7B3B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C291D5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w:t>
                  </w:r>
                </w:p>
              </w:tc>
              <w:tc>
                <w:tcPr>
                  <w:tcW w:w="1259" w:type="pct"/>
                  <w:vAlign w:val="center"/>
                </w:tcPr>
                <w:p w14:paraId="605766E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水中铅标准物质（1000mg/L）</w:t>
                  </w:r>
                </w:p>
              </w:tc>
              <w:tc>
                <w:tcPr>
                  <w:tcW w:w="787" w:type="pct"/>
                  <w:vAlign w:val="center"/>
                </w:tcPr>
                <w:p w14:paraId="14136CA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铅、水</w:t>
                  </w:r>
                </w:p>
              </w:tc>
              <w:tc>
                <w:tcPr>
                  <w:tcW w:w="574" w:type="pct"/>
                  <w:vAlign w:val="center"/>
                </w:tcPr>
                <w:p w14:paraId="4A823AD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25ml</w:t>
                  </w:r>
                </w:p>
              </w:tc>
              <w:tc>
                <w:tcPr>
                  <w:tcW w:w="582" w:type="pct"/>
                  <w:vAlign w:val="center"/>
                </w:tcPr>
                <w:p w14:paraId="0117747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7AE8D8B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25ml</w:t>
                  </w:r>
                </w:p>
              </w:tc>
              <w:tc>
                <w:tcPr>
                  <w:tcW w:w="821" w:type="pct"/>
                  <w:vAlign w:val="center"/>
                </w:tcPr>
                <w:p w14:paraId="7BDBBB7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62162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40B501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w:t>
                  </w:r>
                </w:p>
              </w:tc>
              <w:tc>
                <w:tcPr>
                  <w:tcW w:w="1259" w:type="pct"/>
                  <w:vAlign w:val="center"/>
                </w:tcPr>
                <w:p w14:paraId="410B470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水中镉标准物质（1000mg/L）</w:t>
                  </w:r>
                </w:p>
              </w:tc>
              <w:tc>
                <w:tcPr>
                  <w:tcW w:w="787" w:type="pct"/>
                  <w:vAlign w:val="center"/>
                </w:tcPr>
                <w:p w14:paraId="68B0FA3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镉、水</w:t>
                  </w:r>
                </w:p>
              </w:tc>
              <w:tc>
                <w:tcPr>
                  <w:tcW w:w="574" w:type="pct"/>
                  <w:vAlign w:val="center"/>
                </w:tcPr>
                <w:p w14:paraId="70FD3A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25ml</w:t>
                  </w:r>
                </w:p>
              </w:tc>
              <w:tc>
                <w:tcPr>
                  <w:tcW w:w="582" w:type="pct"/>
                  <w:vAlign w:val="center"/>
                </w:tcPr>
                <w:p w14:paraId="3DBBC79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7D5227A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25ml</w:t>
                  </w:r>
                </w:p>
              </w:tc>
              <w:tc>
                <w:tcPr>
                  <w:tcW w:w="821" w:type="pct"/>
                  <w:vAlign w:val="center"/>
                </w:tcPr>
                <w:p w14:paraId="67E5485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6DBB8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7E790F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w:t>
                  </w:r>
                </w:p>
              </w:tc>
              <w:tc>
                <w:tcPr>
                  <w:tcW w:w="1259" w:type="pct"/>
                  <w:vAlign w:val="center"/>
                </w:tcPr>
                <w:p w14:paraId="59B089B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水中钠标准物质（1000mg/L）</w:t>
                  </w:r>
                </w:p>
              </w:tc>
              <w:tc>
                <w:tcPr>
                  <w:tcW w:w="787" w:type="pct"/>
                  <w:vAlign w:val="center"/>
                </w:tcPr>
                <w:p w14:paraId="649F86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钠、水</w:t>
                  </w:r>
                </w:p>
              </w:tc>
              <w:tc>
                <w:tcPr>
                  <w:tcW w:w="574" w:type="pct"/>
                  <w:vAlign w:val="center"/>
                </w:tcPr>
                <w:p w14:paraId="3CA2040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2E805CE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1C319F3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0D78C8C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67803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E9EB18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8</w:t>
                  </w:r>
                </w:p>
              </w:tc>
              <w:tc>
                <w:tcPr>
                  <w:tcW w:w="1259" w:type="pct"/>
                  <w:vAlign w:val="center"/>
                </w:tcPr>
                <w:p w14:paraId="390E757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水中铝标准物质（1000mg/L）</w:t>
                  </w:r>
                </w:p>
              </w:tc>
              <w:tc>
                <w:tcPr>
                  <w:tcW w:w="787" w:type="pct"/>
                  <w:vAlign w:val="center"/>
                </w:tcPr>
                <w:p w14:paraId="7ABD511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铝、水</w:t>
                  </w:r>
                </w:p>
              </w:tc>
              <w:tc>
                <w:tcPr>
                  <w:tcW w:w="574" w:type="pct"/>
                  <w:vAlign w:val="center"/>
                </w:tcPr>
                <w:p w14:paraId="0F96FED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582" w:type="pct"/>
                  <w:vAlign w:val="center"/>
                </w:tcPr>
                <w:p w14:paraId="2EBC453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59618EF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821" w:type="pct"/>
                  <w:vAlign w:val="center"/>
                </w:tcPr>
                <w:p w14:paraId="07B9370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05DF2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3E15357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w:t>
                  </w:r>
                </w:p>
              </w:tc>
              <w:tc>
                <w:tcPr>
                  <w:tcW w:w="1259" w:type="pct"/>
                  <w:vAlign w:val="center"/>
                </w:tcPr>
                <w:p w14:paraId="4EB1D2E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硝酸</w:t>
                  </w:r>
                </w:p>
              </w:tc>
              <w:tc>
                <w:tcPr>
                  <w:tcW w:w="787" w:type="pct"/>
                  <w:vAlign w:val="center"/>
                </w:tcPr>
                <w:p w14:paraId="16F3CCB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硝酸、水</w:t>
                  </w:r>
                </w:p>
              </w:tc>
              <w:tc>
                <w:tcPr>
                  <w:tcW w:w="574" w:type="pct"/>
                  <w:vAlign w:val="center"/>
                </w:tcPr>
                <w:p w14:paraId="515E51B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4500ml</w:t>
                  </w:r>
                </w:p>
              </w:tc>
              <w:tc>
                <w:tcPr>
                  <w:tcW w:w="582" w:type="pct"/>
                  <w:vAlign w:val="center"/>
                </w:tcPr>
                <w:p w14:paraId="2A721D5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785BBF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4500ml</w:t>
                  </w:r>
                </w:p>
              </w:tc>
              <w:tc>
                <w:tcPr>
                  <w:tcW w:w="821" w:type="pct"/>
                  <w:vAlign w:val="center"/>
                </w:tcPr>
                <w:p w14:paraId="76DC8B7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危化品室</w:t>
                  </w:r>
                </w:p>
              </w:tc>
            </w:tr>
            <w:tr w14:paraId="6721E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5DE31B1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w:t>
                  </w:r>
                </w:p>
              </w:tc>
              <w:tc>
                <w:tcPr>
                  <w:tcW w:w="1259" w:type="pct"/>
                  <w:vAlign w:val="center"/>
                </w:tcPr>
                <w:p w14:paraId="6C941DC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甲醇中三溴甲烷</w:t>
                  </w:r>
                </w:p>
                <w:p w14:paraId="0947008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（100ug/ml）</w:t>
                  </w:r>
                </w:p>
              </w:tc>
              <w:tc>
                <w:tcPr>
                  <w:tcW w:w="787" w:type="pct"/>
                  <w:vAlign w:val="center"/>
                </w:tcPr>
                <w:p w14:paraId="03EC45E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甲醇、</w:t>
                  </w:r>
                  <w:bookmarkStart w:id="6" w:name="OLE_LINK1"/>
                  <w:r>
                    <w:rPr>
                      <w:rFonts w:hint="default" w:ascii="Times New Roman" w:hAnsi="Times New Roman" w:cs="Times New Roman"/>
                      <w:color w:val="auto"/>
                      <w:kern w:val="0"/>
                      <w:szCs w:val="21"/>
                      <w:highlight w:val="none"/>
                    </w:rPr>
                    <w:t>三溴甲烷</w:t>
                  </w:r>
                  <w:bookmarkEnd w:id="6"/>
                </w:p>
              </w:tc>
              <w:tc>
                <w:tcPr>
                  <w:tcW w:w="574" w:type="pct"/>
                  <w:vAlign w:val="center"/>
                </w:tcPr>
                <w:p w14:paraId="6C1C50C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6ml</w:t>
                  </w:r>
                </w:p>
              </w:tc>
              <w:tc>
                <w:tcPr>
                  <w:tcW w:w="582" w:type="pct"/>
                  <w:vAlign w:val="center"/>
                </w:tcPr>
                <w:p w14:paraId="155518A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3B19EED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6ml</w:t>
                  </w:r>
                </w:p>
              </w:tc>
              <w:tc>
                <w:tcPr>
                  <w:tcW w:w="821" w:type="pct"/>
                  <w:vAlign w:val="center"/>
                </w:tcPr>
                <w:p w14:paraId="7C9E7CA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0199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BD26B4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11</w:t>
                  </w:r>
                </w:p>
              </w:tc>
              <w:tc>
                <w:tcPr>
                  <w:tcW w:w="1259" w:type="pct"/>
                  <w:vAlign w:val="center"/>
                </w:tcPr>
                <w:p w14:paraId="7269C5C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甲醇中二溴一氯甲烷（100ug/ml）</w:t>
                  </w:r>
                </w:p>
              </w:tc>
              <w:tc>
                <w:tcPr>
                  <w:tcW w:w="787" w:type="pct"/>
                  <w:vAlign w:val="center"/>
                </w:tcPr>
                <w:p w14:paraId="5ED628D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甲醇、二溴一氯甲烷</w:t>
                  </w:r>
                </w:p>
              </w:tc>
              <w:tc>
                <w:tcPr>
                  <w:tcW w:w="574" w:type="pct"/>
                  <w:vAlign w:val="center"/>
                </w:tcPr>
                <w:p w14:paraId="2D15D27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6ml</w:t>
                  </w:r>
                </w:p>
              </w:tc>
              <w:tc>
                <w:tcPr>
                  <w:tcW w:w="582" w:type="pct"/>
                  <w:vAlign w:val="center"/>
                </w:tcPr>
                <w:p w14:paraId="3938050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49B4FA4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6ml</w:t>
                  </w:r>
                </w:p>
              </w:tc>
              <w:tc>
                <w:tcPr>
                  <w:tcW w:w="821" w:type="pct"/>
                  <w:vAlign w:val="center"/>
                </w:tcPr>
                <w:p w14:paraId="3526E48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6CC2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6063496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w:t>
                  </w:r>
                </w:p>
              </w:tc>
              <w:tc>
                <w:tcPr>
                  <w:tcW w:w="1259" w:type="pct"/>
                  <w:vAlign w:val="center"/>
                </w:tcPr>
                <w:p w14:paraId="5C037F6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甲醇中一溴二氯甲烷溶液标准物质（1000ug/ml)</w:t>
                  </w:r>
                </w:p>
              </w:tc>
              <w:tc>
                <w:tcPr>
                  <w:tcW w:w="787" w:type="pct"/>
                  <w:vAlign w:val="center"/>
                </w:tcPr>
                <w:p w14:paraId="0D3C93B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甲醇、一溴二氯甲烷</w:t>
                  </w:r>
                </w:p>
              </w:tc>
              <w:tc>
                <w:tcPr>
                  <w:tcW w:w="574" w:type="pct"/>
                  <w:vAlign w:val="center"/>
                </w:tcPr>
                <w:p w14:paraId="26303D9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6ml</w:t>
                  </w:r>
                </w:p>
              </w:tc>
              <w:tc>
                <w:tcPr>
                  <w:tcW w:w="582" w:type="pct"/>
                  <w:vAlign w:val="center"/>
                </w:tcPr>
                <w:p w14:paraId="23B7386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47152D2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6ml</w:t>
                  </w:r>
                </w:p>
              </w:tc>
              <w:tc>
                <w:tcPr>
                  <w:tcW w:w="821" w:type="pct"/>
                  <w:vAlign w:val="center"/>
                </w:tcPr>
                <w:p w14:paraId="46FB6E8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7BD06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517BDBB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w:t>
                  </w:r>
                </w:p>
              </w:tc>
              <w:tc>
                <w:tcPr>
                  <w:tcW w:w="1259" w:type="pct"/>
                  <w:vAlign w:val="center"/>
                </w:tcPr>
                <w:p w14:paraId="17A8D89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甲醇中三氯甲烷、四氯化碳混标（三氯甲烷：6ug/ml；四氯化碳：0.2ug/ml）</w:t>
                  </w:r>
                </w:p>
              </w:tc>
              <w:tc>
                <w:tcPr>
                  <w:tcW w:w="787" w:type="pct"/>
                  <w:vAlign w:val="center"/>
                </w:tcPr>
                <w:p w14:paraId="438AF6C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甲醇、三氯甲烷、四氯化碳</w:t>
                  </w:r>
                </w:p>
              </w:tc>
              <w:tc>
                <w:tcPr>
                  <w:tcW w:w="574" w:type="pct"/>
                  <w:vAlign w:val="center"/>
                </w:tcPr>
                <w:p w14:paraId="6ED53F1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4ml</w:t>
                  </w:r>
                </w:p>
              </w:tc>
              <w:tc>
                <w:tcPr>
                  <w:tcW w:w="582" w:type="pct"/>
                  <w:vAlign w:val="center"/>
                </w:tcPr>
                <w:p w14:paraId="05E378E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1F86A6A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4ml</w:t>
                  </w:r>
                </w:p>
              </w:tc>
              <w:tc>
                <w:tcPr>
                  <w:tcW w:w="821" w:type="pct"/>
                  <w:vAlign w:val="center"/>
                </w:tcPr>
                <w:p w14:paraId="02A129E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D2D2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4961DA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14</w:t>
                  </w:r>
                </w:p>
              </w:tc>
              <w:tc>
                <w:tcPr>
                  <w:tcW w:w="1259" w:type="pct"/>
                  <w:vAlign w:val="center"/>
                </w:tcPr>
                <w:p w14:paraId="0DFC034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正己烷中8种有机氯农药混标（50ug/ml）</w:t>
                  </w:r>
                </w:p>
              </w:tc>
              <w:tc>
                <w:tcPr>
                  <w:tcW w:w="787" w:type="pct"/>
                  <w:vAlign w:val="center"/>
                </w:tcPr>
                <w:p w14:paraId="1817A24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正己烷、滴滴涕、六六六</w:t>
                  </w:r>
                </w:p>
              </w:tc>
              <w:tc>
                <w:tcPr>
                  <w:tcW w:w="574" w:type="pct"/>
                  <w:vAlign w:val="center"/>
                </w:tcPr>
                <w:p w14:paraId="4A13869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2ml</w:t>
                  </w:r>
                </w:p>
              </w:tc>
              <w:tc>
                <w:tcPr>
                  <w:tcW w:w="582" w:type="pct"/>
                  <w:vAlign w:val="center"/>
                </w:tcPr>
                <w:p w14:paraId="6A1E3C8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28B15E6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2ml</w:t>
                  </w:r>
                </w:p>
              </w:tc>
              <w:tc>
                <w:tcPr>
                  <w:tcW w:w="821" w:type="pct"/>
                  <w:vAlign w:val="center"/>
                </w:tcPr>
                <w:p w14:paraId="25049DF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09CD6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7AE97F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15</w:t>
                  </w:r>
                </w:p>
              </w:tc>
              <w:tc>
                <w:tcPr>
                  <w:tcW w:w="1259" w:type="pct"/>
                  <w:vAlign w:val="center"/>
                </w:tcPr>
                <w:p w14:paraId="50086AF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水中六价铬单元素溶液标准物质</w:t>
                  </w:r>
                </w:p>
                <w:p w14:paraId="6DFB90B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（1000μg/ml）</w:t>
                  </w:r>
                </w:p>
              </w:tc>
              <w:tc>
                <w:tcPr>
                  <w:tcW w:w="787" w:type="pct"/>
                  <w:vAlign w:val="center"/>
                </w:tcPr>
                <w:p w14:paraId="66EABAC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六价铬、水</w:t>
                  </w:r>
                </w:p>
              </w:tc>
              <w:tc>
                <w:tcPr>
                  <w:tcW w:w="574" w:type="pct"/>
                  <w:vAlign w:val="center"/>
                </w:tcPr>
                <w:p w14:paraId="3211097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52A5B2F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255C360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39D05EB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49BA5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2878549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16</w:t>
                  </w:r>
                </w:p>
              </w:tc>
              <w:tc>
                <w:tcPr>
                  <w:tcW w:w="1259" w:type="pct"/>
                  <w:vAlign w:val="center"/>
                </w:tcPr>
                <w:p w14:paraId="2B52679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砷标准溶液（1000μg/ml）</w:t>
                  </w:r>
                </w:p>
              </w:tc>
              <w:tc>
                <w:tcPr>
                  <w:tcW w:w="787" w:type="pct"/>
                  <w:vAlign w:val="center"/>
                </w:tcPr>
                <w:p w14:paraId="135D0F4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砷 、水</w:t>
                  </w:r>
                </w:p>
              </w:tc>
              <w:tc>
                <w:tcPr>
                  <w:tcW w:w="574" w:type="pct"/>
                  <w:vAlign w:val="center"/>
                </w:tcPr>
                <w:p w14:paraId="0BCEE0F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1A98A89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5FCAEC5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6D895CC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07EF9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DFCAC6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17</w:t>
                  </w:r>
                </w:p>
              </w:tc>
              <w:tc>
                <w:tcPr>
                  <w:tcW w:w="1259" w:type="pct"/>
                  <w:vAlign w:val="center"/>
                </w:tcPr>
                <w:p w14:paraId="316FB73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硒标准溶液（1000μg/ml）</w:t>
                  </w:r>
                </w:p>
              </w:tc>
              <w:tc>
                <w:tcPr>
                  <w:tcW w:w="787" w:type="pct"/>
                  <w:vAlign w:val="center"/>
                </w:tcPr>
                <w:p w14:paraId="25D4050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硒、水</w:t>
                  </w:r>
                </w:p>
              </w:tc>
              <w:tc>
                <w:tcPr>
                  <w:tcW w:w="574" w:type="pct"/>
                  <w:vAlign w:val="center"/>
                </w:tcPr>
                <w:p w14:paraId="1E6844A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211D6A1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72F5524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007AF40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1BEB5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E9DDA8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18</w:t>
                  </w:r>
                </w:p>
              </w:tc>
              <w:tc>
                <w:tcPr>
                  <w:tcW w:w="1259" w:type="pct"/>
                  <w:vAlign w:val="center"/>
                </w:tcPr>
                <w:p w14:paraId="58D50F9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锑标准溶液（1000μg/ml）</w:t>
                  </w:r>
                </w:p>
              </w:tc>
              <w:tc>
                <w:tcPr>
                  <w:tcW w:w="787" w:type="pct"/>
                  <w:vAlign w:val="center"/>
                </w:tcPr>
                <w:p w14:paraId="00C52D2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锑、水</w:t>
                  </w:r>
                </w:p>
              </w:tc>
              <w:tc>
                <w:tcPr>
                  <w:tcW w:w="574" w:type="pct"/>
                  <w:vAlign w:val="center"/>
                </w:tcPr>
                <w:p w14:paraId="75A6906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11FEE90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5FEC36F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7B3E310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57F1B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2F3E7EA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19</w:t>
                  </w:r>
                </w:p>
              </w:tc>
              <w:tc>
                <w:tcPr>
                  <w:tcW w:w="1259" w:type="pct"/>
                  <w:vAlign w:val="center"/>
                </w:tcPr>
                <w:p w14:paraId="0B8EAFF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汞标准溶液（1000μg/ml）</w:t>
                  </w:r>
                </w:p>
              </w:tc>
              <w:tc>
                <w:tcPr>
                  <w:tcW w:w="787" w:type="pct"/>
                  <w:vAlign w:val="center"/>
                </w:tcPr>
                <w:p w14:paraId="7C01F0B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汞、水</w:t>
                  </w:r>
                </w:p>
              </w:tc>
              <w:tc>
                <w:tcPr>
                  <w:tcW w:w="574" w:type="pct"/>
                  <w:vAlign w:val="center"/>
                </w:tcPr>
                <w:p w14:paraId="34570A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0A3C394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4AA5879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436D6CB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21E9A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6F2F7ED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w:t>
                  </w:r>
                </w:p>
              </w:tc>
              <w:tc>
                <w:tcPr>
                  <w:tcW w:w="1259" w:type="pct"/>
                  <w:vAlign w:val="center"/>
                </w:tcPr>
                <w:p w14:paraId="0C21614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w:t>
                  </w:r>
                </w:p>
              </w:tc>
              <w:tc>
                <w:tcPr>
                  <w:tcW w:w="787" w:type="pct"/>
                  <w:vAlign w:val="center"/>
                </w:tcPr>
                <w:p w14:paraId="779CFD8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硫酸、水</w:t>
                  </w:r>
                </w:p>
              </w:tc>
              <w:tc>
                <w:tcPr>
                  <w:tcW w:w="574" w:type="pct"/>
                  <w:vAlign w:val="center"/>
                </w:tcPr>
                <w:p w14:paraId="5E17AC2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412ml</w:t>
                  </w:r>
                </w:p>
              </w:tc>
              <w:tc>
                <w:tcPr>
                  <w:tcW w:w="582" w:type="pct"/>
                  <w:vAlign w:val="center"/>
                </w:tcPr>
                <w:p w14:paraId="4D3570B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4D824AD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412ml</w:t>
                  </w:r>
                </w:p>
              </w:tc>
              <w:tc>
                <w:tcPr>
                  <w:tcW w:w="821" w:type="pct"/>
                  <w:vAlign w:val="center"/>
                </w:tcPr>
                <w:p w14:paraId="1632476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危化品室</w:t>
                  </w:r>
                </w:p>
              </w:tc>
            </w:tr>
            <w:tr w14:paraId="079DA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CB30AF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w:t>
                  </w:r>
                </w:p>
              </w:tc>
              <w:tc>
                <w:tcPr>
                  <w:tcW w:w="1259" w:type="pct"/>
                  <w:vAlign w:val="center"/>
                </w:tcPr>
                <w:p w14:paraId="1BB8169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丙酮</w:t>
                  </w:r>
                </w:p>
              </w:tc>
              <w:tc>
                <w:tcPr>
                  <w:tcW w:w="787" w:type="pct"/>
                  <w:vAlign w:val="center"/>
                </w:tcPr>
                <w:p w14:paraId="0047AAE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丙酮、水</w:t>
                  </w:r>
                </w:p>
              </w:tc>
              <w:tc>
                <w:tcPr>
                  <w:tcW w:w="574" w:type="pct"/>
                  <w:vAlign w:val="center"/>
                </w:tcPr>
                <w:p w14:paraId="7524DD6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300ml</w:t>
                  </w:r>
                </w:p>
              </w:tc>
              <w:tc>
                <w:tcPr>
                  <w:tcW w:w="582" w:type="pct"/>
                  <w:vAlign w:val="center"/>
                </w:tcPr>
                <w:p w14:paraId="224D9D5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7B83559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300ml</w:t>
                  </w:r>
                </w:p>
              </w:tc>
              <w:tc>
                <w:tcPr>
                  <w:tcW w:w="821" w:type="pct"/>
                  <w:vAlign w:val="center"/>
                </w:tcPr>
                <w:p w14:paraId="1699069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危化品室</w:t>
                  </w:r>
                </w:p>
              </w:tc>
            </w:tr>
            <w:tr w14:paraId="3DE9F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77053D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22</w:t>
                  </w:r>
                </w:p>
              </w:tc>
              <w:tc>
                <w:tcPr>
                  <w:tcW w:w="1259" w:type="pct"/>
                  <w:vAlign w:val="center"/>
                </w:tcPr>
                <w:p w14:paraId="3B4CBBB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二苯碳酰二肼</w:t>
                  </w:r>
                </w:p>
              </w:tc>
              <w:tc>
                <w:tcPr>
                  <w:tcW w:w="787" w:type="pct"/>
                  <w:vAlign w:val="center"/>
                </w:tcPr>
                <w:p w14:paraId="09CB25B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二苯碳酰二肼</w:t>
                  </w:r>
                </w:p>
              </w:tc>
              <w:tc>
                <w:tcPr>
                  <w:tcW w:w="574" w:type="pct"/>
                  <w:vAlign w:val="center"/>
                </w:tcPr>
                <w:p w14:paraId="1382E58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1g</w:t>
                  </w:r>
                </w:p>
              </w:tc>
              <w:tc>
                <w:tcPr>
                  <w:tcW w:w="582" w:type="pct"/>
                  <w:vAlign w:val="center"/>
                </w:tcPr>
                <w:p w14:paraId="1FAB60A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4B86851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1g</w:t>
                  </w:r>
                </w:p>
              </w:tc>
              <w:tc>
                <w:tcPr>
                  <w:tcW w:w="821" w:type="pct"/>
                  <w:vAlign w:val="center"/>
                </w:tcPr>
                <w:p w14:paraId="0CA8AC6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0C2E1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5386CCC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23</w:t>
                  </w:r>
                </w:p>
              </w:tc>
              <w:tc>
                <w:tcPr>
                  <w:tcW w:w="1259" w:type="pct"/>
                  <w:vAlign w:val="center"/>
                </w:tcPr>
                <w:p w14:paraId="7569CC7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盐酸</w:t>
                  </w:r>
                </w:p>
              </w:tc>
              <w:tc>
                <w:tcPr>
                  <w:tcW w:w="787" w:type="pct"/>
                  <w:vAlign w:val="center"/>
                </w:tcPr>
                <w:p w14:paraId="76D5246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盐酸、水</w:t>
                  </w:r>
                </w:p>
              </w:tc>
              <w:tc>
                <w:tcPr>
                  <w:tcW w:w="574" w:type="pct"/>
                  <w:vAlign w:val="center"/>
                </w:tcPr>
                <w:p w14:paraId="53563B1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1510ml</w:t>
                  </w:r>
                </w:p>
              </w:tc>
              <w:tc>
                <w:tcPr>
                  <w:tcW w:w="582" w:type="pct"/>
                  <w:vAlign w:val="center"/>
                </w:tcPr>
                <w:p w14:paraId="2E26C9C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F4ECC2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1510ml</w:t>
                  </w:r>
                </w:p>
              </w:tc>
              <w:tc>
                <w:tcPr>
                  <w:tcW w:w="821" w:type="pct"/>
                  <w:vAlign w:val="center"/>
                </w:tcPr>
                <w:p w14:paraId="21170BD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危化品室</w:t>
                  </w:r>
                </w:p>
              </w:tc>
            </w:tr>
            <w:tr w14:paraId="6FC60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5ECE3FC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24</w:t>
                  </w:r>
                </w:p>
              </w:tc>
              <w:tc>
                <w:tcPr>
                  <w:tcW w:w="1259" w:type="pct"/>
                  <w:vAlign w:val="center"/>
                </w:tcPr>
                <w:p w14:paraId="297121F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硼氢化钾</w:t>
                  </w:r>
                </w:p>
              </w:tc>
              <w:tc>
                <w:tcPr>
                  <w:tcW w:w="787" w:type="pct"/>
                  <w:vAlign w:val="center"/>
                </w:tcPr>
                <w:p w14:paraId="7430B97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硼氢化钾</w:t>
                  </w:r>
                </w:p>
              </w:tc>
              <w:tc>
                <w:tcPr>
                  <w:tcW w:w="574" w:type="pct"/>
                  <w:vAlign w:val="center"/>
                </w:tcPr>
                <w:p w14:paraId="28E91FD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30g</w:t>
                  </w:r>
                </w:p>
              </w:tc>
              <w:tc>
                <w:tcPr>
                  <w:tcW w:w="582" w:type="pct"/>
                  <w:vAlign w:val="center"/>
                </w:tcPr>
                <w:p w14:paraId="127716D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2AE6513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30g</w:t>
                  </w:r>
                </w:p>
              </w:tc>
              <w:tc>
                <w:tcPr>
                  <w:tcW w:w="821" w:type="pct"/>
                  <w:vAlign w:val="center"/>
                </w:tcPr>
                <w:p w14:paraId="7DB3A4C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危化品室</w:t>
                  </w:r>
                </w:p>
              </w:tc>
            </w:tr>
            <w:tr w14:paraId="2CB45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A353C3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25</w:t>
                  </w:r>
                </w:p>
              </w:tc>
              <w:tc>
                <w:tcPr>
                  <w:tcW w:w="1259" w:type="pct"/>
                  <w:vAlign w:val="center"/>
                </w:tcPr>
                <w:p w14:paraId="0754997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硫脲</w:t>
                  </w:r>
                </w:p>
              </w:tc>
              <w:tc>
                <w:tcPr>
                  <w:tcW w:w="787" w:type="pct"/>
                  <w:vAlign w:val="center"/>
                </w:tcPr>
                <w:p w14:paraId="538F877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硫脲</w:t>
                  </w:r>
                </w:p>
              </w:tc>
              <w:tc>
                <w:tcPr>
                  <w:tcW w:w="574" w:type="pct"/>
                  <w:vAlign w:val="center"/>
                </w:tcPr>
                <w:p w14:paraId="5D7A2A3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20g</w:t>
                  </w:r>
                </w:p>
              </w:tc>
              <w:tc>
                <w:tcPr>
                  <w:tcW w:w="582" w:type="pct"/>
                  <w:vAlign w:val="center"/>
                </w:tcPr>
                <w:p w14:paraId="32B2119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15A38AF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20g</w:t>
                  </w:r>
                </w:p>
              </w:tc>
              <w:tc>
                <w:tcPr>
                  <w:tcW w:w="821" w:type="pct"/>
                  <w:vAlign w:val="center"/>
                </w:tcPr>
                <w:p w14:paraId="74599BA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1A0F5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E8D095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26</w:t>
                  </w:r>
                </w:p>
              </w:tc>
              <w:tc>
                <w:tcPr>
                  <w:tcW w:w="1259" w:type="pct"/>
                  <w:vAlign w:val="center"/>
                </w:tcPr>
                <w:p w14:paraId="23AB014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抗坏血酸</w:t>
                  </w:r>
                </w:p>
              </w:tc>
              <w:tc>
                <w:tcPr>
                  <w:tcW w:w="787" w:type="pct"/>
                  <w:vAlign w:val="center"/>
                </w:tcPr>
                <w:p w14:paraId="725DCC7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抗坏血酸</w:t>
                  </w:r>
                </w:p>
              </w:tc>
              <w:tc>
                <w:tcPr>
                  <w:tcW w:w="574" w:type="pct"/>
                  <w:vAlign w:val="center"/>
                </w:tcPr>
                <w:p w14:paraId="76E3074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20g</w:t>
                  </w:r>
                </w:p>
              </w:tc>
              <w:tc>
                <w:tcPr>
                  <w:tcW w:w="582" w:type="pct"/>
                  <w:vAlign w:val="center"/>
                </w:tcPr>
                <w:p w14:paraId="7E9B1F0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671CB32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20g</w:t>
                  </w:r>
                </w:p>
              </w:tc>
              <w:tc>
                <w:tcPr>
                  <w:tcW w:w="821" w:type="pct"/>
                  <w:vAlign w:val="center"/>
                </w:tcPr>
                <w:p w14:paraId="20027A0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6735E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5A2A570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27</w:t>
                  </w:r>
                </w:p>
              </w:tc>
              <w:tc>
                <w:tcPr>
                  <w:tcW w:w="1259" w:type="pct"/>
                  <w:vAlign w:val="center"/>
                </w:tcPr>
                <w:p w14:paraId="255A1E9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重铬酸钾</w:t>
                  </w:r>
                </w:p>
              </w:tc>
              <w:tc>
                <w:tcPr>
                  <w:tcW w:w="787" w:type="pct"/>
                  <w:vAlign w:val="center"/>
                </w:tcPr>
                <w:p w14:paraId="0D540EF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重铬酸钾</w:t>
                  </w:r>
                </w:p>
              </w:tc>
              <w:tc>
                <w:tcPr>
                  <w:tcW w:w="574" w:type="pct"/>
                  <w:vAlign w:val="center"/>
                </w:tcPr>
                <w:p w14:paraId="41309BE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2g</w:t>
                  </w:r>
                </w:p>
              </w:tc>
              <w:tc>
                <w:tcPr>
                  <w:tcW w:w="582" w:type="pct"/>
                  <w:vAlign w:val="center"/>
                </w:tcPr>
                <w:p w14:paraId="00DA620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426A3AC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2g</w:t>
                  </w:r>
                </w:p>
              </w:tc>
              <w:tc>
                <w:tcPr>
                  <w:tcW w:w="821" w:type="pct"/>
                  <w:vAlign w:val="center"/>
                </w:tcPr>
                <w:p w14:paraId="54EEC62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危化品室</w:t>
                  </w:r>
                </w:p>
              </w:tc>
            </w:tr>
            <w:tr w14:paraId="374AE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944DCF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28</w:t>
                  </w:r>
                </w:p>
              </w:tc>
              <w:tc>
                <w:tcPr>
                  <w:tcW w:w="1259" w:type="pct"/>
                  <w:vAlign w:val="center"/>
                </w:tcPr>
                <w:p w14:paraId="01DE91D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铁氰化钾</w:t>
                  </w:r>
                </w:p>
              </w:tc>
              <w:tc>
                <w:tcPr>
                  <w:tcW w:w="787" w:type="pct"/>
                  <w:vAlign w:val="center"/>
                </w:tcPr>
                <w:p w14:paraId="528E3E0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铁氰化钾</w:t>
                  </w:r>
                </w:p>
              </w:tc>
              <w:tc>
                <w:tcPr>
                  <w:tcW w:w="574" w:type="pct"/>
                  <w:vAlign w:val="center"/>
                </w:tcPr>
                <w:p w14:paraId="1023C07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22g</w:t>
                  </w:r>
                </w:p>
              </w:tc>
              <w:tc>
                <w:tcPr>
                  <w:tcW w:w="582" w:type="pct"/>
                  <w:vAlign w:val="center"/>
                </w:tcPr>
                <w:p w14:paraId="469AD68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61A4EB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22g</w:t>
                  </w:r>
                </w:p>
              </w:tc>
              <w:tc>
                <w:tcPr>
                  <w:tcW w:w="821" w:type="pct"/>
                  <w:vAlign w:val="center"/>
                </w:tcPr>
                <w:p w14:paraId="3D245E8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69220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EE49A1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29</w:t>
                  </w:r>
                </w:p>
              </w:tc>
              <w:tc>
                <w:tcPr>
                  <w:tcW w:w="1259" w:type="pct"/>
                  <w:vAlign w:val="center"/>
                </w:tcPr>
                <w:p w14:paraId="32F95F1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焦磷酸</w:t>
                  </w:r>
                </w:p>
              </w:tc>
              <w:tc>
                <w:tcPr>
                  <w:tcW w:w="787" w:type="pct"/>
                  <w:vAlign w:val="center"/>
                </w:tcPr>
                <w:p w14:paraId="23C2E32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焦磷酸</w:t>
                  </w:r>
                </w:p>
              </w:tc>
              <w:tc>
                <w:tcPr>
                  <w:tcW w:w="574" w:type="pct"/>
                  <w:vAlign w:val="center"/>
                </w:tcPr>
                <w:p w14:paraId="0E4B907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600ml</w:t>
                  </w:r>
                </w:p>
              </w:tc>
              <w:tc>
                <w:tcPr>
                  <w:tcW w:w="582" w:type="pct"/>
                  <w:vAlign w:val="center"/>
                </w:tcPr>
                <w:p w14:paraId="03F1325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437F88A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600ml</w:t>
                  </w:r>
                </w:p>
              </w:tc>
              <w:tc>
                <w:tcPr>
                  <w:tcW w:w="821" w:type="pct"/>
                  <w:vAlign w:val="center"/>
                </w:tcPr>
                <w:p w14:paraId="5726088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28B92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5A9B5CF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w:t>
                  </w:r>
                </w:p>
              </w:tc>
              <w:tc>
                <w:tcPr>
                  <w:tcW w:w="1259" w:type="pct"/>
                  <w:vAlign w:val="center"/>
                </w:tcPr>
                <w:p w14:paraId="154B664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高磷酸</w:t>
                  </w:r>
                </w:p>
              </w:tc>
              <w:tc>
                <w:tcPr>
                  <w:tcW w:w="787" w:type="pct"/>
                  <w:vAlign w:val="center"/>
                </w:tcPr>
                <w:p w14:paraId="08A04C4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高磷酸</w:t>
                  </w:r>
                </w:p>
              </w:tc>
              <w:tc>
                <w:tcPr>
                  <w:tcW w:w="574" w:type="pct"/>
                  <w:vAlign w:val="center"/>
                </w:tcPr>
                <w:p w14:paraId="3A373DF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582" w:type="pct"/>
                  <w:vAlign w:val="center"/>
                </w:tcPr>
                <w:p w14:paraId="7450FF1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306136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5ml</w:t>
                  </w:r>
                </w:p>
              </w:tc>
              <w:tc>
                <w:tcPr>
                  <w:tcW w:w="821" w:type="pct"/>
                  <w:vAlign w:val="center"/>
                </w:tcPr>
                <w:p w14:paraId="62566DA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20769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6170D7E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w:t>
                  </w:r>
                </w:p>
              </w:tc>
              <w:tc>
                <w:tcPr>
                  <w:tcW w:w="1259" w:type="pct"/>
                  <w:vAlign w:val="center"/>
                </w:tcPr>
                <w:p w14:paraId="41181CC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高锰酸钾容量分析用标准溶液</w:t>
                  </w:r>
                </w:p>
              </w:tc>
              <w:tc>
                <w:tcPr>
                  <w:tcW w:w="787" w:type="pct"/>
                  <w:vAlign w:val="center"/>
                </w:tcPr>
                <w:p w14:paraId="5514BFE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高锰酸钾、水</w:t>
                  </w:r>
                </w:p>
              </w:tc>
              <w:tc>
                <w:tcPr>
                  <w:tcW w:w="574" w:type="pct"/>
                  <w:vAlign w:val="center"/>
                </w:tcPr>
                <w:p w14:paraId="4F49BEE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400ml</w:t>
                  </w:r>
                </w:p>
              </w:tc>
              <w:tc>
                <w:tcPr>
                  <w:tcW w:w="582" w:type="pct"/>
                  <w:vAlign w:val="center"/>
                </w:tcPr>
                <w:p w14:paraId="5B2CD2C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78F2464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400ml</w:t>
                  </w:r>
                </w:p>
              </w:tc>
              <w:tc>
                <w:tcPr>
                  <w:tcW w:w="821" w:type="pct"/>
                  <w:vAlign w:val="center"/>
                </w:tcPr>
                <w:p w14:paraId="619EB44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1C718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0F351A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32</w:t>
                  </w:r>
                </w:p>
              </w:tc>
              <w:tc>
                <w:tcPr>
                  <w:tcW w:w="1259" w:type="pct"/>
                  <w:vAlign w:val="center"/>
                </w:tcPr>
                <w:p w14:paraId="1191380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草酸钠容量分析用标准溶液</w:t>
                  </w:r>
                </w:p>
              </w:tc>
              <w:tc>
                <w:tcPr>
                  <w:tcW w:w="787" w:type="pct"/>
                  <w:vAlign w:val="center"/>
                </w:tcPr>
                <w:p w14:paraId="0B1F711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草酸钠、水</w:t>
                  </w:r>
                </w:p>
              </w:tc>
              <w:tc>
                <w:tcPr>
                  <w:tcW w:w="574" w:type="pct"/>
                  <w:vAlign w:val="center"/>
                </w:tcPr>
                <w:p w14:paraId="397825F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340ml</w:t>
                  </w:r>
                </w:p>
              </w:tc>
              <w:tc>
                <w:tcPr>
                  <w:tcW w:w="582" w:type="pct"/>
                  <w:vAlign w:val="center"/>
                </w:tcPr>
                <w:p w14:paraId="51549AF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0A56DF8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340ml</w:t>
                  </w:r>
                </w:p>
              </w:tc>
              <w:tc>
                <w:tcPr>
                  <w:tcW w:w="821" w:type="pct"/>
                  <w:vAlign w:val="center"/>
                </w:tcPr>
                <w:p w14:paraId="35C9DEB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2B1CB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B04DE6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33</w:t>
                  </w:r>
                </w:p>
              </w:tc>
              <w:tc>
                <w:tcPr>
                  <w:tcW w:w="1259" w:type="pct"/>
                  <w:vAlign w:val="center"/>
                </w:tcPr>
                <w:p w14:paraId="14D5A26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水中氰成分分析标准物质（50ug/ml）</w:t>
                  </w:r>
                </w:p>
              </w:tc>
              <w:tc>
                <w:tcPr>
                  <w:tcW w:w="787" w:type="pct"/>
                  <w:vAlign w:val="center"/>
                </w:tcPr>
                <w:p w14:paraId="62C4736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氰、水</w:t>
                  </w:r>
                </w:p>
              </w:tc>
              <w:tc>
                <w:tcPr>
                  <w:tcW w:w="574" w:type="pct"/>
                  <w:vAlign w:val="center"/>
                </w:tcPr>
                <w:p w14:paraId="32688CB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4ml</w:t>
                  </w:r>
                </w:p>
              </w:tc>
              <w:tc>
                <w:tcPr>
                  <w:tcW w:w="582" w:type="pct"/>
                  <w:vAlign w:val="center"/>
                </w:tcPr>
                <w:p w14:paraId="6FEAB4D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691B499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4ml</w:t>
                  </w:r>
                </w:p>
              </w:tc>
              <w:tc>
                <w:tcPr>
                  <w:tcW w:w="821" w:type="pct"/>
                  <w:vAlign w:val="center"/>
                </w:tcPr>
                <w:p w14:paraId="1A28D26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54AA2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7A81ED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34</w:t>
                  </w:r>
                </w:p>
              </w:tc>
              <w:tc>
                <w:tcPr>
                  <w:tcW w:w="1259" w:type="pct"/>
                  <w:vAlign w:val="center"/>
                </w:tcPr>
                <w:p w14:paraId="57B39D6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挥发酚标准物质（1000mg/ml）</w:t>
                  </w:r>
                </w:p>
              </w:tc>
              <w:tc>
                <w:tcPr>
                  <w:tcW w:w="787" w:type="pct"/>
                  <w:vAlign w:val="center"/>
                </w:tcPr>
                <w:p w14:paraId="20AB6CD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挥发酚、水</w:t>
                  </w:r>
                </w:p>
              </w:tc>
              <w:tc>
                <w:tcPr>
                  <w:tcW w:w="574" w:type="pct"/>
                  <w:vAlign w:val="center"/>
                </w:tcPr>
                <w:p w14:paraId="4AC1AE6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10ml</w:t>
                  </w:r>
                </w:p>
              </w:tc>
              <w:tc>
                <w:tcPr>
                  <w:tcW w:w="582" w:type="pct"/>
                  <w:vAlign w:val="center"/>
                </w:tcPr>
                <w:p w14:paraId="034BD38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7AA1317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10ml</w:t>
                  </w:r>
                </w:p>
              </w:tc>
              <w:tc>
                <w:tcPr>
                  <w:tcW w:w="821" w:type="pct"/>
                  <w:vAlign w:val="center"/>
                </w:tcPr>
                <w:p w14:paraId="0EFE811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23B37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E3F4E2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35</w:t>
                  </w:r>
                </w:p>
              </w:tc>
              <w:tc>
                <w:tcPr>
                  <w:tcW w:w="1259" w:type="pct"/>
                  <w:vAlign w:val="center"/>
                </w:tcPr>
                <w:p w14:paraId="7DA6002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水中氨氮溶液标准物质（1000mg/L）</w:t>
                  </w:r>
                </w:p>
              </w:tc>
              <w:tc>
                <w:tcPr>
                  <w:tcW w:w="787" w:type="pct"/>
                  <w:vAlign w:val="center"/>
                </w:tcPr>
                <w:p w14:paraId="646033F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氨氮、水</w:t>
                  </w:r>
                </w:p>
              </w:tc>
              <w:tc>
                <w:tcPr>
                  <w:tcW w:w="574" w:type="pct"/>
                  <w:vAlign w:val="center"/>
                </w:tcPr>
                <w:p w14:paraId="5808EE3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2ml</w:t>
                  </w:r>
                </w:p>
              </w:tc>
              <w:tc>
                <w:tcPr>
                  <w:tcW w:w="582" w:type="pct"/>
                  <w:vAlign w:val="center"/>
                </w:tcPr>
                <w:p w14:paraId="69A7BA7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6D3EE8C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2ml</w:t>
                  </w:r>
                </w:p>
              </w:tc>
              <w:tc>
                <w:tcPr>
                  <w:tcW w:w="821" w:type="pct"/>
                  <w:vAlign w:val="center"/>
                </w:tcPr>
                <w:p w14:paraId="62A9B5E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57825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36FFC98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36</w:t>
                  </w:r>
                </w:p>
              </w:tc>
              <w:tc>
                <w:tcPr>
                  <w:tcW w:w="1259" w:type="pct"/>
                  <w:vAlign w:val="center"/>
                </w:tcPr>
                <w:p w14:paraId="0DE3FD1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阴离子合成洗涤剂标准（1000μg/ml）</w:t>
                  </w:r>
                </w:p>
              </w:tc>
              <w:tc>
                <w:tcPr>
                  <w:tcW w:w="787" w:type="pct"/>
                  <w:vAlign w:val="center"/>
                </w:tcPr>
                <w:p w14:paraId="7E703CA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阴离子、水</w:t>
                  </w:r>
                </w:p>
              </w:tc>
              <w:tc>
                <w:tcPr>
                  <w:tcW w:w="574" w:type="pct"/>
                  <w:vAlign w:val="center"/>
                </w:tcPr>
                <w:p w14:paraId="04F133E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10ml</w:t>
                  </w:r>
                </w:p>
              </w:tc>
              <w:tc>
                <w:tcPr>
                  <w:tcW w:w="582" w:type="pct"/>
                  <w:vAlign w:val="center"/>
                </w:tcPr>
                <w:p w14:paraId="346004D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5036F4C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10ml</w:t>
                  </w:r>
                </w:p>
              </w:tc>
              <w:tc>
                <w:tcPr>
                  <w:tcW w:w="821" w:type="pct"/>
                  <w:vAlign w:val="center"/>
                </w:tcPr>
                <w:p w14:paraId="62A7B97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4224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3DD6F12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37</w:t>
                  </w:r>
                </w:p>
              </w:tc>
              <w:tc>
                <w:tcPr>
                  <w:tcW w:w="1259" w:type="pct"/>
                  <w:vAlign w:val="center"/>
                </w:tcPr>
                <w:p w14:paraId="79EEA97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氢氧化钠</w:t>
                  </w:r>
                </w:p>
              </w:tc>
              <w:tc>
                <w:tcPr>
                  <w:tcW w:w="787" w:type="pct"/>
                  <w:vAlign w:val="center"/>
                </w:tcPr>
                <w:p w14:paraId="53E8A9A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氢氧化钠</w:t>
                  </w:r>
                </w:p>
              </w:tc>
              <w:tc>
                <w:tcPr>
                  <w:tcW w:w="574" w:type="pct"/>
                  <w:vAlign w:val="center"/>
                </w:tcPr>
                <w:p w14:paraId="2E5016A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19.31g</w:t>
                  </w:r>
                </w:p>
              </w:tc>
              <w:tc>
                <w:tcPr>
                  <w:tcW w:w="582" w:type="pct"/>
                  <w:vAlign w:val="center"/>
                </w:tcPr>
                <w:p w14:paraId="51816E9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424AD0D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19.31g</w:t>
                  </w:r>
                </w:p>
              </w:tc>
              <w:tc>
                <w:tcPr>
                  <w:tcW w:w="821" w:type="pct"/>
                  <w:vAlign w:val="center"/>
                </w:tcPr>
                <w:p w14:paraId="6D7B741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28540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2156154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38</w:t>
                  </w:r>
                </w:p>
              </w:tc>
              <w:tc>
                <w:tcPr>
                  <w:tcW w:w="1259" w:type="pct"/>
                  <w:vAlign w:val="center"/>
                </w:tcPr>
                <w:p w14:paraId="7E7B436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乙酸锌</w:t>
                  </w:r>
                </w:p>
              </w:tc>
              <w:tc>
                <w:tcPr>
                  <w:tcW w:w="787" w:type="pct"/>
                  <w:vAlign w:val="center"/>
                </w:tcPr>
                <w:p w14:paraId="59D65F0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乙酸锌</w:t>
                  </w:r>
                </w:p>
              </w:tc>
              <w:tc>
                <w:tcPr>
                  <w:tcW w:w="574" w:type="pct"/>
                  <w:vAlign w:val="center"/>
                </w:tcPr>
                <w:p w14:paraId="296A183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3.3g</w:t>
                  </w:r>
                </w:p>
              </w:tc>
              <w:tc>
                <w:tcPr>
                  <w:tcW w:w="582" w:type="pct"/>
                  <w:vAlign w:val="center"/>
                </w:tcPr>
                <w:p w14:paraId="662EFB0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F195C4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3.3g</w:t>
                  </w:r>
                </w:p>
              </w:tc>
              <w:tc>
                <w:tcPr>
                  <w:tcW w:w="821" w:type="pct"/>
                  <w:vAlign w:val="center"/>
                </w:tcPr>
                <w:p w14:paraId="3360EC3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4CDCC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3AF49AD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39</w:t>
                  </w:r>
                </w:p>
              </w:tc>
              <w:tc>
                <w:tcPr>
                  <w:tcW w:w="1259" w:type="pct"/>
                  <w:vAlign w:val="center"/>
                </w:tcPr>
                <w:p w14:paraId="54E5373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酒石酸</w:t>
                  </w:r>
                </w:p>
              </w:tc>
              <w:tc>
                <w:tcPr>
                  <w:tcW w:w="787" w:type="pct"/>
                  <w:vAlign w:val="center"/>
                </w:tcPr>
                <w:p w14:paraId="7883542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酒石酸</w:t>
                  </w:r>
                </w:p>
              </w:tc>
              <w:tc>
                <w:tcPr>
                  <w:tcW w:w="574" w:type="pct"/>
                  <w:vAlign w:val="center"/>
                </w:tcPr>
                <w:p w14:paraId="5217AA1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13.21g</w:t>
                  </w:r>
                </w:p>
              </w:tc>
              <w:tc>
                <w:tcPr>
                  <w:tcW w:w="582" w:type="pct"/>
                  <w:vAlign w:val="center"/>
                </w:tcPr>
                <w:p w14:paraId="70E5358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27A356E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13.21g</w:t>
                  </w:r>
                </w:p>
              </w:tc>
              <w:tc>
                <w:tcPr>
                  <w:tcW w:w="821" w:type="pct"/>
                  <w:vAlign w:val="center"/>
                </w:tcPr>
                <w:p w14:paraId="244381F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0FCB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C76ECE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w:t>
                  </w:r>
                </w:p>
              </w:tc>
              <w:tc>
                <w:tcPr>
                  <w:tcW w:w="1259" w:type="pct"/>
                  <w:vAlign w:val="center"/>
                </w:tcPr>
                <w:p w14:paraId="096B1A2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磷酸二氢钾</w:t>
                  </w:r>
                </w:p>
              </w:tc>
              <w:tc>
                <w:tcPr>
                  <w:tcW w:w="787" w:type="pct"/>
                  <w:vAlign w:val="center"/>
                </w:tcPr>
                <w:p w14:paraId="6CD6576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磷酸二氢钾</w:t>
                  </w:r>
                </w:p>
              </w:tc>
              <w:tc>
                <w:tcPr>
                  <w:tcW w:w="574" w:type="pct"/>
                  <w:vAlign w:val="center"/>
                </w:tcPr>
                <w:p w14:paraId="1EA7A91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97g</w:t>
                  </w:r>
                </w:p>
              </w:tc>
              <w:tc>
                <w:tcPr>
                  <w:tcW w:w="582" w:type="pct"/>
                  <w:vAlign w:val="center"/>
                </w:tcPr>
                <w:p w14:paraId="210FC5D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C3B561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97g</w:t>
                  </w:r>
                </w:p>
              </w:tc>
              <w:tc>
                <w:tcPr>
                  <w:tcW w:w="821" w:type="pct"/>
                  <w:vAlign w:val="center"/>
                </w:tcPr>
                <w:p w14:paraId="75253F5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7BBC5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6AB06E4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w:t>
                  </w:r>
                </w:p>
              </w:tc>
              <w:tc>
                <w:tcPr>
                  <w:tcW w:w="1259" w:type="pct"/>
                  <w:vAlign w:val="center"/>
                </w:tcPr>
                <w:p w14:paraId="0D82FCB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氯胺-T</w:t>
                  </w:r>
                </w:p>
              </w:tc>
              <w:tc>
                <w:tcPr>
                  <w:tcW w:w="787" w:type="pct"/>
                  <w:vAlign w:val="center"/>
                </w:tcPr>
                <w:p w14:paraId="75260CC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氯胺-T</w:t>
                  </w:r>
                </w:p>
              </w:tc>
              <w:tc>
                <w:tcPr>
                  <w:tcW w:w="574" w:type="pct"/>
                  <w:vAlign w:val="center"/>
                </w:tcPr>
                <w:p w14:paraId="4085DC2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4g</w:t>
                  </w:r>
                </w:p>
              </w:tc>
              <w:tc>
                <w:tcPr>
                  <w:tcW w:w="582" w:type="pct"/>
                  <w:vAlign w:val="center"/>
                </w:tcPr>
                <w:p w14:paraId="6A5A851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5138C3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4g</w:t>
                  </w:r>
                </w:p>
              </w:tc>
              <w:tc>
                <w:tcPr>
                  <w:tcW w:w="821" w:type="pct"/>
                  <w:vAlign w:val="center"/>
                </w:tcPr>
                <w:p w14:paraId="2DB1093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1A842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47C597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42</w:t>
                  </w:r>
                </w:p>
              </w:tc>
              <w:tc>
                <w:tcPr>
                  <w:tcW w:w="1259" w:type="pct"/>
                  <w:vAlign w:val="center"/>
                </w:tcPr>
                <w:p w14:paraId="3181220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1.3-二甲基巴比妥酸</w:t>
                  </w:r>
                </w:p>
              </w:tc>
              <w:tc>
                <w:tcPr>
                  <w:tcW w:w="787" w:type="pct"/>
                  <w:vAlign w:val="center"/>
                </w:tcPr>
                <w:p w14:paraId="4203C47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1.3-二甲基巴比妥酸</w:t>
                  </w:r>
                </w:p>
              </w:tc>
              <w:tc>
                <w:tcPr>
                  <w:tcW w:w="574" w:type="pct"/>
                  <w:vAlign w:val="center"/>
                </w:tcPr>
                <w:p w14:paraId="72F3B10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16.8g</w:t>
                  </w:r>
                </w:p>
              </w:tc>
              <w:tc>
                <w:tcPr>
                  <w:tcW w:w="582" w:type="pct"/>
                  <w:vAlign w:val="center"/>
                </w:tcPr>
                <w:p w14:paraId="09DC62F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6A54C8C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16.8g</w:t>
                  </w:r>
                </w:p>
              </w:tc>
              <w:tc>
                <w:tcPr>
                  <w:tcW w:w="821" w:type="pct"/>
                  <w:vAlign w:val="center"/>
                </w:tcPr>
                <w:p w14:paraId="66CE7C5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14606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5B8BAC0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43</w:t>
                  </w:r>
                </w:p>
              </w:tc>
              <w:tc>
                <w:tcPr>
                  <w:tcW w:w="1259" w:type="pct"/>
                  <w:vAlign w:val="center"/>
                </w:tcPr>
                <w:p w14:paraId="1852E31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异烟酸</w:t>
                  </w:r>
                </w:p>
              </w:tc>
              <w:tc>
                <w:tcPr>
                  <w:tcW w:w="787" w:type="pct"/>
                  <w:vAlign w:val="center"/>
                </w:tcPr>
                <w:p w14:paraId="3EDE570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异烟酸</w:t>
                  </w:r>
                </w:p>
              </w:tc>
              <w:tc>
                <w:tcPr>
                  <w:tcW w:w="574" w:type="pct"/>
                  <w:vAlign w:val="center"/>
                </w:tcPr>
                <w:p w14:paraId="3FF86F0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13.6g</w:t>
                  </w:r>
                </w:p>
              </w:tc>
              <w:tc>
                <w:tcPr>
                  <w:tcW w:w="582" w:type="pct"/>
                  <w:vAlign w:val="center"/>
                </w:tcPr>
                <w:p w14:paraId="38C7B6D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1529550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13.6g</w:t>
                  </w:r>
                </w:p>
              </w:tc>
              <w:tc>
                <w:tcPr>
                  <w:tcW w:w="821" w:type="pct"/>
                  <w:vAlign w:val="center"/>
                </w:tcPr>
                <w:p w14:paraId="60BED78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16033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5167294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44</w:t>
                  </w:r>
                </w:p>
              </w:tc>
              <w:tc>
                <w:tcPr>
                  <w:tcW w:w="1259" w:type="pct"/>
                  <w:vAlign w:val="center"/>
                </w:tcPr>
                <w:p w14:paraId="7DA810E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磷酸</w:t>
                  </w:r>
                </w:p>
              </w:tc>
              <w:tc>
                <w:tcPr>
                  <w:tcW w:w="787" w:type="pct"/>
                  <w:vAlign w:val="center"/>
                </w:tcPr>
                <w:p w14:paraId="339DC5B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磷酸</w:t>
                  </w:r>
                </w:p>
              </w:tc>
              <w:tc>
                <w:tcPr>
                  <w:tcW w:w="574" w:type="pct"/>
                  <w:vAlign w:val="center"/>
                </w:tcPr>
                <w:p w14:paraId="6A67706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100ml</w:t>
                  </w:r>
                </w:p>
              </w:tc>
              <w:tc>
                <w:tcPr>
                  <w:tcW w:w="582" w:type="pct"/>
                  <w:vAlign w:val="center"/>
                </w:tcPr>
                <w:p w14:paraId="1D4FD73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58A70F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100ml</w:t>
                  </w:r>
                </w:p>
              </w:tc>
              <w:tc>
                <w:tcPr>
                  <w:tcW w:w="821" w:type="pct"/>
                  <w:vAlign w:val="center"/>
                </w:tcPr>
                <w:p w14:paraId="1B01255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29B5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3886DD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45</w:t>
                  </w:r>
                </w:p>
              </w:tc>
              <w:tc>
                <w:tcPr>
                  <w:tcW w:w="1259" w:type="pct"/>
                  <w:vAlign w:val="center"/>
                </w:tcPr>
                <w:p w14:paraId="73EA6A0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亚甲基蓝</w:t>
                  </w:r>
                </w:p>
              </w:tc>
              <w:tc>
                <w:tcPr>
                  <w:tcW w:w="787" w:type="pct"/>
                  <w:vAlign w:val="center"/>
                </w:tcPr>
                <w:p w14:paraId="02F3879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亚甲基蓝</w:t>
                  </w:r>
                </w:p>
              </w:tc>
              <w:tc>
                <w:tcPr>
                  <w:tcW w:w="574" w:type="pct"/>
                  <w:vAlign w:val="center"/>
                </w:tcPr>
                <w:p w14:paraId="049E52B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0.2g</w:t>
                  </w:r>
                </w:p>
              </w:tc>
              <w:tc>
                <w:tcPr>
                  <w:tcW w:w="582" w:type="pct"/>
                  <w:vAlign w:val="center"/>
                </w:tcPr>
                <w:p w14:paraId="48D8C5B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64DF34B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0.2g</w:t>
                  </w:r>
                </w:p>
              </w:tc>
              <w:tc>
                <w:tcPr>
                  <w:tcW w:w="821" w:type="pct"/>
                  <w:vAlign w:val="center"/>
                </w:tcPr>
                <w:p w14:paraId="3F26125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5C088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B6E181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46</w:t>
                  </w:r>
                </w:p>
              </w:tc>
              <w:tc>
                <w:tcPr>
                  <w:tcW w:w="1259" w:type="pct"/>
                  <w:vAlign w:val="center"/>
                </w:tcPr>
                <w:p w14:paraId="199F5FF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氯化钾</w:t>
                  </w:r>
                </w:p>
              </w:tc>
              <w:tc>
                <w:tcPr>
                  <w:tcW w:w="787" w:type="pct"/>
                  <w:vAlign w:val="center"/>
                </w:tcPr>
                <w:p w14:paraId="1232056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氯化钾</w:t>
                  </w:r>
                </w:p>
              </w:tc>
              <w:tc>
                <w:tcPr>
                  <w:tcW w:w="574" w:type="pct"/>
                  <w:vAlign w:val="center"/>
                </w:tcPr>
                <w:p w14:paraId="26F128F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3.75g</w:t>
                  </w:r>
                </w:p>
              </w:tc>
              <w:tc>
                <w:tcPr>
                  <w:tcW w:w="582" w:type="pct"/>
                  <w:vAlign w:val="center"/>
                </w:tcPr>
                <w:p w14:paraId="0CBD6C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D4F0B9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3.75g</w:t>
                  </w:r>
                </w:p>
              </w:tc>
              <w:tc>
                <w:tcPr>
                  <w:tcW w:w="821" w:type="pct"/>
                  <w:vAlign w:val="center"/>
                </w:tcPr>
                <w:p w14:paraId="59F9B7A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4812D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F496A4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47</w:t>
                  </w:r>
                </w:p>
              </w:tc>
              <w:tc>
                <w:tcPr>
                  <w:tcW w:w="1259" w:type="pct"/>
                  <w:vAlign w:val="center"/>
                </w:tcPr>
                <w:p w14:paraId="4E80363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硼酸</w:t>
                  </w:r>
                </w:p>
              </w:tc>
              <w:tc>
                <w:tcPr>
                  <w:tcW w:w="787" w:type="pct"/>
                  <w:vAlign w:val="center"/>
                </w:tcPr>
                <w:p w14:paraId="27AC837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硼酸</w:t>
                  </w:r>
                </w:p>
              </w:tc>
              <w:tc>
                <w:tcPr>
                  <w:tcW w:w="574" w:type="pct"/>
                  <w:vAlign w:val="center"/>
                </w:tcPr>
                <w:p w14:paraId="4783623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3.1g</w:t>
                  </w:r>
                </w:p>
              </w:tc>
              <w:tc>
                <w:tcPr>
                  <w:tcW w:w="582" w:type="pct"/>
                  <w:vAlign w:val="center"/>
                </w:tcPr>
                <w:p w14:paraId="165C507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11C55B3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3.1g</w:t>
                  </w:r>
                </w:p>
              </w:tc>
              <w:tc>
                <w:tcPr>
                  <w:tcW w:w="821" w:type="pct"/>
                  <w:vAlign w:val="center"/>
                </w:tcPr>
                <w:p w14:paraId="6E86E52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74BE5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70D021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48</w:t>
                  </w:r>
                </w:p>
              </w:tc>
              <w:tc>
                <w:tcPr>
                  <w:tcW w:w="1259" w:type="pct"/>
                  <w:vAlign w:val="center"/>
                </w:tcPr>
                <w:p w14:paraId="6916B90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4-氨基安替比林</w:t>
                  </w:r>
                </w:p>
              </w:tc>
              <w:tc>
                <w:tcPr>
                  <w:tcW w:w="787" w:type="pct"/>
                  <w:vAlign w:val="center"/>
                </w:tcPr>
                <w:p w14:paraId="27C5E92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4-氨基安替比林</w:t>
                  </w:r>
                </w:p>
              </w:tc>
              <w:tc>
                <w:tcPr>
                  <w:tcW w:w="574" w:type="pct"/>
                  <w:vAlign w:val="center"/>
                </w:tcPr>
                <w:p w14:paraId="4C383E9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0.64g</w:t>
                  </w:r>
                </w:p>
              </w:tc>
              <w:tc>
                <w:tcPr>
                  <w:tcW w:w="582" w:type="pct"/>
                  <w:vAlign w:val="center"/>
                </w:tcPr>
                <w:p w14:paraId="24C5A16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72316C0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0.64g</w:t>
                  </w:r>
                </w:p>
              </w:tc>
              <w:tc>
                <w:tcPr>
                  <w:tcW w:w="821" w:type="pct"/>
                  <w:vAlign w:val="center"/>
                </w:tcPr>
                <w:p w14:paraId="4CCD22D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E4C7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61DCD2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49</w:t>
                  </w:r>
                </w:p>
              </w:tc>
              <w:tc>
                <w:tcPr>
                  <w:tcW w:w="1259" w:type="pct"/>
                  <w:vAlign w:val="center"/>
                </w:tcPr>
                <w:p w14:paraId="005460A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无水乙醇</w:t>
                  </w:r>
                </w:p>
              </w:tc>
              <w:tc>
                <w:tcPr>
                  <w:tcW w:w="787" w:type="pct"/>
                  <w:vAlign w:val="center"/>
                </w:tcPr>
                <w:p w14:paraId="400CE0C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无水乙醇</w:t>
                  </w:r>
                </w:p>
              </w:tc>
              <w:tc>
                <w:tcPr>
                  <w:tcW w:w="574" w:type="pct"/>
                  <w:vAlign w:val="center"/>
                </w:tcPr>
                <w:p w14:paraId="5D82023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400ml</w:t>
                  </w:r>
                </w:p>
              </w:tc>
              <w:tc>
                <w:tcPr>
                  <w:tcW w:w="582" w:type="pct"/>
                  <w:vAlign w:val="center"/>
                </w:tcPr>
                <w:p w14:paraId="5F9B7CB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1BA42B9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400ml</w:t>
                  </w:r>
                </w:p>
              </w:tc>
              <w:tc>
                <w:tcPr>
                  <w:tcW w:w="821" w:type="pct"/>
                  <w:vAlign w:val="center"/>
                </w:tcPr>
                <w:p w14:paraId="6B0BC9D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059B6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5967E7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w:t>
                  </w:r>
                </w:p>
              </w:tc>
              <w:tc>
                <w:tcPr>
                  <w:tcW w:w="1259" w:type="pct"/>
                  <w:vAlign w:val="center"/>
                </w:tcPr>
                <w:p w14:paraId="497D45D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十水四硼酸钠</w:t>
                  </w:r>
                </w:p>
              </w:tc>
              <w:tc>
                <w:tcPr>
                  <w:tcW w:w="787" w:type="pct"/>
                  <w:vAlign w:val="center"/>
                </w:tcPr>
                <w:p w14:paraId="65ECF09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十水四硼酸钠</w:t>
                  </w:r>
                </w:p>
              </w:tc>
              <w:tc>
                <w:tcPr>
                  <w:tcW w:w="574" w:type="pct"/>
                  <w:vAlign w:val="center"/>
                </w:tcPr>
                <w:p w14:paraId="4389B05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3.17g</w:t>
                  </w:r>
                </w:p>
              </w:tc>
              <w:tc>
                <w:tcPr>
                  <w:tcW w:w="582" w:type="pct"/>
                  <w:vAlign w:val="center"/>
                </w:tcPr>
                <w:p w14:paraId="143F721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403D321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3.17g</w:t>
                  </w:r>
                </w:p>
              </w:tc>
              <w:tc>
                <w:tcPr>
                  <w:tcW w:w="821" w:type="pct"/>
                  <w:vAlign w:val="center"/>
                </w:tcPr>
                <w:p w14:paraId="6107DC4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026C4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35A1AA1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51</w:t>
                  </w:r>
                </w:p>
              </w:tc>
              <w:tc>
                <w:tcPr>
                  <w:tcW w:w="1259" w:type="pct"/>
                  <w:vAlign w:val="center"/>
                </w:tcPr>
                <w:p w14:paraId="1606CCE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二水合磷酸二氢钠</w:t>
                  </w:r>
                </w:p>
              </w:tc>
              <w:tc>
                <w:tcPr>
                  <w:tcW w:w="787" w:type="pct"/>
                  <w:vAlign w:val="center"/>
                </w:tcPr>
                <w:p w14:paraId="1DF0B67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二水合磷酸二氢钠</w:t>
                  </w:r>
                </w:p>
              </w:tc>
              <w:tc>
                <w:tcPr>
                  <w:tcW w:w="574" w:type="pct"/>
                  <w:vAlign w:val="center"/>
                </w:tcPr>
                <w:p w14:paraId="19F8B1F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56g</w:t>
                  </w:r>
                </w:p>
              </w:tc>
              <w:tc>
                <w:tcPr>
                  <w:tcW w:w="582" w:type="pct"/>
                  <w:vAlign w:val="center"/>
                </w:tcPr>
                <w:p w14:paraId="74D0411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CEF648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56g</w:t>
                  </w:r>
                </w:p>
              </w:tc>
              <w:tc>
                <w:tcPr>
                  <w:tcW w:w="821" w:type="pct"/>
                  <w:vAlign w:val="center"/>
                </w:tcPr>
                <w:p w14:paraId="745F2DC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421E8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E934D6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52</w:t>
                  </w:r>
                </w:p>
              </w:tc>
              <w:tc>
                <w:tcPr>
                  <w:tcW w:w="1259" w:type="pct"/>
                  <w:vAlign w:val="center"/>
                </w:tcPr>
                <w:p w14:paraId="440E51B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异丙醇</w:t>
                  </w:r>
                </w:p>
              </w:tc>
              <w:tc>
                <w:tcPr>
                  <w:tcW w:w="787" w:type="pct"/>
                  <w:vAlign w:val="center"/>
                </w:tcPr>
                <w:p w14:paraId="7462121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异丙醇</w:t>
                  </w:r>
                </w:p>
              </w:tc>
              <w:tc>
                <w:tcPr>
                  <w:tcW w:w="574" w:type="pct"/>
                  <w:vAlign w:val="center"/>
                </w:tcPr>
                <w:p w14:paraId="260D220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200ml</w:t>
                  </w:r>
                </w:p>
              </w:tc>
              <w:tc>
                <w:tcPr>
                  <w:tcW w:w="582" w:type="pct"/>
                  <w:vAlign w:val="center"/>
                </w:tcPr>
                <w:p w14:paraId="60DEFCA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BA8007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200ml</w:t>
                  </w:r>
                </w:p>
              </w:tc>
              <w:tc>
                <w:tcPr>
                  <w:tcW w:w="821" w:type="pct"/>
                  <w:vAlign w:val="center"/>
                </w:tcPr>
                <w:p w14:paraId="658F362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4EC22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2820D63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53</w:t>
                  </w:r>
                </w:p>
              </w:tc>
              <w:tc>
                <w:tcPr>
                  <w:tcW w:w="1259" w:type="pct"/>
                  <w:vAlign w:val="center"/>
                </w:tcPr>
                <w:p w14:paraId="0EC6C72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酒石酸钾钠</w:t>
                  </w:r>
                </w:p>
              </w:tc>
              <w:tc>
                <w:tcPr>
                  <w:tcW w:w="787" w:type="pct"/>
                  <w:vAlign w:val="center"/>
                </w:tcPr>
                <w:p w14:paraId="7AD2444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酒石酸钾钠</w:t>
                  </w:r>
                </w:p>
              </w:tc>
              <w:tc>
                <w:tcPr>
                  <w:tcW w:w="574" w:type="pct"/>
                  <w:vAlign w:val="center"/>
                </w:tcPr>
                <w:p w14:paraId="04C4110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33g</w:t>
                  </w:r>
                </w:p>
              </w:tc>
              <w:tc>
                <w:tcPr>
                  <w:tcW w:w="582" w:type="pct"/>
                  <w:vAlign w:val="center"/>
                </w:tcPr>
                <w:p w14:paraId="70CE58C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9492D2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33g</w:t>
                  </w:r>
                </w:p>
              </w:tc>
              <w:tc>
                <w:tcPr>
                  <w:tcW w:w="821" w:type="pct"/>
                  <w:vAlign w:val="center"/>
                </w:tcPr>
                <w:p w14:paraId="3730308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76080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928484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54</w:t>
                  </w:r>
                </w:p>
              </w:tc>
              <w:tc>
                <w:tcPr>
                  <w:tcW w:w="1259" w:type="pct"/>
                  <w:vAlign w:val="center"/>
                </w:tcPr>
                <w:p w14:paraId="6969976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柠檬酸钠</w:t>
                  </w:r>
                </w:p>
              </w:tc>
              <w:tc>
                <w:tcPr>
                  <w:tcW w:w="787" w:type="pct"/>
                  <w:vAlign w:val="center"/>
                </w:tcPr>
                <w:p w14:paraId="12E1E21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柠檬酸钠</w:t>
                  </w:r>
                </w:p>
              </w:tc>
              <w:tc>
                <w:tcPr>
                  <w:tcW w:w="574" w:type="pct"/>
                  <w:vAlign w:val="center"/>
                </w:tcPr>
                <w:p w14:paraId="1886813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24g</w:t>
                  </w:r>
                </w:p>
              </w:tc>
              <w:tc>
                <w:tcPr>
                  <w:tcW w:w="582" w:type="pct"/>
                  <w:vAlign w:val="center"/>
                </w:tcPr>
                <w:p w14:paraId="7B18DDF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7540361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24g</w:t>
                  </w:r>
                </w:p>
              </w:tc>
              <w:tc>
                <w:tcPr>
                  <w:tcW w:w="821" w:type="pct"/>
                  <w:vAlign w:val="center"/>
                </w:tcPr>
                <w:p w14:paraId="04095B8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40A23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2DB3CA7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55</w:t>
                  </w:r>
                </w:p>
              </w:tc>
              <w:tc>
                <w:tcPr>
                  <w:tcW w:w="1259" w:type="pct"/>
                  <w:vAlign w:val="center"/>
                </w:tcPr>
                <w:p w14:paraId="656A946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水杨酸钠</w:t>
                  </w:r>
                </w:p>
              </w:tc>
              <w:tc>
                <w:tcPr>
                  <w:tcW w:w="787" w:type="pct"/>
                  <w:vAlign w:val="center"/>
                </w:tcPr>
                <w:p w14:paraId="44CB886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水杨酸钠</w:t>
                  </w:r>
                </w:p>
              </w:tc>
              <w:tc>
                <w:tcPr>
                  <w:tcW w:w="574" w:type="pct"/>
                  <w:vAlign w:val="center"/>
                </w:tcPr>
                <w:p w14:paraId="70674F8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80g</w:t>
                  </w:r>
                </w:p>
              </w:tc>
              <w:tc>
                <w:tcPr>
                  <w:tcW w:w="582" w:type="pct"/>
                  <w:vAlign w:val="center"/>
                </w:tcPr>
                <w:p w14:paraId="4663966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29577EB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80g</w:t>
                  </w:r>
                </w:p>
              </w:tc>
              <w:tc>
                <w:tcPr>
                  <w:tcW w:w="821" w:type="pct"/>
                  <w:vAlign w:val="center"/>
                </w:tcPr>
                <w:p w14:paraId="758D166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79D82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295F8BE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56</w:t>
                  </w:r>
                </w:p>
              </w:tc>
              <w:tc>
                <w:tcPr>
                  <w:tcW w:w="1259" w:type="pct"/>
                  <w:vAlign w:val="center"/>
                </w:tcPr>
                <w:p w14:paraId="5186111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硝普钠</w:t>
                  </w:r>
                </w:p>
              </w:tc>
              <w:tc>
                <w:tcPr>
                  <w:tcW w:w="787" w:type="pct"/>
                  <w:vAlign w:val="center"/>
                </w:tcPr>
                <w:p w14:paraId="1F4AEE8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硝普钠</w:t>
                  </w:r>
                </w:p>
              </w:tc>
              <w:tc>
                <w:tcPr>
                  <w:tcW w:w="574" w:type="pct"/>
                  <w:vAlign w:val="center"/>
                </w:tcPr>
                <w:p w14:paraId="5BD15FE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5g</w:t>
                  </w:r>
                </w:p>
              </w:tc>
              <w:tc>
                <w:tcPr>
                  <w:tcW w:w="582" w:type="pct"/>
                  <w:vAlign w:val="center"/>
                </w:tcPr>
                <w:p w14:paraId="0A59471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24E4CF3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5g</w:t>
                  </w:r>
                </w:p>
              </w:tc>
              <w:tc>
                <w:tcPr>
                  <w:tcW w:w="821" w:type="pct"/>
                  <w:vAlign w:val="center"/>
                </w:tcPr>
                <w:p w14:paraId="1E09D25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6F36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747AF00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57</w:t>
                  </w:r>
                </w:p>
              </w:tc>
              <w:tc>
                <w:tcPr>
                  <w:tcW w:w="1259" w:type="pct"/>
                  <w:vAlign w:val="center"/>
                </w:tcPr>
                <w:p w14:paraId="2B565A2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二氯异氰尿酸钠</w:t>
                  </w:r>
                </w:p>
              </w:tc>
              <w:tc>
                <w:tcPr>
                  <w:tcW w:w="787" w:type="pct"/>
                  <w:vAlign w:val="center"/>
                </w:tcPr>
                <w:p w14:paraId="2ACDC43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二氯异氰尿酸钠</w:t>
                  </w:r>
                </w:p>
              </w:tc>
              <w:tc>
                <w:tcPr>
                  <w:tcW w:w="574" w:type="pct"/>
                  <w:vAlign w:val="center"/>
                </w:tcPr>
                <w:p w14:paraId="5496A80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4g</w:t>
                  </w:r>
                </w:p>
              </w:tc>
              <w:tc>
                <w:tcPr>
                  <w:tcW w:w="582" w:type="pct"/>
                  <w:vAlign w:val="center"/>
                </w:tcPr>
                <w:p w14:paraId="32BA03F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69BEC03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4g</w:t>
                  </w:r>
                </w:p>
              </w:tc>
              <w:tc>
                <w:tcPr>
                  <w:tcW w:w="821" w:type="pct"/>
                  <w:vAlign w:val="center"/>
                </w:tcPr>
                <w:p w14:paraId="2537F81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1E2BF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C4132C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58</w:t>
                  </w:r>
                </w:p>
              </w:tc>
              <w:tc>
                <w:tcPr>
                  <w:tcW w:w="1259" w:type="pct"/>
                  <w:vAlign w:val="center"/>
                </w:tcPr>
                <w:p w14:paraId="0C4550E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十水合四硼酸钠</w:t>
                  </w:r>
                </w:p>
              </w:tc>
              <w:tc>
                <w:tcPr>
                  <w:tcW w:w="787" w:type="pct"/>
                  <w:vAlign w:val="center"/>
                </w:tcPr>
                <w:p w14:paraId="5A3DCDF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十水合四硼酸钠</w:t>
                  </w:r>
                </w:p>
              </w:tc>
              <w:tc>
                <w:tcPr>
                  <w:tcW w:w="574" w:type="pct"/>
                  <w:vAlign w:val="center"/>
                </w:tcPr>
                <w:p w14:paraId="50D5F1B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4.76g</w:t>
                  </w:r>
                </w:p>
              </w:tc>
              <w:tc>
                <w:tcPr>
                  <w:tcW w:w="582" w:type="pct"/>
                  <w:vAlign w:val="center"/>
                </w:tcPr>
                <w:p w14:paraId="3AA8006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C82240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4.76g</w:t>
                  </w:r>
                </w:p>
              </w:tc>
              <w:tc>
                <w:tcPr>
                  <w:tcW w:w="821" w:type="pct"/>
                  <w:vAlign w:val="center"/>
                </w:tcPr>
                <w:p w14:paraId="5A237AD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238E1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8E03AE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59</w:t>
                  </w:r>
                </w:p>
              </w:tc>
              <w:tc>
                <w:tcPr>
                  <w:tcW w:w="1259" w:type="pct"/>
                  <w:vAlign w:val="center"/>
                </w:tcPr>
                <w:p w14:paraId="6D411B4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Na</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rPr>
                    <w:t>-EDTA分析用标准溶液</w:t>
                  </w:r>
                </w:p>
              </w:tc>
              <w:tc>
                <w:tcPr>
                  <w:tcW w:w="787" w:type="pct"/>
                  <w:vAlign w:val="center"/>
                </w:tcPr>
                <w:p w14:paraId="75BFEDF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Na</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rPr>
                    <w:t>-EDTA</w:t>
                  </w:r>
                </w:p>
              </w:tc>
              <w:tc>
                <w:tcPr>
                  <w:tcW w:w="574" w:type="pct"/>
                  <w:vAlign w:val="center"/>
                </w:tcPr>
                <w:p w14:paraId="0BDDE63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180ml</w:t>
                  </w:r>
                </w:p>
              </w:tc>
              <w:tc>
                <w:tcPr>
                  <w:tcW w:w="582" w:type="pct"/>
                  <w:vAlign w:val="center"/>
                </w:tcPr>
                <w:p w14:paraId="5AD67A8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3D4B8A1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180ml</w:t>
                  </w:r>
                </w:p>
              </w:tc>
              <w:tc>
                <w:tcPr>
                  <w:tcW w:w="821" w:type="pct"/>
                  <w:vAlign w:val="center"/>
                </w:tcPr>
                <w:p w14:paraId="7127EBC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7CAB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D48F85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w:t>
                  </w:r>
                </w:p>
              </w:tc>
              <w:tc>
                <w:tcPr>
                  <w:tcW w:w="1259" w:type="pct"/>
                  <w:vAlign w:val="center"/>
                </w:tcPr>
                <w:p w14:paraId="136C95B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水质浊度</w:t>
                  </w:r>
                </w:p>
              </w:tc>
              <w:tc>
                <w:tcPr>
                  <w:tcW w:w="787" w:type="pct"/>
                  <w:vAlign w:val="center"/>
                </w:tcPr>
                <w:p w14:paraId="47B8ABC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硫酸肼、六次甲基四氨</w:t>
                  </w:r>
                </w:p>
              </w:tc>
              <w:tc>
                <w:tcPr>
                  <w:tcW w:w="574" w:type="pct"/>
                  <w:vAlign w:val="center"/>
                </w:tcPr>
                <w:p w14:paraId="3179465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100ml</w:t>
                  </w:r>
                </w:p>
              </w:tc>
              <w:tc>
                <w:tcPr>
                  <w:tcW w:w="582" w:type="pct"/>
                  <w:vAlign w:val="center"/>
                </w:tcPr>
                <w:p w14:paraId="148BA98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5091994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100ml</w:t>
                  </w:r>
                </w:p>
              </w:tc>
              <w:tc>
                <w:tcPr>
                  <w:tcW w:w="821" w:type="pct"/>
                  <w:vAlign w:val="center"/>
                </w:tcPr>
                <w:p w14:paraId="4CF395E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476B6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7677CC6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61</w:t>
                  </w:r>
                </w:p>
              </w:tc>
              <w:tc>
                <w:tcPr>
                  <w:tcW w:w="1259" w:type="pct"/>
                  <w:vAlign w:val="center"/>
                </w:tcPr>
                <w:p w14:paraId="6CEA58D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色度溶液标准物质</w:t>
                  </w:r>
                </w:p>
              </w:tc>
              <w:tc>
                <w:tcPr>
                  <w:tcW w:w="787" w:type="pct"/>
                  <w:vAlign w:val="center"/>
                </w:tcPr>
                <w:p w14:paraId="755F625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氯铂酸钾、氯化钴、纯盐酸</w:t>
                  </w:r>
                </w:p>
              </w:tc>
              <w:tc>
                <w:tcPr>
                  <w:tcW w:w="574" w:type="pct"/>
                  <w:vAlign w:val="center"/>
                </w:tcPr>
                <w:p w14:paraId="19EBFCD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100ml</w:t>
                  </w:r>
                </w:p>
              </w:tc>
              <w:tc>
                <w:tcPr>
                  <w:tcW w:w="582" w:type="pct"/>
                  <w:vAlign w:val="center"/>
                </w:tcPr>
                <w:p w14:paraId="0D4E765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5E3589C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100ml</w:t>
                  </w:r>
                </w:p>
              </w:tc>
              <w:tc>
                <w:tcPr>
                  <w:tcW w:w="821" w:type="pct"/>
                  <w:vAlign w:val="center"/>
                </w:tcPr>
                <w:p w14:paraId="161F3CC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256DB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7F96716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62</w:t>
                  </w:r>
                </w:p>
              </w:tc>
              <w:tc>
                <w:tcPr>
                  <w:tcW w:w="1259" w:type="pct"/>
                  <w:vAlign w:val="center"/>
                </w:tcPr>
                <w:p w14:paraId="4989C09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硼砂（pH标准）</w:t>
                  </w:r>
                </w:p>
              </w:tc>
              <w:tc>
                <w:tcPr>
                  <w:tcW w:w="787" w:type="pct"/>
                  <w:vAlign w:val="center"/>
                </w:tcPr>
                <w:p w14:paraId="44ADDC4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硼砂</w:t>
                  </w:r>
                </w:p>
              </w:tc>
              <w:tc>
                <w:tcPr>
                  <w:tcW w:w="574" w:type="pct"/>
                  <w:vAlign w:val="center"/>
                </w:tcPr>
                <w:p w14:paraId="6632DE6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12g</w:t>
                  </w:r>
                </w:p>
              </w:tc>
              <w:tc>
                <w:tcPr>
                  <w:tcW w:w="582" w:type="pct"/>
                  <w:vAlign w:val="center"/>
                </w:tcPr>
                <w:p w14:paraId="488AB19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2E3B13D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12g</w:t>
                  </w:r>
                </w:p>
              </w:tc>
              <w:tc>
                <w:tcPr>
                  <w:tcW w:w="821" w:type="pct"/>
                  <w:vAlign w:val="center"/>
                </w:tcPr>
                <w:p w14:paraId="0BCBD31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5D7E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7CDFA10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63</w:t>
                  </w:r>
                </w:p>
              </w:tc>
              <w:tc>
                <w:tcPr>
                  <w:tcW w:w="1259" w:type="pct"/>
                  <w:vAlign w:val="center"/>
                </w:tcPr>
                <w:p w14:paraId="2A30D0E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混合磷酸盐（pH标准）</w:t>
                  </w:r>
                </w:p>
              </w:tc>
              <w:tc>
                <w:tcPr>
                  <w:tcW w:w="787" w:type="pct"/>
                  <w:vAlign w:val="center"/>
                </w:tcPr>
                <w:p w14:paraId="2DCAD51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无水磷酸氢二钠、磷酸二氢钾</w:t>
                  </w:r>
                </w:p>
              </w:tc>
              <w:tc>
                <w:tcPr>
                  <w:tcW w:w="574" w:type="pct"/>
                  <w:vAlign w:val="center"/>
                </w:tcPr>
                <w:p w14:paraId="10C6401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12g</w:t>
                  </w:r>
                </w:p>
              </w:tc>
              <w:tc>
                <w:tcPr>
                  <w:tcW w:w="582" w:type="pct"/>
                  <w:vAlign w:val="center"/>
                </w:tcPr>
                <w:p w14:paraId="2096295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冷藏</w:t>
                  </w:r>
                </w:p>
              </w:tc>
              <w:tc>
                <w:tcPr>
                  <w:tcW w:w="634" w:type="pct"/>
                  <w:vAlign w:val="center"/>
                </w:tcPr>
                <w:p w14:paraId="620976C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12g</w:t>
                  </w:r>
                </w:p>
              </w:tc>
              <w:tc>
                <w:tcPr>
                  <w:tcW w:w="821" w:type="pct"/>
                  <w:vAlign w:val="center"/>
                </w:tcPr>
                <w:p w14:paraId="3BBBFCA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3DF54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37F301C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64</w:t>
                  </w:r>
                </w:p>
              </w:tc>
              <w:tc>
                <w:tcPr>
                  <w:tcW w:w="1259" w:type="pct"/>
                  <w:vAlign w:val="center"/>
                </w:tcPr>
                <w:p w14:paraId="00980E4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铬黑T</w:t>
                  </w:r>
                </w:p>
              </w:tc>
              <w:tc>
                <w:tcPr>
                  <w:tcW w:w="787" w:type="pct"/>
                  <w:vAlign w:val="center"/>
                </w:tcPr>
                <w:p w14:paraId="6469861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铬黑T</w:t>
                  </w:r>
                </w:p>
              </w:tc>
              <w:tc>
                <w:tcPr>
                  <w:tcW w:w="574" w:type="pct"/>
                  <w:vAlign w:val="center"/>
                </w:tcPr>
                <w:p w14:paraId="22DFA2B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2g</w:t>
                  </w:r>
                </w:p>
              </w:tc>
              <w:tc>
                <w:tcPr>
                  <w:tcW w:w="582" w:type="pct"/>
                  <w:vAlign w:val="center"/>
                </w:tcPr>
                <w:p w14:paraId="78724A2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6F4D13F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2g</w:t>
                  </w:r>
                </w:p>
              </w:tc>
              <w:tc>
                <w:tcPr>
                  <w:tcW w:w="821" w:type="pct"/>
                  <w:vAlign w:val="center"/>
                </w:tcPr>
                <w:p w14:paraId="5392B34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58BC6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594BE5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65</w:t>
                  </w:r>
                </w:p>
              </w:tc>
              <w:tc>
                <w:tcPr>
                  <w:tcW w:w="1259" w:type="pct"/>
                  <w:vAlign w:val="center"/>
                </w:tcPr>
                <w:p w14:paraId="36571F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硫酸镁</w:t>
                  </w:r>
                </w:p>
              </w:tc>
              <w:tc>
                <w:tcPr>
                  <w:tcW w:w="787" w:type="pct"/>
                  <w:vAlign w:val="center"/>
                </w:tcPr>
                <w:p w14:paraId="4761EEB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硫酸镁</w:t>
                  </w:r>
                </w:p>
              </w:tc>
              <w:tc>
                <w:tcPr>
                  <w:tcW w:w="574" w:type="pct"/>
                  <w:vAlign w:val="center"/>
                </w:tcPr>
                <w:p w14:paraId="5A710D3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5g</w:t>
                  </w:r>
                </w:p>
              </w:tc>
              <w:tc>
                <w:tcPr>
                  <w:tcW w:w="582" w:type="pct"/>
                  <w:vAlign w:val="center"/>
                </w:tcPr>
                <w:p w14:paraId="3E152B2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B958BF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5g</w:t>
                  </w:r>
                </w:p>
              </w:tc>
              <w:tc>
                <w:tcPr>
                  <w:tcW w:w="821" w:type="pct"/>
                  <w:vAlign w:val="center"/>
                </w:tcPr>
                <w:p w14:paraId="4D267DF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5F45E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E51343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66</w:t>
                  </w:r>
                </w:p>
              </w:tc>
              <w:tc>
                <w:tcPr>
                  <w:tcW w:w="1259" w:type="pct"/>
                  <w:vAlign w:val="center"/>
                </w:tcPr>
                <w:p w14:paraId="1C4DDF2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氯化铵</w:t>
                  </w:r>
                </w:p>
              </w:tc>
              <w:tc>
                <w:tcPr>
                  <w:tcW w:w="787" w:type="pct"/>
                  <w:vAlign w:val="center"/>
                </w:tcPr>
                <w:p w14:paraId="7276B09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氯化铵</w:t>
                  </w:r>
                </w:p>
              </w:tc>
              <w:tc>
                <w:tcPr>
                  <w:tcW w:w="574" w:type="pct"/>
                  <w:vAlign w:val="center"/>
                </w:tcPr>
                <w:p w14:paraId="04EEBDF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51g</w:t>
                  </w:r>
                </w:p>
              </w:tc>
              <w:tc>
                <w:tcPr>
                  <w:tcW w:w="582" w:type="pct"/>
                  <w:vAlign w:val="center"/>
                </w:tcPr>
                <w:p w14:paraId="55FAB88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64181C2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51g</w:t>
                  </w:r>
                </w:p>
              </w:tc>
              <w:tc>
                <w:tcPr>
                  <w:tcW w:w="821" w:type="pct"/>
                  <w:vAlign w:val="center"/>
                </w:tcPr>
                <w:p w14:paraId="0E86AA7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559FB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75EE3B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67</w:t>
                  </w:r>
                </w:p>
              </w:tc>
              <w:tc>
                <w:tcPr>
                  <w:tcW w:w="1259" w:type="pct"/>
                  <w:vAlign w:val="center"/>
                </w:tcPr>
                <w:p w14:paraId="2E520D0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Na</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rPr>
                    <w:t>-EDTA</w:t>
                  </w:r>
                </w:p>
              </w:tc>
              <w:tc>
                <w:tcPr>
                  <w:tcW w:w="787" w:type="pct"/>
                  <w:vAlign w:val="center"/>
                </w:tcPr>
                <w:p w14:paraId="1CCA14C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Na</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rPr>
                    <w:t>-EDTA</w:t>
                  </w:r>
                </w:p>
              </w:tc>
              <w:tc>
                <w:tcPr>
                  <w:tcW w:w="574" w:type="pct"/>
                  <w:vAlign w:val="center"/>
                </w:tcPr>
                <w:p w14:paraId="73DBD11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8g</w:t>
                  </w:r>
                </w:p>
              </w:tc>
              <w:tc>
                <w:tcPr>
                  <w:tcW w:w="582" w:type="pct"/>
                  <w:vAlign w:val="center"/>
                </w:tcPr>
                <w:p w14:paraId="52F1516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1C0F742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8g</w:t>
                  </w:r>
                </w:p>
              </w:tc>
              <w:tc>
                <w:tcPr>
                  <w:tcW w:w="821" w:type="pct"/>
                  <w:vAlign w:val="center"/>
                </w:tcPr>
                <w:p w14:paraId="0ECC7B3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4C0F1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6B9E6ED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68</w:t>
                  </w:r>
                </w:p>
              </w:tc>
              <w:tc>
                <w:tcPr>
                  <w:tcW w:w="1259" w:type="pct"/>
                  <w:vAlign w:val="center"/>
                </w:tcPr>
                <w:p w14:paraId="380F7B1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氨水</w:t>
                  </w:r>
                </w:p>
              </w:tc>
              <w:tc>
                <w:tcPr>
                  <w:tcW w:w="787" w:type="pct"/>
                  <w:vAlign w:val="center"/>
                </w:tcPr>
                <w:p w14:paraId="44F2B9D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氨水</w:t>
                  </w:r>
                </w:p>
              </w:tc>
              <w:tc>
                <w:tcPr>
                  <w:tcW w:w="574" w:type="pct"/>
                  <w:vAlign w:val="center"/>
                </w:tcPr>
                <w:p w14:paraId="5E50FAF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430ml</w:t>
                  </w:r>
                </w:p>
              </w:tc>
              <w:tc>
                <w:tcPr>
                  <w:tcW w:w="582" w:type="pct"/>
                  <w:vAlign w:val="center"/>
                </w:tcPr>
                <w:p w14:paraId="63B9376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243B0D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430ml</w:t>
                  </w:r>
                </w:p>
              </w:tc>
              <w:tc>
                <w:tcPr>
                  <w:tcW w:w="821" w:type="pct"/>
                  <w:vAlign w:val="center"/>
                </w:tcPr>
                <w:p w14:paraId="538FBB3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53F8D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7ABCB91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69</w:t>
                  </w:r>
                </w:p>
              </w:tc>
              <w:tc>
                <w:tcPr>
                  <w:tcW w:w="1259" w:type="pct"/>
                  <w:vAlign w:val="center"/>
                </w:tcPr>
                <w:p w14:paraId="3514A2E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水中亚氯酸盐</w:t>
                  </w:r>
                </w:p>
              </w:tc>
              <w:tc>
                <w:tcPr>
                  <w:tcW w:w="787" w:type="pct"/>
                  <w:vAlign w:val="center"/>
                </w:tcPr>
                <w:p w14:paraId="73B98C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亚氯酸盐、水</w:t>
                  </w:r>
                </w:p>
              </w:tc>
              <w:tc>
                <w:tcPr>
                  <w:tcW w:w="574" w:type="pct"/>
                  <w:vAlign w:val="center"/>
                </w:tcPr>
                <w:p w14:paraId="4748481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582" w:type="pct"/>
                  <w:vAlign w:val="center"/>
                </w:tcPr>
                <w:p w14:paraId="3B038E7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5F72799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821" w:type="pct"/>
                  <w:vAlign w:val="center"/>
                </w:tcPr>
                <w:p w14:paraId="127CACA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75331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0D26BC6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w:t>
                  </w:r>
                </w:p>
              </w:tc>
              <w:tc>
                <w:tcPr>
                  <w:tcW w:w="1259" w:type="pct"/>
                  <w:vAlign w:val="center"/>
                </w:tcPr>
                <w:p w14:paraId="2216688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水中氯酸盐</w:t>
                  </w:r>
                </w:p>
              </w:tc>
              <w:tc>
                <w:tcPr>
                  <w:tcW w:w="787" w:type="pct"/>
                  <w:vAlign w:val="center"/>
                </w:tcPr>
                <w:p w14:paraId="50B4C3D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氯酸盐、水</w:t>
                  </w:r>
                </w:p>
              </w:tc>
              <w:tc>
                <w:tcPr>
                  <w:tcW w:w="574" w:type="pct"/>
                  <w:vAlign w:val="center"/>
                </w:tcPr>
                <w:p w14:paraId="11A8ACD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582" w:type="pct"/>
                  <w:vAlign w:val="center"/>
                </w:tcPr>
                <w:p w14:paraId="0EFB784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86541A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821" w:type="pct"/>
                  <w:vAlign w:val="center"/>
                </w:tcPr>
                <w:p w14:paraId="604293F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569C2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54B86B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71</w:t>
                  </w:r>
                </w:p>
              </w:tc>
              <w:tc>
                <w:tcPr>
                  <w:tcW w:w="1259" w:type="pct"/>
                  <w:vAlign w:val="center"/>
                </w:tcPr>
                <w:p w14:paraId="7D7C6DB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二氯乙酸</w:t>
                  </w:r>
                </w:p>
              </w:tc>
              <w:tc>
                <w:tcPr>
                  <w:tcW w:w="787" w:type="pct"/>
                  <w:vAlign w:val="center"/>
                </w:tcPr>
                <w:p w14:paraId="29896DF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二氯乙酸、水</w:t>
                  </w:r>
                </w:p>
              </w:tc>
              <w:tc>
                <w:tcPr>
                  <w:tcW w:w="574" w:type="pct"/>
                  <w:vAlign w:val="center"/>
                </w:tcPr>
                <w:p w14:paraId="3700596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582" w:type="pct"/>
                  <w:vAlign w:val="center"/>
                </w:tcPr>
                <w:p w14:paraId="2373793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5A529FB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821" w:type="pct"/>
                  <w:vAlign w:val="center"/>
                </w:tcPr>
                <w:p w14:paraId="1FFD61C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24B19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07F535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72</w:t>
                  </w:r>
                </w:p>
              </w:tc>
              <w:tc>
                <w:tcPr>
                  <w:tcW w:w="1259" w:type="pct"/>
                  <w:vAlign w:val="center"/>
                </w:tcPr>
                <w:p w14:paraId="6FAE4CC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三氯乙酸</w:t>
                  </w:r>
                </w:p>
              </w:tc>
              <w:tc>
                <w:tcPr>
                  <w:tcW w:w="787" w:type="pct"/>
                  <w:vAlign w:val="center"/>
                </w:tcPr>
                <w:p w14:paraId="0CC49CB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三氯乙酸、水</w:t>
                  </w:r>
                </w:p>
              </w:tc>
              <w:tc>
                <w:tcPr>
                  <w:tcW w:w="574" w:type="pct"/>
                  <w:vAlign w:val="center"/>
                </w:tcPr>
                <w:p w14:paraId="1519482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582" w:type="pct"/>
                  <w:vAlign w:val="center"/>
                </w:tcPr>
                <w:p w14:paraId="05F0E95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550D0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20ml</w:t>
                  </w:r>
                </w:p>
              </w:tc>
              <w:tc>
                <w:tcPr>
                  <w:tcW w:w="821" w:type="pct"/>
                  <w:vAlign w:val="center"/>
                </w:tcPr>
                <w:p w14:paraId="06346FC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66661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4C5FC25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73</w:t>
                  </w:r>
                </w:p>
              </w:tc>
              <w:tc>
                <w:tcPr>
                  <w:tcW w:w="1259" w:type="pct"/>
                  <w:vAlign w:val="center"/>
                </w:tcPr>
                <w:p w14:paraId="10AFE31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水中硫酸盐-硫</w:t>
                  </w:r>
                </w:p>
                <w:p w14:paraId="46A8C95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（以S计）</w:t>
                  </w:r>
                </w:p>
              </w:tc>
              <w:tc>
                <w:tcPr>
                  <w:tcW w:w="787" w:type="pct"/>
                  <w:vAlign w:val="center"/>
                </w:tcPr>
                <w:p w14:paraId="5442025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硫酸盐、硫、水</w:t>
                  </w:r>
                </w:p>
              </w:tc>
              <w:tc>
                <w:tcPr>
                  <w:tcW w:w="574" w:type="pct"/>
                  <w:vAlign w:val="center"/>
                </w:tcPr>
                <w:p w14:paraId="1635510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40ml</w:t>
                  </w:r>
                </w:p>
              </w:tc>
              <w:tc>
                <w:tcPr>
                  <w:tcW w:w="582" w:type="pct"/>
                  <w:vAlign w:val="center"/>
                </w:tcPr>
                <w:p w14:paraId="167370A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7423178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40ml</w:t>
                  </w:r>
                </w:p>
              </w:tc>
              <w:tc>
                <w:tcPr>
                  <w:tcW w:w="821" w:type="pct"/>
                  <w:vAlign w:val="center"/>
                </w:tcPr>
                <w:p w14:paraId="65B4DBE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2C42A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7530207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74</w:t>
                  </w:r>
                </w:p>
              </w:tc>
              <w:tc>
                <w:tcPr>
                  <w:tcW w:w="1259" w:type="pct"/>
                  <w:vAlign w:val="center"/>
                </w:tcPr>
                <w:p w14:paraId="5259957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水中氟离子</w:t>
                  </w:r>
                </w:p>
              </w:tc>
              <w:tc>
                <w:tcPr>
                  <w:tcW w:w="787" w:type="pct"/>
                  <w:vAlign w:val="center"/>
                </w:tcPr>
                <w:p w14:paraId="51C817B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氟离子、水</w:t>
                  </w:r>
                </w:p>
              </w:tc>
              <w:tc>
                <w:tcPr>
                  <w:tcW w:w="574" w:type="pct"/>
                  <w:vAlign w:val="center"/>
                </w:tcPr>
                <w:p w14:paraId="76B5A47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50ml</w:t>
                  </w:r>
                </w:p>
              </w:tc>
              <w:tc>
                <w:tcPr>
                  <w:tcW w:w="582" w:type="pct"/>
                  <w:vAlign w:val="center"/>
                </w:tcPr>
                <w:p w14:paraId="3173DDC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0824522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50ml</w:t>
                  </w:r>
                </w:p>
              </w:tc>
              <w:tc>
                <w:tcPr>
                  <w:tcW w:w="821" w:type="pct"/>
                  <w:vAlign w:val="center"/>
                </w:tcPr>
                <w:p w14:paraId="4510B02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7D620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143C8DA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75</w:t>
                  </w:r>
                </w:p>
              </w:tc>
              <w:tc>
                <w:tcPr>
                  <w:tcW w:w="1259" w:type="pct"/>
                  <w:vAlign w:val="center"/>
                </w:tcPr>
                <w:p w14:paraId="72138F5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水中氯化物</w:t>
                  </w:r>
                </w:p>
              </w:tc>
              <w:tc>
                <w:tcPr>
                  <w:tcW w:w="787" w:type="pct"/>
                  <w:vAlign w:val="center"/>
                </w:tcPr>
                <w:p w14:paraId="736FF67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氯化物、水</w:t>
                  </w:r>
                </w:p>
              </w:tc>
              <w:tc>
                <w:tcPr>
                  <w:tcW w:w="574" w:type="pct"/>
                  <w:vAlign w:val="center"/>
                </w:tcPr>
                <w:p w14:paraId="5E8BFA0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50ml</w:t>
                  </w:r>
                </w:p>
              </w:tc>
              <w:tc>
                <w:tcPr>
                  <w:tcW w:w="582" w:type="pct"/>
                  <w:vAlign w:val="center"/>
                </w:tcPr>
                <w:p w14:paraId="3B04110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3A2D270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50ml</w:t>
                  </w:r>
                </w:p>
              </w:tc>
              <w:tc>
                <w:tcPr>
                  <w:tcW w:w="821" w:type="pct"/>
                  <w:vAlign w:val="center"/>
                </w:tcPr>
                <w:p w14:paraId="260DE04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69C2F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33B9056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76</w:t>
                  </w:r>
                </w:p>
              </w:tc>
              <w:tc>
                <w:tcPr>
                  <w:tcW w:w="1259" w:type="pct"/>
                  <w:vAlign w:val="center"/>
                </w:tcPr>
                <w:p w14:paraId="5C10824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水中硝酸盐氮</w:t>
                  </w:r>
                </w:p>
              </w:tc>
              <w:tc>
                <w:tcPr>
                  <w:tcW w:w="787" w:type="pct"/>
                  <w:vAlign w:val="center"/>
                </w:tcPr>
                <w:p w14:paraId="0063ADE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硝酸盐氮、水</w:t>
                  </w:r>
                </w:p>
              </w:tc>
              <w:tc>
                <w:tcPr>
                  <w:tcW w:w="574" w:type="pct"/>
                  <w:vAlign w:val="center"/>
                </w:tcPr>
                <w:p w14:paraId="1AE0F3A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50ml</w:t>
                  </w:r>
                </w:p>
              </w:tc>
              <w:tc>
                <w:tcPr>
                  <w:tcW w:w="582" w:type="pct"/>
                  <w:vAlign w:val="center"/>
                </w:tcPr>
                <w:p w14:paraId="42F13AA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76D8D4E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50ml</w:t>
                  </w:r>
                </w:p>
              </w:tc>
              <w:tc>
                <w:tcPr>
                  <w:tcW w:w="821" w:type="pct"/>
                  <w:vAlign w:val="center"/>
                </w:tcPr>
                <w:p w14:paraId="3B63410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理化实验室</w:t>
                  </w:r>
                </w:p>
              </w:tc>
            </w:tr>
            <w:tr w14:paraId="11DCE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77E0ACD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77</w:t>
                  </w:r>
                </w:p>
              </w:tc>
              <w:tc>
                <w:tcPr>
                  <w:tcW w:w="1259" w:type="pct"/>
                  <w:vAlign w:val="center"/>
                </w:tcPr>
                <w:p w14:paraId="0153B4D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乙腈</w:t>
                  </w:r>
                </w:p>
              </w:tc>
              <w:tc>
                <w:tcPr>
                  <w:tcW w:w="787" w:type="pct"/>
                  <w:vAlign w:val="center"/>
                </w:tcPr>
                <w:p w14:paraId="034D2B9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乙腈</w:t>
                  </w:r>
                </w:p>
              </w:tc>
              <w:tc>
                <w:tcPr>
                  <w:tcW w:w="574" w:type="pct"/>
                  <w:vAlign w:val="center"/>
                </w:tcPr>
                <w:p w14:paraId="066D89D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1000ml</w:t>
                  </w:r>
                </w:p>
              </w:tc>
              <w:tc>
                <w:tcPr>
                  <w:tcW w:w="582" w:type="pct"/>
                  <w:vAlign w:val="center"/>
                </w:tcPr>
                <w:p w14:paraId="334DF55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23990BB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1000ml</w:t>
                  </w:r>
                </w:p>
              </w:tc>
              <w:tc>
                <w:tcPr>
                  <w:tcW w:w="821" w:type="pct"/>
                  <w:vAlign w:val="center"/>
                </w:tcPr>
                <w:p w14:paraId="50CADF1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r w14:paraId="13B75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42" w:type="pct"/>
                  <w:vAlign w:val="center"/>
                </w:tcPr>
                <w:p w14:paraId="631CB0A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78</w:t>
                  </w:r>
                </w:p>
              </w:tc>
              <w:tc>
                <w:tcPr>
                  <w:tcW w:w="1259" w:type="pct"/>
                  <w:vAlign w:val="center"/>
                </w:tcPr>
                <w:p w14:paraId="5EB1B81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氢氧化钠</w:t>
                  </w:r>
                </w:p>
              </w:tc>
              <w:tc>
                <w:tcPr>
                  <w:tcW w:w="787" w:type="pct"/>
                  <w:vAlign w:val="center"/>
                </w:tcPr>
                <w:p w14:paraId="62EFC70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氢氧化钠</w:t>
                  </w:r>
                </w:p>
              </w:tc>
              <w:tc>
                <w:tcPr>
                  <w:tcW w:w="574" w:type="pct"/>
                  <w:vAlign w:val="center"/>
                </w:tcPr>
                <w:p w14:paraId="5A83BC0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10g</w:t>
                  </w:r>
                </w:p>
              </w:tc>
              <w:tc>
                <w:tcPr>
                  <w:tcW w:w="582" w:type="pct"/>
                  <w:vAlign w:val="center"/>
                </w:tcPr>
                <w:p w14:paraId="0AD1948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常温</w:t>
                  </w:r>
                </w:p>
              </w:tc>
              <w:tc>
                <w:tcPr>
                  <w:tcW w:w="634" w:type="pct"/>
                  <w:vAlign w:val="center"/>
                </w:tcPr>
                <w:p w14:paraId="7392D4A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10g</w:t>
                  </w:r>
                </w:p>
              </w:tc>
              <w:tc>
                <w:tcPr>
                  <w:tcW w:w="821" w:type="pct"/>
                  <w:vAlign w:val="center"/>
                </w:tcPr>
                <w:p w14:paraId="253C41D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化学试剂室</w:t>
                  </w:r>
                </w:p>
              </w:tc>
            </w:tr>
          </w:tbl>
          <w:p w14:paraId="7AE83123">
            <w:pPr>
              <w:pStyle w:val="57"/>
              <w:ind w:firstLine="496"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本项目主要化学药品涉及化学成分的理化性质、毒理特性见下表：</w:t>
            </w:r>
          </w:p>
          <w:p w14:paraId="38B1F417">
            <w:pPr>
              <w:spacing w:before="120" w:beforeLine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表2-3 主要化学药品涉及化学成分的理化性质、毒理特性一览表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884"/>
              <w:gridCol w:w="966"/>
              <w:gridCol w:w="4566"/>
              <w:gridCol w:w="1483"/>
            </w:tblGrid>
            <w:tr w14:paraId="389B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266" w:type="pct"/>
                  <w:vMerge w:val="restart"/>
                  <w:vAlign w:val="center"/>
                </w:tcPr>
                <w:p w14:paraId="1DEDF13F">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1108" w:type="pct"/>
                  <w:gridSpan w:val="2"/>
                  <w:vAlign w:val="center"/>
                </w:tcPr>
                <w:p w14:paraId="4C4CBE0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化学药品</w:t>
                  </w:r>
                </w:p>
              </w:tc>
              <w:tc>
                <w:tcPr>
                  <w:tcW w:w="2736" w:type="pct"/>
                  <w:vMerge w:val="restart"/>
                  <w:vAlign w:val="center"/>
                </w:tcPr>
                <w:p w14:paraId="3722D89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理化性质</w:t>
                  </w:r>
                </w:p>
              </w:tc>
              <w:tc>
                <w:tcPr>
                  <w:tcW w:w="888" w:type="pct"/>
                  <w:vMerge w:val="restart"/>
                  <w:vAlign w:val="center"/>
                </w:tcPr>
                <w:p w14:paraId="4EDC5F6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毒理</w:t>
                  </w:r>
                </w:p>
                <w:p w14:paraId="77454CA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特性</w:t>
                  </w:r>
                </w:p>
              </w:tc>
            </w:tr>
            <w:tr w14:paraId="0DD7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Merge w:val="continue"/>
                  <w:vAlign w:val="center"/>
                </w:tcPr>
                <w:p w14:paraId="48549F4A">
                  <w:pPr>
                    <w:jc w:val="center"/>
                    <w:rPr>
                      <w:rFonts w:hint="default" w:ascii="Times New Roman" w:hAnsi="Times New Roman" w:cs="Times New Roman"/>
                      <w:color w:val="auto"/>
                      <w:szCs w:val="21"/>
                      <w:highlight w:val="none"/>
                    </w:rPr>
                  </w:pPr>
                </w:p>
              </w:tc>
              <w:tc>
                <w:tcPr>
                  <w:tcW w:w="529" w:type="pct"/>
                  <w:vAlign w:val="center"/>
                </w:tcPr>
                <w:p w14:paraId="716FC46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名称</w:t>
                  </w:r>
                </w:p>
              </w:tc>
              <w:tc>
                <w:tcPr>
                  <w:tcW w:w="578" w:type="pct"/>
                  <w:vAlign w:val="center"/>
                </w:tcPr>
                <w:p w14:paraId="67CF9509">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涉及化学成分</w:t>
                  </w:r>
                </w:p>
              </w:tc>
              <w:tc>
                <w:tcPr>
                  <w:tcW w:w="2736" w:type="pct"/>
                  <w:vMerge w:val="continue"/>
                  <w:vAlign w:val="center"/>
                </w:tcPr>
                <w:p w14:paraId="21957BD3">
                  <w:pPr>
                    <w:jc w:val="center"/>
                    <w:rPr>
                      <w:rFonts w:hint="default" w:ascii="Times New Roman" w:hAnsi="Times New Roman" w:cs="Times New Roman"/>
                      <w:color w:val="auto"/>
                      <w:szCs w:val="21"/>
                      <w:highlight w:val="none"/>
                    </w:rPr>
                  </w:pPr>
                </w:p>
              </w:tc>
              <w:tc>
                <w:tcPr>
                  <w:tcW w:w="888" w:type="pct"/>
                  <w:vMerge w:val="continue"/>
                  <w:vAlign w:val="center"/>
                </w:tcPr>
                <w:p w14:paraId="7EBC034C">
                  <w:pPr>
                    <w:jc w:val="center"/>
                    <w:rPr>
                      <w:rFonts w:hint="default" w:ascii="Times New Roman" w:hAnsi="Times New Roman" w:cs="Times New Roman"/>
                      <w:color w:val="auto"/>
                      <w:szCs w:val="21"/>
                      <w:highlight w:val="none"/>
                    </w:rPr>
                  </w:pPr>
                </w:p>
              </w:tc>
            </w:tr>
            <w:tr w14:paraId="644F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EDFCBB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529" w:type="pct"/>
                  <w:vAlign w:val="center"/>
                </w:tcPr>
                <w:p w14:paraId="0A95FF00">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硝酸</w:t>
                  </w:r>
                </w:p>
              </w:tc>
              <w:tc>
                <w:tcPr>
                  <w:tcW w:w="578" w:type="pct"/>
                  <w:vAlign w:val="center"/>
                </w:tcPr>
                <w:p w14:paraId="3764513B">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硝酸</w:t>
                  </w:r>
                </w:p>
              </w:tc>
              <w:tc>
                <w:tcPr>
                  <w:tcW w:w="2736" w:type="pct"/>
                  <w:vAlign w:val="center"/>
                </w:tcPr>
                <w:p w14:paraId="1E8D210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化学式：HNO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，分子量：63.01，CAS登录号7697-37-2；危规号：81002。</w:t>
                  </w:r>
                </w:p>
                <w:p w14:paraId="2739905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外观为无色透明液体，有窒息性刺激气味，密度1.42g/cm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质量分数为69.2%），熔点-42℃，沸点86℃。浓硝酸含量为68%左右，易挥发。有强酸性。能与水混溶。能与水形成共沸混合物。浓硝酸不稳定，遇光或热会分解而放出二氧化氮，分解产生的二氧化氮溶于硝酸。稀硝酸相对稳定。</w:t>
                  </w:r>
                </w:p>
              </w:tc>
              <w:tc>
                <w:tcPr>
                  <w:tcW w:w="888" w:type="pct"/>
                  <w:vAlign w:val="center"/>
                </w:tcPr>
                <w:p w14:paraId="66624DC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063D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9B7508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529" w:type="pct"/>
                  <w:vMerge w:val="restart"/>
                  <w:vAlign w:val="center"/>
                </w:tcPr>
                <w:p w14:paraId="18980F5A">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甲醇中三溴甲烷</w:t>
                  </w:r>
                </w:p>
              </w:tc>
              <w:tc>
                <w:tcPr>
                  <w:tcW w:w="578" w:type="pct"/>
                  <w:vAlign w:val="center"/>
                </w:tcPr>
                <w:p w14:paraId="1C91A2CD">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甲醇</w:t>
                  </w:r>
                </w:p>
              </w:tc>
              <w:tc>
                <w:tcPr>
                  <w:tcW w:w="2736" w:type="pct"/>
                  <w:vAlign w:val="center"/>
                </w:tcPr>
                <w:p w14:paraId="1A1F414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分子式：CH</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O；分子量：32.04；CAS登录号67-56-1；危规号：32058。</w:t>
                  </w:r>
                </w:p>
                <w:p w14:paraId="3C1914F8">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澄清液体，有刺激性气味，易挥发；溶解性：溶于水，可混溶于醇、醚等多数有机溶剂；熔点：-97.8℃；沸点：64.8℃；相对密度（水=1）：0.79；临界温度：240℃；临界压力：7.95MPa；相对密度（空气=1）：1.11；燃烧热：727.0KJ/mol；最小点火能：0.215mJ；饱和蒸汽压：13.33KPa（21.2℃）。</w:t>
                  </w:r>
                </w:p>
              </w:tc>
              <w:tc>
                <w:tcPr>
                  <w:tcW w:w="888" w:type="pct"/>
                  <w:vAlign w:val="center"/>
                </w:tcPr>
                <w:p w14:paraId="29463A7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LD50：5628mg/kg（大鼠经口）；15800mg/kg（兔经皮）；LC50：83776mg/m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，4小时（小鼠吸入）</w:t>
                  </w:r>
                </w:p>
              </w:tc>
            </w:tr>
            <w:tr w14:paraId="01B5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DED063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529" w:type="pct"/>
                  <w:vMerge w:val="continue"/>
                  <w:vAlign w:val="center"/>
                </w:tcPr>
                <w:p w14:paraId="3913F6C5">
                  <w:pPr>
                    <w:jc w:val="center"/>
                    <w:rPr>
                      <w:rFonts w:hint="default" w:ascii="Times New Roman" w:hAnsi="Times New Roman" w:cs="Times New Roman"/>
                      <w:color w:val="auto"/>
                      <w:szCs w:val="21"/>
                      <w:highlight w:val="none"/>
                    </w:rPr>
                  </w:pPr>
                </w:p>
              </w:tc>
              <w:tc>
                <w:tcPr>
                  <w:tcW w:w="578" w:type="pct"/>
                  <w:vAlign w:val="center"/>
                </w:tcPr>
                <w:p w14:paraId="4DEEC366">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三溴甲烷</w:t>
                  </w:r>
                </w:p>
              </w:tc>
              <w:tc>
                <w:tcPr>
                  <w:tcW w:w="2736" w:type="pct"/>
                  <w:vAlign w:val="center"/>
                </w:tcPr>
                <w:p w14:paraId="5BCB061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分子式：CHBr</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；分子量：252.73；CAS登录号75-25-2；危规号：61562。</w:t>
                  </w:r>
                </w:p>
                <w:p w14:paraId="16B622C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性状：无色至淡黄色液体，类似氯仿的甜味，易挥发，光照下缓慢分解，可能释放有毒溴化物。溶解性：微溶于水；熔点：8.3℃；沸点：149.1℃；密度：2.89g/cm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64613ED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LD50：1200mg/kg（大鼠经口）</w:t>
                  </w:r>
                </w:p>
              </w:tc>
            </w:tr>
            <w:tr w14:paraId="2CF6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B1E96C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529" w:type="pct"/>
                  <w:vAlign w:val="center"/>
                </w:tcPr>
                <w:p w14:paraId="7F8C13C2">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甲醇中二溴一氯甲烷</w:t>
                  </w:r>
                </w:p>
              </w:tc>
              <w:tc>
                <w:tcPr>
                  <w:tcW w:w="578" w:type="pct"/>
                  <w:vAlign w:val="center"/>
                </w:tcPr>
                <w:p w14:paraId="3BDEEFCA">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二溴一氯甲烷</w:t>
                  </w:r>
                </w:p>
              </w:tc>
              <w:tc>
                <w:tcPr>
                  <w:tcW w:w="2736" w:type="pct"/>
                  <w:vAlign w:val="center"/>
                </w:tcPr>
                <w:p w14:paraId="72A1EB0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分子式：CHBr</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Cl；分子量：208.28；CAS登录号124-48-1；危规号：61563。</w:t>
                  </w:r>
                </w:p>
                <w:p w14:paraId="48C252C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至淡黄色液体，类似氯仿的甜味，挥发性较强，对光敏感，长期储存可能分解产生溴化氢等有毒气体。溶解性：微溶于水，易溶于乙醇、乙醚、丙酮、苯、氯仿；熔点：-22℃；沸点：120℃；密度：2.38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61EF1B4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LD50：800mg/kg（大鼠经口）</w:t>
                  </w:r>
                </w:p>
              </w:tc>
            </w:tr>
            <w:tr w14:paraId="284C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7ADC0E9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529" w:type="pct"/>
                  <w:vAlign w:val="center"/>
                </w:tcPr>
                <w:p w14:paraId="67289929">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甲醇中一溴二氯甲烷溶液标准物质</w:t>
                  </w:r>
                </w:p>
              </w:tc>
              <w:tc>
                <w:tcPr>
                  <w:tcW w:w="578" w:type="pct"/>
                  <w:vAlign w:val="center"/>
                </w:tcPr>
                <w:p w14:paraId="1B889FBA">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一溴二氯甲烷</w:t>
                  </w:r>
                </w:p>
              </w:tc>
              <w:tc>
                <w:tcPr>
                  <w:tcW w:w="2736" w:type="pct"/>
                  <w:vAlign w:val="center"/>
                </w:tcPr>
                <w:p w14:paraId="6364504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分子式：CHBrCl</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；分子量：163.83；CAS登录号75-27-4；危规号：61563。</w:t>
                  </w:r>
                </w:p>
                <w:p w14:paraId="1A6885F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性状：无色至淡黄色液体，类似氯仿的气味，易挥发，对光敏感，长期储存可能分解产生氯化氢或溴化氢。溶解性：微溶于水，易溶于乙醇、乙醚、丙酮、苯、氯仿；熔点：-57℃；沸点：90℃；密度：1.98g/cm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36E91EB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LD50：450mg/kg（大鼠经口）</w:t>
                  </w:r>
                </w:p>
              </w:tc>
            </w:tr>
            <w:tr w14:paraId="3F26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66" w:type="pct"/>
                  <w:vAlign w:val="center"/>
                </w:tcPr>
                <w:p w14:paraId="0CFC9B1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529" w:type="pct"/>
                  <w:vMerge w:val="restart"/>
                  <w:vAlign w:val="center"/>
                </w:tcPr>
                <w:p w14:paraId="51D64E51">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甲醇中三氯甲烷、四氯化碳混标</w:t>
                  </w:r>
                </w:p>
              </w:tc>
              <w:tc>
                <w:tcPr>
                  <w:tcW w:w="578" w:type="pct"/>
                  <w:vAlign w:val="center"/>
                </w:tcPr>
                <w:p w14:paraId="2587638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三氯甲烷</w:t>
                  </w:r>
                </w:p>
              </w:tc>
              <w:tc>
                <w:tcPr>
                  <w:tcW w:w="2736" w:type="pct"/>
                  <w:vAlign w:val="center"/>
                </w:tcPr>
                <w:p w14:paraId="5601ED4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分子式：CHCl</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；分子量：119.38；CAS登录号67-66-3；危规号：61553。</w:t>
                  </w:r>
                </w:p>
                <w:p w14:paraId="22F9E38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性状：无色透明挥发性液体，有特殊甜味，对光敏感，在空气中可缓慢氧化。溶解性：微溶于水，可混溶于乙醇、乙醚、苯；熔点：-63.5℃；沸点：61.2℃；密度：1.489g/cm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。遇空气或光照分解生成剧毒光气，与强碱反应生成甲酸盐。</w:t>
                  </w:r>
                </w:p>
              </w:tc>
              <w:tc>
                <w:tcPr>
                  <w:tcW w:w="888" w:type="pct"/>
                  <w:vAlign w:val="center"/>
                </w:tcPr>
                <w:p w14:paraId="679AF7E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LD50：908mg/kg（大鼠经口）</w:t>
                  </w:r>
                </w:p>
              </w:tc>
            </w:tr>
            <w:tr w14:paraId="371B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37B0B1A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529" w:type="pct"/>
                  <w:vMerge w:val="continue"/>
                  <w:vAlign w:val="center"/>
                </w:tcPr>
                <w:p w14:paraId="109C4B68">
                  <w:pPr>
                    <w:jc w:val="center"/>
                    <w:rPr>
                      <w:rFonts w:hint="default" w:ascii="Times New Roman" w:hAnsi="Times New Roman" w:cs="Times New Roman"/>
                      <w:color w:val="auto"/>
                      <w:szCs w:val="21"/>
                      <w:highlight w:val="none"/>
                    </w:rPr>
                  </w:pPr>
                </w:p>
              </w:tc>
              <w:tc>
                <w:tcPr>
                  <w:tcW w:w="578" w:type="pct"/>
                  <w:vAlign w:val="center"/>
                </w:tcPr>
                <w:p w14:paraId="5705924C">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四氯化碳</w:t>
                  </w:r>
                </w:p>
              </w:tc>
              <w:tc>
                <w:tcPr>
                  <w:tcW w:w="2736" w:type="pct"/>
                  <w:vAlign w:val="center"/>
                </w:tcPr>
                <w:p w14:paraId="0BCA4C52">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分子式：CCl</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；分子量：153.82；CAS登录号56-23-5；危规号：61554。</w:t>
                  </w:r>
                </w:p>
                <w:p w14:paraId="6ADEB00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液体，有特殊甜味，易挥发，常温稳定，但遇高温或金属可能分解，光照下缓慢分解，释放有毒氯气。溶解性：微溶于水，可混溶于乙醇、乙醚、苯、氯仿、石油醚；熔点：-22.9℃；沸点：76.70℃；密度：1.594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。与火焰接触可能生成氯化氢，高温分解为光气和氯气；与铝、镁、钠等剧烈反应，生成金属氯化物和碳。</w:t>
                  </w:r>
                </w:p>
              </w:tc>
              <w:tc>
                <w:tcPr>
                  <w:tcW w:w="888" w:type="pct"/>
                  <w:vAlign w:val="center"/>
                </w:tcPr>
                <w:p w14:paraId="7C14700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LD50：2350mg/kg（大鼠经口）</w:t>
                  </w:r>
                </w:p>
              </w:tc>
            </w:tr>
            <w:tr w14:paraId="5AF2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1F4576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529" w:type="pct"/>
                  <w:vMerge w:val="restart"/>
                  <w:vAlign w:val="center"/>
                </w:tcPr>
                <w:p w14:paraId="55C93F0A">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正己烷中8种有机氯农药混标</w:t>
                  </w:r>
                </w:p>
              </w:tc>
              <w:tc>
                <w:tcPr>
                  <w:tcW w:w="578" w:type="pct"/>
                  <w:vAlign w:val="center"/>
                </w:tcPr>
                <w:p w14:paraId="248446D0">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正己烷</w:t>
                  </w:r>
                </w:p>
              </w:tc>
              <w:tc>
                <w:tcPr>
                  <w:tcW w:w="2736" w:type="pct"/>
                  <w:vAlign w:val="center"/>
                </w:tcPr>
                <w:p w14:paraId="019D6DC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14</w:t>
                  </w:r>
                  <w:r>
                    <w:rPr>
                      <w:rFonts w:hint="default" w:ascii="Times New Roman" w:hAnsi="Times New Roman" w:cs="Times New Roman"/>
                      <w:color w:val="auto"/>
                      <w:szCs w:val="21"/>
                      <w:highlight w:val="none"/>
                    </w:rPr>
                    <w:t>；分子量：86.18；CAS登录号110-54-3；危规号：31005。</w:t>
                  </w:r>
                </w:p>
                <w:p w14:paraId="0F8971C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液体，有轻微油漆味，极易挥发，常温稳定，但易燃易爆，无特殊光敏感性。溶解性：不溶于水，可混溶于乙醇、乙醚、丙酮、氯仿，是油脂、橡胶、树脂的良好溶剂；熔点：-90℃；沸点：69℃；密度：0.659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。完全燃烧生成二氧化碳和水，不完全燃烧可能产生一氧化碳和碳黑；高温下可裂解生产小分子烯烃和烷烃。</w:t>
                  </w:r>
                </w:p>
              </w:tc>
              <w:tc>
                <w:tcPr>
                  <w:tcW w:w="888" w:type="pct"/>
                  <w:vAlign w:val="center"/>
                </w:tcPr>
                <w:p w14:paraId="26DF2DF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LD50：25g/kg（大鼠经口）</w:t>
                  </w:r>
                </w:p>
              </w:tc>
            </w:tr>
            <w:tr w14:paraId="3425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24481A4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529" w:type="pct"/>
                  <w:vMerge w:val="continue"/>
                  <w:vAlign w:val="center"/>
                </w:tcPr>
                <w:p w14:paraId="7D24538E">
                  <w:pPr>
                    <w:jc w:val="center"/>
                    <w:rPr>
                      <w:rFonts w:hint="default" w:ascii="Times New Roman" w:hAnsi="Times New Roman" w:cs="Times New Roman"/>
                      <w:color w:val="auto"/>
                      <w:szCs w:val="21"/>
                      <w:highlight w:val="none"/>
                    </w:rPr>
                  </w:pPr>
                </w:p>
              </w:tc>
              <w:tc>
                <w:tcPr>
                  <w:tcW w:w="578" w:type="pct"/>
                  <w:vAlign w:val="center"/>
                </w:tcPr>
                <w:p w14:paraId="75A658E8">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滴滴涕</w:t>
                  </w:r>
                </w:p>
              </w:tc>
              <w:tc>
                <w:tcPr>
                  <w:tcW w:w="2736" w:type="pct"/>
                  <w:vAlign w:val="center"/>
                </w:tcPr>
                <w:p w14:paraId="09ADB2E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14</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9</w:t>
                  </w:r>
                  <w:r>
                    <w:rPr>
                      <w:rFonts w:hint="default" w:ascii="Times New Roman" w:hAnsi="Times New Roman" w:cs="Times New Roman"/>
                      <w:color w:val="auto"/>
                      <w:szCs w:val="21"/>
                      <w:highlight w:val="none"/>
                    </w:rPr>
                    <w:t>Cl</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；分子量：354.49；CAS登录号50-29-3；危规号：61876。</w:t>
                  </w:r>
                </w:p>
                <w:p w14:paraId="67B4C358">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至灰白色结晶粉末，无味或微弱芳香气味，化学性质稳定，在环境中可残留数十年，紫外线照射下缓慢降解为DDE和DDD。溶解性：极微溶于水，易溶于脂肪、丙酮、苯、四氯化碳、二噁英，在植物油中溶解度高达100g/kg。熔点：-108.5℃；沸点：260℃；密度：1.55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1CB7041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LD50：113mg/kg（大鼠经口）</w:t>
                  </w:r>
                </w:p>
              </w:tc>
            </w:tr>
            <w:tr w14:paraId="569E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0E61B4E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w:t>
                  </w:r>
                </w:p>
              </w:tc>
              <w:tc>
                <w:tcPr>
                  <w:tcW w:w="529" w:type="pct"/>
                  <w:vMerge w:val="continue"/>
                  <w:vAlign w:val="center"/>
                </w:tcPr>
                <w:p w14:paraId="5565E725">
                  <w:pPr>
                    <w:jc w:val="center"/>
                    <w:rPr>
                      <w:rFonts w:hint="default" w:ascii="Times New Roman" w:hAnsi="Times New Roman" w:cs="Times New Roman"/>
                      <w:color w:val="auto"/>
                      <w:szCs w:val="21"/>
                      <w:highlight w:val="none"/>
                    </w:rPr>
                  </w:pPr>
                </w:p>
              </w:tc>
              <w:tc>
                <w:tcPr>
                  <w:tcW w:w="578" w:type="pct"/>
                  <w:vAlign w:val="center"/>
                </w:tcPr>
                <w:p w14:paraId="41615F7E">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六六六</w:t>
                  </w:r>
                </w:p>
              </w:tc>
              <w:tc>
                <w:tcPr>
                  <w:tcW w:w="2736" w:type="pct"/>
                  <w:vAlign w:val="center"/>
                </w:tcPr>
                <w:p w14:paraId="4F99319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Cl</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；分子量：290.83；CAS登录号608-73-1；危规号：61877。</w:t>
                  </w:r>
                </w:p>
                <w:p w14:paraId="430FB53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性状：白色至淡黄色结晶粉末，有霉臭味，挥发性较低，化学性质稳定。水溶性：约10mg/L，易溶于乙醇、丙酮、苯、氯仿，难溶于石油醚，在脂肪中的溶解度高达80g/kg。熔点：65℃；沸点：323℃；密度：1.87g/cm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4CA7A62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LD50：500mg/kg（大鼠经口）</w:t>
                  </w:r>
                </w:p>
              </w:tc>
            </w:tr>
            <w:tr w14:paraId="4B86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D6F35A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11</w:t>
                  </w:r>
                </w:p>
              </w:tc>
              <w:tc>
                <w:tcPr>
                  <w:tcW w:w="529" w:type="pct"/>
                  <w:vAlign w:val="center"/>
                </w:tcPr>
                <w:p w14:paraId="4E6ABEA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w:t>
                  </w:r>
                </w:p>
              </w:tc>
              <w:tc>
                <w:tcPr>
                  <w:tcW w:w="578" w:type="pct"/>
                  <w:vAlign w:val="center"/>
                </w:tcPr>
                <w:p w14:paraId="70201AB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w:t>
                  </w:r>
                </w:p>
              </w:tc>
              <w:tc>
                <w:tcPr>
                  <w:tcW w:w="2736" w:type="pct"/>
                  <w:vAlign w:val="center"/>
                </w:tcPr>
                <w:p w14:paraId="1AAD3AA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分子式H</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SO</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，分子量98.08，CAS登录号7664-93-9；危规号：81007。</w:t>
                  </w:r>
                </w:p>
                <w:p w14:paraId="02B06C7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标况状态：透明无色无臭液体，密度1.84g/cm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，熔点10.371℃，沸点337℃，蒸汽压6×10</w:t>
                  </w:r>
                  <w:r>
                    <w:rPr>
                      <w:rFonts w:hint="default" w:ascii="Times New Roman" w:hAnsi="Times New Roman" w:cs="Times New Roman"/>
                      <w:color w:val="auto"/>
                      <w:szCs w:val="21"/>
                      <w:highlight w:val="none"/>
                      <w:vertAlign w:val="superscript"/>
                    </w:rPr>
                    <w:t>-5</w:t>
                  </w:r>
                  <w:r>
                    <w:rPr>
                      <w:rFonts w:hint="default" w:ascii="Times New Roman" w:hAnsi="Times New Roman" w:cs="Times New Roman"/>
                      <w:color w:val="auto"/>
                      <w:szCs w:val="21"/>
                      <w:highlight w:val="none"/>
                    </w:rPr>
                    <w:t>mmHg。能与水以任意比例互溶，同时放出大量的热，使水沸腾。</w:t>
                  </w:r>
                </w:p>
                <w:p w14:paraId="453EE45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能和绝大多数金属发生反应。高浓度的硫酸有强烈吸水性，具有强烈的腐蚀性和氧化性。</w:t>
                  </w:r>
                </w:p>
              </w:tc>
              <w:tc>
                <w:tcPr>
                  <w:tcW w:w="888" w:type="pct"/>
                  <w:vAlign w:val="center"/>
                </w:tcPr>
                <w:p w14:paraId="18CB54F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中毒，LD50：2140mg/kg（大鼠经口）</w:t>
                  </w:r>
                </w:p>
              </w:tc>
            </w:tr>
            <w:tr w14:paraId="3385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0817ADD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w:t>
                  </w:r>
                </w:p>
              </w:tc>
              <w:tc>
                <w:tcPr>
                  <w:tcW w:w="529" w:type="pct"/>
                  <w:vAlign w:val="center"/>
                </w:tcPr>
                <w:p w14:paraId="0F75677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丙酮</w:t>
                  </w:r>
                </w:p>
              </w:tc>
              <w:tc>
                <w:tcPr>
                  <w:tcW w:w="578" w:type="pct"/>
                  <w:vAlign w:val="center"/>
                </w:tcPr>
                <w:p w14:paraId="260F80A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丙酮</w:t>
                  </w:r>
                </w:p>
              </w:tc>
              <w:tc>
                <w:tcPr>
                  <w:tcW w:w="2736" w:type="pct"/>
                  <w:vAlign w:val="center"/>
                </w:tcPr>
                <w:p w14:paraId="3BC7252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O；分子量：58.08；CAS登录号67-64-1；危规号：31025。</w:t>
                  </w:r>
                </w:p>
                <w:p w14:paraId="61E9935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易流动液体，有芳香气味，极易挥发；溶解性：与水混溶，可混溶于乙醇、乙醚、氯仿、油类、烃类等多数有机溶剂；熔点：-94.6℃；沸点：56.5℃；相对密度（水=1）：0.80；临界温度：235.5℃；临界压力：4.72MPa；相对密度（空气=1）：2.00；燃烧热：1788.7KJ/mol；最小点火能：1.157mJ；饱和蒸汽压：53.32KPa（39.5℃）。</w:t>
                  </w:r>
                </w:p>
              </w:tc>
              <w:tc>
                <w:tcPr>
                  <w:tcW w:w="888" w:type="pct"/>
                  <w:vAlign w:val="center"/>
                </w:tcPr>
                <w:p w14:paraId="58C5B38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1659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25941A9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w:t>
                  </w:r>
                </w:p>
              </w:tc>
              <w:tc>
                <w:tcPr>
                  <w:tcW w:w="529" w:type="pct"/>
                  <w:vAlign w:val="center"/>
                </w:tcPr>
                <w:p w14:paraId="3DCCC77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二苯碳酰二肼</w:t>
                  </w:r>
                </w:p>
              </w:tc>
              <w:tc>
                <w:tcPr>
                  <w:tcW w:w="578" w:type="pct"/>
                  <w:vAlign w:val="center"/>
                </w:tcPr>
                <w:p w14:paraId="740C9A9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二苯碳酰二肼</w:t>
                  </w:r>
                </w:p>
              </w:tc>
              <w:tc>
                <w:tcPr>
                  <w:tcW w:w="2736" w:type="pct"/>
                  <w:vAlign w:val="center"/>
                </w:tcPr>
                <w:p w14:paraId="22943AF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13</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16</w:t>
                  </w:r>
                  <w:r>
                    <w:rPr>
                      <w:rFonts w:hint="default" w:ascii="Times New Roman" w:hAnsi="Times New Roman" w:cs="Times New Roman"/>
                      <w:color w:val="auto"/>
                      <w:szCs w:val="21"/>
                      <w:highlight w:val="none"/>
                    </w:rPr>
                    <w:t>N</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O；分子量：242.28；CAS登录号140-22-7。</w:t>
                  </w:r>
                </w:p>
                <w:p w14:paraId="2BA7364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性状：白色至淡粉色结晶性粉末，无味或轻微特征性气味，干燥时稳定，见光缓慢氧化；溶解性：微溶于水，易溶于乙醇、丙酮、冰醋酸，微溶于乙醚、苯；熔点：168℃；受热分解；密度：1.24g/cm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48DB0BA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LD50：＞2000mg/kg（大鼠经口）</w:t>
                  </w:r>
                </w:p>
              </w:tc>
            </w:tr>
            <w:tr w14:paraId="638B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257B8D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14</w:t>
                  </w:r>
                </w:p>
              </w:tc>
              <w:tc>
                <w:tcPr>
                  <w:tcW w:w="529" w:type="pct"/>
                  <w:vAlign w:val="center"/>
                </w:tcPr>
                <w:p w14:paraId="4A5BCF3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盐酸</w:t>
                  </w:r>
                </w:p>
              </w:tc>
              <w:tc>
                <w:tcPr>
                  <w:tcW w:w="578" w:type="pct"/>
                  <w:vAlign w:val="center"/>
                </w:tcPr>
                <w:p w14:paraId="3F29AED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盐酸</w:t>
                  </w:r>
                </w:p>
              </w:tc>
              <w:tc>
                <w:tcPr>
                  <w:tcW w:w="2736" w:type="pct"/>
                  <w:vAlign w:val="center"/>
                </w:tcPr>
                <w:p w14:paraId="3D259F50">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化学式：HCl，分子量：36.5，CAS登录号7647-01-0；危规号：81013。</w:t>
                  </w:r>
                </w:p>
                <w:p w14:paraId="675D89C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外观为无色至淡黄色清澈液体，有强烈的刺鼻气味，具有较高的腐蚀性。密度：1.18g/cm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，熔点：-27.32℃（247K，38%溶液），沸点110℃（383K，20.2%溶液），48℃（321K，38%溶液）；水溶性：混溶，与水、乙醇任意混溶，不可燃。</w:t>
                  </w:r>
                </w:p>
                <w:p w14:paraId="0A7C006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浓盐酸（质量分数约为37%）具有极强的挥发性。具有腐蚀性，会腐蚀人体组织，可能会不可逆地损伤呼吸器官、眼部、皮肤和胃肠等。</w:t>
                  </w:r>
                </w:p>
              </w:tc>
              <w:tc>
                <w:tcPr>
                  <w:tcW w:w="888" w:type="pct"/>
                  <w:vAlign w:val="center"/>
                </w:tcPr>
                <w:p w14:paraId="5227FFC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1453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73F604F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15</w:t>
                  </w:r>
                </w:p>
              </w:tc>
              <w:tc>
                <w:tcPr>
                  <w:tcW w:w="529" w:type="pct"/>
                  <w:vAlign w:val="center"/>
                </w:tcPr>
                <w:p w14:paraId="4028E2F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硼氢化钾</w:t>
                  </w:r>
                </w:p>
              </w:tc>
              <w:tc>
                <w:tcPr>
                  <w:tcW w:w="578" w:type="pct"/>
                  <w:vAlign w:val="center"/>
                </w:tcPr>
                <w:p w14:paraId="7B985EA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硼氢化钾</w:t>
                  </w:r>
                </w:p>
              </w:tc>
              <w:tc>
                <w:tcPr>
                  <w:tcW w:w="2736" w:type="pct"/>
                  <w:vAlign w:val="center"/>
                </w:tcPr>
                <w:p w14:paraId="1F74BBC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化学式KBH</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，分子量53.94，CAS登录号13762-51-1；危规号：43044。</w:t>
                  </w:r>
                </w:p>
                <w:p w14:paraId="5C53E23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白色疏松粉末或晶体。相对密度1.178。熔点585℃，在真空中约500℃开始分解，在空气中稳定，不吸湿性。硼氢化钾易溶于水，水溶液加热至100℃时，完全释放出氢。溶于液氨，微溶于甲醇和乙醇，几乎不溶于乙醚、苯、四氢呋喃、甲醚及其他碳氢化合物。在碱性环境中稳定，遇无机酸分解而放出氢气。强还原性。</w:t>
                  </w:r>
                </w:p>
              </w:tc>
              <w:tc>
                <w:tcPr>
                  <w:tcW w:w="888" w:type="pct"/>
                  <w:vAlign w:val="center"/>
                </w:tcPr>
                <w:p w14:paraId="1919F83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LD50：160mg/kg（大鼠经口）</w:t>
                  </w:r>
                </w:p>
              </w:tc>
            </w:tr>
            <w:tr w14:paraId="09C2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6579ED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16</w:t>
                  </w:r>
                </w:p>
              </w:tc>
              <w:tc>
                <w:tcPr>
                  <w:tcW w:w="529" w:type="pct"/>
                  <w:vAlign w:val="center"/>
                </w:tcPr>
                <w:p w14:paraId="4A7558C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硫脲</w:t>
                  </w:r>
                </w:p>
              </w:tc>
              <w:tc>
                <w:tcPr>
                  <w:tcW w:w="578" w:type="pct"/>
                  <w:vAlign w:val="center"/>
                </w:tcPr>
                <w:p w14:paraId="12DB866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硫脲</w:t>
                  </w:r>
                </w:p>
              </w:tc>
              <w:tc>
                <w:tcPr>
                  <w:tcW w:w="2736" w:type="pct"/>
                  <w:vAlign w:val="center"/>
                </w:tcPr>
                <w:p w14:paraId="0ABF515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别称：硫代尿素，化学式CH</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N</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S，分子量76.12，CAS登录号62-56-6118526-00-4；危规号：61852。</w:t>
                  </w:r>
                </w:p>
                <w:p w14:paraId="68A14EF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白色而有光泽的晶体。味苦。密度1.41。熔点176~178℃。更热时分解。溶于水，加热时能溶于乙醇，极微溶于乙醚。</w:t>
                  </w:r>
                </w:p>
                <w:p w14:paraId="0F5F9FC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遇明火、高热可燃。受热分解，放出氮、硫的氧化物等毒性气体。与氧化剂能发生强烈反应。</w:t>
                  </w:r>
                </w:p>
              </w:tc>
              <w:tc>
                <w:tcPr>
                  <w:tcW w:w="888" w:type="pct"/>
                  <w:vAlign w:val="center"/>
                </w:tcPr>
                <w:p w14:paraId="6280FEF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6ADF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771DB23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17</w:t>
                  </w:r>
                </w:p>
              </w:tc>
              <w:tc>
                <w:tcPr>
                  <w:tcW w:w="529" w:type="pct"/>
                  <w:vAlign w:val="center"/>
                </w:tcPr>
                <w:p w14:paraId="494BF7B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抗坏血酸</w:t>
                  </w:r>
                </w:p>
              </w:tc>
              <w:tc>
                <w:tcPr>
                  <w:tcW w:w="578" w:type="pct"/>
                  <w:vAlign w:val="center"/>
                </w:tcPr>
                <w:p w14:paraId="026B502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抗坏血酸</w:t>
                  </w:r>
                </w:p>
              </w:tc>
              <w:tc>
                <w:tcPr>
                  <w:tcW w:w="2736" w:type="pct"/>
                  <w:vAlign w:val="center"/>
                </w:tcPr>
                <w:p w14:paraId="69EE7068">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8</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；分子量：176.12；CAS登录号50-81-7。</w:t>
                  </w:r>
                </w:p>
                <w:p w14:paraId="7B5B453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性状：白色至微黄色结晶或粉末，无味或轻微酸味，干燥状态下较稳定，水溶液易被氧化；水溶性：33g/100ml（20℃），微溶于乙醇，不溶于乙醚、氯仿、苯；熔点：190℃；受热分解；密度：1.65g/cm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777BFE8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LD50：＞11900mg/kg（大鼠经口）</w:t>
                  </w:r>
                </w:p>
              </w:tc>
            </w:tr>
            <w:tr w14:paraId="213A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29CF33E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18</w:t>
                  </w:r>
                </w:p>
              </w:tc>
              <w:tc>
                <w:tcPr>
                  <w:tcW w:w="529" w:type="pct"/>
                  <w:vAlign w:val="center"/>
                </w:tcPr>
                <w:p w14:paraId="0D05E3D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重铬酸钾</w:t>
                  </w:r>
                </w:p>
              </w:tc>
              <w:tc>
                <w:tcPr>
                  <w:tcW w:w="578" w:type="pct"/>
                  <w:vAlign w:val="center"/>
                </w:tcPr>
                <w:p w14:paraId="3602127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重铬酸钾</w:t>
                  </w:r>
                </w:p>
              </w:tc>
              <w:tc>
                <w:tcPr>
                  <w:tcW w:w="2736" w:type="pct"/>
                  <w:vAlign w:val="center"/>
                </w:tcPr>
                <w:p w14:paraId="088BEA0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化学式：K</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Cr</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7</w:t>
                  </w:r>
                  <w:r>
                    <w:rPr>
                      <w:rFonts w:hint="default" w:ascii="Times New Roman" w:hAnsi="Times New Roman" w:cs="Times New Roman"/>
                      <w:color w:val="auto"/>
                      <w:szCs w:val="21"/>
                      <w:highlight w:val="none"/>
                    </w:rPr>
                    <w:t>，分子量：294.1846，CAS登录号7778-50-9；危规号：51520。</w:t>
                  </w:r>
                </w:p>
                <w:p w14:paraId="7A9EC7B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外观：橙红色三斜晶系板状结晶体，密度2.676g/cm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，相对密度（水=1）2.68，熔点398℃，沸点500℃，闪点：50°F，水溶性：稍溶于冷水，水溶液呈酸性，易溶于热水，不溶于乙醇。</w:t>
                  </w:r>
                </w:p>
                <w:p w14:paraId="3861A7C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强氧化剂，遇强酸或高温时能释放出氧气，与硝酸盐、氯酸盐接触剧烈反应。具有较强的腐蚀性。</w:t>
                  </w:r>
                </w:p>
              </w:tc>
              <w:tc>
                <w:tcPr>
                  <w:tcW w:w="888" w:type="pct"/>
                  <w:vAlign w:val="center"/>
                </w:tcPr>
                <w:p w14:paraId="156D67F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LD50：190mg/kg（小鼠经口）</w:t>
                  </w:r>
                </w:p>
              </w:tc>
            </w:tr>
            <w:tr w14:paraId="2474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E30BD9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19</w:t>
                  </w:r>
                </w:p>
              </w:tc>
              <w:tc>
                <w:tcPr>
                  <w:tcW w:w="529" w:type="pct"/>
                  <w:vAlign w:val="center"/>
                </w:tcPr>
                <w:p w14:paraId="3EE5780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铁氰化钾</w:t>
                  </w:r>
                </w:p>
              </w:tc>
              <w:tc>
                <w:tcPr>
                  <w:tcW w:w="578" w:type="pct"/>
                  <w:vAlign w:val="center"/>
                </w:tcPr>
                <w:p w14:paraId="043ABDA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铁氰化钾</w:t>
                  </w:r>
                </w:p>
              </w:tc>
              <w:tc>
                <w:tcPr>
                  <w:tcW w:w="2736" w:type="pct"/>
                  <w:vAlign w:val="center"/>
                </w:tcPr>
                <w:p w14:paraId="5C895A1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分子式：K</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[Fe(CN)</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]；分子量：329.24；CAS登录号13746-66-2。</w:t>
                  </w:r>
                </w:p>
                <w:p w14:paraId="1C533D8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性状：深红色单斜晶体或粉末，无味，干燥时稳定，光照下缓慢分解，遇酸释放剧毒氰化氢气体。水溶性：464g/L，不溶于乙醇、乙醚。熔点：300℃；受热分解；密度：1.89g/cm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406CAEA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LD50：2970mg/kg（大鼠经口）</w:t>
                  </w:r>
                </w:p>
              </w:tc>
            </w:tr>
            <w:tr w14:paraId="6209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361382C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w:t>
                  </w:r>
                </w:p>
              </w:tc>
              <w:tc>
                <w:tcPr>
                  <w:tcW w:w="529" w:type="pct"/>
                  <w:vAlign w:val="center"/>
                </w:tcPr>
                <w:p w14:paraId="258C822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焦磷酸</w:t>
                  </w:r>
                </w:p>
              </w:tc>
              <w:tc>
                <w:tcPr>
                  <w:tcW w:w="578" w:type="pct"/>
                  <w:vAlign w:val="center"/>
                </w:tcPr>
                <w:p w14:paraId="1A6AE48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焦磷酸</w:t>
                  </w:r>
                </w:p>
              </w:tc>
              <w:tc>
                <w:tcPr>
                  <w:tcW w:w="2736" w:type="pct"/>
                  <w:vAlign w:val="center"/>
                </w:tcPr>
                <w:p w14:paraId="11CE8D6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分子式：H</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P</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7</w:t>
                  </w:r>
                  <w:r>
                    <w:rPr>
                      <w:rFonts w:hint="default" w:ascii="Times New Roman" w:hAnsi="Times New Roman" w:cs="Times New Roman"/>
                      <w:color w:val="auto"/>
                      <w:szCs w:val="21"/>
                      <w:highlight w:val="none"/>
                    </w:rPr>
                    <w:t>；分子量：177.98；CAS登录号2466-09-3；危规号：81505。</w:t>
                  </w:r>
                </w:p>
                <w:p w14:paraId="3C145BC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粘稠液体或结晶固体，无味，吸湿性强，易吸收空气中水分，加热至50℃以上逐渐水解为正磷酸，固态长期储存可能部分聚合。水溶性：完全混溶，并水解生成磷酸，微溶于乙醇，不溶于非极性溶剂（如苯、乙醚）。熔点：71.5℃；沸点：无明确沸点，加热至约80℃开始水解；密度：2.04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7411983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LD50：1530mg/kg（大鼠经口）</w:t>
                  </w:r>
                </w:p>
              </w:tc>
            </w:tr>
            <w:tr w14:paraId="36CD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B19D38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w:t>
                  </w:r>
                </w:p>
              </w:tc>
              <w:tc>
                <w:tcPr>
                  <w:tcW w:w="529" w:type="pct"/>
                  <w:vAlign w:val="center"/>
                </w:tcPr>
                <w:p w14:paraId="48D474C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高磷酸</w:t>
                  </w:r>
                </w:p>
              </w:tc>
              <w:tc>
                <w:tcPr>
                  <w:tcW w:w="578" w:type="pct"/>
                  <w:vAlign w:val="center"/>
                </w:tcPr>
                <w:p w14:paraId="1990B98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高磷酸</w:t>
                  </w:r>
                </w:p>
              </w:tc>
              <w:tc>
                <w:tcPr>
                  <w:tcW w:w="2736" w:type="pct"/>
                  <w:vAlign w:val="center"/>
                </w:tcPr>
                <w:p w14:paraId="6029611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分子式：H</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P</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16</w:t>
                  </w:r>
                  <w:r>
                    <w:rPr>
                      <w:rFonts w:hint="default" w:ascii="Times New Roman" w:hAnsi="Times New Roman" w:cs="Times New Roman"/>
                      <w:color w:val="auto"/>
                      <w:szCs w:val="21"/>
                      <w:highlight w:val="none"/>
                    </w:rPr>
                    <w:t>；分子量：507.82；CAS登录号8017-16-1；危规号：81505。</w:t>
                  </w:r>
                </w:p>
                <w:p w14:paraId="2E7E269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粘稠液体，无味或微弱酸味，超级吸湿性，聚合态存在，酸性强于正磷酸。水溶性：完全混溶（剧烈放热），微溶于乙醇，不溶于非极性溶剂（如苯、乙醚）。熔点：无明确熔点（玻璃态转变温度约-20℃）；沸点：无沸点（加热至80℃以上分解）；密度：2.1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389B3F0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LD50：1100mg/kg（大鼠经口）</w:t>
                  </w:r>
                </w:p>
              </w:tc>
            </w:tr>
            <w:tr w14:paraId="1A1B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1BEAEB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22</w:t>
                  </w:r>
                </w:p>
              </w:tc>
              <w:tc>
                <w:tcPr>
                  <w:tcW w:w="529" w:type="pct"/>
                  <w:vAlign w:val="center"/>
                </w:tcPr>
                <w:p w14:paraId="5B424CE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高锰酸钾容量分析用标准溶液</w:t>
                  </w:r>
                </w:p>
              </w:tc>
              <w:tc>
                <w:tcPr>
                  <w:tcW w:w="578" w:type="pct"/>
                  <w:vAlign w:val="center"/>
                </w:tcPr>
                <w:p w14:paraId="198DBF6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高锰酸钾</w:t>
                  </w:r>
                </w:p>
              </w:tc>
              <w:tc>
                <w:tcPr>
                  <w:tcW w:w="2736" w:type="pct"/>
                  <w:vAlign w:val="center"/>
                </w:tcPr>
                <w:p w14:paraId="6DF542D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化学式：KMnO</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，分子量：158.034，CAS登录号7722-64-7；危规号：51048。</w:t>
                  </w:r>
                </w:p>
                <w:p w14:paraId="7512EDB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黑紫色、细长的棱形结晶或颗粒，带蓝色的金属光泽；无臭。密度1.01g/mL（25℃），熔点为240℃，溶于水、碱液，微溶于甲醇、丙酮、硫酸。与某些有机物或易氧化物接触，易发生爆炸，溶于水、碱液，微溶于甲醇、丙酮、硫酸，稳定，但接触易燃材料可能引起火灾。</w:t>
                  </w:r>
                </w:p>
              </w:tc>
              <w:tc>
                <w:tcPr>
                  <w:tcW w:w="888" w:type="pct"/>
                  <w:vAlign w:val="center"/>
                </w:tcPr>
                <w:p w14:paraId="7235EEE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3A00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3A815A3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23</w:t>
                  </w:r>
                </w:p>
              </w:tc>
              <w:tc>
                <w:tcPr>
                  <w:tcW w:w="529" w:type="pct"/>
                  <w:vAlign w:val="center"/>
                </w:tcPr>
                <w:p w14:paraId="0F6E81D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草酸钠容量分析用标准溶液</w:t>
                  </w:r>
                </w:p>
              </w:tc>
              <w:tc>
                <w:tcPr>
                  <w:tcW w:w="578" w:type="pct"/>
                  <w:vAlign w:val="center"/>
                </w:tcPr>
                <w:p w14:paraId="1D76EB3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草酸钠</w:t>
                  </w:r>
                </w:p>
              </w:tc>
              <w:tc>
                <w:tcPr>
                  <w:tcW w:w="2736" w:type="pct"/>
                  <w:vAlign w:val="center"/>
                </w:tcPr>
                <w:p w14:paraId="762B8BD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Na</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，分子量：133.9985，CAS登录号62-76-0。</w:t>
                  </w:r>
                </w:p>
                <w:p w14:paraId="7FA029D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白色结晶性粉末，无气味，有吸湿性。相对密度：2.34g/mL，熔点：250～257℃（分解），溶于水，不溶于乙醇。灼烧则分解为碳酸钠和一氧化碳。</w:t>
                  </w:r>
                </w:p>
              </w:tc>
              <w:tc>
                <w:tcPr>
                  <w:tcW w:w="888" w:type="pct"/>
                  <w:vAlign w:val="center"/>
                </w:tcPr>
                <w:p w14:paraId="3E72179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3145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91D531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24</w:t>
                  </w:r>
                </w:p>
              </w:tc>
              <w:tc>
                <w:tcPr>
                  <w:tcW w:w="529" w:type="pct"/>
                  <w:vAlign w:val="center"/>
                </w:tcPr>
                <w:p w14:paraId="050920A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水中氰成分分析标准物质</w:t>
                  </w:r>
                </w:p>
              </w:tc>
              <w:tc>
                <w:tcPr>
                  <w:tcW w:w="578" w:type="pct"/>
                  <w:vAlign w:val="center"/>
                </w:tcPr>
                <w:p w14:paraId="4A35655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2736" w:type="pct"/>
                  <w:vAlign w:val="center"/>
                </w:tcPr>
                <w:p w14:paraId="7D7E159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本标准物质以高浓度水中氰标准溶液，优级纯氢氧化钠和符合国家一级水标准的纯水为辅料，在（20±3)℃的条件下稀释定容并分装。挥发性极低，稳定性较好。</w:t>
                  </w:r>
                </w:p>
              </w:tc>
              <w:tc>
                <w:tcPr>
                  <w:tcW w:w="888" w:type="pct"/>
                  <w:vAlign w:val="center"/>
                </w:tcPr>
                <w:p w14:paraId="69104C2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F4D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D820F2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25</w:t>
                  </w:r>
                </w:p>
              </w:tc>
              <w:tc>
                <w:tcPr>
                  <w:tcW w:w="529" w:type="pct"/>
                  <w:vAlign w:val="center"/>
                </w:tcPr>
                <w:p w14:paraId="118B91B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挥发酚标准物质</w:t>
                  </w:r>
                </w:p>
              </w:tc>
              <w:tc>
                <w:tcPr>
                  <w:tcW w:w="578" w:type="pct"/>
                  <w:vAlign w:val="center"/>
                </w:tcPr>
                <w:p w14:paraId="32614DA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苯酚</w:t>
                  </w:r>
                </w:p>
              </w:tc>
              <w:tc>
                <w:tcPr>
                  <w:tcW w:w="2736" w:type="pct"/>
                  <w:vAlign w:val="center"/>
                </w:tcPr>
                <w:p w14:paraId="59ECE06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OH；分子量：94.11；CAS登录号108-95-2；危规号：61067。</w:t>
                  </w:r>
                </w:p>
                <w:p w14:paraId="6F6995F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性状：无色至粉红色结晶（遇光氧化），强烈的消毒水味，具有一定的挥发性。水溶性：83g/L，易溶于乙醇、乙醚、氯仿。熔点：40.5℃；沸点：181.7℃；密度：1.07g/cm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40AC5BE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LD50：317mg/kg（大鼠经口）</w:t>
                  </w:r>
                </w:p>
              </w:tc>
            </w:tr>
            <w:tr w14:paraId="05F2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594575A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26</w:t>
                  </w:r>
                </w:p>
              </w:tc>
              <w:tc>
                <w:tcPr>
                  <w:tcW w:w="529" w:type="pct"/>
                  <w:vAlign w:val="center"/>
                </w:tcPr>
                <w:p w14:paraId="58BF3FA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氢氧化钠</w:t>
                  </w:r>
                </w:p>
              </w:tc>
              <w:tc>
                <w:tcPr>
                  <w:tcW w:w="578" w:type="pct"/>
                  <w:vAlign w:val="center"/>
                </w:tcPr>
                <w:p w14:paraId="3BF9445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氢氧化钠</w:t>
                  </w:r>
                </w:p>
              </w:tc>
              <w:tc>
                <w:tcPr>
                  <w:tcW w:w="2736" w:type="pct"/>
                  <w:vAlign w:val="center"/>
                </w:tcPr>
                <w:p w14:paraId="64C01F5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化学式NaOH，分子量39.996，CAS登录号1310-73-2；危规号：82001。</w:t>
                  </w:r>
                </w:p>
                <w:p w14:paraId="3980177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外观：白色半透明片状或颗粒，密度2.130g/cm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，熔点318.4℃，沸点1390℃，闪点176-178℃。水溶性109g（20℃），极易溶于水，溶解时放出大量的热。易溶于乙醇、甘油。不燃，具有强腐蚀性、强刺激性，可致人体灼伤。</w:t>
                  </w:r>
                </w:p>
              </w:tc>
              <w:tc>
                <w:tcPr>
                  <w:tcW w:w="888" w:type="pct"/>
                  <w:vAlign w:val="center"/>
                </w:tcPr>
                <w:p w14:paraId="0211F50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429B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5A3E82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27</w:t>
                  </w:r>
                </w:p>
              </w:tc>
              <w:tc>
                <w:tcPr>
                  <w:tcW w:w="529" w:type="pct"/>
                  <w:vAlign w:val="center"/>
                </w:tcPr>
                <w:p w14:paraId="3C0D10D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乙酸锌</w:t>
                  </w:r>
                </w:p>
              </w:tc>
              <w:tc>
                <w:tcPr>
                  <w:tcW w:w="578" w:type="pct"/>
                  <w:vAlign w:val="center"/>
                </w:tcPr>
                <w:p w14:paraId="5C4B26D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乙酸锌</w:t>
                  </w:r>
                </w:p>
              </w:tc>
              <w:tc>
                <w:tcPr>
                  <w:tcW w:w="2736" w:type="pct"/>
                  <w:vAlign w:val="center"/>
                </w:tcPr>
                <w:p w14:paraId="4A1E358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分子式：Zn(CH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COO)</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；分子量：183.48；CAS登录号557-34-6。</w:t>
                  </w:r>
                </w:p>
                <w:p w14:paraId="03F7C4E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性状：白色粉末，微弱醋酸味。水溶性：易溶，不溶于乙醚、丙酮。密度：1.84g/cm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53496B0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LD50：794mg/kg（大鼠经口）</w:t>
                  </w:r>
                </w:p>
              </w:tc>
            </w:tr>
            <w:tr w14:paraId="4FC2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09340A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28</w:t>
                  </w:r>
                </w:p>
              </w:tc>
              <w:tc>
                <w:tcPr>
                  <w:tcW w:w="529" w:type="pct"/>
                  <w:vAlign w:val="center"/>
                </w:tcPr>
                <w:p w14:paraId="0C24773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酒石酸</w:t>
                  </w:r>
                </w:p>
              </w:tc>
              <w:tc>
                <w:tcPr>
                  <w:tcW w:w="578" w:type="pct"/>
                  <w:vAlign w:val="center"/>
                </w:tcPr>
                <w:p w14:paraId="6DFDB74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酒石酸</w:t>
                  </w:r>
                </w:p>
              </w:tc>
              <w:tc>
                <w:tcPr>
                  <w:tcW w:w="2736" w:type="pct"/>
                  <w:vAlign w:val="center"/>
                </w:tcPr>
                <w:p w14:paraId="396CA07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；分子量：150.09。</w:t>
                  </w:r>
                </w:p>
                <w:p w14:paraId="1753E8E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性状：无色透明晶体或白色结晶粉末，无味，加热至165℃以上分解，吸湿性较弱。水溶性：溶解度随温度升高显著增加，溶于乙醇，微溶于乙醚。熔点：170℃；受热分解；密度：1.76g/cm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091A448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LD50：7.5g/kg（大鼠经口）</w:t>
                  </w:r>
                </w:p>
              </w:tc>
            </w:tr>
            <w:tr w14:paraId="5BCB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7CAEE80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29</w:t>
                  </w:r>
                </w:p>
              </w:tc>
              <w:tc>
                <w:tcPr>
                  <w:tcW w:w="529" w:type="pct"/>
                  <w:vAlign w:val="center"/>
                </w:tcPr>
                <w:p w14:paraId="5D092CD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磷酸二氢钾</w:t>
                  </w:r>
                </w:p>
              </w:tc>
              <w:tc>
                <w:tcPr>
                  <w:tcW w:w="578" w:type="pct"/>
                  <w:vAlign w:val="center"/>
                </w:tcPr>
                <w:p w14:paraId="440A002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磷酸二氢钾</w:t>
                  </w:r>
                </w:p>
              </w:tc>
              <w:tc>
                <w:tcPr>
                  <w:tcW w:w="2736" w:type="pct"/>
                  <w:vAlign w:val="center"/>
                </w:tcPr>
                <w:p w14:paraId="4EB4E662">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分子式：KH</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PO</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；分子量：136.09；CAS登录号7778-77-0。</w:t>
                  </w:r>
                </w:p>
                <w:p w14:paraId="0CF70E0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性状：无色透明晶体或白色结晶粉末，无味，空气中易吸潮，加热至252℃分解为偏磷酸钾。水溶性：226g/L，不溶于乙醇、乙醚等有机溶剂。熔点：252℃；受热分解；密度：2.34g/cm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7CE0EC0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LD50：＞5000mg/kg（大鼠经口）</w:t>
                  </w:r>
                </w:p>
              </w:tc>
            </w:tr>
            <w:tr w14:paraId="4D30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FE47F5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w:t>
                  </w:r>
                </w:p>
              </w:tc>
              <w:tc>
                <w:tcPr>
                  <w:tcW w:w="529" w:type="pct"/>
                  <w:vAlign w:val="center"/>
                </w:tcPr>
                <w:p w14:paraId="1BF5C85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氯胺-T</w:t>
                  </w:r>
                </w:p>
              </w:tc>
              <w:tc>
                <w:tcPr>
                  <w:tcW w:w="578" w:type="pct"/>
                  <w:vAlign w:val="center"/>
                </w:tcPr>
                <w:p w14:paraId="3F13204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氯胺-T</w:t>
                  </w:r>
                </w:p>
              </w:tc>
              <w:tc>
                <w:tcPr>
                  <w:tcW w:w="2736" w:type="pct"/>
                  <w:vAlign w:val="center"/>
                </w:tcPr>
                <w:p w14:paraId="5BCADF0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7</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7</w:t>
                  </w:r>
                  <w:r>
                    <w:rPr>
                      <w:rFonts w:hint="default" w:ascii="Times New Roman" w:hAnsi="Times New Roman" w:cs="Times New Roman"/>
                      <w:color w:val="auto"/>
                      <w:szCs w:val="21"/>
                      <w:highlight w:val="none"/>
                    </w:rPr>
                    <w:t>ClNNaO</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S；分子量：227.64；CAS登录号127-65-1。</w:t>
                  </w:r>
                </w:p>
                <w:p w14:paraId="10DAB3B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性状：白色或微黄色结晶性粉末，有轻微氯气味。易溶于水，可溶于乙醇，不溶于乙醚、苯等非极性溶剂。熔点：167℃；受热分解；密度：1.4g/cm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312E02D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LD50：1000mg/kg（大鼠经口）</w:t>
                  </w:r>
                </w:p>
              </w:tc>
            </w:tr>
            <w:tr w14:paraId="0577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B1E095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w:t>
                  </w:r>
                </w:p>
              </w:tc>
              <w:tc>
                <w:tcPr>
                  <w:tcW w:w="529" w:type="pct"/>
                  <w:vAlign w:val="center"/>
                </w:tcPr>
                <w:p w14:paraId="7A58E98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1.3-二甲基巴比妥酸</w:t>
                  </w:r>
                </w:p>
              </w:tc>
              <w:tc>
                <w:tcPr>
                  <w:tcW w:w="578" w:type="pct"/>
                  <w:vAlign w:val="center"/>
                </w:tcPr>
                <w:p w14:paraId="4002DBC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1.3-二甲基巴比妥酸</w:t>
                  </w:r>
                </w:p>
              </w:tc>
              <w:tc>
                <w:tcPr>
                  <w:tcW w:w="2736" w:type="pct"/>
                  <w:vAlign w:val="center"/>
                </w:tcPr>
                <w:p w14:paraId="48B6E42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8</w:t>
                  </w:r>
                  <w:r>
                    <w:rPr>
                      <w:rFonts w:hint="default" w:ascii="Times New Roman" w:hAnsi="Times New Roman" w:cs="Times New Roman"/>
                      <w:color w:val="auto"/>
                      <w:szCs w:val="21"/>
                      <w:highlight w:val="none"/>
                    </w:rPr>
                    <w:t>N</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；分子量：156.14；CAS登录号769-42-6。</w:t>
                  </w:r>
                </w:p>
                <w:p w14:paraId="2B5C354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性状：白色至类白色结晶性粉末。微溶于冷水，稍溶于热水，易溶于乙醇、丙酮，部分溶于乙醚、氯仿。熔点：145℃；受热易分解；密度：1.35g/cm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。对氧化剂敏感，可能开环分解；无显著还原性。</w:t>
                  </w:r>
                </w:p>
              </w:tc>
              <w:tc>
                <w:tcPr>
                  <w:tcW w:w="888" w:type="pct"/>
                  <w:vAlign w:val="center"/>
                </w:tcPr>
                <w:p w14:paraId="0B743DE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0833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5D8F33E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32</w:t>
                  </w:r>
                </w:p>
              </w:tc>
              <w:tc>
                <w:tcPr>
                  <w:tcW w:w="529" w:type="pct"/>
                  <w:vAlign w:val="center"/>
                </w:tcPr>
                <w:p w14:paraId="59C7486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异烟酸</w:t>
                  </w:r>
                </w:p>
              </w:tc>
              <w:tc>
                <w:tcPr>
                  <w:tcW w:w="578" w:type="pct"/>
                  <w:vAlign w:val="center"/>
                </w:tcPr>
                <w:p w14:paraId="4D31CB0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异烟酸</w:t>
                  </w:r>
                </w:p>
              </w:tc>
              <w:tc>
                <w:tcPr>
                  <w:tcW w:w="2736" w:type="pct"/>
                  <w:vAlign w:val="center"/>
                </w:tcPr>
                <w:p w14:paraId="0A4667B8">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NO</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；分子量：123.11；CAS登录号55-22-1。</w:t>
                  </w:r>
                </w:p>
                <w:p w14:paraId="4A05BCB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性状：白色至淡黄色结晶性粉末，无臭或微酸味。微溶于冷水，溶于热水，易溶于乙醇、甲醇，微溶于乙醚、氯仿。熔点：317℃；升华而非沸腾，无明确沸点；密度：1.45g/cm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592554C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LD50：5000mg/kg（大鼠经口）</w:t>
                  </w:r>
                </w:p>
              </w:tc>
            </w:tr>
            <w:tr w14:paraId="5CB6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2EB7610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33</w:t>
                  </w:r>
                </w:p>
              </w:tc>
              <w:tc>
                <w:tcPr>
                  <w:tcW w:w="529" w:type="pct"/>
                  <w:vAlign w:val="center"/>
                </w:tcPr>
                <w:p w14:paraId="4C11F0B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磷酸</w:t>
                  </w:r>
                </w:p>
              </w:tc>
              <w:tc>
                <w:tcPr>
                  <w:tcW w:w="578" w:type="pct"/>
                  <w:vAlign w:val="center"/>
                </w:tcPr>
                <w:p w14:paraId="674D0FB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磷酸</w:t>
                  </w:r>
                </w:p>
              </w:tc>
              <w:tc>
                <w:tcPr>
                  <w:tcW w:w="2736" w:type="pct"/>
                  <w:vAlign w:val="center"/>
                </w:tcPr>
                <w:p w14:paraId="126010B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PO</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；分子量：97.99；CAS登录号7664-38-2；危规号：81501。</w:t>
                  </w:r>
                </w:p>
                <w:p w14:paraId="0A6EB37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性状：无色透明粘稠液体（高浓度）或结晶固体（纯品），无臭，有酸味。极易溶于水，溶于乙醇，不溶于非极性溶剂（如苯、乙醚）。熔点：42.35℃；沸点：158℃；密度：1.685g/cm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。腐蚀活泼金属（如铁、铝），生成磷酸盐和氢气。</w:t>
                  </w:r>
                </w:p>
              </w:tc>
              <w:tc>
                <w:tcPr>
                  <w:tcW w:w="888" w:type="pct"/>
                  <w:vAlign w:val="center"/>
                </w:tcPr>
                <w:p w14:paraId="53E6EA4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LD50：1530mg/kg（大鼠经口）</w:t>
                  </w:r>
                </w:p>
              </w:tc>
            </w:tr>
            <w:tr w14:paraId="539B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D76B46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34</w:t>
                  </w:r>
                </w:p>
              </w:tc>
              <w:tc>
                <w:tcPr>
                  <w:tcW w:w="529" w:type="pct"/>
                  <w:vAlign w:val="center"/>
                </w:tcPr>
                <w:p w14:paraId="5DF3B26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亚甲基蓝</w:t>
                  </w:r>
                </w:p>
              </w:tc>
              <w:tc>
                <w:tcPr>
                  <w:tcW w:w="578" w:type="pct"/>
                  <w:vAlign w:val="center"/>
                </w:tcPr>
                <w:p w14:paraId="6910E5B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亚甲基蓝</w:t>
                  </w:r>
                </w:p>
              </w:tc>
              <w:tc>
                <w:tcPr>
                  <w:tcW w:w="2736" w:type="pct"/>
                  <w:vAlign w:val="center"/>
                </w:tcPr>
                <w:p w14:paraId="4849DA2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16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18</w:t>
                  </w:r>
                  <w:r>
                    <w:rPr>
                      <w:rFonts w:hint="default" w:ascii="Times New Roman" w:hAnsi="Times New Roman" w:cs="Times New Roman"/>
                      <w:color w:val="auto"/>
                      <w:szCs w:val="21"/>
                      <w:highlight w:val="none"/>
                    </w:rPr>
                    <w:t>ClN</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S；分子量：319.85；CAS登录号61-73-4。</w:t>
                  </w:r>
                </w:p>
                <w:p w14:paraId="5442CBE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性状：深绿色至暗棕色结晶或粉末，具青铜光泽，水溶液呈蓝色。易溶于水，溶于乙醇、甘油，微溶于氯仿，不溶于乙醚。熔点：190℃；受热分解；密度：1.0g/cm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。光照下可产生活性氧，用于光动力疗法；与核酸或蛋白质结合，用于细胞染色。</w:t>
                  </w:r>
                </w:p>
              </w:tc>
              <w:tc>
                <w:tcPr>
                  <w:tcW w:w="888" w:type="pct"/>
                  <w:vAlign w:val="center"/>
                </w:tcPr>
                <w:p w14:paraId="21945C0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LD50：1180mg/kg（大鼠经口）</w:t>
                  </w:r>
                </w:p>
              </w:tc>
            </w:tr>
            <w:tr w14:paraId="2F4D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D465E5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35</w:t>
                  </w:r>
                </w:p>
              </w:tc>
              <w:tc>
                <w:tcPr>
                  <w:tcW w:w="529" w:type="pct"/>
                  <w:vAlign w:val="center"/>
                </w:tcPr>
                <w:p w14:paraId="2F9E5D8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氯化钾</w:t>
                  </w:r>
                </w:p>
              </w:tc>
              <w:tc>
                <w:tcPr>
                  <w:tcW w:w="578" w:type="pct"/>
                  <w:vAlign w:val="center"/>
                </w:tcPr>
                <w:p w14:paraId="69765AF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氯化钾</w:t>
                  </w:r>
                </w:p>
              </w:tc>
              <w:tc>
                <w:tcPr>
                  <w:tcW w:w="2736" w:type="pct"/>
                </w:tcPr>
                <w:p w14:paraId="7C8D3AB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化学式：KCl，分子量：74.55，CAS登录号7447-40-7。</w:t>
                  </w:r>
                </w:p>
                <w:p w14:paraId="5111FE5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色细长菱形或成一立方晶体，或白色结晶小颗粒粉末，外观如同食盐，无臭、味咸。密度：1.98g/mL，熔点770℃，沸点1420℃，闪点1500℃，水溶解性：342g/L（20℃），易溶于水、醚、甘油及碱类，微溶于乙醇，但不溶于无水乙醇。稳定性：稳定。与强氧化剂不相容，强酸。防潮。吸湿性。</w:t>
                  </w:r>
                </w:p>
              </w:tc>
              <w:tc>
                <w:tcPr>
                  <w:tcW w:w="888" w:type="pct"/>
                  <w:vAlign w:val="center"/>
                </w:tcPr>
                <w:p w14:paraId="3A56CEE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LD50：2600mg/kg（大鼠经口）</w:t>
                  </w:r>
                </w:p>
              </w:tc>
            </w:tr>
            <w:tr w14:paraId="288A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7A7957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36</w:t>
                  </w:r>
                </w:p>
              </w:tc>
              <w:tc>
                <w:tcPr>
                  <w:tcW w:w="529" w:type="pct"/>
                  <w:vAlign w:val="center"/>
                </w:tcPr>
                <w:p w14:paraId="031DA5E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硼酸</w:t>
                  </w:r>
                </w:p>
              </w:tc>
              <w:tc>
                <w:tcPr>
                  <w:tcW w:w="578" w:type="pct"/>
                  <w:vAlign w:val="center"/>
                </w:tcPr>
                <w:p w14:paraId="2371BD0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硼酸</w:t>
                  </w:r>
                </w:p>
              </w:tc>
              <w:tc>
                <w:tcPr>
                  <w:tcW w:w="2736" w:type="pct"/>
                  <w:vAlign w:val="center"/>
                </w:tcPr>
                <w:p w14:paraId="5D6D5490">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BO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；分子量：61.83；CAS登录号10043-35-3。</w:t>
                  </w:r>
                </w:p>
                <w:p w14:paraId="465210C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性状：白色结晶性粉末或无色鳞片状晶体，有滑腻感，无臭。微溶于冷水，易溶于热水，溶于甘油、乙醇，不溶于乙醚。熔点：170.9℃；沸点：300℃；密度：1.435g/cm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555B3EF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LD50：2660mg/kg（大鼠经口）</w:t>
                  </w:r>
                </w:p>
              </w:tc>
            </w:tr>
            <w:tr w14:paraId="29FF6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A06914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37</w:t>
                  </w:r>
                </w:p>
              </w:tc>
              <w:tc>
                <w:tcPr>
                  <w:tcW w:w="529" w:type="pct"/>
                  <w:vAlign w:val="center"/>
                </w:tcPr>
                <w:p w14:paraId="1900C77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4-氨基安替比林</w:t>
                  </w:r>
                </w:p>
              </w:tc>
              <w:tc>
                <w:tcPr>
                  <w:tcW w:w="578" w:type="pct"/>
                  <w:vAlign w:val="center"/>
                </w:tcPr>
                <w:p w14:paraId="4DF0ABD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4-氨基安替比林</w:t>
                  </w:r>
                </w:p>
              </w:tc>
              <w:tc>
                <w:tcPr>
                  <w:tcW w:w="2736" w:type="pct"/>
                  <w:vAlign w:val="center"/>
                </w:tcPr>
                <w:p w14:paraId="24FD5D3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11</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13</w:t>
                  </w:r>
                  <w:r>
                    <w:rPr>
                      <w:rFonts w:hint="default" w:ascii="Times New Roman" w:hAnsi="Times New Roman" w:cs="Times New Roman"/>
                      <w:color w:val="auto"/>
                      <w:szCs w:val="21"/>
                      <w:highlight w:val="none"/>
                    </w:rPr>
                    <w:t>N</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O；分子量：203.24；CAS登录号83-07-8。</w:t>
                  </w:r>
                </w:p>
                <w:p w14:paraId="26EE5928">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性状：白色至淡黄色结晶性粉末，无臭或微带特殊气味，微溶于冷水，易溶于热水，溶于乙醇、甲醇、氯仿，难溶于乙醚。熔点：109℃；密度：1.2g/cm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。与酚类化合物在氧化剂（如铁氰化钾）存在下生成红色醌类染料（用于酚类检测）；易被强氧化剂（如高锰酸钾）氧化，生成有色产物；可与醛类缩合生成希夫碱。</w:t>
                  </w:r>
                </w:p>
              </w:tc>
              <w:tc>
                <w:tcPr>
                  <w:tcW w:w="888" w:type="pct"/>
                  <w:vAlign w:val="center"/>
                </w:tcPr>
                <w:p w14:paraId="20DF1A4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LD50：800mg/kg（大鼠经口）</w:t>
                  </w:r>
                </w:p>
              </w:tc>
            </w:tr>
            <w:tr w14:paraId="5972F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464BD55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38</w:t>
                  </w:r>
                </w:p>
              </w:tc>
              <w:tc>
                <w:tcPr>
                  <w:tcW w:w="529" w:type="pct"/>
                  <w:vAlign w:val="center"/>
                </w:tcPr>
                <w:p w14:paraId="664472C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无水乙醇</w:t>
                  </w:r>
                </w:p>
              </w:tc>
              <w:tc>
                <w:tcPr>
                  <w:tcW w:w="578" w:type="pct"/>
                  <w:vAlign w:val="center"/>
                </w:tcPr>
                <w:p w14:paraId="6AF30B29">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无水乙醇</w:t>
                  </w:r>
                </w:p>
              </w:tc>
              <w:tc>
                <w:tcPr>
                  <w:tcW w:w="2736" w:type="pct"/>
                </w:tcPr>
                <w:p w14:paraId="090014D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化学式：C</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O，分子量：46.07，CAS登录号64-17-5；危规号：2568。</w:t>
                  </w:r>
                </w:p>
                <w:p w14:paraId="632B3F3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无色有透酒明香液味，极易挥发。密度：0.789g/mL，熔点-114.1℃，沸点78.29℃，闪点13℃，与水混溶，可混溶于乙醚、氯仿、甘油、甲醇等多数有机溶剂。</w:t>
                  </w:r>
                </w:p>
              </w:tc>
              <w:tc>
                <w:tcPr>
                  <w:tcW w:w="888" w:type="pct"/>
                  <w:vAlign w:val="center"/>
                </w:tcPr>
                <w:p w14:paraId="0D24D7A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LD50：7060mg/kg（大鼠经口）</w:t>
                  </w:r>
                </w:p>
              </w:tc>
            </w:tr>
            <w:tr w14:paraId="64BE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2AB8870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39</w:t>
                  </w:r>
                </w:p>
              </w:tc>
              <w:tc>
                <w:tcPr>
                  <w:tcW w:w="529" w:type="pct"/>
                  <w:vAlign w:val="center"/>
                </w:tcPr>
                <w:p w14:paraId="0421429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十水四硼酸钠</w:t>
                  </w:r>
                </w:p>
              </w:tc>
              <w:tc>
                <w:tcPr>
                  <w:tcW w:w="578" w:type="pct"/>
                  <w:vAlign w:val="center"/>
                </w:tcPr>
                <w:p w14:paraId="0B05021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十水四硼酸钠（硼砂）</w:t>
                  </w:r>
                </w:p>
              </w:tc>
              <w:tc>
                <w:tcPr>
                  <w:tcW w:w="2736" w:type="pct"/>
                  <w:vAlign w:val="center"/>
                </w:tcPr>
                <w:p w14:paraId="5A2DCE4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分子式：Na</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7</w:t>
                  </w:r>
                  <w:r>
                    <w:rPr>
                      <w:rFonts w:hint="default" w:ascii="Times New Roman" w:hAnsi="Times New Roman" w:eastAsia="Segoe UI" w:cs="Times New Roman"/>
                      <w:color w:val="auto"/>
                      <w:szCs w:val="21"/>
                      <w:highlight w:val="none"/>
                      <w:shd w:val="clear" w:color="auto" w:fill="FFFFFF"/>
                    </w:rPr>
                    <w:t>·</w:t>
                  </w:r>
                  <w:r>
                    <w:rPr>
                      <w:rFonts w:hint="default" w:ascii="Times New Roman" w:hAnsi="Times New Roman" w:cs="Times New Roman"/>
                      <w:color w:val="auto"/>
                      <w:szCs w:val="21"/>
                      <w:highlight w:val="none"/>
                      <w:shd w:val="clear" w:color="auto" w:fill="FFFFFF"/>
                    </w:rPr>
                    <w:t>10H</w:t>
                  </w:r>
                  <w:r>
                    <w:rPr>
                      <w:rFonts w:hint="default" w:ascii="Times New Roman" w:hAnsi="Times New Roman" w:cs="Times New Roman"/>
                      <w:color w:val="auto"/>
                      <w:szCs w:val="21"/>
                      <w:highlight w:val="none"/>
                      <w:shd w:val="clear" w:color="auto" w:fill="FFFFFF"/>
                      <w:vertAlign w:val="subscript"/>
                    </w:rPr>
                    <w:t>2</w:t>
                  </w:r>
                  <w:r>
                    <w:rPr>
                      <w:rFonts w:hint="default" w:ascii="Times New Roman" w:hAnsi="Times New Roman" w:cs="Times New Roman"/>
                      <w:color w:val="auto"/>
                      <w:szCs w:val="21"/>
                      <w:highlight w:val="none"/>
                      <w:shd w:val="clear" w:color="auto" w:fill="FFFFFF"/>
                    </w:rPr>
                    <w:t>O</w:t>
                  </w:r>
                  <w:r>
                    <w:rPr>
                      <w:rFonts w:hint="default" w:ascii="Times New Roman" w:hAnsi="Times New Roman" w:cs="Times New Roman"/>
                      <w:color w:val="auto"/>
                      <w:szCs w:val="21"/>
                      <w:highlight w:val="none"/>
                    </w:rPr>
                    <w:t>；分子量：381.37；CAS登录号1303-96-4。</w:t>
                  </w:r>
                </w:p>
                <w:p w14:paraId="2A501E5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性状：无色半透明结晶或白色颗粒/粉末，无臭，味咸而涩，在干燥空气中易风化（失去部分结晶水）。易溶于水，不溶于乙醇、乙醚。熔点：75℃；沸点：1575℃；密度：1.73g/cm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5EA7C1B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LD50：4500mg/kg（大鼠经口）</w:t>
                  </w:r>
                </w:p>
              </w:tc>
            </w:tr>
            <w:tr w14:paraId="2DF8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02F1E24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w:t>
                  </w:r>
                </w:p>
              </w:tc>
              <w:tc>
                <w:tcPr>
                  <w:tcW w:w="529" w:type="pct"/>
                  <w:vAlign w:val="center"/>
                </w:tcPr>
                <w:p w14:paraId="1481711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二水合磷酸二氢钠</w:t>
                  </w:r>
                </w:p>
              </w:tc>
              <w:tc>
                <w:tcPr>
                  <w:tcW w:w="578" w:type="pct"/>
                  <w:vAlign w:val="center"/>
                </w:tcPr>
                <w:p w14:paraId="44DC4FE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二水合磷酸二氢钠</w:t>
                  </w:r>
                </w:p>
              </w:tc>
              <w:tc>
                <w:tcPr>
                  <w:tcW w:w="2736" w:type="pct"/>
                  <w:vAlign w:val="center"/>
                </w:tcPr>
                <w:p w14:paraId="52F24BE0">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分子式：Na</w:t>
                  </w:r>
                  <w:r>
                    <w:rPr>
                      <w:rFonts w:hint="default" w:ascii="Times New Roman" w:hAnsi="Times New Roman" w:cs="Times New Roman"/>
                      <w:color w:val="auto"/>
                      <w:szCs w:val="21"/>
                      <w:highlight w:val="none"/>
                      <w:shd w:val="clear" w:color="auto" w:fill="FFFFFF"/>
                    </w:rPr>
                    <w:t>H</w:t>
                  </w:r>
                  <w:r>
                    <w:rPr>
                      <w:rFonts w:hint="default" w:ascii="Times New Roman" w:hAnsi="Times New Roman" w:cs="Times New Roman"/>
                      <w:color w:val="auto"/>
                      <w:szCs w:val="21"/>
                      <w:highlight w:val="none"/>
                      <w:shd w:val="clear" w:color="auto" w:fill="FFFFFF"/>
                      <w:vertAlign w:val="subscript"/>
                    </w:rPr>
                    <w:t>2</w:t>
                  </w:r>
                  <w:r>
                    <w:rPr>
                      <w:rFonts w:hint="default" w:ascii="Times New Roman" w:hAnsi="Times New Roman" w:cs="Times New Roman"/>
                      <w:color w:val="auto"/>
                      <w:szCs w:val="21"/>
                      <w:highlight w:val="none"/>
                      <w:shd w:val="clear" w:color="auto" w:fill="FFFFFF"/>
                    </w:rPr>
                    <w:t>P</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4</w:t>
                  </w:r>
                  <w:r>
                    <w:rPr>
                      <w:rFonts w:hint="default" w:ascii="Times New Roman" w:hAnsi="Times New Roman" w:eastAsia="Segoe UI" w:cs="Times New Roman"/>
                      <w:color w:val="auto"/>
                      <w:szCs w:val="21"/>
                      <w:highlight w:val="none"/>
                      <w:shd w:val="clear" w:color="auto" w:fill="FFFFFF"/>
                    </w:rPr>
                    <w:t>·</w:t>
                  </w:r>
                  <w:r>
                    <w:rPr>
                      <w:rFonts w:hint="default" w:ascii="Times New Roman" w:hAnsi="Times New Roman" w:cs="Times New Roman"/>
                      <w:color w:val="auto"/>
                      <w:szCs w:val="21"/>
                      <w:highlight w:val="none"/>
                      <w:shd w:val="clear" w:color="auto" w:fill="FFFFFF"/>
                    </w:rPr>
                    <w:t>2H</w:t>
                  </w:r>
                  <w:r>
                    <w:rPr>
                      <w:rFonts w:hint="default" w:ascii="Times New Roman" w:hAnsi="Times New Roman" w:cs="Times New Roman"/>
                      <w:color w:val="auto"/>
                      <w:szCs w:val="21"/>
                      <w:highlight w:val="none"/>
                      <w:shd w:val="clear" w:color="auto" w:fill="FFFFFF"/>
                      <w:vertAlign w:val="subscript"/>
                    </w:rPr>
                    <w:t>2</w:t>
                  </w:r>
                  <w:r>
                    <w:rPr>
                      <w:rFonts w:hint="default" w:ascii="Times New Roman" w:hAnsi="Times New Roman" w:cs="Times New Roman"/>
                      <w:color w:val="auto"/>
                      <w:szCs w:val="21"/>
                      <w:highlight w:val="none"/>
                      <w:shd w:val="clear" w:color="auto" w:fill="FFFFFF"/>
                    </w:rPr>
                    <w:t>O</w:t>
                  </w:r>
                  <w:r>
                    <w:rPr>
                      <w:rFonts w:hint="default" w:ascii="Times New Roman" w:hAnsi="Times New Roman" w:cs="Times New Roman"/>
                      <w:color w:val="auto"/>
                      <w:szCs w:val="21"/>
                      <w:highlight w:val="none"/>
                    </w:rPr>
                    <w:t>；分子量：156.01；CAS登录号13472-35-0。</w:t>
                  </w:r>
                </w:p>
                <w:p w14:paraId="3455ACF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性状：无色或白色结晶性粉末，无臭，味咸，在空气中易吸湿。易溶于水，不溶于乙醇、乙醚。熔点：60℃；密度：1.91g/cm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55DA2CD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LD50：＞5000mg/kg（大鼠经口）</w:t>
                  </w:r>
                </w:p>
              </w:tc>
            </w:tr>
            <w:tr w14:paraId="0067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22311E2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w:t>
                  </w:r>
                </w:p>
              </w:tc>
              <w:tc>
                <w:tcPr>
                  <w:tcW w:w="529" w:type="pct"/>
                  <w:vAlign w:val="center"/>
                </w:tcPr>
                <w:p w14:paraId="515F874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异丙醇</w:t>
                  </w:r>
                </w:p>
              </w:tc>
              <w:tc>
                <w:tcPr>
                  <w:tcW w:w="578" w:type="pct"/>
                  <w:vAlign w:val="center"/>
                </w:tcPr>
                <w:p w14:paraId="58D4997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异丙醇</w:t>
                  </w:r>
                </w:p>
              </w:tc>
              <w:tc>
                <w:tcPr>
                  <w:tcW w:w="2736" w:type="pct"/>
                  <w:vAlign w:val="center"/>
                </w:tcPr>
                <w:p w14:paraId="6F101D5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8</w:t>
                  </w:r>
                  <w:r>
                    <w:rPr>
                      <w:rFonts w:hint="default" w:ascii="Times New Roman" w:hAnsi="Times New Roman" w:cs="Times New Roman"/>
                      <w:color w:val="auto"/>
                      <w:szCs w:val="21"/>
                      <w:highlight w:val="none"/>
                    </w:rPr>
                    <w:t>O；分子量：60.10；CAS登录号67-63-0；危规号：32064。</w:t>
                  </w:r>
                </w:p>
                <w:p w14:paraId="58421B12">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性状：无色透明液体，有类似乙醇的刺激性气味，易挥发。与水完全混溶，与乙醇、乙醚、氯仿混溶，能溶解多数有机化合物。熔点：-89.5℃；沸点：82.3℃；密度：0.785g/cm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，闪点：12℃。可被强氧化剂（如高锰酸钾）氧化生成丙酮；在酸性条件下脱水生成丙烯；与羧酸反应生成异丙酯；与卤化氢反应生成卤代丙烷。</w:t>
                  </w:r>
                </w:p>
              </w:tc>
              <w:tc>
                <w:tcPr>
                  <w:tcW w:w="888" w:type="pct"/>
                  <w:vAlign w:val="center"/>
                </w:tcPr>
                <w:p w14:paraId="7B156F9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LD50：5045mg/kg（大鼠经口）</w:t>
                  </w:r>
                </w:p>
              </w:tc>
            </w:tr>
            <w:tr w14:paraId="09E7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66" w:type="pct"/>
                  <w:vAlign w:val="center"/>
                </w:tcPr>
                <w:p w14:paraId="1EB2978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42</w:t>
                  </w:r>
                </w:p>
              </w:tc>
              <w:tc>
                <w:tcPr>
                  <w:tcW w:w="529" w:type="pct"/>
                  <w:vAlign w:val="center"/>
                </w:tcPr>
                <w:p w14:paraId="446B633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酒石酸钾钠</w:t>
                  </w:r>
                </w:p>
              </w:tc>
              <w:tc>
                <w:tcPr>
                  <w:tcW w:w="578" w:type="pct"/>
                  <w:vAlign w:val="center"/>
                </w:tcPr>
                <w:p w14:paraId="66CB23E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酒石酸钾钠</w:t>
                  </w:r>
                </w:p>
              </w:tc>
              <w:tc>
                <w:tcPr>
                  <w:tcW w:w="2736" w:type="pct"/>
                </w:tcPr>
                <w:p w14:paraId="1A2D41B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KNaO</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，分子量210.16，CAS登录号304-59-6。</w:t>
                  </w:r>
                </w:p>
                <w:p w14:paraId="553ED96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无色至蓝白色正交晶系晶体，可溶于水，微溶于醇，味咸而凉，水溶液呈微碱性。比重1.79，pH值为6.8-8，密度1.79g/cm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，熔点70~80℃，沸点100℃，在热空气中稍有风化性。60℃开始失去部分结晶水。</w:t>
                  </w:r>
                </w:p>
              </w:tc>
              <w:tc>
                <w:tcPr>
                  <w:tcW w:w="888" w:type="pct"/>
                  <w:vAlign w:val="center"/>
                </w:tcPr>
                <w:p w14:paraId="6728238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无毒</w:t>
                  </w:r>
                </w:p>
              </w:tc>
            </w:tr>
            <w:tr w14:paraId="19C2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233C617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43</w:t>
                  </w:r>
                </w:p>
              </w:tc>
              <w:tc>
                <w:tcPr>
                  <w:tcW w:w="529" w:type="pct"/>
                  <w:vAlign w:val="center"/>
                </w:tcPr>
                <w:p w14:paraId="5E72D5E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柠檬酸钠</w:t>
                  </w:r>
                </w:p>
              </w:tc>
              <w:tc>
                <w:tcPr>
                  <w:tcW w:w="578" w:type="pct"/>
                  <w:vAlign w:val="center"/>
                </w:tcPr>
                <w:p w14:paraId="7686204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柠檬酸钠</w:t>
                  </w:r>
                </w:p>
              </w:tc>
              <w:tc>
                <w:tcPr>
                  <w:tcW w:w="2736" w:type="pct"/>
                  <w:vAlign w:val="center"/>
                </w:tcPr>
                <w:p w14:paraId="1290C6D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Na</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7</w:t>
                  </w:r>
                  <w:r>
                    <w:rPr>
                      <w:rFonts w:hint="default" w:ascii="Times New Roman" w:hAnsi="Times New Roman" w:cs="Times New Roman"/>
                      <w:color w:val="auto"/>
                      <w:szCs w:val="21"/>
                      <w:highlight w:val="none"/>
                    </w:rPr>
                    <w:t>；分子量：258.07；CAS登录号68-04-2。</w:t>
                  </w:r>
                </w:p>
                <w:p w14:paraId="5729F75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性状：白色结晶性粉末或颗粒，无臭，味咸而凉，二水合物在干燥空气中易风化。易溶于水，不溶于乙醇。熔点：150℃；受热分解；密度：1.76g/cm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。与金属离子形成稳定可溶性络合物，用于抗凝血和食品添加剂。</w:t>
                  </w:r>
                </w:p>
              </w:tc>
              <w:tc>
                <w:tcPr>
                  <w:tcW w:w="888" w:type="pct"/>
                  <w:vAlign w:val="center"/>
                </w:tcPr>
                <w:p w14:paraId="00034D8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LD50：＞5000mg/kg（大鼠经口）</w:t>
                  </w:r>
                </w:p>
              </w:tc>
            </w:tr>
            <w:tr w14:paraId="1052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8B7C8D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44</w:t>
                  </w:r>
                </w:p>
              </w:tc>
              <w:tc>
                <w:tcPr>
                  <w:tcW w:w="529" w:type="pct"/>
                  <w:vAlign w:val="center"/>
                </w:tcPr>
                <w:p w14:paraId="6DA19B8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水杨酸钠</w:t>
                  </w:r>
                </w:p>
              </w:tc>
              <w:tc>
                <w:tcPr>
                  <w:tcW w:w="578" w:type="pct"/>
                  <w:vAlign w:val="center"/>
                </w:tcPr>
                <w:p w14:paraId="6BD7F53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水杨酸钠</w:t>
                  </w:r>
                </w:p>
              </w:tc>
              <w:tc>
                <w:tcPr>
                  <w:tcW w:w="2736" w:type="pct"/>
                  <w:vAlign w:val="center"/>
                </w:tcPr>
                <w:p w14:paraId="56E705F0">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7</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NaO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；分子量：160.11；CAS登录号54-21-7。</w:t>
                  </w:r>
                </w:p>
                <w:p w14:paraId="77DBA29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性状：白色结晶性粉末或鳞片状晶体，无臭或微带特殊气味，味微甜而后涩，遇光渐变色。易溶于水，溶于甘油、乙醇，微溶于氯仿。熔点：200℃；密度：1.40g/cm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。与三氯化铁反应显紫色（酚羟基特征反应）；加热至200℃以上分解生成苯酚和二氧化碳。</w:t>
                  </w:r>
                </w:p>
              </w:tc>
              <w:tc>
                <w:tcPr>
                  <w:tcW w:w="888" w:type="pct"/>
                  <w:vAlign w:val="center"/>
                </w:tcPr>
                <w:p w14:paraId="3FFAB72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LD50：930mg/kg（大鼠经口）</w:t>
                  </w:r>
                </w:p>
              </w:tc>
            </w:tr>
            <w:tr w14:paraId="5C21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3E3A1F1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45</w:t>
                  </w:r>
                </w:p>
              </w:tc>
              <w:tc>
                <w:tcPr>
                  <w:tcW w:w="529" w:type="pct"/>
                  <w:vAlign w:val="center"/>
                </w:tcPr>
                <w:p w14:paraId="56C7F62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硝普钠</w:t>
                  </w:r>
                </w:p>
              </w:tc>
              <w:tc>
                <w:tcPr>
                  <w:tcW w:w="578" w:type="pct"/>
                  <w:vAlign w:val="center"/>
                </w:tcPr>
                <w:p w14:paraId="503AD12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硝普钠</w:t>
                  </w:r>
                </w:p>
              </w:tc>
              <w:tc>
                <w:tcPr>
                  <w:tcW w:w="2736" w:type="pct"/>
                  <w:vAlign w:val="center"/>
                </w:tcPr>
                <w:p w14:paraId="7B763AE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分子式：Na</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[Fe(CN)</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NO]</w:t>
                  </w:r>
                  <w:r>
                    <w:rPr>
                      <w:rFonts w:hint="default" w:ascii="Times New Roman" w:hAnsi="Times New Roman" w:eastAsia="Segoe UI" w:cs="Times New Roman"/>
                      <w:color w:val="auto"/>
                      <w:szCs w:val="21"/>
                      <w:highlight w:val="none"/>
                      <w:shd w:val="clear" w:color="auto" w:fill="FFFFFF"/>
                    </w:rPr>
                    <w:t>·</w:t>
                  </w:r>
                  <w:r>
                    <w:rPr>
                      <w:rFonts w:hint="default" w:ascii="Times New Roman" w:hAnsi="Times New Roman" w:cs="Times New Roman"/>
                      <w:color w:val="auto"/>
                      <w:szCs w:val="21"/>
                      <w:highlight w:val="none"/>
                      <w:shd w:val="clear" w:color="auto" w:fill="FFFFFF"/>
                    </w:rPr>
                    <w:t>2</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O；分子量：297.95；CAS登录号13755-38-9。</w:t>
                  </w:r>
                </w:p>
                <w:p w14:paraId="01BE8E2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性状：红棕色结晶或粉末，无臭或微带苦杏仁气味，对光敏感，需避光保存。易溶于水，水溶液不稳定，渐分解，微溶于乙醇，不溶于乙醚。熔点：190℃；密度：1.72g/cm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066141A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LD50：6mg/kg（大鼠静脉注射）</w:t>
                  </w:r>
                </w:p>
              </w:tc>
            </w:tr>
            <w:tr w14:paraId="6325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7C8EE32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46</w:t>
                  </w:r>
                </w:p>
              </w:tc>
              <w:tc>
                <w:tcPr>
                  <w:tcW w:w="529" w:type="pct"/>
                  <w:vAlign w:val="center"/>
                </w:tcPr>
                <w:p w14:paraId="10AC338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二氯异氰尿酸钠</w:t>
                  </w:r>
                </w:p>
              </w:tc>
              <w:tc>
                <w:tcPr>
                  <w:tcW w:w="578" w:type="pct"/>
                  <w:vAlign w:val="center"/>
                </w:tcPr>
                <w:p w14:paraId="39422B2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二氯异氰尿酸钠</w:t>
                  </w:r>
                </w:p>
              </w:tc>
              <w:tc>
                <w:tcPr>
                  <w:tcW w:w="2736" w:type="pct"/>
                  <w:vAlign w:val="center"/>
                </w:tcPr>
                <w:p w14:paraId="3A7E078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Cl</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N</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NaO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；分子量：219.95；CAS登录号2893-78-9；危规号：51078。</w:t>
                  </w:r>
                </w:p>
                <w:p w14:paraId="0FF2AA4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性状：白色结晶性粉末或颗粒，有刺激性氯气味，固体稳定性好，但遇水剧烈反应。易溶于水，不溶于乙醇、乙醚。熔点：225℃；密度：0.7g/cm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。遇水释放次氯酸和异氰尿酸，发挥消毒作用；强氧化剂，可氧化有机物。</w:t>
                  </w:r>
                </w:p>
              </w:tc>
              <w:tc>
                <w:tcPr>
                  <w:tcW w:w="888" w:type="pct"/>
                  <w:vAlign w:val="center"/>
                </w:tcPr>
                <w:p w14:paraId="6B7ADAB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LD50：1670mg/kg（大鼠经口）</w:t>
                  </w:r>
                </w:p>
              </w:tc>
            </w:tr>
            <w:tr w14:paraId="0BD8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EF2F26C">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47</w:t>
                  </w:r>
                </w:p>
              </w:tc>
              <w:tc>
                <w:tcPr>
                  <w:tcW w:w="529" w:type="pct"/>
                  <w:vAlign w:val="center"/>
                </w:tcPr>
                <w:p w14:paraId="694AE88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Na</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rPr>
                    <w:t>-EDTA分析用标准溶液</w:t>
                  </w:r>
                </w:p>
              </w:tc>
              <w:tc>
                <w:tcPr>
                  <w:tcW w:w="578" w:type="pct"/>
                  <w:vAlign w:val="center"/>
                </w:tcPr>
                <w:p w14:paraId="79C6A3C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Na</w:t>
                  </w:r>
                  <w:r>
                    <w:rPr>
                      <w:rFonts w:hint="default" w:ascii="Times New Roman" w:hAnsi="Times New Roman" w:cs="Times New Roman"/>
                      <w:color w:val="auto"/>
                      <w:kern w:val="0"/>
                      <w:szCs w:val="21"/>
                      <w:highlight w:val="none"/>
                      <w:vertAlign w:val="subscript"/>
                    </w:rPr>
                    <w:t>2</w:t>
                  </w:r>
                  <w:r>
                    <w:rPr>
                      <w:rFonts w:hint="default" w:ascii="Times New Roman" w:hAnsi="Times New Roman" w:cs="Times New Roman"/>
                      <w:color w:val="auto"/>
                      <w:kern w:val="0"/>
                      <w:szCs w:val="21"/>
                      <w:highlight w:val="none"/>
                    </w:rPr>
                    <w:t>-EDTA</w:t>
                  </w:r>
                </w:p>
              </w:tc>
              <w:tc>
                <w:tcPr>
                  <w:tcW w:w="2736" w:type="pct"/>
                  <w:vAlign w:val="center"/>
                </w:tcPr>
                <w:p w14:paraId="54871B3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10</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14</w:t>
                  </w:r>
                  <w:r>
                    <w:rPr>
                      <w:rFonts w:hint="default" w:ascii="Times New Roman" w:hAnsi="Times New Roman" w:cs="Times New Roman"/>
                      <w:color w:val="auto"/>
                      <w:szCs w:val="21"/>
                      <w:highlight w:val="none"/>
                    </w:rPr>
                    <w:t>N</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Na</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8</w:t>
                  </w:r>
                  <w:r>
                    <w:rPr>
                      <w:rFonts w:hint="default" w:ascii="Times New Roman" w:hAnsi="Times New Roman" w:eastAsia="Segoe UI" w:cs="Times New Roman"/>
                      <w:color w:val="auto"/>
                      <w:szCs w:val="21"/>
                      <w:highlight w:val="none"/>
                      <w:shd w:val="clear" w:color="auto" w:fill="FFFFFF"/>
                    </w:rPr>
                    <w:t>·</w:t>
                  </w:r>
                  <w:r>
                    <w:rPr>
                      <w:rFonts w:hint="default" w:ascii="Times New Roman" w:hAnsi="Times New Roman" w:cs="Times New Roman"/>
                      <w:color w:val="auto"/>
                      <w:szCs w:val="21"/>
                      <w:highlight w:val="none"/>
                      <w:shd w:val="clear" w:color="auto" w:fill="FFFFFF"/>
                    </w:rPr>
                    <w:t>2H</w:t>
                  </w:r>
                  <w:r>
                    <w:rPr>
                      <w:rFonts w:hint="default" w:ascii="Times New Roman" w:hAnsi="Times New Roman" w:cs="Times New Roman"/>
                      <w:color w:val="auto"/>
                      <w:szCs w:val="21"/>
                      <w:highlight w:val="none"/>
                      <w:shd w:val="clear" w:color="auto" w:fill="FFFFFF"/>
                      <w:vertAlign w:val="subscript"/>
                    </w:rPr>
                    <w:t>2</w:t>
                  </w:r>
                  <w:r>
                    <w:rPr>
                      <w:rFonts w:hint="default" w:ascii="Times New Roman" w:hAnsi="Times New Roman" w:cs="Times New Roman"/>
                      <w:color w:val="auto"/>
                      <w:szCs w:val="21"/>
                      <w:highlight w:val="none"/>
                      <w:shd w:val="clear" w:color="auto" w:fill="FFFFFF"/>
                    </w:rPr>
                    <w:t>O</w:t>
                  </w:r>
                  <w:r>
                    <w:rPr>
                      <w:rFonts w:hint="default" w:ascii="Times New Roman" w:hAnsi="Times New Roman" w:cs="Times New Roman"/>
                      <w:color w:val="auto"/>
                      <w:szCs w:val="21"/>
                      <w:highlight w:val="none"/>
                    </w:rPr>
                    <w:t>；分子量：336.21；CAS登录号139-33-3。</w:t>
                  </w:r>
                </w:p>
                <w:p w14:paraId="5E2BA66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性状：白色结晶性粉末，无臭，微带酸味，二水合物在空气中易风化。易溶于水，几乎不溶于乙醇、乙醚。熔点：120℃；密度：1.46g/cm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。与强酸反应生成EDTA酸；可被强氧化剂（如高锰酸钾）氧化分解。</w:t>
                  </w:r>
                </w:p>
              </w:tc>
              <w:tc>
                <w:tcPr>
                  <w:tcW w:w="888" w:type="pct"/>
                  <w:vAlign w:val="center"/>
                </w:tcPr>
                <w:p w14:paraId="4B9AC72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LD50：2000mg/kg（大鼠经口）</w:t>
                  </w:r>
                </w:p>
              </w:tc>
            </w:tr>
            <w:tr w14:paraId="155E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7C155F5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48</w:t>
                  </w:r>
                </w:p>
              </w:tc>
              <w:tc>
                <w:tcPr>
                  <w:tcW w:w="529" w:type="pct"/>
                  <w:vMerge w:val="restart"/>
                  <w:vAlign w:val="center"/>
                </w:tcPr>
                <w:p w14:paraId="5AF6BCC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水质浊度</w:t>
                  </w:r>
                </w:p>
              </w:tc>
              <w:tc>
                <w:tcPr>
                  <w:tcW w:w="578" w:type="pct"/>
                  <w:vAlign w:val="center"/>
                </w:tcPr>
                <w:p w14:paraId="46B619F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硫酸肼</w:t>
                  </w:r>
                </w:p>
              </w:tc>
              <w:tc>
                <w:tcPr>
                  <w:tcW w:w="2736" w:type="pct"/>
                  <w:vAlign w:val="center"/>
                </w:tcPr>
                <w:p w14:paraId="530E8DC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分子式：N</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4</w:t>
                  </w:r>
                  <w:r>
                    <w:rPr>
                      <w:rFonts w:hint="default" w:ascii="Times New Roman" w:hAnsi="Times New Roman" w:eastAsia="Segoe UI" w:cs="Times New Roman"/>
                      <w:color w:val="auto"/>
                      <w:szCs w:val="21"/>
                      <w:highlight w:val="none"/>
                      <w:shd w:val="clear" w:color="auto" w:fill="FFFFFF"/>
                    </w:rPr>
                    <w:t>·</w:t>
                  </w:r>
                  <w:r>
                    <w:rPr>
                      <w:rFonts w:hint="default" w:ascii="Times New Roman" w:hAnsi="Times New Roman" w:cs="Times New Roman"/>
                      <w:color w:val="auto"/>
                      <w:szCs w:val="21"/>
                      <w:highlight w:val="none"/>
                      <w:shd w:val="clear" w:color="auto" w:fill="FFFFFF"/>
                    </w:rPr>
                    <w:t>H</w:t>
                  </w:r>
                  <w:r>
                    <w:rPr>
                      <w:rFonts w:hint="default" w:ascii="Times New Roman" w:hAnsi="Times New Roman" w:cs="Times New Roman"/>
                      <w:color w:val="auto"/>
                      <w:szCs w:val="21"/>
                      <w:highlight w:val="none"/>
                      <w:shd w:val="clear" w:color="auto" w:fill="FFFFFF"/>
                      <w:vertAlign w:val="subscript"/>
                    </w:rPr>
                    <w:t>2</w:t>
                  </w:r>
                  <w:r>
                    <w:rPr>
                      <w:rFonts w:hint="default" w:ascii="Times New Roman" w:hAnsi="Times New Roman" w:cs="Times New Roman"/>
                      <w:color w:val="auto"/>
                      <w:szCs w:val="21"/>
                      <w:highlight w:val="none"/>
                      <w:shd w:val="clear" w:color="auto" w:fill="FFFFFF"/>
                    </w:rPr>
                    <w:t>SO</w:t>
                  </w:r>
                  <w:r>
                    <w:rPr>
                      <w:rFonts w:hint="default" w:ascii="Times New Roman" w:hAnsi="Times New Roman" w:cs="Times New Roman"/>
                      <w:color w:val="auto"/>
                      <w:szCs w:val="21"/>
                      <w:highlight w:val="none"/>
                    </w:rPr>
                    <w:t>；分子量：130.12；CAS登录号10034-93-2；危规号：61592。</w:t>
                  </w:r>
                </w:p>
                <w:p w14:paraId="70626AA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性状：无色透明结晶或白色粉末，无臭，味酸，在空气中易吸湿。易溶于水，微溶于乙醇，不溶于乙醚。熔点：254℃；密度：1.37g/cm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。强还原剂，可还原金属离子；与高锰酸钾、过氧化氢等剧烈反应，可能引发爆炸；加热至250℃以上分解生成氮气、二氧化硫和水蒸气。</w:t>
                  </w:r>
                </w:p>
              </w:tc>
              <w:tc>
                <w:tcPr>
                  <w:tcW w:w="888" w:type="pct"/>
                  <w:vAlign w:val="center"/>
                </w:tcPr>
                <w:p w14:paraId="0AA2749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LD50：60mg/kg（大鼠经口）</w:t>
                  </w:r>
                </w:p>
              </w:tc>
            </w:tr>
            <w:tr w14:paraId="148F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B558E9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49</w:t>
                  </w:r>
                </w:p>
              </w:tc>
              <w:tc>
                <w:tcPr>
                  <w:tcW w:w="529" w:type="pct"/>
                  <w:vMerge w:val="continue"/>
                  <w:vAlign w:val="center"/>
                </w:tcPr>
                <w:p w14:paraId="4C4C3901">
                  <w:pPr>
                    <w:jc w:val="center"/>
                    <w:rPr>
                      <w:rFonts w:hint="default" w:ascii="Times New Roman" w:hAnsi="Times New Roman" w:cs="Times New Roman"/>
                      <w:color w:val="auto"/>
                      <w:kern w:val="0"/>
                      <w:szCs w:val="21"/>
                      <w:highlight w:val="none"/>
                    </w:rPr>
                  </w:pPr>
                </w:p>
              </w:tc>
              <w:tc>
                <w:tcPr>
                  <w:tcW w:w="578" w:type="pct"/>
                  <w:vAlign w:val="center"/>
                </w:tcPr>
                <w:p w14:paraId="2333C8D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六次甲基四氨</w:t>
                  </w:r>
                </w:p>
              </w:tc>
              <w:tc>
                <w:tcPr>
                  <w:tcW w:w="2736" w:type="pct"/>
                  <w:vAlign w:val="center"/>
                </w:tcPr>
                <w:p w14:paraId="14AC7BA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12</w:t>
                  </w:r>
                  <w:r>
                    <w:rPr>
                      <w:rFonts w:hint="default" w:ascii="Times New Roman" w:hAnsi="Times New Roman" w:cs="Times New Roman"/>
                      <w:color w:val="auto"/>
                      <w:szCs w:val="21"/>
                      <w:highlight w:val="none"/>
                    </w:rPr>
                    <w:t>N</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；分子量：140.19；CAS登录号100-97-0；危规号：41528。</w:t>
                  </w:r>
                </w:p>
                <w:p w14:paraId="3811960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性状：白色结晶性粉末或无色有光泽晶体，无臭，味初甜后苦，可燃，燃烧时产生无烟火焰。易溶于水，溶于乙醇、氯仿，微溶于乙醚。熔点：263℃；密度：1.27g/cm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15B67AB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LD50：9200mg/kg（大鼠经口）</w:t>
                  </w:r>
                </w:p>
              </w:tc>
            </w:tr>
            <w:tr w14:paraId="6047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34D5FA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w:t>
                  </w:r>
                </w:p>
              </w:tc>
              <w:tc>
                <w:tcPr>
                  <w:tcW w:w="529" w:type="pct"/>
                  <w:vMerge w:val="restart"/>
                  <w:vAlign w:val="center"/>
                </w:tcPr>
                <w:p w14:paraId="2A5AA2C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色度溶液标准物质</w:t>
                  </w:r>
                </w:p>
              </w:tc>
              <w:tc>
                <w:tcPr>
                  <w:tcW w:w="578" w:type="pct"/>
                  <w:vAlign w:val="center"/>
                </w:tcPr>
                <w:p w14:paraId="7224108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氯铂酸钾</w:t>
                  </w:r>
                </w:p>
              </w:tc>
              <w:tc>
                <w:tcPr>
                  <w:tcW w:w="2736" w:type="pct"/>
                  <w:vAlign w:val="center"/>
                </w:tcPr>
                <w:p w14:paraId="6C9AC928">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分子式：K</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PtCl</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；分子量：485.99；CAS登录号16921-30-5。</w:t>
                  </w:r>
                </w:p>
                <w:p w14:paraId="0923F3B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性状：橙黄色结晶性粉末，无臭，有金属味，对光敏感，需避光保存。微溶于水，不溶于乙醇、乙醚。熔点：250℃；密度：3.50g/cm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4348F0B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LD50：130mg/kg（大鼠经口）</w:t>
                  </w:r>
                </w:p>
              </w:tc>
            </w:tr>
            <w:tr w14:paraId="3616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373B8CC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51</w:t>
                  </w:r>
                </w:p>
              </w:tc>
              <w:tc>
                <w:tcPr>
                  <w:tcW w:w="529" w:type="pct"/>
                  <w:vMerge w:val="continue"/>
                  <w:vAlign w:val="center"/>
                </w:tcPr>
                <w:p w14:paraId="0294466D">
                  <w:pPr>
                    <w:jc w:val="center"/>
                    <w:rPr>
                      <w:rFonts w:hint="default" w:ascii="Times New Roman" w:hAnsi="Times New Roman" w:cs="Times New Roman"/>
                      <w:color w:val="auto"/>
                      <w:kern w:val="0"/>
                      <w:szCs w:val="21"/>
                      <w:highlight w:val="none"/>
                    </w:rPr>
                  </w:pPr>
                </w:p>
              </w:tc>
              <w:tc>
                <w:tcPr>
                  <w:tcW w:w="578" w:type="pct"/>
                  <w:vAlign w:val="center"/>
                </w:tcPr>
                <w:p w14:paraId="0D5E637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氯化钴</w:t>
                  </w:r>
                </w:p>
              </w:tc>
              <w:tc>
                <w:tcPr>
                  <w:tcW w:w="2736" w:type="pct"/>
                  <w:vAlign w:val="center"/>
                </w:tcPr>
                <w:p w14:paraId="7919C77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分子式：CoCl</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；分子量：129.84；CAS登录号7646-79-9。</w:t>
                  </w:r>
                </w:p>
                <w:p w14:paraId="6D05C970">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性状：蓝色结晶性粉末，无水物易吸湿变为六水合物。易溶于水，溶于乙醇、丙酮、甘油。熔点：740℃；沸点：1049℃；密度：3.36g/cm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。水溶液呈弱酸性；无水物吸水后由蓝变粉红。</w:t>
                  </w:r>
                </w:p>
              </w:tc>
              <w:tc>
                <w:tcPr>
                  <w:tcW w:w="888" w:type="pct"/>
                  <w:vAlign w:val="center"/>
                </w:tcPr>
                <w:p w14:paraId="120DCA4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LD50：六水合物约80mg/kg（大鼠经口）</w:t>
                  </w:r>
                </w:p>
              </w:tc>
            </w:tr>
            <w:tr w14:paraId="585F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7978E0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52</w:t>
                  </w:r>
                </w:p>
              </w:tc>
              <w:tc>
                <w:tcPr>
                  <w:tcW w:w="529" w:type="pct"/>
                  <w:vAlign w:val="center"/>
                </w:tcPr>
                <w:p w14:paraId="2C2FC13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混合磷酸盐（pH标准）</w:t>
                  </w:r>
                </w:p>
              </w:tc>
              <w:tc>
                <w:tcPr>
                  <w:tcW w:w="578" w:type="pct"/>
                  <w:vAlign w:val="center"/>
                </w:tcPr>
                <w:p w14:paraId="3F141054">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无水磷酸氢二钠</w:t>
                  </w:r>
                </w:p>
              </w:tc>
              <w:tc>
                <w:tcPr>
                  <w:tcW w:w="2736" w:type="pct"/>
                  <w:vAlign w:val="center"/>
                </w:tcPr>
                <w:p w14:paraId="7FC34CF0">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分子式：Na</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HPO</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；分子量：141.96；CAS登录号7558-79-4。</w:t>
                  </w:r>
                </w:p>
                <w:p w14:paraId="026B9F02">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性状：白色结晶性粉末，无臭，味咸，在空气中易吸湿。易溶于水，不溶于乙醇、乙醚。熔点：250℃；密度：1.52g/cm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。与磷酸二氢钠组成磷酸盐缓冲体系；与钙、镁等金属离子形成不溶性磷酸盐沉淀。</w:t>
                  </w:r>
                </w:p>
              </w:tc>
              <w:tc>
                <w:tcPr>
                  <w:tcW w:w="888" w:type="pct"/>
                  <w:vAlign w:val="center"/>
                </w:tcPr>
                <w:p w14:paraId="75BFC11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LD50：＞5000mg/kg（大鼠经口）</w:t>
                  </w:r>
                </w:p>
              </w:tc>
            </w:tr>
            <w:tr w14:paraId="5F86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749AB6D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53</w:t>
                  </w:r>
                </w:p>
              </w:tc>
              <w:tc>
                <w:tcPr>
                  <w:tcW w:w="529" w:type="pct"/>
                  <w:vAlign w:val="center"/>
                </w:tcPr>
                <w:p w14:paraId="6E653E1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铬黑T</w:t>
                  </w:r>
                </w:p>
              </w:tc>
              <w:tc>
                <w:tcPr>
                  <w:tcW w:w="578" w:type="pct"/>
                  <w:vAlign w:val="center"/>
                </w:tcPr>
                <w:p w14:paraId="3D0C702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铬黑T</w:t>
                  </w:r>
                </w:p>
              </w:tc>
              <w:tc>
                <w:tcPr>
                  <w:tcW w:w="2736" w:type="pct"/>
                </w:tcPr>
                <w:p w14:paraId="2137094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20</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12</w:t>
                  </w:r>
                  <w:r>
                    <w:rPr>
                      <w:rFonts w:hint="default" w:ascii="Times New Roman" w:hAnsi="Times New Roman" w:cs="Times New Roman"/>
                      <w:color w:val="auto"/>
                      <w:szCs w:val="21"/>
                      <w:highlight w:val="none"/>
                    </w:rPr>
                    <w:t>N</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NaO</w:t>
                  </w:r>
                  <w:r>
                    <w:rPr>
                      <w:rFonts w:hint="default" w:ascii="Times New Roman" w:hAnsi="Times New Roman" w:cs="Times New Roman"/>
                      <w:color w:val="auto"/>
                      <w:szCs w:val="21"/>
                      <w:highlight w:val="none"/>
                      <w:vertAlign w:val="subscript"/>
                    </w:rPr>
                    <w:t>7</w:t>
                  </w:r>
                  <w:r>
                    <w:rPr>
                      <w:rFonts w:hint="default" w:ascii="Times New Roman" w:hAnsi="Times New Roman" w:cs="Times New Roman"/>
                      <w:color w:val="auto"/>
                      <w:szCs w:val="21"/>
                      <w:highlight w:val="none"/>
                    </w:rPr>
                    <w:t>S，分子量461.38，CAS登录号1787-61-7。</w:t>
                  </w:r>
                </w:p>
                <w:p w14:paraId="576C5185">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棕黑色粉末，溶于热水，冷却后成红棕色溶液，略溶于乙醇，微溶于丙酮。主要用作检验金属离子和水质测定。</w:t>
                  </w:r>
                </w:p>
              </w:tc>
              <w:tc>
                <w:tcPr>
                  <w:tcW w:w="888" w:type="pct"/>
                  <w:vAlign w:val="center"/>
                </w:tcPr>
                <w:p w14:paraId="71803BE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6016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50560B7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54</w:t>
                  </w:r>
                </w:p>
              </w:tc>
              <w:tc>
                <w:tcPr>
                  <w:tcW w:w="529" w:type="pct"/>
                  <w:vAlign w:val="center"/>
                </w:tcPr>
                <w:p w14:paraId="1001B7A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硫酸镁</w:t>
                  </w:r>
                </w:p>
              </w:tc>
              <w:tc>
                <w:tcPr>
                  <w:tcW w:w="578" w:type="pct"/>
                  <w:vAlign w:val="center"/>
                </w:tcPr>
                <w:p w14:paraId="2CEE8391">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硫酸镁</w:t>
                  </w:r>
                </w:p>
              </w:tc>
              <w:tc>
                <w:tcPr>
                  <w:tcW w:w="2736" w:type="pct"/>
                </w:tcPr>
                <w:p w14:paraId="553A109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化学式：MgSO</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，分子量120.3687，CAS登录号7487-88-9。</w:t>
                  </w:r>
                </w:p>
                <w:p w14:paraId="2F9C470E">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外观：无色或白色易风化的晶体或白色粉末，密度2.66g/mL，熔点：1124℃，闪点1124℃，水溶性25.5g/100mL（20℃），易溶于水，微溶于乙醇、甘油、乙醚，不溶于丙酮。</w:t>
                  </w:r>
                </w:p>
              </w:tc>
              <w:tc>
                <w:tcPr>
                  <w:tcW w:w="888" w:type="pct"/>
                  <w:vAlign w:val="center"/>
                </w:tcPr>
                <w:p w14:paraId="195EACC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LD50：45mg/kg（小鼠皮下）</w:t>
                  </w:r>
                </w:p>
              </w:tc>
            </w:tr>
            <w:tr w14:paraId="3074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345EBF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55</w:t>
                  </w:r>
                </w:p>
              </w:tc>
              <w:tc>
                <w:tcPr>
                  <w:tcW w:w="529" w:type="pct"/>
                  <w:vAlign w:val="center"/>
                </w:tcPr>
                <w:p w14:paraId="0C7B5ACD">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氯化铵</w:t>
                  </w:r>
                </w:p>
              </w:tc>
              <w:tc>
                <w:tcPr>
                  <w:tcW w:w="578" w:type="pct"/>
                  <w:vAlign w:val="center"/>
                </w:tcPr>
                <w:p w14:paraId="735710AF">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氯化铵</w:t>
                  </w:r>
                </w:p>
              </w:tc>
              <w:tc>
                <w:tcPr>
                  <w:tcW w:w="2736" w:type="pct"/>
                </w:tcPr>
                <w:p w14:paraId="6E27FBD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化学式：NH</w:t>
                  </w:r>
                  <w:r>
                    <w:rPr>
                      <w:rFonts w:hint="default" w:ascii="Times New Roman" w:hAnsi="Times New Roman" w:cs="Times New Roman"/>
                      <w:color w:val="auto"/>
                      <w:szCs w:val="21"/>
                      <w:highlight w:val="none"/>
                      <w:vertAlign w:val="subscript"/>
                    </w:rPr>
                    <w:t>4</w:t>
                  </w:r>
                  <w:r>
                    <w:rPr>
                      <w:rFonts w:hint="default" w:ascii="Times New Roman" w:hAnsi="Times New Roman" w:cs="Times New Roman"/>
                      <w:color w:val="auto"/>
                      <w:szCs w:val="21"/>
                      <w:highlight w:val="none"/>
                    </w:rPr>
                    <w:t>Cl，分子量：53.49，CAS登录号12125-02-9。</w:t>
                  </w:r>
                </w:p>
                <w:p w14:paraId="0EF5411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无色晶体或白色颗粒性粉末，密度1.527g/cm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，相对密度1.5274，熔点340℃，沸点520℃，水溶性：易溶。易溶于水，微溶于乙醇，溶于液氨，不溶于丙酮和乙醚。</w:t>
                  </w:r>
                </w:p>
              </w:tc>
              <w:tc>
                <w:tcPr>
                  <w:tcW w:w="888" w:type="pct"/>
                  <w:vAlign w:val="center"/>
                </w:tcPr>
                <w:p w14:paraId="71CF156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LD50：2600mg/kg（大鼠口服）</w:t>
                  </w:r>
                </w:p>
              </w:tc>
            </w:tr>
            <w:tr w14:paraId="5E7D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10099AA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56</w:t>
                  </w:r>
                </w:p>
              </w:tc>
              <w:tc>
                <w:tcPr>
                  <w:tcW w:w="529" w:type="pct"/>
                  <w:vAlign w:val="center"/>
                </w:tcPr>
                <w:p w14:paraId="5B7DB135">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氨水</w:t>
                  </w:r>
                </w:p>
              </w:tc>
              <w:tc>
                <w:tcPr>
                  <w:tcW w:w="578" w:type="pct"/>
                  <w:vAlign w:val="center"/>
                </w:tcPr>
                <w:p w14:paraId="00042A3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氨水</w:t>
                  </w:r>
                </w:p>
              </w:tc>
              <w:tc>
                <w:tcPr>
                  <w:tcW w:w="2736" w:type="pct"/>
                </w:tcPr>
                <w:p w14:paraId="3AD4C318">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化学式：NH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O，分子量：35.045，CAS登录号1336-21-6；危规号：82503（含氨＞10%）。</w:t>
                  </w:r>
                </w:p>
                <w:p w14:paraId="0F4D4943">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无色透明且具有刺激性气味，氨的熔点-77.773 ℃，沸点-33.34℃，密度0.91g/cm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（25%），饱和蒸气压1.59kPa（20℃）。氨气易溶于水、乙醇。易挥发，具有部分碱的通性，氨水由氨气通入水中制得。爆炸极限25%-29%。</w:t>
                  </w:r>
                </w:p>
              </w:tc>
              <w:tc>
                <w:tcPr>
                  <w:tcW w:w="888" w:type="pct"/>
                  <w:vAlign w:val="center"/>
                </w:tcPr>
                <w:p w14:paraId="2300530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LD50：350mg/kg（大鼠经口）</w:t>
                  </w:r>
                </w:p>
              </w:tc>
            </w:tr>
            <w:tr w14:paraId="41A0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7CB5A85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57</w:t>
                  </w:r>
                </w:p>
              </w:tc>
              <w:tc>
                <w:tcPr>
                  <w:tcW w:w="529" w:type="pct"/>
                  <w:vAlign w:val="center"/>
                </w:tcPr>
                <w:p w14:paraId="60087D7A">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二氯乙酸</w:t>
                  </w:r>
                </w:p>
              </w:tc>
              <w:tc>
                <w:tcPr>
                  <w:tcW w:w="578" w:type="pct"/>
                  <w:vAlign w:val="center"/>
                </w:tcPr>
                <w:p w14:paraId="40C2AA0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二氯乙酸</w:t>
                  </w:r>
                </w:p>
              </w:tc>
              <w:tc>
                <w:tcPr>
                  <w:tcW w:w="2736" w:type="pct"/>
                  <w:vAlign w:val="center"/>
                </w:tcPr>
                <w:p w14:paraId="0701C04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Cl</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；分子量：128.94；CAS登录号79-43-6；危规号：81605。</w:t>
                  </w:r>
                </w:p>
                <w:p w14:paraId="693A800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性状：无色透明液体，有刺激性酸味。与水完全混溶，与乙醇、乙醚、丙酮混溶。熔点：9.7℃；密度：1.563g/cm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。与碱中和生成盐；与醇类反应生成二氯乙酸酯；可被还原剂还原为二氯乙醇；加热至200℃以上分解生成光气、氯化氢等有毒气体。</w:t>
                  </w:r>
                </w:p>
              </w:tc>
              <w:tc>
                <w:tcPr>
                  <w:tcW w:w="888" w:type="pct"/>
                  <w:vAlign w:val="center"/>
                </w:tcPr>
                <w:p w14:paraId="044E0EF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LD50：2820mg/kg（大鼠经口）</w:t>
                  </w:r>
                </w:p>
              </w:tc>
            </w:tr>
            <w:tr w14:paraId="3052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331A936B">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58</w:t>
                  </w:r>
                </w:p>
              </w:tc>
              <w:tc>
                <w:tcPr>
                  <w:tcW w:w="529" w:type="pct"/>
                  <w:vAlign w:val="center"/>
                </w:tcPr>
                <w:p w14:paraId="1D962EE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三氯乙酸</w:t>
                  </w:r>
                </w:p>
              </w:tc>
              <w:tc>
                <w:tcPr>
                  <w:tcW w:w="578" w:type="pct"/>
                  <w:vAlign w:val="center"/>
                </w:tcPr>
                <w:p w14:paraId="25918B1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三氯乙酸</w:t>
                  </w:r>
                </w:p>
              </w:tc>
              <w:tc>
                <w:tcPr>
                  <w:tcW w:w="2736" w:type="pct"/>
                  <w:vAlign w:val="center"/>
                </w:tcPr>
                <w:p w14:paraId="5B91B5E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HCl</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；分子量：163.38；CAS登录号76-03-9；危规号：81606。</w:t>
                  </w:r>
                </w:p>
                <w:p w14:paraId="7FFCB390">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性状：无色结晶（固体）或无色至微黄色液体（溶液），·有刺激性酸味，易潮解。极易溶于水，溶于乙醇、乙醚、丙酮。熔点：57℃；沸点：196℃；密度：1.62g/cm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。与碱剧烈中和生成盐；加热至100℃以上分解生成氯仿和二氧化碳；生物化学中常用作蛋白质变性剂。</w:t>
                  </w:r>
                </w:p>
              </w:tc>
              <w:tc>
                <w:tcPr>
                  <w:tcW w:w="888" w:type="pct"/>
                  <w:vAlign w:val="center"/>
                </w:tcPr>
                <w:p w14:paraId="1C81883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LD50：3320mg/kg（大鼠经口）</w:t>
                  </w:r>
                </w:p>
              </w:tc>
            </w:tr>
            <w:tr w14:paraId="3B8E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5FF04398">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59</w:t>
                  </w:r>
                </w:p>
              </w:tc>
              <w:tc>
                <w:tcPr>
                  <w:tcW w:w="529" w:type="pct"/>
                  <w:vAlign w:val="center"/>
                </w:tcPr>
                <w:p w14:paraId="1F5DFAC2">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水中硫酸盐-硫</w:t>
                  </w:r>
                </w:p>
                <w:p w14:paraId="7369A476">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（以S计）</w:t>
                  </w:r>
                </w:p>
              </w:tc>
              <w:tc>
                <w:tcPr>
                  <w:tcW w:w="578" w:type="pct"/>
                  <w:vAlign w:val="center"/>
                </w:tcPr>
                <w:p w14:paraId="36D747B7">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硫</w:t>
                  </w:r>
                </w:p>
              </w:tc>
              <w:tc>
                <w:tcPr>
                  <w:tcW w:w="2736" w:type="pct"/>
                  <w:vAlign w:val="center"/>
                </w:tcPr>
                <w:p w14:paraId="7BE7134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分子式：S</w:t>
                  </w:r>
                  <w:r>
                    <w:rPr>
                      <w:rFonts w:hint="default" w:ascii="Times New Roman" w:hAnsi="Times New Roman" w:cs="Times New Roman"/>
                      <w:color w:val="auto"/>
                      <w:szCs w:val="21"/>
                      <w:highlight w:val="none"/>
                      <w:vertAlign w:val="subscript"/>
                    </w:rPr>
                    <w:t>8</w:t>
                  </w:r>
                  <w:r>
                    <w:rPr>
                      <w:rFonts w:hint="default" w:ascii="Times New Roman" w:hAnsi="Times New Roman" w:cs="Times New Roman"/>
                      <w:color w:val="auto"/>
                      <w:szCs w:val="21"/>
                      <w:highlight w:val="none"/>
                    </w:rPr>
                    <w:t>；分子量：256.52；CAS登录号7704-34-9；危规号：41501。</w:t>
                  </w:r>
                </w:p>
                <w:p w14:paraId="6ADB051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性状：黄色结晶或粉末，无臭，味淡，存在多种同素异形体。不溶于水，微溶于乙醇、乙醚，易溶于二硫化碳。熔点：112.8℃；沸点：444.6℃；密度：2.07g/cm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。与浓硝酸、浓硫酸反应被氧化为硫酸。</w:t>
                  </w:r>
                </w:p>
              </w:tc>
              <w:tc>
                <w:tcPr>
                  <w:tcW w:w="888" w:type="pct"/>
                  <w:vAlign w:val="center"/>
                </w:tcPr>
                <w:p w14:paraId="6F5F716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LD50：＞5000mg/kg（大鼠经口）</w:t>
                  </w:r>
                </w:p>
              </w:tc>
            </w:tr>
            <w:tr w14:paraId="3927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 w:type="pct"/>
                  <w:vAlign w:val="center"/>
                </w:tcPr>
                <w:p w14:paraId="6F8A302E">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w:t>
                  </w:r>
                </w:p>
              </w:tc>
              <w:tc>
                <w:tcPr>
                  <w:tcW w:w="529" w:type="pct"/>
                  <w:vAlign w:val="center"/>
                </w:tcPr>
                <w:p w14:paraId="23674B40">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乙腈</w:t>
                  </w:r>
                </w:p>
              </w:tc>
              <w:tc>
                <w:tcPr>
                  <w:tcW w:w="578" w:type="pct"/>
                  <w:vAlign w:val="center"/>
                </w:tcPr>
                <w:p w14:paraId="4CBE9783">
                  <w:pPr>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乙腈</w:t>
                  </w:r>
                </w:p>
              </w:tc>
              <w:tc>
                <w:tcPr>
                  <w:tcW w:w="2736" w:type="pct"/>
                  <w:vAlign w:val="center"/>
                </w:tcPr>
                <w:p w14:paraId="46C75E72">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分子式：C</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N；分子量：41.05；CAS登录号75-05-8；危规号：32159。</w:t>
                  </w:r>
                </w:p>
                <w:p w14:paraId="697F1DC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性状：无色透明液体，有特殊醚样气味，易挥发。与水完全混溶，与乙醇、乙醚、丙酮混溶。熔点：-45.7℃；沸点：81.6℃；密度：0.786g/cm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888" w:type="pct"/>
                  <w:vAlign w:val="center"/>
                </w:tcPr>
                <w:p w14:paraId="4CA6E18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LD50：2730mg/kg（大鼠经口）</w:t>
                  </w:r>
                </w:p>
              </w:tc>
            </w:tr>
          </w:tbl>
          <w:p w14:paraId="521FE650">
            <w:pPr>
              <w:pStyle w:val="55"/>
              <w:keepNext w:val="0"/>
              <w:keepLines w:val="0"/>
              <w:pageBreakBefore w:val="0"/>
              <w:widowControl w:val="0"/>
              <w:kinsoku/>
              <w:wordWrap/>
              <w:overflowPunct/>
              <w:topLinePunct w:val="0"/>
              <w:autoSpaceDE/>
              <w:autoSpaceDN/>
              <w:bidi w:val="0"/>
              <w:snapToGrid/>
              <w:spacing w:before="157" w:beforeLines="50"/>
              <w:ind w:left="0" w:right="0" w:firstLine="480" w:firstLineChars="200"/>
              <w:jc w:val="both"/>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建设单位应按照药品、实验室检测药剂等相关管理规定，从人员资质、药品保存、保质及使用多环节，做好检测实验室的相关药品、实验室检测药剂等药事管理工作，防止药品、检测药剂外泄、流出污染外环境及人群健康。</w:t>
            </w:r>
          </w:p>
          <w:p w14:paraId="36D224FC">
            <w:pPr>
              <w:spacing w:before="72" w:beforeLines="30" w:line="360" w:lineRule="auto"/>
              <w:jc w:val="left"/>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2.4 设备清单</w:t>
            </w:r>
          </w:p>
          <w:p w14:paraId="36E1B7D5">
            <w:pPr>
              <w:pStyle w:val="55"/>
              <w:ind w:firstLine="470"/>
              <w:jc w:val="left"/>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本项目主要设备情况见下表。</w:t>
            </w:r>
          </w:p>
          <w:p w14:paraId="0C562985">
            <w:pPr>
              <w:spacing w:before="120" w:beforeLines="5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表2-4 项目主要设备一览表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3312"/>
              <w:gridCol w:w="2964"/>
              <w:gridCol w:w="665"/>
              <w:gridCol w:w="705"/>
            </w:tblGrid>
            <w:tr w14:paraId="43F5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60837D33">
                  <w:pPr>
                    <w:pStyle w:val="75"/>
                    <w:tabs>
                      <w:tab w:val="left" w:pos="-2400"/>
                      <w:tab w:val="left" w:pos="1320"/>
                      <w:tab w:val="left" w:pos="3878"/>
                      <w:tab w:val="left" w:pos="6080"/>
                      <w:tab w:val="left" w:pos="6580"/>
                      <w:tab w:val="left" w:pos="8137"/>
                    </w:tabs>
                    <w:rPr>
                      <w:rFonts w:hint="default" w:ascii="Times New Roman" w:hAnsi="Times New Roman" w:cs="Times New Roman"/>
                      <w:b/>
                      <w:color w:val="auto"/>
                      <w:highlight w:val="none"/>
                    </w:rPr>
                  </w:pPr>
                  <w:r>
                    <w:rPr>
                      <w:rFonts w:hint="default" w:ascii="Times New Roman" w:hAnsi="Times New Roman" w:cs="Times New Roman"/>
                      <w:b/>
                      <w:bCs/>
                      <w:color w:val="auto"/>
                      <w:highlight w:val="none"/>
                    </w:rPr>
                    <w:t>序号</w:t>
                  </w:r>
                </w:p>
              </w:tc>
              <w:tc>
                <w:tcPr>
                  <w:tcW w:w="1984" w:type="pct"/>
                  <w:vAlign w:val="center"/>
                </w:tcPr>
                <w:p w14:paraId="2F66FBF9">
                  <w:pPr>
                    <w:pStyle w:val="75"/>
                    <w:tabs>
                      <w:tab w:val="left" w:pos="-2400"/>
                      <w:tab w:val="left" w:pos="596"/>
                      <w:tab w:val="left" w:pos="1320"/>
                      <w:tab w:val="left" w:pos="3878"/>
                      <w:tab w:val="left" w:pos="6080"/>
                      <w:tab w:val="left" w:pos="6580"/>
                      <w:tab w:val="left" w:pos="8137"/>
                    </w:tabs>
                    <w:rPr>
                      <w:rFonts w:hint="default" w:ascii="Times New Roman" w:hAnsi="Times New Roman" w:cs="Times New Roman"/>
                      <w:b/>
                      <w:color w:val="auto"/>
                      <w:highlight w:val="none"/>
                    </w:rPr>
                  </w:pPr>
                  <w:r>
                    <w:rPr>
                      <w:rFonts w:hint="default" w:ascii="Times New Roman" w:hAnsi="Times New Roman" w:cs="Times New Roman"/>
                      <w:b/>
                      <w:bCs/>
                      <w:color w:val="auto"/>
                      <w:highlight w:val="none"/>
                    </w:rPr>
                    <w:t>设备名称</w:t>
                  </w:r>
                </w:p>
              </w:tc>
              <w:tc>
                <w:tcPr>
                  <w:tcW w:w="1775" w:type="pct"/>
                  <w:vAlign w:val="center"/>
                </w:tcPr>
                <w:p w14:paraId="1CDD4F42">
                  <w:pPr>
                    <w:pStyle w:val="75"/>
                    <w:tabs>
                      <w:tab w:val="left" w:pos="-2400"/>
                      <w:tab w:val="left" w:pos="1320"/>
                      <w:tab w:val="left" w:pos="3878"/>
                      <w:tab w:val="left" w:pos="6080"/>
                      <w:tab w:val="left" w:pos="6580"/>
                      <w:tab w:val="left" w:pos="8137"/>
                    </w:tabs>
                    <w:rPr>
                      <w:rFonts w:hint="default" w:ascii="Times New Roman" w:hAnsi="Times New Roman" w:cs="Times New Roman"/>
                      <w:b/>
                      <w:color w:val="auto"/>
                      <w:highlight w:val="none"/>
                    </w:rPr>
                  </w:pPr>
                  <w:r>
                    <w:rPr>
                      <w:rFonts w:hint="default" w:ascii="Times New Roman" w:hAnsi="Times New Roman" w:cs="Times New Roman"/>
                      <w:b/>
                      <w:color w:val="auto"/>
                      <w:highlight w:val="none"/>
                    </w:rPr>
                    <w:t>型号</w:t>
                  </w:r>
                </w:p>
              </w:tc>
              <w:tc>
                <w:tcPr>
                  <w:tcW w:w="398" w:type="pct"/>
                  <w:vAlign w:val="center"/>
                </w:tcPr>
                <w:p w14:paraId="71365B9C">
                  <w:pPr>
                    <w:pStyle w:val="75"/>
                    <w:tabs>
                      <w:tab w:val="left" w:pos="-2400"/>
                      <w:tab w:val="left" w:pos="1320"/>
                      <w:tab w:val="left" w:pos="3878"/>
                      <w:tab w:val="left" w:pos="6080"/>
                      <w:tab w:val="left" w:pos="6580"/>
                      <w:tab w:val="left" w:pos="8137"/>
                    </w:tabs>
                    <w:rPr>
                      <w:rFonts w:hint="default" w:ascii="Times New Roman" w:hAnsi="Times New Roman" w:cs="Times New Roman"/>
                      <w:b/>
                      <w:color w:val="auto"/>
                      <w:highlight w:val="none"/>
                    </w:rPr>
                  </w:pPr>
                  <w:r>
                    <w:rPr>
                      <w:rFonts w:hint="default" w:ascii="Times New Roman" w:hAnsi="Times New Roman" w:cs="Times New Roman"/>
                      <w:b/>
                      <w:bCs/>
                      <w:color w:val="auto"/>
                      <w:highlight w:val="none"/>
                    </w:rPr>
                    <w:t>单位</w:t>
                  </w:r>
                </w:p>
              </w:tc>
              <w:tc>
                <w:tcPr>
                  <w:tcW w:w="422" w:type="pct"/>
                  <w:vAlign w:val="center"/>
                </w:tcPr>
                <w:p w14:paraId="4D655832">
                  <w:pPr>
                    <w:pStyle w:val="75"/>
                    <w:tabs>
                      <w:tab w:val="left" w:pos="-2400"/>
                      <w:tab w:val="left" w:pos="1320"/>
                      <w:tab w:val="left" w:pos="3878"/>
                      <w:tab w:val="left" w:pos="6080"/>
                      <w:tab w:val="left" w:pos="6580"/>
                      <w:tab w:val="left" w:pos="8137"/>
                    </w:tabs>
                    <w:rPr>
                      <w:rFonts w:hint="default" w:ascii="Times New Roman" w:hAnsi="Times New Roman" w:cs="Times New Roman"/>
                      <w:b/>
                      <w:color w:val="auto"/>
                      <w:highlight w:val="none"/>
                    </w:rPr>
                  </w:pPr>
                  <w:r>
                    <w:rPr>
                      <w:rFonts w:hint="default" w:ascii="Times New Roman" w:hAnsi="Times New Roman" w:cs="Times New Roman"/>
                      <w:b/>
                      <w:bCs/>
                      <w:color w:val="auto"/>
                      <w:highlight w:val="none"/>
                    </w:rPr>
                    <w:t>数量</w:t>
                  </w:r>
                </w:p>
              </w:tc>
            </w:tr>
            <w:tr w14:paraId="2483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3749EE2C">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w:t>
                  </w:r>
                </w:p>
              </w:tc>
              <w:tc>
                <w:tcPr>
                  <w:tcW w:w="1984" w:type="pct"/>
                  <w:vAlign w:val="center"/>
                </w:tcPr>
                <w:p w14:paraId="2A42D4CB">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微波消解仪</w:t>
                  </w:r>
                </w:p>
              </w:tc>
              <w:tc>
                <w:tcPr>
                  <w:tcW w:w="1775" w:type="pct"/>
                  <w:vAlign w:val="center"/>
                </w:tcPr>
                <w:p w14:paraId="60EA3C2C">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新仪TANKeco</w:t>
                  </w:r>
                </w:p>
              </w:tc>
              <w:tc>
                <w:tcPr>
                  <w:tcW w:w="398" w:type="pct"/>
                  <w:vAlign w:val="center"/>
                </w:tcPr>
                <w:p w14:paraId="15134851">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1FCA0739">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0961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6E7F251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w:t>
                  </w:r>
                </w:p>
              </w:tc>
              <w:tc>
                <w:tcPr>
                  <w:tcW w:w="1984" w:type="pct"/>
                  <w:vAlign w:val="center"/>
                </w:tcPr>
                <w:p w14:paraId="1EBF749F">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石墨炉原子化器及原子吸收分光光度计</w:t>
                  </w:r>
                </w:p>
              </w:tc>
              <w:tc>
                <w:tcPr>
                  <w:tcW w:w="1775" w:type="pct"/>
                  <w:vAlign w:val="center"/>
                </w:tcPr>
                <w:p w14:paraId="31E9BC53">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岛津GFA-EX7i及</w:t>
                  </w:r>
                </w:p>
                <w:p w14:paraId="6EEA7758">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AA-6300C</w:t>
                  </w:r>
                </w:p>
              </w:tc>
              <w:tc>
                <w:tcPr>
                  <w:tcW w:w="398" w:type="pct"/>
                  <w:vAlign w:val="center"/>
                </w:tcPr>
                <w:p w14:paraId="33F157D7">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4CC3AA19">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25A1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7640490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w:t>
                  </w:r>
                </w:p>
              </w:tc>
              <w:tc>
                <w:tcPr>
                  <w:tcW w:w="1984" w:type="pct"/>
                  <w:vAlign w:val="center"/>
                </w:tcPr>
                <w:p w14:paraId="1B3EC4A0">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电感耦合等离子体质谱仪</w:t>
                  </w:r>
                </w:p>
              </w:tc>
              <w:tc>
                <w:tcPr>
                  <w:tcW w:w="1775" w:type="pct"/>
                  <w:vAlign w:val="center"/>
                </w:tcPr>
                <w:p w14:paraId="5209E665">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铂金埃尔默NexION® 1000G</w:t>
                  </w:r>
                </w:p>
              </w:tc>
              <w:tc>
                <w:tcPr>
                  <w:tcW w:w="398" w:type="pct"/>
                  <w:vAlign w:val="center"/>
                </w:tcPr>
                <w:p w14:paraId="60D89A57">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70A5D9CA">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40F6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2CA04B0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w:t>
                  </w:r>
                </w:p>
              </w:tc>
              <w:tc>
                <w:tcPr>
                  <w:tcW w:w="1984" w:type="pct"/>
                  <w:vAlign w:val="center"/>
                </w:tcPr>
                <w:p w14:paraId="1C6BA29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气相色谱仪</w:t>
                  </w:r>
                </w:p>
              </w:tc>
              <w:tc>
                <w:tcPr>
                  <w:tcW w:w="1775" w:type="pct"/>
                  <w:vAlign w:val="center"/>
                </w:tcPr>
                <w:p w14:paraId="68493A2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安捷伦7890B</w:t>
                  </w:r>
                </w:p>
              </w:tc>
              <w:tc>
                <w:tcPr>
                  <w:tcW w:w="398" w:type="pct"/>
                  <w:vAlign w:val="center"/>
                </w:tcPr>
                <w:p w14:paraId="5C49701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085F0957">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596B9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3A1C416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w:t>
                  </w:r>
                </w:p>
              </w:tc>
              <w:tc>
                <w:tcPr>
                  <w:tcW w:w="1984" w:type="pct"/>
                  <w:vAlign w:val="center"/>
                </w:tcPr>
                <w:p w14:paraId="690590E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落地通风柜</w:t>
                  </w:r>
                </w:p>
              </w:tc>
              <w:tc>
                <w:tcPr>
                  <w:tcW w:w="1775" w:type="pct"/>
                  <w:vAlign w:val="center"/>
                </w:tcPr>
                <w:p w14:paraId="159536F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成都赛朗SL-TFG</w:t>
                  </w:r>
                </w:p>
              </w:tc>
              <w:tc>
                <w:tcPr>
                  <w:tcW w:w="398" w:type="pct"/>
                  <w:vAlign w:val="center"/>
                </w:tcPr>
                <w:p w14:paraId="1869EF3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330B73F0">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8</w:t>
                  </w:r>
                </w:p>
              </w:tc>
            </w:tr>
            <w:tr w14:paraId="055A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10CAE9AC">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w:t>
                  </w:r>
                </w:p>
              </w:tc>
              <w:tc>
                <w:tcPr>
                  <w:tcW w:w="1984" w:type="pct"/>
                  <w:vAlign w:val="center"/>
                </w:tcPr>
                <w:p w14:paraId="537334C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全自动双通道原子荧光光度计</w:t>
                  </w:r>
                </w:p>
              </w:tc>
              <w:tc>
                <w:tcPr>
                  <w:tcW w:w="1775" w:type="pct"/>
                  <w:vAlign w:val="center"/>
                </w:tcPr>
                <w:p w14:paraId="05BC0F6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北京海光AFS-230E</w:t>
                  </w:r>
                </w:p>
              </w:tc>
              <w:tc>
                <w:tcPr>
                  <w:tcW w:w="398" w:type="pct"/>
                  <w:vAlign w:val="center"/>
                </w:tcPr>
                <w:p w14:paraId="1AA7D83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341E3169">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28B2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771E548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7</w:t>
                  </w:r>
                </w:p>
              </w:tc>
              <w:tc>
                <w:tcPr>
                  <w:tcW w:w="1984" w:type="pct"/>
                  <w:vAlign w:val="center"/>
                </w:tcPr>
                <w:p w14:paraId="619D5B3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紫外可见分光光度计</w:t>
                  </w:r>
                </w:p>
              </w:tc>
              <w:tc>
                <w:tcPr>
                  <w:tcW w:w="1775" w:type="pct"/>
                  <w:vAlign w:val="center"/>
                </w:tcPr>
                <w:p w14:paraId="6CC13235">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美谱达P5</w:t>
                  </w:r>
                </w:p>
              </w:tc>
              <w:tc>
                <w:tcPr>
                  <w:tcW w:w="398" w:type="pct"/>
                  <w:vAlign w:val="center"/>
                </w:tcPr>
                <w:p w14:paraId="4AB0044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5DA1F149">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62A1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5FF0320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8</w:t>
                  </w:r>
                </w:p>
              </w:tc>
              <w:tc>
                <w:tcPr>
                  <w:tcW w:w="1984" w:type="pct"/>
                  <w:vAlign w:val="center"/>
                </w:tcPr>
                <w:p w14:paraId="1CBB779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全自动流动注射仪</w:t>
                  </w:r>
                </w:p>
              </w:tc>
              <w:tc>
                <w:tcPr>
                  <w:tcW w:w="1775" w:type="pct"/>
                  <w:vAlign w:val="center"/>
                </w:tcPr>
                <w:p w14:paraId="5EE838F8">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北京吉天iFIA7</w:t>
                  </w:r>
                </w:p>
              </w:tc>
              <w:tc>
                <w:tcPr>
                  <w:tcW w:w="398" w:type="pct"/>
                  <w:vAlign w:val="center"/>
                </w:tcPr>
                <w:p w14:paraId="0DDE5CC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26995013">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3E21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719C317F">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9</w:t>
                  </w:r>
                </w:p>
              </w:tc>
              <w:tc>
                <w:tcPr>
                  <w:tcW w:w="1984" w:type="pct"/>
                  <w:vAlign w:val="center"/>
                </w:tcPr>
                <w:p w14:paraId="1023C6E2">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离子色谱仪</w:t>
                  </w:r>
                </w:p>
              </w:tc>
              <w:tc>
                <w:tcPr>
                  <w:tcW w:w="1775" w:type="pct"/>
                  <w:vAlign w:val="center"/>
                </w:tcPr>
                <w:p w14:paraId="47917563">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瑞士万通883</w:t>
                  </w:r>
                </w:p>
              </w:tc>
              <w:tc>
                <w:tcPr>
                  <w:tcW w:w="398" w:type="pct"/>
                  <w:vAlign w:val="center"/>
                </w:tcPr>
                <w:p w14:paraId="3251340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7045BAF2">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1580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2F7F9858">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10</w:t>
                  </w:r>
                </w:p>
              </w:tc>
              <w:tc>
                <w:tcPr>
                  <w:tcW w:w="1984" w:type="pct"/>
                  <w:vAlign w:val="center"/>
                </w:tcPr>
                <w:p w14:paraId="4D0435BE">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气相色谱仪</w:t>
                  </w:r>
                </w:p>
              </w:tc>
              <w:tc>
                <w:tcPr>
                  <w:tcW w:w="1775" w:type="pct"/>
                  <w:vAlign w:val="center"/>
                </w:tcPr>
                <w:p w14:paraId="358EA8B2">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安捷伦780B</w:t>
                  </w:r>
                </w:p>
              </w:tc>
              <w:tc>
                <w:tcPr>
                  <w:tcW w:w="398" w:type="pct"/>
                  <w:vAlign w:val="center"/>
                </w:tcPr>
                <w:p w14:paraId="3CEA730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094ACC00">
                  <w:pPr>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1</w:t>
                  </w:r>
                </w:p>
              </w:tc>
            </w:tr>
            <w:tr w14:paraId="6276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0C02D1B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11</w:t>
                  </w:r>
                </w:p>
              </w:tc>
              <w:tc>
                <w:tcPr>
                  <w:tcW w:w="1984" w:type="pct"/>
                  <w:vAlign w:val="center"/>
                </w:tcPr>
                <w:p w14:paraId="6333CC97">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纯水制备系统</w:t>
                  </w:r>
                </w:p>
              </w:tc>
              <w:tc>
                <w:tcPr>
                  <w:tcW w:w="1775" w:type="pct"/>
                  <w:vAlign w:val="center"/>
                </w:tcPr>
                <w:p w14:paraId="553CB3C4">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98" w:type="pct"/>
                  <w:vAlign w:val="center"/>
                </w:tcPr>
                <w:p w14:paraId="14C94A2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092EC63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r>
            <w:tr w14:paraId="7EE6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02735F3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1984" w:type="pct"/>
                  <w:vAlign w:val="center"/>
                </w:tcPr>
                <w:p w14:paraId="1F17977F">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生物安全柜</w:t>
                  </w:r>
                </w:p>
              </w:tc>
              <w:tc>
                <w:tcPr>
                  <w:tcW w:w="1775" w:type="pct"/>
                  <w:vAlign w:val="center"/>
                </w:tcPr>
                <w:p w14:paraId="671B9B8F">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98" w:type="pct"/>
                  <w:vAlign w:val="center"/>
                </w:tcPr>
                <w:p w14:paraId="292BA52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台</w:t>
                  </w:r>
                </w:p>
              </w:tc>
              <w:tc>
                <w:tcPr>
                  <w:tcW w:w="422" w:type="pct"/>
                  <w:vAlign w:val="center"/>
                </w:tcPr>
                <w:p w14:paraId="0A6C7C3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r>
            <w:tr w14:paraId="3328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8" w:type="pct"/>
                  <w:vAlign w:val="center"/>
                </w:tcPr>
                <w:p w14:paraId="6B8F247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13</w:t>
                  </w:r>
                </w:p>
              </w:tc>
              <w:tc>
                <w:tcPr>
                  <w:tcW w:w="1984" w:type="pct"/>
                  <w:vAlign w:val="center"/>
                </w:tcPr>
                <w:p w14:paraId="6D773675">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新风空调系统</w:t>
                  </w:r>
                </w:p>
              </w:tc>
              <w:tc>
                <w:tcPr>
                  <w:tcW w:w="1775" w:type="pct"/>
                  <w:vAlign w:val="center"/>
                </w:tcPr>
                <w:p w14:paraId="11711421">
                  <w:pPr>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98" w:type="pct"/>
                  <w:vAlign w:val="center"/>
                </w:tcPr>
                <w:p w14:paraId="3A1DDF9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套</w:t>
                  </w:r>
                </w:p>
              </w:tc>
              <w:tc>
                <w:tcPr>
                  <w:tcW w:w="422" w:type="pct"/>
                  <w:vAlign w:val="center"/>
                </w:tcPr>
                <w:p w14:paraId="2716DCF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r>
          </w:tbl>
          <w:p w14:paraId="24E36829">
            <w:pPr>
              <w:keepNext w:val="0"/>
              <w:keepLines w:val="0"/>
              <w:pageBreakBefore w:val="0"/>
              <w:widowControl w:val="0"/>
              <w:kinsoku/>
              <w:wordWrap/>
              <w:overflowPunct/>
              <w:topLinePunct w:val="0"/>
              <w:autoSpaceDE/>
              <w:autoSpaceDN/>
              <w:bidi w:val="0"/>
              <w:snapToGrid/>
              <w:spacing w:before="157" w:beforeLines="50" w:line="360" w:lineRule="auto"/>
              <w:jc w:val="left"/>
              <w:rPr>
                <w:rFonts w:hint="default" w:ascii="Times New Roman" w:hAnsi="Times New Roman" w:cs="Times New Roman"/>
                <w:color w:val="auto"/>
                <w:highlight w:val="none"/>
              </w:rPr>
            </w:pPr>
            <w:r>
              <w:rPr>
                <w:rFonts w:hint="default" w:ascii="Times New Roman" w:hAnsi="Times New Roman" w:cs="Times New Roman"/>
                <w:b/>
                <w:color w:val="auto"/>
                <w:sz w:val="28"/>
                <w:szCs w:val="28"/>
                <w:highlight w:val="none"/>
              </w:rPr>
              <w:t>2.5 总平面布置</w:t>
            </w:r>
          </w:p>
          <w:p w14:paraId="431FBD25">
            <w:pPr>
              <w:pStyle w:val="32"/>
              <w:spacing w:after="0" w:line="360" w:lineRule="auto"/>
              <w:ind w:left="0" w:leftChars="0" w:firstLine="480"/>
              <w:rPr>
                <w:rFonts w:hint="default" w:ascii="Times New Roman" w:hAnsi="Times New Roman" w:cs="Times New Roman"/>
                <w:bCs/>
                <w:color w:val="auto"/>
                <w:highlight w:val="none"/>
              </w:rPr>
            </w:pPr>
            <w:r>
              <w:rPr>
                <w:rFonts w:hint="default" w:ascii="Times New Roman" w:hAnsi="Times New Roman" w:cs="Times New Roman"/>
                <w:color w:val="auto"/>
                <w:highlight w:val="none"/>
              </w:rPr>
              <w:t>华宁县疾病预防控制中心位于云南省玉溪市华宁县东风路与松山路交叉路口，实验楼建成后，总平面布置为：入口位于松山路一侧，6F办公楼呈东西走向分布，4F的门诊楼北面与办公楼西面相接，门诊楼呈南北走向，应急物资、疫苗冷链综合储备库布位于门诊楼南面，拟建的实验楼置于门诊楼东面，设备用房位于项目区最南面，</w:t>
            </w:r>
            <w:r>
              <w:rPr>
                <w:rFonts w:hint="default" w:ascii="Times New Roman" w:hAnsi="Times New Roman" w:cs="Times New Roman"/>
                <w:bCs/>
                <w:color w:val="auto"/>
                <w:highlight w:val="none"/>
              </w:rPr>
              <w:t>道路两侧辅以绿化。项目区内功能分区明确，布局合理。具体见附图4总平面布置图。</w:t>
            </w:r>
          </w:p>
          <w:p w14:paraId="33A7FC86">
            <w:pPr>
              <w:keepNext w:val="0"/>
              <w:keepLines w:val="0"/>
              <w:pageBreakBefore w:val="0"/>
              <w:widowControl w:val="0"/>
              <w:kinsoku/>
              <w:wordWrap/>
              <w:overflowPunct/>
              <w:topLinePunct w:val="0"/>
              <w:autoSpaceDE/>
              <w:autoSpaceDN/>
              <w:bidi w:val="0"/>
              <w:snapToGrid/>
              <w:spacing w:before="157" w:beforeLines="50" w:line="360" w:lineRule="auto"/>
              <w:jc w:val="left"/>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2.6 人员配置及工作制度</w:t>
            </w:r>
          </w:p>
          <w:p w14:paraId="4E8F707A">
            <w:pPr>
              <w:pStyle w:val="31"/>
              <w:ind w:firstLine="48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目前疾控中心内现有在职在编人员53人，编外人员5人，公益性岗位人员2人。本项目建成后，人员编制不增加，中心内无食堂及宿舍，员工均不在项目区食宿。年工作时间260天，每天工作8小时。</w:t>
            </w:r>
          </w:p>
          <w:p w14:paraId="6FDAE351">
            <w:pPr>
              <w:keepNext w:val="0"/>
              <w:keepLines w:val="0"/>
              <w:pageBreakBefore w:val="0"/>
              <w:widowControl w:val="0"/>
              <w:kinsoku/>
              <w:wordWrap/>
              <w:overflowPunct/>
              <w:topLinePunct w:val="0"/>
              <w:autoSpaceDE/>
              <w:autoSpaceDN/>
              <w:bidi w:val="0"/>
              <w:snapToGrid/>
              <w:spacing w:before="157" w:beforeLines="50" w:line="360" w:lineRule="auto"/>
              <w:jc w:val="left"/>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2.7 水平衡</w:t>
            </w:r>
          </w:p>
          <w:p w14:paraId="3B4F82F4">
            <w:pPr>
              <w:spacing w:line="360" w:lineRule="auto"/>
              <w:ind w:firstLine="480" w:firstLineChars="200"/>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项目改扩建后不新增人员，无新增人员生活用水，门诊及相关人员接待依托现有项目门诊大厅，无新增门诊病人生活污水，改扩建项目用水主要为综合实验楼用水，项目水平衡详见下图。</w:t>
            </w:r>
          </w:p>
          <w:p w14:paraId="7AC5D297">
            <w:pPr>
              <w:spacing w:line="360" w:lineRule="auto"/>
              <w:rPr>
                <w:rFonts w:hint="default" w:ascii="Times New Roman" w:hAnsi="Times New Roman" w:cs="Times New Roman"/>
                <w:bCs/>
                <w:color w:val="auto"/>
                <w:kern w:val="0"/>
                <w:sz w:val="24"/>
                <w:highlight w:val="none"/>
                <w:lang w:eastAsia="zh-CN" w:bidi="ar"/>
              </w:rPr>
            </w:pPr>
            <w:r>
              <w:rPr>
                <w:rFonts w:hint="default" w:ascii="Times New Roman" w:hAnsi="Times New Roman" w:cs="Times New Roman"/>
              </w:rPr>
              <w:drawing>
                <wp:inline distT="0" distB="0" distL="114300" distR="114300">
                  <wp:extent cx="5306060" cy="1739265"/>
                  <wp:effectExtent l="0" t="0" r="12700" b="13335"/>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9"/>
                          <a:stretch>
                            <a:fillRect/>
                          </a:stretch>
                        </pic:blipFill>
                        <pic:spPr>
                          <a:xfrm>
                            <a:off x="0" y="0"/>
                            <a:ext cx="5306060" cy="1739265"/>
                          </a:xfrm>
                          <a:prstGeom prst="rect">
                            <a:avLst/>
                          </a:prstGeom>
                          <a:noFill/>
                          <a:ln>
                            <a:noFill/>
                          </a:ln>
                        </pic:spPr>
                      </pic:pic>
                    </a:graphicData>
                  </a:graphic>
                </wp:inline>
              </w:drawing>
            </w:r>
          </w:p>
          <w:p w14:paraId="10B4FCB5">
            <w:pPr>
              <w:spacing w:line="360" w:lineRule="auto"/>
              <w:jc w:val="center"/>
              <w:rPr>
                <w:rFonts w:hint="default" w:ascii="Times New Roman" w:hAnsi="Times New Roman" w:cs="Times New Roman"/>
                <w:b/>
                <w:color w:val="auto"/>
                <w:szCs w:val="21"/>
                <w:highlight w:val="none"/>
              </w:rPr>
            </w:pPr>
            <w:r>
              <w:rPr>
                <w:rFonts w:hint="default" w:ascii="Times New Roman" w:hAnsi="Times New Roman" w:cs="Times New Roman"/>
                <w:b/>
                <w:bCs/>
                <w:color w:val="auto"/>
                <w:highlight w:val="none"/>
              </w:rPr>
              <w:object>
                <v:shape id="_x0000_i1025" o:spt="75" type="#_x0000_t75" style="height:7.5pt;width:7.5pt;" o:ole="t" filled="f" o:preferrelative="t" stroked="f" coordsize="21600,21600">
                  <v:path/>
                  <v:fill on="f" focussize="0,0"/>
                  <v:stroke on="f" joinstyle="miter"/>
                  <v:imagedata o:title=""/>
                  <o:lock v:ext="edit" aspectratio="f"/>
                  <w10:wrap type="none"/>
                  <w10:anchorlock/>
                </v:shape>
                <o:OLEObject Type="Embed" ProgID="Visio.Drawing.11" ShapeID="_x0000_i1025" DrawAspect="Content" ObjectID="_1468075725" r:id="rId10">
                  <o:LockedField>false</o:LockedField>
                </o:OLEObject>
              </w:object>
            </w:r>
            <w:r>
              <w:rPr>
                <w:rFonts w:hint="default" w:ascii="Times New Roman" w:hAnsi="Times New Roman" w:cs="Times New Roman"/>
                <w:b/>
                <w:bCs/>
                <w:color w:val="auto"/>
                <w:highlight w:val="none"/>
              </w:rPr>
              <w:t>图2-5 改扩建</w:t>
            </w:r>
            <w:r>
              <w:rPr>
                <w:rFonts w:hint="default" w:ascii="Times New Roman" w:hAnsi="Times New Roman" w:cs="Times New Roman"/>
                <w:b/>
                <w:color w:val="auto"/>
                <w:szCs w:val="21"/>
                <w:highlight w:val="none"/>
              </w:rPr>
              <w:t>项目水量平衡图   单位：m</w:t>
            </w:r>
            <w:r>
              <w:rPr>
                <w:rFonts w:hint="default" w:ascii="Times New Roman" w:hAnsi="Times New Roman" w:cs="Times New Roman"/>
                <w:b/>
                <w:color w:val="auto"/>
                <w:szCs w:val="21"/>
                <w:highlight w:val="none"/>
                <w:vertAlign w:val="superscript"/>
              </w:rPr>
              <w:t>3</w:t>
            </w:r>
            <w:r>
              <w:rPr>
                <w:rFonts w:hint="default" w:ascii="Times New Roman" w:hAnsi="Times New Roman" w:cs="Times New Roman"/>
                <w:b/>
                <w:color w:val="auto"/>
                <w:szCs w:val="21"/>
                <w:highlight w:val="none"/>
              </w:rPr>
              <w:t>/d</w:t>
            </w:r>
          </w:p>
          <w:p w14:paraId="0594FFCD">
            <w:pPr>
              <w:spacing w:line="360" w:lineRule="auto"/>
              <w:jc w:val="center"/>
              <w:rPr>
                <w:rFonts w:hint="default" w:ascii="Times New Roman" w:hAnsi="Times New Roman" w:cs="Times New Roman"/>
                <w:b/>
                <w:color w:val="auto"/>
                <w:szCs w:val="21"/>
                <w:highlight w:val="none"/>
              </w:rPr>
            </w:pPr>
          </w:p>
          <w:p w14:paraId="352A8F3B">
            <w:pPr>
              <w:spacing w:line="360" w:lineRule="auto"/>
              <w:jc w:val="center"/>
              <w:rPr>
                <w:rFonts w:hint="default" w:ascii="Times New Roman" w:hAnsi="Times New Roman" w:cs="Times New Roman"/>
                <w:b/>
                <w:color w:val="auto"/>
                <w:szCs w:val="21"/>
                <w:highlight w:val="none"/>
              </w:rPr>
            </w:pPr>
          </w:p>
          <w:p w14:paraId="24F08A7C">
            <w:pPr>
              <w:keepNext w:val="0"/>
              <w:keepLines w:val="0"/>
              <w:pageBreakBefore w:val="0"/>
              <w:widowControl w:val="0"/>
              <w:kinsoku/>
              <w:wordWrap/>
              <w:overflowPunct/>
              <w:topLinePunct w:val="0"/>
              <w:autoSpaceDE/>
              <w:autoSpaceDN/>
              <w:bidi w:val="0"/>
              <w:snapToGrid/>
              <w:spacing w:before="157" w:beforeLines="50" w:line="360" w:lineRule="auto"/>
              <w:jc w:val="left"/>
              <w:rPr>
                <w:rFonts w:hint="default" w:ascii="Times New Roman" w:hAnsi="Times New Roman" w:cs="Times New Roman"/>
                <w:b/>
                <w:color w:val="auto"/>
                <w:sz w:val="28"/>
                <w:szCs w:val="28"/>
                <w:highlight w:val="none"/>
              </w:rPr>
            </w:pPr>
            <w:r>
              <w:rPr>
                <w:rFonts w:hint="default" w:ascii="Times New Roman" w:hAnsi="Times New Roman" w:cs="Times New Roman"/>
                <w:b/>
                <w:color w:val="auto"/>
                <w:sz w:val="28"/>
                <w:szCs w:val="28"/>
                <w:highlight w:val="none"/>
              </w:rPr>
              <w:t>2.8 环保投资估算</w:t>
            </w:r>
          </w:p>
          <w:p w14:paraId="3AFD6CC5">
            <w:pPr>
              <w:spacing w:line="360" w:lineRule="auto"/>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项目总投资1500万，环保投资共计122万，占总投资的0.813%。详见下表。</w:t>
            </w:r>
          </w:p>
          <w:p w14:paraId="2742A479">
            <w:pPr>
              <w:pStyle w:val="55"/>
              <w:spacing w:line="240" w:lineRule="auto"/>
              <w:ind w:left="0" w:firstLine="0"/>
              <w:rPr>
                <w:rFonts w:hint="default" w:ascii="Times New Roman" w:hAnsi="Times New Roman" w:cs="Times New Roman"/>
                <w:color w:val="auto"/>
                <w:highlight w:val="none"/>
              </w:rPr>
            </w:pPr>
            <w:r>
              <w:rPr>
                <w:rFonts w:hint="default" w:ascii="Times New Roman" w:hAnsi="Times New Roman" w:cs="Times New Roman"/>
                <w:b/>
                <w:bCs/>
                <w:color w:val="auto"/>
                <w:sz w:val="21"/>
                <w:szCs w:val="21"/>
                <w:highlight w:val="none"/>
              </w:rPr>
              <w:t>表2-6 项目环保设施投资估算表</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color w:val="auto"/>
                <w:szCs w:val="21"/>
                <w:highlight w:val="none"/>
              </w:rPr>
              <w:t>万元</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741"/>
              <w:gridCol w:w="833"/>
              <w:gridCol w:w="4159"/>
              <w:gridCol w:w="1132"/>
              <w:gridCol w:w="913"/>
            </w:tblGrid>
            <w:tr w14:paraId="744A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82" w:type="pct"/>
                  <w:gridSpan w:val="2"/>
                  <w:vAlign w:val="center"/>
                </w:tcPr>
                <w:p w14:paraId="050A7BD4">
                  <w:pPr>
                    <w:tabs>
                      <w:tab w:val="left" w:pos="855"/>
                    </w:tabs>
                    <w:ind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项目</w:t>
                  </w:r>
                </w:p>
              </w:tc>
              <w:tc>
                <w:tcPr>
                  <w:tcW w:w="2991" w:type="pct"/>
                  <w:gridSpan w:val="2"/>
                  <w:vAlign w:val="center"/>
                </w:tcPr>
                <w:p w14:paraId="6E4B26A1">
                  <w:pPr>
                    <w:tabs>
                      <w:tab w:val="left" w:pos="855"/>
                    </w:tabs>
                    <w:ind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环保工程</w:t>
                  </w:r>
                </w:p>
              </w:tc>
              <w:tc>
                <w:tcPr>
                  <w:tcW w:w="678" w:type="pct"/>
                  <w:vAlign w:val="center"/>
                </w:tcPr>
                <w:p w14:paraId="07D94155">
                  <w:pPr>
                    <w:keepNext w:val="0"/>
                    <w:keepLines w:val="0"/>
                    <w:pageBreakBefore w:val="0"/>
                    <w:widowControl w:val="0"/>
                    <w:tabs>
                      <w:tab w:val="left" w:pos="855"/>
                    </w:tabs>
                    <w:kinsoku/>
                    <w:wordWrap/>
                    <w:overflowPunct/>
                    <w:topLinePunct w:val="0"/>
                    <w:autoSpaceDE/>
                    <w:autoSpaceDN/>
                    <w:bidi w:val="0"/>
                    <w:adjustRightInd/>
                    <w:snapToGrid/>
                    <w:ind w:right="0" w:right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投资金额</w:t>
                  </w:r>
                </w:p>
              </w:tc>
              <w:tc>
                <w:tcPr>
                  <w:tcW w:w="547" w:type="pct"/>
                  <w:vAlign w:val="center"/>
                </w:tcPr>
                <w:p w14:paraId="103921DA">
                  <w:pPr>
                    <w:tabs>
                      <w:tab w:val="left" w:pos="855"/>
                    </w:tabs>
                    <w:ind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备注</w:t>
                  </w:r>
                </w:p>
              </w:tc>
            </w:tr>
            <w:tr w14:paraId="7C9C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restart"/>
                  <w:vAlign w:val="center"/>
                </w:tcPr>
                <w:p w14:paraId="40368B23">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施工期</w:t>
                  </w:r>
                </w:p>
              </w:tc>
              <w:tc>
                <w:tcPr>
                  <w:tcW w:w="444" w:type="pct"/>
                  <w:vAlign w:val="center"/>
                </w:tcPr>
                <w:p w14:paraId="31BD21E5">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lang w:bidi="ar"/>
                    </w:rPr>
                    <w:t>废气</w:t>
                  </w:r>
                </w:p>
              </w:tc>
              <w:tc>
                <w:tcPr>
                  <w:tcW w:w="2991" w:type="pct"/>
                  <w:gridSpan w:val="2"/>
                  <w:vAlign w:val="center"/>
                </w:tcPr>
                <w:p w14:paraId="58FAE350">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运输加盖篷布、施工场地洒水，设置施工围挡</w:t>
                  </w:r>
                </w:p>
              </w:tc>
              <w:tc>
                <w:tcPr>
                  <w:tcW w:w="678" w:type="pct"/>
                  <w:vAlign w:val="center"/>
                </w:tcPr>
                <w:p w14:paraId="74B30F24">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0.5</w:t>
                  </w:r>
                </w:p>
              </w:tc>
              <w:tc>
                <w:tcPr>
                  <w:tcW w:w="547" w:type="pct"/>
                  <w:vAlign w:val="center"/>
                </w:tcPr>
                <w:p w14:paraId="77989276">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新增</w:t>
                  </w:r>
                </w:p>
              </w:tc>
            </w:tr>
            <w:tr w14:paraId="2B16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012C58A4">
                  <w:pPr>
                    <w:spacing w:line="288" w:lineRule="auto"/>
                    <w:jc w:val="center"/>
                    <w:rPr>
                      <w:rFonts w:hint="default" w:ascii="Times New Roman" w:hAnsi="Times New Roman" w:cs="Times New Roman"/>
                      <w:color w:val="auto"/>
                      <w:szCs w:val="21"/>
                      <w:highlight w:val="none"/>
                    </w:rPr>
                  </w:pPr>
                </w:p>
              </w:tc>
              <w:tc>
                <w:tcPr>
                  <w:tcW w:w="444" w:type="pct"/>
                  <w:vAlign w:val="center"/>
                </w:tcPr>
                <w:p w14:paraId="28750B31">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lang w:bidi="ar"/>
                    </w:rPr>
                    <w:t>废水</w:t>
                  </w:r>
                </w:p>
              </w:tc>
              <w:tc>
                <w:tcPr>
                  <w:tcW w:w="2991" w:type="pct"/>
                  <w:gridSpan w:val="2"/>
                  <w:vAlign w:val="center"/>
                </w:tcPr>
                <w:p w14:paraId="32DDE574">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临时沉砂池1个，容积5m</w:t>
                  </w:r>
                  <w:r>
                    <w:rPr>
                      <w:rFonts w:hint="default" w:ascii="Times New Roman" w:hAnsi="Times New Roman" w:cs="Times New Roman"/>
                      <w:color w:val="auto"/>
                      <w:szCs w:val="21"/>
                      <w:highlight w:val="none"/>
                      <w:vertAlign w:val="superscript"/>
                    </w:rPr>
                    <w:t>3</w:t>
                  </w:r>
                </w:p>
              </w:tc>
              <w:tc>
                <w:tcPr>
                  <w:tcW w:w="678" w:type="pct"/>
                  <w:vAlign w:val="center"/>
                </w:tcPr>
                <w:p w14:paraId="5B25D7EC">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0.4</w:t>
                  </w:r>
                </w:p>
              </w:tc>
              <w:tc>
                <w:tcPr>
                  <w:tcW w:w="547" w:type="pct"/>
                  <w:vAlign w:val="center"/>
                </w:tcPr>
                <w:p w14:paraId="1F9D7946">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新增</w:t>
                  </w:r>
                </w:p>
              </w:tc>
            </w:tr>
            <w:tr w14:paraId="51AE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19E3F006">
                  <w:pPr>
                    <w:spacing w:line="288" w:lineRule="auto"/>
                    <w:jc w:val="center"/>
                    <w:rPr>
                      <w:rFonts w:hint="default" w:ascii="Times New Roman" w:hAnsi="Times New Roman" w:cs="Times New Roman"/>
                      <w:color w:val="auto"/>
                      <w:szCs w:val="21"/>
                      <w:highlight w:val="none"/>
                    </w:rPr>
                  </w:pPr>
                </w:p>
              </w:tc>
              <w:tc>
                <w:tcPr>
                  <w:tcW w:w="444" w:type="pct"/>
                  <w:vAlign w:val="center"/>
                </w:tcPr>
                <w:p w14:paraId="0071232F">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lang w:bidi="ar"/>
                    </w:rPr>
                    <w:t>噪声</w:t>
                  </w:r>
                </w:p>
              </w:tc>
              <w:tc>
                <w:tcPr>
                  <w:tcW w:w="2991" w:type="pct"/>
                  <w:gridSpan w:val="2"/>
                  <w:vAlign w:val="center"/>
                </w:tcPr>
                <w:p w14:paraId="2DA1D0E4">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施工场界围挡，1.8m高，200m长</w:t>
                  </w:r>
                </w:p>
              </w:tc>
              <w:tc>
                <w:tcPr>
                  <w:tcW w:w="678" w:type="pct"/>
                  <w:vAlign w:val="center"/>
                </w:tcPr>
                <w:p w14:paraId="022237CD">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2.6</w:t>
                  </w:r>
                </w:p>
              </w:tc>
              <w:tc>
                <w:tcPr>
                  <w:tcW w:w="547" w:type="pct"/>
                  <w:vAlign w:val="center"/>
                </w:tcPr>
                <w:p w14:paraId="17D0DE09">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新增</w:t>
                  </w:r>
                </w:p>
              </w:tc>
            </w:tr>
            <w:tr w14:paraId="59D7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1E79AC51">
                  <w:pPr>
                    <w:spacing w:line="288" w:lineRule="auto"/>
                    <w:jc w:val="center"/>
                    <w:rPr>
                      <w:rFonts w:hint="default" w:ascii="Times New Roman" w:hAnsi="Times New Roman" w:cs="Times New Roman"/>
                      <w:color w:val="auto"/>
                      <w:szCs w:val="21"/>
                      <w:highlight w:val="none"/>
                    </w:rPr>
                  </w:pPr>
                </w:p>
              </w:tc>
              <w:tc>
                <w:tcPr>
                  <w:tcW w:w="444" w:type="pct"/>
                  <w:vAlign w:val="center"/>
                </w:tcPr>
                <w:p w14:paraId="4D490970">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lang w:bidi="ar"/>
                    </w:rPr>
                    <w:t>固废</w:t>
                  </w:r>
                </w:p>
              </w:tc>
              <w:tc>
                <w:tcPr>
                  <w:tcW w:w="2991" w:type="pct"/>
                  <w:gridSpan w:val="2"/>
                  <w:vAlign w:val="center"/>
                </w:tcPr>
                <w:p w14:paraId="150C7712">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固废收集及清运</w:t>
                  </w:r>
                </w:p>
              </w:tc>
              <w:tc>
                <w:tcPr>
                  <w:tcW w:w="678" w:type="pct"/>
                  <w:vAlign w:val="center"/>
                </w:tcPr>
                <w:p w14:paraId="65A95AA9">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0.2</w:t>
                  </w:r>
                </w:p>
              </w:tc>
              <w:tc>
                <w:tcPr>
                  <w:tcW w:w="547" w:type="pct"/>
                  <w:vAlign w:val="center"/>
                </w:tcPr>
                <w:p w14:paraId="14035B66">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新增</w:t>
                  </w:r>
                </w:p>
              </w:tc>
            </w:tr>
            <w:tr w14:paraId="2468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restart"/>
                  <w:vAlign w:val="center"/>
                </w:tcPr>
                <w:p w14:paraId="70B709D6">
                  <w:pPr>
                    <w:pStyle w:val="55"/>
                    <w:spacing w:line="240" w:lineRule="auto"/>
                    <w:ind w:left="0" w:firstLine="0"/>
                    <w:jc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Cs w:val="21"/>
                      <w:highlight w:val="none"/>
                    </w:rPr>
                    <w:t>运营期</w:t>
                  </w:r>
                </w:p>
              </w:tc>
              <w:tc>
                <w:tcPr>
                  <w:tcW w:w="444" w:type="pct"/>
                  <w:vMerge w:val="restart"/>
                  <w:vAlign w:val="center"/>
                </w:tcPr>
                <w:p w14:paraId="2A0ADC7D">
                  <w:pPr>
                    <w:autoSpaceDE w:val="0"/>
                    <w:adjustRightInd w:val="0"/>
                    <w:snapToGrid w:val="0"/>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lang w:bidi="ar"/>
                    </w:rPr>
                    <w:t>废气</w:t>
                  </w:r>
                </w:p>
              </w:tc>
              <w:tc>
                <w:tcPr>
                  <w:tcW w:w="499" w:type="pct"/>
                  <w:vMerge w:val="restart"/>
                  <w:vAlign w:val="center"/>
                </w:tcPr>
                <w:p w14:paraId="25F29CA1">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理化实验室</w:t>
                  </w:r>
                </w:p>
              </w:tc>
              <w:tc>
                <w:tcPr>
                  <w:tcW w:w="2492" w:type="pct"/>
                  <w:vAlign w:val="center"/>
                </w:tcPr>
                <w:p w14:paraId="58DAE334">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有机废气：实验室通风柜密封收集+二级活性炭吸附+1根23m高排气筒排放（DA001）</w:t>
                  </w:r>
                </w:p>
              </w:tc>
              <w:tc>
                <w:tcPr>
                  <w:tcW w:w="678" w:type="pct"/>
                  <w:vMerge w:val="restart"/>
                  <w:vAlign w:val="center"/>
                </w:tcPr>
                <w:p w14:paraId="54FBB241">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50</w:t>
                  </w:r>
                </w:p>
              </w:tc>
              <w:tc>
                <w:tcPr>
                  <w:tcW w:w="547" w:type="pct"/>
                  <w:vMerge w:val="restart"/>
                  <w:vAlign w:val="center"/>
                </w:tcPr>
                <w:p w14:paraId="11EDF00B">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新增</w:t>
                  </w:r>
                </w:p>
              </w:tc>
            </w:tr>
            <w:tr w14:paraId="3F12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748011AC">
                  <w:pPr>
                    <w:pStyle w:val="55"/>
                    <w:spacing w:line="240" w:lineRule="auto"/>
                    <w:ind w:left="0" w:firstLine="0"/>
                    <w:jc w:val="center"/>
                    <w:rPr>
                      <w:rFonts w:hint="default" w:ascii="Times New Roman" w:hAnsi="Times New Roman" w:cs="Times New Roman"/>
                      <w:b/>
                      <w:bCs/>
                      <w:color w:val="auto"/>
                      <w:szCs w:val="21"/>
                      <w:highlight w:val="none"/>
                    </w:rPr>
                  </w:pPr>
                </w:p>
              </w:tc>
              <w:tc>
                <w:tcPr>
                  <w:tcW w:w="444" w:type="pct"/>
                  <w:vMerge w:val="continue"/>
                  <w:vAlign w:val="center"/>
                </w:tcPr>
                <w:p w14:paraId="635CA722">
                  <w:pPr>
                    <w:autoSpaceDE w:val="0"/>
                    <w:adjustRightInd w:val="0"/>
                    <w:snapToGrid w:val="0"/>
                    <w:spacing w:line="288" w:lineRule="auto"/>
                    <w:jc w:val="center"/>
                    <w:rPr>
                      <w:rFonts w:hint="default" w:ascii="Times New Roman" w:hAnsi="Times New Roman" w:cs="Times New Roman"/>
                      <w:b/>
                      <w:bCs/>
                      <w:color w:val="auto"/>
                      <w:szCs w:val="21"/>
                      <w:highlight w:val="none"/>
                      <w:lang w:bidi="ar"/>
                    </w:rPr>
                  </w:pPr>
                </w:p>
              </w:tc>
              <w:tc>
                <w:tcPr>
                  <w:tcW w:w="499" w:type="pct"/>
                  <w:vMerge w:val="continue"/>
                  <w:vAlign w:val="center"/>
                </w:tcPr>
                <w:p w14:paraId="05C6D826">
                  <w:pPr>
                    <w:pStyle w:val="102"/>
                    <w:jc w:val="center"/>
                    <w:rPr>
                      <w:rFonts w:hint="default" w:ascii="Times New Roman" w:hAnsi="Times New Roman" w:cs="Times New Roman"/>
                      <w:color w:val="auto"/>
                      <w:szCs w:val="21"/>
                      <w:highlight w:val="none"/>
                    </w:rPr>
                  </w:pPr>
                </w:p>
              </w:tc>
              <w:tc>
                <w:tcPr>
                  <w:tcW w:w="2492" w:type="pct"/>
                  <w:vAlign w:val="center"/>
                </w:tcPr>
                <w:p w14:paraId="36C6B8BC">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酸性气体：实验室通风柜密封收集+碱液吸收+烟气干燥+二级活性炭吸附+1根23m高排气筒排放（DA001）</w:t>
                  </w:r>
                </w:p>
              </w:tc>
              <w:tc>
                <w:tcPr>
                  <w:tcW w:w="678" w:type="pct"/>
                  <w:vMerge w:val="continue"/>
                  <w:vAlign w:val="center"/>
                </w:tcPr>
                <w:p w14:paraId="34F8F538">
                  <w:pPr>
                    <w:autoSpaceDE w:val="0"/>
                    <w:adjustRightInd w:val="0"/>
                    <w:snapToGrid w:val="0"/>
                    <w:spacing w:line="288" w:lineRule="auto"/>
                    <w:jc w:val="center"/>
                    <w:rPr>
                      <w:rFonts w:hint="default" w:ascii="Times New Roman" w:hAnsi="Times New Roman" w:cs="Times New Roman"/>
                      <w:color w:val="auto"/>
                      <w:szCs w:val="21"/>
                      <w:highlight w:val="none"/>
                      <w:lang w:bidi="ar"/>
                    </w:rPr>
                  </w:pPr>
                </w:p>
              </w:tc>
              <w:tc>
                <w:tcPr>
                  <w:tcW w:w="547" w:type="pct"/>
                  <w:vMerge w:val="continue"/>
                  <w:vAlign w:val="center"/>
                </w:tcPr>
                <w:p w14:paraId="5D67D77B">
                  <w:pPr>
                    <w:autoSpaceDE w:val="0"/>
                    <w:adjustRightInd w:val="0"/>
                    <w:snapToGrid w:val="0"/>
                    <w:spacing w:line="288" w:lineRule="auto"/>
                    <w:jc w:val="center"/>
                    <w:rPr>
                      <w:rFonts w:hint="default" w:ascii="Times New Roman" w:hAnsi="Times New Roman" w:cs="Times New Roman"/>
                      <w:color w:val="auto"/>
                      <w:szCs w:val="21"/>
                      <w:highlight w:val="none"/>
                      <w:lang w:bidi="ar"/>
                    </w:rPr>
                  </w:pPr>
                </w:p>
              </w:tc>
            </w:tr>
            <w:tr w14:paraId="7E59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1F3253D6">
                  <w:pPr>
                    <w:pStyle w:val="55"/>
                    <w:spacing w:line="240" w:lineRule="auto"/>
                    <w:ind w:left="0" w:firstLine="0"/>
                    <w:jc w:val="center"/>
                    <w:rPr>
                      <w:rFonts w:hint="default" w:ascii="Times New Roman" w:hAnsi="Times New Roman" w:cs="Times New Roman"/>
                      <w:color w:val="auto"/>
                      <w:sz w:val="21"/>
                      <w:szCs w:val="21"/>
                      <w:highlight w:val="none"/>
                    </w:rPr>
                  </w:pPr>
                </w:p>
              </w:tc>
              <w:tc>
                <w:tcPr>
                  <w:tcW w:w="444" w:type="pct"/>
                  <w:vMerge w:val="continue"/>
                  <w:vAlign w:val="center"/>
                </w:tcPr>
                <w:p w14:paraId="4B5AB8F8">
                  <w:pPr>
                    <w:pStyle w:val="55"/>
                    <w:spacing w:line="240" w:lineRule="auto"/>
                    <w:ind w:left="0" w:firstLine="0"/>
                    <w:jc w:val="center"/>
                    <w:rPr>
                      <w:rFonts w:hint="default" w:ascii="Times New Roman" w:hAnsi="Times New Roman" w:cs="Times New Roman"/>
                      <w:b/>
                      <w:bCs/>
                      <w:color w:val="auto"/>
                      <w:sz w:val="21"/>
                      <w:szCs w:val="21"/>
                      <w:highlight w:val="none"/>
                    </w:rPr>
                  </w:pPr>
                </w:p>
              </w:tc>
              <w:tc>
                <w:tcPr>
                  <w:tcW w:w="499" w:type="pct"/>
                  <w:vAlign w:val="center"/>
                </w:tcPr>
                <w:p w14:paraId="1E53E73A">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微生物实验室</w:t>
                  </w:r>
                </w:p>
              </w:tc>
              <w:tc>
                <w:tcPr>
                  <w:tcW w:w="2492" w:type="pct"/>
                  <w:vAlign w:val="center"/>
                </w:tcPr>
                <w:p w14:paraId="6B5401F2">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①设置1套新风空调系统</w:t>
                  </w:r>
                </w:p>
                <w:p w14:paraId="3975E49A">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②生物安全柜（含高效过滤器）+紫外消毒装置</w:t>
                  </w:r>
                </w:p>
              </w:tc>
              <w:tc>
                <w:tcPr>
                  <w:tcW w:w="678" w:type="pct"/>
                  <w:vAlign w:val="center"/>
                </w:tcPr>
                <w:p w14:paraId="7660DADA">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w:t>
                  </w:r>
                </w:p>
              </w:tc>
              <w:tc>
                <w:tcPr>
                  <w:tcW w:w="547" w:type="pct"/>
                  <w:vAlign w:val="center"/>
                </w:tcPr>
                <w:p w14:paraId="48BB297A">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新增</w:t>
                  </w:r>
                </w:p>
              </w:tc>
            </w:tr>
            <w:tr w14:paraId="239F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062EFAD1">
                  <w:pPr>
                    <w:pStyle w:val="55"/>
                    <w:spacing w:line="240" w:lineRule="auto"/>
                    <w:ind w:left="0" w:firstLine="0"/>
                    <w:jc w:val="center"/>
                    <w:rPr>
                      <w:rFonts w:hint="default" w:ascii="Times New Roman" w:hAnsi="Times New Roman" w:cs="Times New Roman"/>
                      <w:color w:val="auto"/>
                      <w:sz w:val="21"/>
                      <w:szCs w:val="21"/>
                      <w:highlight w:val="none"/>
                    </w:rPr>
                  </w:pPr>
                </w:p>
              </w:tc>
              <w:tc>
                <w:tcPr>
                  <w:tcW w:w="444" w:type="pct"/>
                  <w:vMerge w:val="restart"/>
                  <w:vAlign w:val="center"/>
                </w:tcPr>
                <w:p w14:paraId="7D95B946">
                  <w:pPr>
                    <w:autoSpaceDE w:val="0"/>
                    <w:adjustRightInd w:val="0"/>
                    <w:snapToGrid w:val="0"/>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lang w:bidi="ar"/>
                    </w:rPr>
                    <w:t>废水</w:t>
                  </w:r>
                </w:p>
              </w:tc>
              <w:tc>
                <w:tcPr>
                  <w:tcW w:w="2991" w:type="pct"/>
                  <w:gridSpan w:val="2"/>
                  <w:vAlign w:val="center"/>
                </w:tcPr>
                <w:p w14:paraId="31F6F225">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实验室废水预处理：①酸碱废水经1m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的实验室废水预处理系统中和预处理；②含重金属废水经1m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的化学沉淀池预处理；③含氰废水经1m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的碱性氯化法破氰槽预处理；</w:t>
                  </w:r>
                  <w:r>
                    <w:rPr>
                      <w:rFonts w:hint="default" w:ascii="Times New Roman" w:hAnsi="Times New Roman" w:cs="Times New Roman"/>
                      <w:color w:val="auto"/>
                      <w:szCs w:val="21"/>
                      <w:highlight w:val="none"/>
                    </w:rPr>
                    <w:fldChar w:fldCharType="begin"/>
                  </w:r>
                  <w:r>
                    <w:rPr>
                      <w:rFonts w:hint="default" w:ascii="Times New Roman" w:hAnsi="Times New Roman" w:cs="Times New Roman"/>
                      <w:color w:val="auto"/>
                      <w:szCs w:val="21"/>
                      <w:highlight w:val="none"/>
                    </w:rPr>
                    <w:instrText xml:space="preserve"> = 4 \* GB3 \* MERGEFORMAT </w:instrText>
                  </w:r>
                  <w:r>
                    <w:rPr>
                      <w:rFonts w:hint="default" w:ascii="Times New Roman" w:hAnsi="Times New Roman" w:cs="Times New Roman"/>
                      <w:color w:val="auto"/>
                      <w:szCs w:val="21"/>
                      <w:highlight w:val="none"/>
                    </w:rPr>
                    <w:fldChar w:fldCharType="separate"/>
                  </w:r>
                  <w:r>
                    <w:rPr>
                      <w:rFonts w:hint="default" w:ascii="Times New Roman" w:hAnsi="Times New Roman" w:cs="Times New Roman"/>
                      <w:color w:val="auto"/>
                      <w:highlight w:val="none"/>
                    </w:rPr>
                    <w:t>④</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微生物实验室废水经1m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次氯酸钠消毒池预处理。预处理后的各类废水最终汇入现有10m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/d废水处理站。</w:t>
                  </w:r>
                </w:p>
              </w:tc>
              <w:tc>
                <w:tcPr>
                  <w:tcW w:w="678" w:type="pct"/>
                  <w:vAlign w:val="center"/>
                </w:tcPr>
                <w:p w14:paraId="2494C639">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547" w:type="pct"/>
                  <w:vAlign w:val="center"/>
                </w:tcPr>
                <w:p w14:paraId="028779AF">
                  <w:pPr>
                    <w:autoSpaceDE w:val="0"/>
                    <w:adjustRightInd w:val="0"/>
                    <w:snapToGrid w:val="0"/>
                    <w:spacing w:line="288" w:lineRule="auto"/>
                    <w:jc w:val="center"/>
                    <w:rPr>
                      <w:rFonts w:hint="default" w:ascii="Times New Roman" w:hAnsi="Times New Roman" w:cs="Times New Roman"/>
                      <w:color w:val="auto"/>
                      <w:szCs w:val="21"/>
                      <w:highlight w:val="none"/>
                      <w:lang w:bidi="ar"/>
                    </w:rPr>
                  </w:pPr>
                  <w:r>
                    <w:rPr>
                      <w:rFonts w:hint="default" w:ascii="Times New Roman" w:hAnsi="Times New Roman" w:cs="Times New Roman"/>
                      <w:color w:val="auto"/>
                      <w:szCs w:val="21"/>
                      <w:highlight w:val="none"/>
                      <w:lang w:bidi="ar"/>
                    </w:rPr>
                    <w:t>新增</w:t>
                  </w:r>
                </w:p>
              </w:tc>
            </w:tr>
            <w:tr w14:paraId="57F4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092A6748">
                  <w:pPr>
                    <w:pStyle w:val="55"/>
                    <w:spacing w:line="240" w:lineRule="auto"/>
                    <w:ind w:left="0" w:firstLine="0"/>
                    <w:jc w:val="center"/>
                    <w:rPr>
                      <w:rFonts w:hint="default" w:ascii="Times New Roman" w:hAnsi="Times New Roman" w:cs="Times New Roman"/>
                      <w:color w:val="auto"/>
                      <w:sz w:val="21"/>
                      <w:szCs w:val="21"/>
                      <w:highlight w:val="none"/>
                    </w:rPr>
                  </w:pPr>
                </w:p>
              </w:tc>
              <w:tc>
                <w:tcPr>
                  <w:tcW w:w="444" w:type="pct"/>
                  <w:vMerge w:val="continue"/>
                  <w:vAlign w:val="center"/>
                </w:tcPr>
                <w:p w14:paraId="68129AC6">
                  <w:pPr>
                    <w:autoSpaceDE w:val="0"/>
                    <w:adjustRightInd w:val="0"/>
                    <w:snapToGrid w:val="0"/>
                    <w:spacing w:line="288" w:lineRule="auto"/>
                    <w:jc w:val="center"/>
                    <w:rPr>
                      <w:rFonts w:hint="default" w:ascii="Times New Roman" w:hAnsi="Times New Roman" w:cs="Times New Roman"/>
                      <w:b/>
                      <w:bCs/>
                      <w:color w:val="auto"/>
                      <w:szCs w:val="21"/>
                      <w:highlight w:val="none"/>
                      <w:lang w:bidi="ar"/>
                    </w:rPr>
                  </w:pPr>
                </w:p>
              </w:tc>
              <w:tc>
                <w:tcPr>
                  <w:tcW w:w="2991" w:type="pct"/>
                  <w:gridSpan w:val="2"/>
                  <w:vAlign w:val="center"/>
                </w:tcPr>
                <w:p w14:paraId="5CF88138">
                  <w:pPr>
                    <w:pStyle w:val="10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处理规模为10m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/d“缺氧+接触氧化+MBR+次氯酸钠消毒”工艺的污水处理站</w:t>
                  </w:r>
                </w:p>
              </w:tc>
              <w:tc>
                <w:tcPr>
                  <w:tcW w:w="678" w:type="pct"/>
                  <w:vAlign w:val="center"/>
                </w:tcPr>
                <w:p w14:paraId="6CC9413B">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47" w:type="pct"/>
                  <w:vAlign w:val="center"/>
                </w:tcPr>
                <w:p w14:paraId="5710D5E7">
                  <w:pPr>
                    <w:autoSpaceDE w:val="0"/>
                    <w:adjustRightInd w:val="0"/>
                    <w:snapToGrid w:val="0"/>
                    <w:spacing w:line="288" w:lineRule="auto"/>
                    <w:jc w:val="center"/>
                    <w:rPr>
                      <w:rFonts w:hint="default" w:ascii="Times New Roman" w:hAnsi="Times New Roman" w:cs="Times New Roman"/>
                      <w:color w:val="auto"/>
                      <w:szCs w:val="21"/>
                      <w:highlight w:val="none"/>
                      <w:lang w:bidi="ar"/>
                    </w:rPr>
                  </w:pPr>
                  <w:r>
                    <w:rPr>
                      <w:rFonts w:hint="default" w:ascii="Times New Roman" w:hAnsi="Times New Roman" w:cs="Times New Roman"/>
                      <w:color w:val="auto"/>
                      <w:szCs w:val="21"/>
                      <w:highlight w:val="none"/>
                      <w:lang w:bidi="ar"/>
                    </w:rPr>
                    <w:t>依托</w:t>
                  </w:r>
                </w:p>
                <w:p w14:paraId="61DF1534">
                  <w:pPr>
                    <w:autoSpaceDE w:val="0"/>
                    <w:adjustRightInd w:val="0"/>
                    <w:snapToGrid w:val="0"/>
                    <w:spacing w:line="288" w:lineRule="auto"/>
                    <w:jc w:val="center"/>
                    <w:rPr>
                      <w:rFonts w:hint="default" w:ascii="Times New Roman" w:hAnsi="Times New Roman" w:cs="Times New Roman"/>
                      <w:color w:val="auto"/>
                      <w:szCs w:val="21"/>
                      <w:highlight w:val="none"/>
                      <w:lang w:bidi="ar"/>
                    </w:rPr>
                  </w:pPr>
                  <w:r>
                    <w:rPr>
                      <w:rFonts w:hint="default" w:ascii="Times New Roman" w:hAnsi="Times New Roman" w:cs="Times New Roman"/>
                      <w:color w:val="auto"/>
                      <w:szCs w:val="21"/>
                      <w:highlight w:val="none"/>
                      <w:lang w:bidi="ar"/>
                    </w:rPr>
                    <w:t>现有</w:t>
                  </w:r>
                </w:p>
              </w:tc>
            </w:tr>
            <w:tr w14:paraId="1AA9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65E6021C">
                  <w:pPr>
                    <w:pStyle w:val="55"/>
                    <w:spacing w:line="240" w:lineRule="auto"/>
                    <w:ind w:left="0" w:firstLine="0"/>
                    <w:jc w:val="center"/>
                    <w:rPr>
                      <w:rFonts w:hint="default" w:ascii="Times New Roman" w:hAnsi="Times New Roman" w:cs="Times New Roman"/>
                      <w:color w:val="auto"/>
                      <w:sz w:val="21"/>
                      <w:szCs w:val="21"/>
                      <w:highlight w:val="none"/>
                    </w:rPr>
                  </w:pPr>
                </w:p>
              </w:tc>
              <w:tc>
                <w:tcPr>
                  <w:tcW w:w="444" w:type="pct"/>
                  <w:vMerge w:val="continue"/>
                  <w:vAlign w:val="center"/>
                </w:tcPr>
                <w:p w14:paraId="7AB603DB">
                  <w:pPr>
                    <w:autoSpaceDE w:val="0"/>
                    <w:adjustRightInd w:val="0"/>
                    <w:snapToGrid w:val="0"/>
                    <w:spacing w:line="288" w:lineRule="auto"/>
                    <w:jc w:val="center"/>
                    <w:rPr>
                      <w:rFonts w:hint="default" w:ascii="Times New Roman" w:hAnsi="Times New Roman" w:cs="Times New Roman"/>
                      <w:b/>
                      <w:bCs/>
                      <w:color w:val="auto"/>
                      <w:szCs w:val="21"/>
                      <w:highlight w:val="none"/>
                      <w:lang w:bidi="ar"/>
                    </w:rPr>
                  </w:pPr>
                </w:p>
              </w:tc>
              <w:tc>
                <w:tcPr>
                  <w:tcW w:w="2991" w:type="pct"/>
                  <w:gridSpan w:val="2"/>
                  <w:vAlign w:val="center"/>
                </w:tcPr>
                <w:p w14:paraId="41EB33C0">
                  <w:pPr>
                    <w:tabs>
                      <w:tab w:val="left" w:pos="855"/>
                    </w:tabs>
                    <w:ind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1个9m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的化粪池</w:t>
                  </w:r>
                </w:p>
              </w:tc>
              <w:tc>
                <w:tcPr>
                  <w:tcW w:w="678" w:type="pct"/>
                  <w:vAlign w:val="center"/>
                </w:tcPr>
                <w:p w14:paraId="7207F9EF">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47" w:type="pct"/>
                  <w:vAlign w:val="center"/>
                </w:tcPr>
                <w:p w14:paraId="5C0324FB">
                  <w:pPr>
                    <w:autoSpaceDE w:val="0"/>
                    <w:adjustRightInd w:val="0"/>
                    <w:snapToGrid w:val="0"/>
                    <w:spacing w:line="288" w:lineRule="auto"/>
                    <w:jc w:val="center"/>
                    <w:rPr>
                      <w:rFonts w:hint="default" w:ascii="Times New Roman" w:hAnsi="Times New Roman" w:cs="Times New Roman"/>
                      <w:color w:val="auto"/>
                      <w:szCs w:val="21"/>
                      <w:highlight w:val="none"/>
                      <w:lang w:bidi="ar"/>
                    </w:rPr>
                  </w:pPr>
                  <w:r>
                    <w:rPr>
                      <w:rFonts w:hint="default" w:ascii="Times New Roman" w:hAnsi="Times New Roman" w:cs="Times New Roman"/>
                      <w:color w:val="auto"/>
                      <w:szCs w:val="21"/>
                      <w:highlight w:val="none"/>
                      <w:lang w:bidi="ar"/>
                    </w:rPr>
                    <w:t>依托</w:t>
                  </w:r>
                </w:p>
                <w:p w14:paraId="124B6923">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现有</w:t>
                  </w:r>
                </w:p>
              </w:tc>
            </w:tr>
            <w:tr w14:paraId="25D1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5DE98C80">
                  <w:pPr>
                    <w:pStyle w:val="55"/>
                    <w:spacing w:line="240" w:lineRule="auto"/>
                    <w:ind w:left="0" w:firstLine="0"/>
                    <w:jc w:val="center"/>
                    <w:rPr>
                      <w:rFonts w:hint="default" w:ascii="Times New Roman" w:hAnsi="Times New Roman" w:cs="Times New Roman"/>
                      <w:color w:val="auto"/>
                      <w:sz w:val="21"/>
                      <w:szCs w:val="21"/>
                      <w:highlight w:val="none"/>
                    </w:rPr>
                  </w:pPr>
                </w:p>
              </w:tc>
              <w:tc>
                <w:tcPr>
                  <w:tcW w:w="444" w:type="pct"/>
                  <w:vAlign w:val="center"/>
                </w:tcPr>
                <w:p w14:paraId="0EBF8364">
                  <w:pPr>
                    <w:autoSpaceDE w:val="0"/>
                    <w:adjustRightInd w:val="0"/>
                    <w:snapToGrid w:val="0"/>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lang w:bidi="ar"/>
                    </w:rPr>
                    <w:t>噪声</w:t>
                  </w:r>
                </w:p>
              </w:tc>
              <w:tc>
                <w:tcPr>
                  <w:tcW w:w="2991" w:type="pct"/>
                  <w:gridSpan w:val="2"/>
                  <w:vAlign w:val="center"/>
                </w:tcPr>
                <w:p w14:paraId="37D32D05">
                  <w:pPr>
                    <w:tabs>
                      <w:tab w:val="left" w:pos="855"/>
                    </w:tabs>
                    <w:ind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建筑结构隔声、设备减震措施，风机设置减震、消音措施，并设置于室内</w:t>
                  </w:r>
                </w:p>
              </w:tc>
              <w:tc>
                <w:tcPr>
                  <w:tcW w:w="678" w:type="pct"/>
                  <w:vAlign w:val="center"/>
                </w:tcPr>
                <w:p w14:paraId="219A6868">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0.1</w:t>
                  </w:r>
                </w:p>
              </w:tc>
              <w:tc>
                <w:tcPr>
                  <w:tcW w:w="547" w:type="pct"/>
                  <w:vAlign w:val="center"/>
                </w:tcPr>
                <w:p w14:paraId="23C2B703">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新增</w:t>
                  </w:r>
                </w:p>
              </w:tc>
            </w:tr>
            <w:tr w14:paraId="7F51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8" w:type="pct"/>
                  <w:vMerge w:val="continue"/>
                  <w:vAlign w:val="center"/>
                </w:tcPr>
                <w:p w14:paraId="326F63ED">
                  <w:pPr>
                    <w:pStyle w:val="55"/>
                    <w:spacing w:line="240" w:lineRule="auto"/>
                    <w:ind w:left="0" w:firstLine="0"/>
                    <w:jc w:val="center"/>
                    <w:rPr>
                      <w:rFonts w:hint="default" w:ascii="Times New Roman" w:hAnsi="Times New Roman" w:cs="Times New Roman"/>
                      <w:color w:val="auto"/>
                      <w:sz w:val="21"/>
                      <w:szCs w:val="21"/>
                      <w:highlight w:val="none"/>
                    </w:rPr>
                  </w:pPr>
                </w:p>
              </w:tc>
              <w:tc>
                <w:tcPr>
                  <w:tcW w:w="444" w:type="pct"/>
                  <w:vAlign w:val="center"/>
                </w:tcPr>
                <w:p w14:paraId="290B2213">
                  <w:pPr>
                    <w:autoSpaceDE w:val="0"/>
                    <w:adjustRightInd w:val="0"/>
                    <w:snapToGrid w:val="0"/>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lang w:bidi="ar"/>
                    </w:rPr>
                    <w:t>固废</w:t>
                  </w:r>
                </w:p>
              </w:tc>
              <w:tc>
                <w:tcPr>
                  <w:tcW w:w="2991" w:type="pct"/>
                  <w:gridSpan w:val="2"/>
                  <w:vAlign w:val="center"/>
                </w:tcPr>
                <w:p w14:paraId="2BFC52F4">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垃圾收集桶，5个</w:t>
                  </w:r>
                </w:p>
              </w:tc>
              <w:tc>
                <w:tcPr>
                  <w:tcW w:w="678" w:type="pct"/>
                  <w:vAlign w:val="center"/>
                </w:tcPr>
                <w:p w14:paraId="24DB119C">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0.2</w:t>
                  </w:r>
                </w:p>
              </w:tc>
              <w:tc>
                <w:tcPr>
                  <w:tcW w:w="547" w:type="pct"/>
                  <w:vAlign w:val="center"/>
                </w:tcPr>
                <w:p w14:paraId="5840AB6F">
                  <w:pPr>
                    <w:autoSpaceDE w:val="0"/>
                    <w:adjustRightInd w:val="0"/>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新增</w:t>
                  </w:r>
                </w:p>
              </w:tc>
            </w:tr>
            <w:tr w14:paraId="747B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774" w:type="pct"/>
                  <w:gridSpan w:val="4"/>
                  <w:vAlign w:val="center"/>
                </w:tcPr>
                <w:p w14:paraId="13F979B9">
                  <w:pPr>
                    <w:pStyle w:val="55"/>
                    <w:spacing w:line="240" w:lineRule="auto"/>
                    <w:ind w:left="0" w:firstLine="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总计</w:t>
                  </w:r>
                </w:p>
              </w:tc>
              <w:tc>
                <w:tcPr>
                  <w:tcW w:w="678" w:type="pct"/>
                  <w:vAlign w:val="center"/>
                </w:tcPr>
                <w:p w14:paraId="172DB90F">
                  <w:pPr>
                    <w:autoSpaceDE w:val="0"/>
                    <w:adjustRightInd w:val="0"/>
                    <w:snapToGrid w:val="0"/>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122</w:t>
                  </w:r>
                </w:p>
              </w:tc>
              <w:tc>
                <w:tcPr>
                  <w:tcW w:w="547" w:type="pct"/>
                  <w:vAlign w:val="center"/>
                </w:tcPr>
                <w:p w14:paraId="5ABC121E">
                  <w:pPr>
                    <w:pStyle w:val="55"/>
                    <w:spacing w:line="240" w:lineRule="auto"/>
                    <w:ind w:left="0" w:firstLine="0"/>
                    <w:jc w:val="center"/>
                    <w:rPr>
                      <w:rFonts w:hint="default" w:ascii="Times New Roman" w:hAnsi="Times New Roman" w:cs="Times New Roman"/>
                      <w:color w:val="auto"/>
                      <w:sz w:val="21"/>
                      <w:szCs w:val="21"/>
                      <w:highlight w:val="none"/>
                    </w:rPr>
                  </w:pPr>
                </w:p>
              </w:tc>
            </w:tr>
          </w:tbl>
          <w:p w14:paraId="260FD06F">
            <w:pPr>
              <w:adjustRightInd w:val="0"/>
              <w:snapToGrid w:val="0"/>
              <w:spacing w:line="360" w:lineRule="auto"/>
              <w:rPr>
                <w:rFonts w:hint="default" w:ascii="Times New Roman" w:hAnsi="Times New Roman" w:cs="Times New Roman"/>
                <w:bCs/>
                <w:color w:val="auto"/>
                <w:sz w:val="24"/>
                <w:highlight w:val="none"/>
              </w:rPr>
            </w:pPr>
          </w:p>
          <w:p w14:paraId="048CA542">
            <w:pPr>
              <w:adjustRightInd w:val="0"/>
              <w:snapToGrid w:val="0"/>
              <w:spacing w:line="360" w:lineRule="auto"/>
              <w:rPr>
                <w:rFonts w:hint="default" w:ascii="Times New Roman" w:hAnsi="Times New Roman" w:cs="Times New Roman"/>
                <w:bCs/>
                <w:color w:val="auto"/>
                <w:sz w:val="24"/>
                <w:highlight w:val="none"/>
              </w:rPr>
            </w:pPr>
          </w:p>
          <w:p w14:paraId="5B0ADD76">
            <w:pPr>
              <w:adjustRightInd w:val="0"/>
              <w:snapToGrid w:val="0"/>
              <w:spacing w:line="360" w:lineRule="auto"/>
              <w:rPr>
                <w:rFonts w:hint="default" w:ascii="Times New Roman" w:hAnsi="Times New Roman" w:cs="Times New Roman"/>
                <w:bCs/>
                <w:color w:val="auto"/>
                <w:sz w:val="24"/>
                <w:highlight w:val="none"/>
              </w:rPr>
            </w:pPr>
          </w:p>
          <w:p w14:paraId="7153473A">
            <w:pPr>
              <w:adjustRightInd w:val="0"/>
              <w:snapToGrid w:val="0"/>
              <w:spacing w:line="360" w:lineRule="auto"/>
              <w:rPr>
                <w:rFonts w:hint="default" w:ascii="Times New Roman" w:hAnsi="Times New Roman" w:cs="Times New Roman"/>
                <w:bCs/>
                <w:color w:val="auto"/>
                <w:sz w:val="24"/>
                <w:highlight w:val="none"/>
              </w:rPr>
            </w:pPr>
          </w:p>
          <w:p w14:paraId="693EF9C5">
            <w:pPr>
              <w:adjustRightInd w:val="0"/>
              <w:snapToGrid w:val="0"/>
              <w:spacing w:line="360" w:lineRule="auto"/>
              <w:rPr>
                <w:rFonts w:hint="default" w:ascii="Times New Roman" w:hAnsi="Times New Roman" w:cs="Times New Roman"/>
                <w:bCs/>
                <w:color w:val="auto"/>
                <w:sz w:val="24"/>
                <w:highlight w:val="none"/>
              </w:rPr>
            </w:pPr>
          </w:p>
          <w:p w14:paraId="760D7927">
            <w:pPr>
              <w:adjustRightInd w:val="0"/>
              <w:snapToGrid w:val="0"/>
              <w:spacing w:line="360" w:lineRule="auto"/>
              <w:rPr>
                <w:rFonts w:hint="default" w:ascii="Times New Roman" w:hAnsi="Times New Roman" w:cs="Times New Roman"/>
                <w:bCs/>
                <w:color w:val="auto"/>
                <w:sz w:val="24"/>
                <w:highlight w:val="none"/>
              </w:rPr>
            </w:pPr>
          </w:p>
          <w:p w14:paraId="65570DF6">
            <w:pPr>
              <w:adjustRightInd w:val="0"/>
              <w:snapToGrid w:val="0"/>
              <w:spacing w:line="360" w:lineRule="auto"/>
              <w:rPr>
                <w:rFonts w:hint="default" w:ascii="Times New Roman" w:hAnsi="Times New Roman" w:cs="Times New Roman"/>
                <w:bCs/>
                <w:color w:val="auto"/>
                <w:sz w:val="24"/>
                <w:highlight w:val="none"/>
              </w:rPr>
            </w:pPr>
          </w:p>
          <w:p w14:paraId="5A74DEBF">
            <w:pPr>
              <w:adjustRightInd w:val="0"/>
              <w:snapToGrid w:val="0"/>
              <w:spacing w:line="360" w:lineRule="auto"/>
              <w:rPr>
                <w:rFonts w:hint="default" w:ascii="Times New Roman" w:hAnsi="Times New Roman" w:cs="Times New Roman"/>
                <w:bCs/>
                <w:color w:val="auto"/>
                <w:sz w:val="24"/>
                <w:highlight w:val="none"/>
              </w:rPr>
            </w:pPr>
          </w:p>
          <w:p w14:paraId="24DB1FA7">
            <w:pPr>
              <w:adjustRightInd w:val="0"/>
              <w:snapToGrid w:val="0"/>
              <w:spacing w:line="360" w:lineRule="auto"/>
              <w:rPr>
                <w:rFonts w:hint="default" w:ascii="Times New Roman" w:hAnsi="Times New Roman" w:cs="Times New Roman"/>
                <w:bCs/>
                <w:color w:val="auto"/>
                <w:sz w:val="24"/>
                <w:highlight w:val="none"/>
              </w:rPr>
            </w:pPr>
          </w:p>
        </w:tc>
      </w:tr>
      <w:tr w14:paraId="3D7539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92" w:type="dxa"/>
            <w:vAlign w:val="center"/>
          </w:tcPr>
          <w:p w14:paraId="7EF849E8">
            <w:pPr>
              <w:pStyle w:val="28"/>
              <w:adjustRightInd w:val="0"/>
              <w:snapToGrid w:val="0"/>
              <w:spacing w:before="0" w:beforeAutospacing="0" w:after="0" w:afterAutospacing="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工艺流程和产排污环节</w:t>
            </w:r>
          </w:p>
        </w:tc>
        <w:tc>
          <w:tcPr>
            <w:tcW w:w="8572" w:type="dxa"/>
          </w:tcPr>
          <w:p w14:paraId="16384E95">
            <w:pPr>
              <w:spacing w:line="360" w:lineRule="auto"/>
              <w:outlineLvl w:val="0"/>
              <w:rPr>
                <w:rFonts w:hint="default" w:ascii="Times New Roman" w:hAnsi="Times New Roman" w:cs="Times New Roman"/>
                <w:b/>
                <w:bCs/>
                <w:color w:val="auto"/>
                <w:sz w:val="28"/>
                <w:szCs w:val="28"/>
                <w:highlight w:val="none"/>
              </w:rPr>
            </w:pPr>
            <w:bookmarkStart w:id="7" w:name="_Toc221181285"/>
            <w:r>
              <w:rPr>
                <w:rFonts w:hint="default" w:ascii="Times New Roman" w:hAnsi="Times New Roman" w:cs="Times New Roman"/>
                <w:b/>
                <w:bCs/>
                <w:color w:val="auto"/>
                <w:sz w:val="28"/>
                <w:szCs w:val="28"/>
                <w:highlight w:val="none"/>
              </w:rPr>
              <w:t>2.9 施工期工艺流程及产污节点</w:t>
            </w:r>
            <w:bookmarkEnd w:id="7"/>
          </w:p>
          <w:p w14:paraId="092B630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施工期主要工艺流程及产污环节见下图。</w:t>
            </w:r>
          </w:p>
          <w:p w14:paraId="6081CBAB">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6" o:spt="75" type="#_x0000_t75" style="height:122.25pt;width:417.75pt;" o:ole="t" filled="f" o:preferrelative="t" stroked="f" coordsize="21600,21600">
                  <v:path/>
                  <v:fill on="f" focussize="0,0"/>
                  <v:stroke on="f" joinstyle="miter"/>
                  <v:imagedata r:id="rId12" o:title=""/>
                  <o:lock v:ext="edit" aspectratio="f"/>
                  <w10:wrap type="none"/>
                  <w10:anchorlock/>
                </v:shape>
                <o:OLEObject Type="Embed" ProgID="Visio.Drawing.11" ShapeID="_x0000_i1026" DrawAspect="Content" ObjectID="_1468075726" r:id="rId11">
                  <o:LockedField>false</o:LockedField>
                </o:OLEObject>
              </w:object>
            </w:r>
          </w:p>
          <w:p w14:paraId="6E6F42B3">
            <w:pPr>
              <w:pStyle w:val="32"/>
              <w:ind w:firstLine="0" w:firstLineChars="0"/>
              <w:jc w:val="center"/>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1"/>
                <w:szCs w:val="21"/>
                <w:highlight w:val="none"/>
              </w:rPr>
              <w:t>图2-7 项目施工期工艺流程及产污节点图</w:t>
            </w:r>
          </w:p>
          <w:p w14:paraId="3D5EB63A">
            <w:pPr>
              <w:spacing w:line="360" w:lineRule="auto"/>
              <w:jc w:val="left"/>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2.10 运营期工艺流程及产污节点分析</w:t>
            </w:r>
          </w:p>
          <w:p w14:paraId="7581A9C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拟建项目主要开展疾病和健康危害因素的生物、物理、化学因子的检测、检定和评价，为突发公共卫生事件的应急处置、传染性疾病的诊断、疾病和健康相关危害因素的预防控制等提供技术支撑。</w:t>
            </w:r>
          </w:p>
          <w:p w14:paraId="0A5C42C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疾控中心主要日常送检业务流程主要分为两种：送检样品送检；流调人员（工作人员）现场采集样品以及外来咨询人员到疾控中心进行现场检测（如核酸检测、艾滋病咨询检测等）。样品类型包括：水、食品、鼻咽拭子、大便和血液等，相关工作人员开始按待检项目进行生物实验检验。</w:t>
            </w:r>
          </w:p>
          <w:p w14:paraId="107A27A8">
            <w:pPr>
              <w:pStyle w:val="10"/>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7" o:spt="75" type="#_x0000_t75" style="height:115.5pt;width:417.75pt;" o:ole="t" filled="f" o:preferrelative="t" stroked="f" coordsize="21600,21600">
                  <v:path/>
                  <v:fill on="f" focussize="0,0"/>
                  <v:stroke on="f" joinstyle="miter"/>
                  <v:imagedata r:id="rId14" o:title=""/>
                  <o:lock v:ext="edit" aspectratio="f"/>
                  <w10:wrap type="none"/>
                  <w10:anchorlock/>
                </v:shape>
                <o:OLEObject Type="Embed" ProgID="Visio.Drawing.11" ShapeID="_x0000_i1027" DrawAspect="Content" ObjectID="_1468075727" r:id="rId13">
                  <o:LockedField>false</o:LockedField>
                </o:OLEObject>
              </w:object>
            </w:r>
          </w:p>
          <w:p w14:paraId="39501254">
            <w:pPr>
              <w:pStyle w:val="10"/>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图2-8 样品送检流程图</w:t>
            </w:r>
          </w:p>
          <w:p w14:paraId="4FDBE021">
            <w:pPr>
              <w:pStyle w:val="10"/>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8" o:spt="75" type="#_x0000_t75" style="height:115.5pt;width:417.75pt;" o:ole="t" filled="f" o:preferrelative="t" stroked="f" coordsize="21600,21600">
                  <v:path/>
                  <v:fill on="f" focussize="0,0"/>
                  <v:stroke on="f" joinstyle="miter"/>
                  <v:imagedata r:id="rId16" o:title=""/>
                  <o:lock v:ext="edit" aspectratio="f"/>
                  <w10:wrap type="none"/>
                  <w10:anchorlock/>
                </v:shape>
                <o:OLEObject Type="Embed" ProgID="Visio.Drawing.11" ShapeID="_x0000_i1028" DrawAspect="Content" ObjectID="_1468075728" r:id="rId15">
                  <o:LockedField>false</o:LockedField>
                </o:OLEObject>
              </w:object>
            </w:r>
          </w:p>
          <w:p w14:paraId="413233FF">
            <w:pPr>
              <w:pStyle w:val="10"/>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图2-9 实验人员现场采集样品送检流程图</w:t>
            </w:r>
          </w:p>
          <w:p w14:paraId="741A90A5">
            <w:pPr>
              <w:pStyle w:val="10"/>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9" o:spt="75" type="#_x0000_t75" style="height:614.25pt;width:410.25pt;" o:ole="t" filled="f" o:preferrelative="t" stroked="f" coordsize="21600,21600">
                  <v:path/>
                  <v:fill on="f" focussize="0,0"/>
                  <v:stroke on="f" joinstyle="miter"/>
                  <v:imagedata r:id="rId17" o:title=""/>
                  <o:lock v:ext="edit" aspectratio="f"/>
                  <w10:wrap type="none"/>
                  <w10:anchorlock/>
                </v:shape>
                <o:OLEObject Type="Embed" ProgID="Visio.Drawing.11" ShapeID="_x0000_i1029" DrawAspect="Content" ObjectID="_1468075729">
                  <o:LockedField>false</o:LockedField>
                </o:OLEObject>
              </w:object>
            </w:r>
          </w:p>
          <w:p w14:paraId="39BF2394">
            <w:pPr>
              <w:pStyle w:val="10"/>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sz w:val="21"/>
                <w:szCs w:val="21"/>
                <w:highlight w:val="none"/>
              </w:rPr>
              <w:t>图2-10 实验室化验产污环节示意图</w:t>
            </w:r>
          </w:p>
          <w:p w14:paraId="255E4436">
            <w:pPr>
              <w:pStyle w:val="10"/>
              <w:keepNext w:val="0"/>
              <w:keepLines w:val="0"/>
              <w:pageBreakBefore w:val="0"/>
              <w:widowControl w:val="0"/>
              <w:kinsoku/>
              <w:wordWrap/>
              <w:overflowPunct/>
              <w:topLinePunct w:val="0"/>
              <w:autoSpaceDE/>
              <w:autoSpaceDN/>
              <w:bidi w:val="0"/>
              <w:adjustRightInd/>
              <w:snapToGrid/>
              <w:ind w:firstLine="482"/>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1、生物实验工艺流程</w:t>
            </w:r>
          </w:p>
          <w:p w14:paraId="2C6BA502">
            <w:pPr>
              <w:pStyle w:val="10"/>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各送检单位将样品送至收样暂存室，由工作人员接样，待任务下达实验室后，相关工作人员将样品送至各实验室，开始进行生物实验检验。</w:t>
            </w:r>
          </w:p>
          <w:p w14:paraId="38A60BF4">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进行细菌检验时，先取样然后进行培养基制备，接种后再进行细菌分离培养，最后在仪器室对细节进行鉴定，出具结果后将实验过程的试验器皿、试验台进行清洗、消毒，并将多余样品、废培养基、培养皿等废弃物放置在特定容器内，在灭菌室灭菌后运送至危险废物暂存间，不留样。</w:t>
            </w:r>
          </w:p>
          <w:p w14:paraId="55255B64">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进行病菌检验时，先取样然后根据病菌检验项目进行试剂的配置，再进行样品制备，对样品进行扩增后，对产物进行分析，出具结果后将实验过程的试验器皿、试验台进行清洗、消毒，并将多余样品、废产物等废弃物放置在特定容器内，在灭菌室灭菌后运送至危险废物暂存间，不留样。</w:t>
            </w:r>
          </w:p>
          <w:p w14:paraId="152FFDAC">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主要污染物为颗粒物（病原微生物气溶胶），仪器清洗环节主要污染物为清洗废水和废培养基、废标本、废实验用品、多余样品等。</w:t>
            </w:r>
          </w:p>
          <w:p w14:paraId="659D60D8">
            <w:pPr>
              <w:widowControl/>
              <w:spacing w:line="360" w:lineRule="auto"/>
              <w:jc w:val="center"/>
              <w:rPr>
                <w:rFonts w:hint="default" w:ascii="Times New Roman" w:hAnsi="Times New Roman" w:cs="Times New Roman"/>
                <w:color w:val="auto"/>
                <w:kern w:val="0"/>
                <w:sz w:val="24"/>
                <w:szCs w:val="20"/>
                <w:highlight w:val="none"/>
              </w:rPr>
            </w:pPr>
            <w:r>
              <w:rPr>
                <w:rFonts w:hint="default" w:ascii="Times New Roman" w:hAnsi="Times New Roman" w:cs="Times New Roman"/>
                <w:color w:val="auto"/>
                <w:kern w:val="0"/>
                <w:sz w:val="24"/>
                <w:szCs w:val="20"/>
                <w:highlight w:val="none"/>
              </w:rPr>
              <w:object>
                <v:shape id="_x0000_i1030" o:spt="75" type="#_x0000_t75" style="height:316.5pt;width:403.5pt;" o:ole="t" filled="f" o:preferrelative="t" stroked="f" coordsize="21600,21600">
                  <v:path/>
                  <v:fill on="f" focussize="0,0"/>
                  <v:stroke on="f" joinstyle="miter"/>
                  <v:imagedata r:id="rId19" o:title=""/>
                  <o:lock v:ext="edit" aspectratio="f"/>
                  <w10:wrap type="none"/>
                  <w10:anchorlock/>
                </v:shape>
                <o:OLEObject Type="Embed" ProgID="Visio.Drawing.11" ShapeID="_x0000_i1030" DrawAspect="Content" ObjectID="_1468075730" r:id="rId18">
                  <o:LockedField>false</o:LockedField>
                </o:OLEObject>
              </w:object>
            </w:r>
          </w:p>
          <w:p w14:paraId="01B7EA80">
            <w:pPr>
              <w:widowControl/>
              <w:spacing w:line="360" w:lineRule="auto"/>
              <w:jc w:val="center"/>
              <w:rPr>
                <w:rFonts w:hint="default" w:ascii="Times New Roman" w:hAnsi="Times New Roman" w:cs="Times New Roman"/>
                <w:color w:val="auto"/>
                <w:kern w:val="0"/>
                <w:sz w:val="24"/>
                <w:szCs w:val="20"/>
                <w:highlight w:val="none"/>
              </w:rPr>
            </w:pPr>
            <w:r>
              <w:rPr>
                <w:rFonts w:hint="default" w:ascii="Times New Roman" w:hAnsi="Times New Roman" w:cs="Times New Roman"/>
                <w:b/>
                <w:bCs/>
                <w:color w:val="auto"/>
                <w:kern w:val="0"/>
                <w:szCs w:val="21"/>
                <w:highlight w:val="none"/>
              </w:rPr>
              <w:t>图2-11 生物实验流程及产污环节示意图</w:t>
            </w:r>
          </w:p>
          <w:p w14:paraId="02A67CE3">
            <w:pPr>
              <w:pStyle w:val="10"/>
              <w:keepNext w:val="0"/>
              <w:keepLines w:val="0"/>
              <w:pageBreakBefore w:val="0"/>
              <w:widowControl w:val="0"/>
              <w:kinsoku/>
              <w:wordWrap/>
              <w:overflowPunct/>
              <w:topLinePunct w:val="0"/>
              <w:autoSpaceDE/>
              <w:autoSpaceDN/>
              <w:bidi w:val="0"/>
              <w:adjustRightInd/>
              <w:snapToGrid/>
              <w:ind w:firstLine="482"/>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2、理化实验工艺流程</w:t>
            </w:r>
          </w:p>
          <w:p w14:paraId="4811BFBF">
            <w:pPr>
              <w:pStyle w:val="10"/>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各送检单位将样品送至疾控中心，由工作人员接样；待任务下达实验室后，相关工作人员将样品送至实验室，开始进行理化实验检验。</w:t>
            </w:r>
          </w:p>
          <w:p w14:paraId="6BF5CD77">
            <w:pPr>
              <w:pStyle w:val="10"/>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进行实验前，对送检样品进行前处理（如通过强酸等消解）后经稀释得到样品溶液，使用标准物质配置标准溶液，溶液配置好后，通过原子吸收分光光度计、ICP-MS、气相色谱、液相色谱、离子色谱等仪器进行上机操作，出具结果（配置样品与使用标准溶液等质控手段进行结果对比）；最后对使用过的仪器、器皿和试验台进行清洁。</w:t>
            </w:r>
          </w:p>
          <w:p w14:paraId="4FD83F39">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配制样品和标准溶液时主要污染物为试剂废气，实验环节主要污染物为检毕样品、废弃样品、酸碱废液、重金属废液、清洗废水、废实验用品等。</w:t>
            </w:r>
          </w:p>
          <w:p w14:paraId="35FE4440">
            <w:pPr>
              <w:pStyle w:val="10"/>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31" o:spt="75" type="#_x0000_t75" style="height:122.25pt;width:417.75pt;" o:ole="t" filled="f" o:preferrelative="t" stroked="f" coordsize="21600,21600">
                  <v:path/>
                  <v:fill on="f" focussize="0,0"/>
                  <v:stroke on="f" joinstyle="miter"/>
                  <v:imagedata r:id="rId21" o:title=""/>
                  <o:lock v:ext="edit" aspectratio="f"/>
                  <w10:wrap type="none"/>
                  <w10:anchorlock/>
                </v:shape>
                <o:OLEObject Type="Embed" ProgID="Visio.Drawing.11" ShapeID="_x0000_i1031" DrawAspect="Content" ObjectID="_1468075731" r:id="rId20">
                  <o:LockedField>false</o:LockedField>
                </o:OLEObject>
              </w:object>
            </w:r>
          </w:p>
          <w:p w14:paraId="768D1D38">
            <w:pPr>
              <w:pStyle w:val="10"/>
              <w:ind w:firstLine="0" w:firstLineChars="0"/>
              <w:jc w:val="center"/>
              <w:rPr>
                <w:rFonts w:hint="default" w:ascii="Times New Roman" w:hAnsi="Times New Roman" w:cs="Times New Roman"/>
                <w:color w:val="auto"/>
                <w:highlight w:val="none"/>
              </w:rPr>
            </w:pPr>
            <w:r>
              <w:rPr>
                <w:rFonts w:hint="default" w:ascii="Times New Roman" w:hAnsi="Times New Roman" w:cs="Times New Roman"/>
                <w:b/>
                <w:bCs/>
                <w:color w:val="auto"/>
                <w:sz w:val="21"/>
                <w:szCs w:val="21"/>
                <w:highlight w:val="none"/>
              </w:rPr>
              <w:t>图2-12 理化实验流程及产污环节示意图</w:t>
            </w:r>
          </w:p>
          <w:p w14:paraId="1EA6E29C">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表2-13 污染物产排情况汇总表</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
              <w:gridCol w:w="573"/>
              <w:gridCol w:w="1234"/>
              <w:gridCol w:w="539"/>
              <w:gridCol w:w="2247"/>
              <w:gridCol w:w="3325"/>
            </w:tblGrid>
            <w:tr w14:paraId="421E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tcBorders>
                    <w:top w:val="single" w:color="auto" w:sz="4" w:space="0"/>
                    <w:left w:val="single" w:color="auto" w:sz="4" w:space="0"/>
                    <w:bottom w:val="single" w:color="auto" w:sz="4" w:space="0"/>
                    <w:right w:val="single" w:color="auto" w:sz="4" w:space="0"/>
                  </w:tcBorders>
                  <w:vAlign w:val="center"/>
                </w:tcPr>
                <w:p w14:paraId="2D8DF294">
                  <w:pPr>
                    <w:pStyle w:val="108"/>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类别</w:t>
                  </w:r>
                </w:p>
              </w:tc>
              <w:tc>
                <w:tcPr>
                  <w:tcW w:w="343" w:type="pct"/>
                  <w:tcBorders>
                    <w:top w:val="single" w:color="auto" w:sz="4" w:space="0"/>
                    <w:left w:val="single" w:color="auto" w:sz="4" w:space="0"/>
                    <w:bottom w:val="single" w:color="auto" w:sz="4" w:space="0"/>
                    <w:right w:val="single" w:color="auto" w:sz="4" w:space="0"/>
                  </w:tcBorders>
                  <w:vAlign w:val="center"/>
                </w:tcPr>
                <w:p w14:paraId="30FC2D80">
                  <w:pPr>
                    <w:pStyle w:val="108"/>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符号</w:t>
                  </w:r>
                </w:p>
              </w:tc>
              <w:tc>
                <w:tcPr>
                  <w:tcW w:w="739" w:type="pct"/>
                  <w:tcBorders>
                    <w:top w:val="single" w:color="auto" w:sz="4" w:space="0"/>
                    <w:left w:val="single" w:color="auto" w:sz="4" w:space="0"/>
                    <w:bottom w:val="single" w:color="auto" w:sz="4" w:space="0"/>
                    <w:right w:val="single" w:color="auto" w:sz="4" w:space="0"/>
                  </w:tcBorders>
                  <w:vAlign w:val="center"/>
                </w:tcPr>
                <w:p w14:paraId="00DD59BE">
                  <w:pPr>
                    <w:pStyle w:val="108"/>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污染节点</w:t>
                  </w:r>
                </w:p>
              </w:tc>
              <w:tc>
                <w:tcPr>
                  <w:tcW w:w="323" w:type="pct"/>
                  <w:tcBorders>
                    <w:top w:val="single" w:color="auto" w:sz="4" w:space="0"/>
                    <w:left w:val="single" w:color="auto" w:sz="4" w:space="0"/>
                    <w:bottom w:val="single" w:color="auto" w:sz="4" w:space="0"/>
                    <w:right w:val="single" w:color="auto" w:sz="4" w:space="0"/>
                  </w:tcBorders>
                  <w:vAlign w:val="center"/>
                </w:tcPr>
                <w:p w14:paraId="32C77FE4">
                  <w:pPr>
                    <w:pStyle w:val="108"/>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类型</w:t>
                  </w:r>
                </w:p>
              </w:tc>
              <w:tc>
                <w:tcPr>
                  <w:tcW w:w="1346" w:type="pct"/>
                  <w:tcBorders>
                    <w:top w:val="single" w:color="auto" w:sz="4" w:space="0"/>
                    <w:left w:val="single" w:color="auto" w:sz="4" w:space="0"/>
                    <w:bottom w:val="single" w:color="auto" w:sz="4" w:space="0"/>
                    <w:right w:val="single" w:color="auto" w:sz="4" w:space="0"/>
                  </w:tcBorders>
                  <w:vAlign w:val="center"/>
                </w:tcPr>
                <w:p w14:paraId="26AED265">
                  <w:pPr>
                    <w:pStyle w:val="108"/>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tc>
              <w:tc>
                <w:tcPr>
                  <w:tcW w:w="1992" w:type="pct"/>
                  <w:tcBorders>
                    <w:top w:val="single" w:color="auto" w:sz="4" w:space="0"/>
                    <w:left w:val="single" w:color="auto" w:sz="4" w:space="0"/>
                    <w:bottom w:val="single" w:color="auto" w:sz="4" w:space="0"/>
                    <w:right w:val="single" w:color="auto" w:sz="4" w:space="0"/>
                  </w:tcBorders>
                  <w:vAlign w:val="center"/>
                </w:tcPr>
                <w:p w14:paraId="6B4A6E50">
                  <w:pPr>
                    <w:pStyle w:val="108"/>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治理措施</w:t>
                  </w:r>
                </w:p>
              </w:tc>
            </w:tr>
            <w:tr w14:paraId="441D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restart"/>
                  <w:tcBorders>
                    <w:top w:val="single" w:color="auto" w:sz="4" w:space="0"/>
                    <w:left w:val="single" w:color="auto" w:sz="4" w:space="0"/>
                    <w:right w:val="single" w:color="auto" w:sz="4" w:space="0"/>
                  </w:tcBorders>
                  <w:vAlign w:val="center"/>
                </w:tcPr>
                <w:p w14:paraId="4AE606E2">
                  <w:pPr>
                    <w:pStyle w:val="108"/>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废气</w:t>
                  </w:r>
                </w:p>
              </w:tc>
              <w:tc>
                <w:tcPr>
                  <w:tcW w:w="343" w:type="pct"/>
                  <w:tcBorders>
                    <w:top w:val="single" w:color="auto" w:sz="4" w:space="0"/>
                    <w:left w:val="single" w:color="auto" w:sz="4" w:space="0"/>
                    <w:right w:val="single" w:color="auto" w:sz="4" w:space="0"/>
                  </w:tcBorders>
                  <w:vAlign w:val="center"/>
                </w:tcPr>
                <w:p w14:paraId="24767CED">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G1</w:t>
                  </w:r>
                </w:p>
              </w:tc>
              <w:tc>
                <w:tcPr>
                  <w:tcW w:w="739" w:type="pct"/>
                  <w:vMerge w:val="restart"/>
                  <w:tcBorders>
                    <w:top w:val="single" w:color="auto" w:sz="4" w:space="0"/>
                    <w:left w:val="single" w:color="auto" w:sz="4" w:space="0"/>
                    <w:right w:val="single" w:color="auto" w:sz="4" w:space="0"/>
                  </w:tcBorders>
                  <w:vAlign w:val="center"/>
                </w:tcPr>
                <w:p w14:paraId="10AAC21D">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理化实验室无机</w:t>
                  </w:r>
                </w:p>
                <w:p w14:paraId="3FDFDDBF">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废气</w:t>
                  </w:r>
                </w:p>
              </w:tc>
              <w:tc>
                <w:tcPr>
                  <w:tcW w:w="323" w:type="pct"/>
                  <w:vMerge w:val="restart"/>
                  <w:tcBorders>
                    <w:top w:val="single" w:color="auto" w:sz="4" w:space="0"/>
                    <w:left w:val="single" w:color="auto" w:sz="4" w:space="0"/>
                    <w:right w:val="single" w:color="auto" w:sz="4" w:space="0"/>
                  </w:tcBorders>
                  <w:vAlign w:val="center"/>
                </w:tcPr>
                <w:p w14:paraId="0A00651C">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有组织</w:t>
                  </w:r>
                </w:p>
              </w:tc>
              <w:tc>
                <w:tcPr>
                  <w:tcW w:w="1346" w:type="pct"/>
                  <w:tcBorders>
                    <w:top w:val="single" w:color="auto" w:sz="4" w:space="0"/>
                    <w:left w:val="single" w:color="auto" w:sz="4" w:space="0"/>
                    <w:right w:val="single" w:color="auto" w:sz="4" w:space="0"/>
                  </w:tcBorders>
                  <w:vAlign w:val="center"/>
                </w:tcPr>
                <w:p w14:paraId="444475C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氨气</w:t>
                  </w:r>
                </w:p>
              </w:tc>
              <w:tc>
                <w:tcPr>
                  <w:tcW w:w="1992" w:type="pct"/>
                  <w:tcBorders>
                    <w:top w:val="single" w:color="auto" w:sz="4" w:space="0"/>
                    <w:left w:val="single" w:color="auto" w:sz="4" w:space="0"/>
                    <w:right w:val="single" w:color="auto" w:sz="4" w:space="0"/>
                  </w:tcBorders>
                  <w:vAlign w:val="center"/>
                </w:tcPr>
                <w:p w14:paraId="7895AF01">
                  <w:pPr>
                    <w:pStyle w:val="108"/>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实验室通风柜密封收集+二级活性炭吸附+1根23m高排气筒排放（DA001）</w:t>
                  </w:r>
                </w:p>
              </w:tc>
            </w:tr>
            <w:tr w14:paraId="74E62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58B4DED1">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4D1509D2">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G2</w:t>
                  </w:r>
                </w:p>
              </w:tc>
              <w:tc>
                <w:tcPr>
                  <w:tcW w:w="739" w:type="pct"/>
                  <w:vMerge w:val="continue"/>
                  <w:tcBorders>
                    <w:left w:val="single" w:color="auto" w:sz="4" w:space="0"/>
                    <w:right w:val="single" w:color="auto" w:sz="4" w:space="0"/>
                  </w:tcBorders>
                  <w:vAlign w:val="center"/>
                </w:tcPr>
                <w:p w14:paraId="7F7B5BEF">
                  <w:pPr>
                    <w:adjustRightInd w:val="0"/>
                    <w:snapToGrid w:val="0"/>
                    <w:jc w:val="center"/>
                    <w:rPr>
                      <w:rFonts w:hint="default" w:ascii="Times New Roman" w:hAnsi="Times New Roman" w:cs="Times New Roman"/>
                      <w:color w:val="auto"/>
                      <w:kern w:val="0"/>
                      <w:szCs w:val="21"/>
                      <w:highlight w:val="none"/>
                      <w:lang w:bidi="ar"/>
                    </w:rPr>
                  </w:pPr>
                </w:p>
              </w:tc>
              <w:tc>
                <w:tcPr>
                  <w:tcW w:w="323" w:type="pct"/>
                  <w:vMerge w:val="continue"/>
                  <w:tcBorders>
                    <w:left w:val="single" w:color="auto" w:sz="4" w:space="0"/>
                    <w:right w:val="single" w:color="auto" w:sz="4" w:space="0"/>
                  </w:tcBorders>
                  <w:vAlign w:val="center"/>
                </w:tcPr>
                <w:p w14:paraId="61807821">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677DA0A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992" w:type="pct"/>
                  <w:vMerge w:val="restart"/>
                  <w:tcBorders>
                    <w:top w:val="single" w:color="auto" w:sz="4" w:space="0"/>
                    <w:left w:val="single" w:color="auto" w:sz="4" w:space="0"/>
                    <w:right w:val="single" w:color="auto" w:sz="4" w:space="0"/>
                  </w:tcBorders>
                  <w:vAlign w:val="center"/>
                </w:tcPr>
                <w:p w14:paraId="1A52E997">
                  <w:pPr>
                    <w:pStyle w:val="108"/>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实验室通风柜密封收集+碱液吸收+烟气干燥+二级活性炭吸附+1根23m高排气筒排放（DA001）</w:t>
                  </w:r>
                </w:p>
              </w:tc>
            </w:tr>
            <w:tr w14:paraId="43F3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748DCF05">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41FFCB23">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G3</w:t>
                  </w:r>
                </w:p>
              </w:tc>
              <w:tc>
                <w:tcPr>
                  <w:tcW w:w="739" w:type="pct"/>
                  <w:vMerge w:val="continue"/>
                  <w:tcBorders>
                    <w:left w:val="single" w:color="auto" w:sz="4" w:space="0"/>
                    <w:right w:val="single" w:color="auto" w:sz="4" w:space="0"/>
                  </w:tcBorders>
                  <w:vAlign w:val="center"/>
                </w:tcPr>
                <w:p w14:paraId="2634603A">
                  <w:pPr>
                    <w:adjustRightInd w:val="0"/>
                    <w:snapToGrid w:val="0"/>
                    <w:jc w:val="center"/>
                    <w:rPr>
                      <w:rFonts w:hint="default" w:ascii="Times New Roman" w:hAnsi="Times New Roman" w:cs="Times New Roman"/>
                      <w:color w:val="auto"/>
                      <w:kern w:val="0"/>
                      <w:szCs w:val="21"/>
                      <w:highlight w:val="none"/>
                      <w:lang w:bidi="ar"/>
                    </w:rPr>
                  </w:pPr>
                </w:p>
              </w:tc>
              <w:tc>
                <w:tcPr>
                  <w:tcW w:w="323" w:type="pct"/>
                  <w:vMerge w:val="continue"/>
                  <w:tcBorders>
                    <w:left w:val="single" w:color="auto" w:sz="4" w:space="0"/>
                    <w:right w:val="single" w:color="auto" w:sz="4" w:space="0"/>
                  </w:tcBorders>
                  <w:vAlign w:val="center"/>
                </w:tcPr>
                <w:p w14:paraId="10CE2B13">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09CCF3A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硫酸雾</w:t>
                  </w:r>
                </w:p>
              </w:tc>
              <w:tc>
                <w:tcPr>
                  <w:tcW w:w="1992" w:type="pct"/>
                  <w:vMerge w:val="continue"/>
                  <w:tcBorders>
                    <w:left w:val="single" w:color="auto" w:sz="4" w:space="0"/>
                    <w:right w:val="single" w:color="auto" w:sz="4" w:space="0"/>
                  </w:tcBorders>
                  <w:vAlign w:val="center"/>
                </w:tcPr>
                <w:p w14:paraId="5DE7913E">
                  <w:pPr>
                    <w:pStyle w:val="108"/>
                    <w:rPr>
                      <w:rFonts w:hint="default" w:ascii="Times New Roman" w:hAnsi="Times New Roman" w:cs="Times New Roman"/>
                      <w:color w:val="auto"/>
                      <w:szCs w:val="21"/>
                      <w:highlight w:val="none"/>
                    </w:rPr>
                  </w:pPr>
                </w:p>
              </w:tc>
            </w:tr>
            <w:tr w14:paraId="3F25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5223E0A5">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53C7F062">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G4</w:t>
                  </w:r>
                </w:p>
              </w:tc>
              <w:tc>
                <w:tcPr>
                  <w:tcW w:w="739" w:type="pct"/>
                  <w:vMerge w:val="continue"/>
                  <w:tcBorders>
                    <w:left w:val="single" w:color="auto" w:sz="4" w:space="0"/>
                    <w:right w:val="single" w:color="auto" w:sz="4" w:space="0"/>
                  </w:tcBorders>
                  <w:vAlign w:val="center"/>
                </w:tcPr>
                <w:p w14:paraId="2CAE1162">
                  <w:pPr>
                    <w:adjustRightInd w:val="0"/>
                    <w:snapToGrid w:val="0"/>
                    <w:jc w:val="center"/>
                    <w:rPr>
                      <w:rFonts w:hint="default" w:ascii="Times New Roman" w:hAnsi="Times New Roman" w:cs="Times New Roman"/>
                      <w:color w:val="auto"/>
                      <w:kern w:val="0"/>
                      <w:szCs w:val="21"/>
                      <w:highlight w:val="none"/>
                      <w:lang w:bidi="ar"/>
                    </w:rPr>
                  </w:pPr>
                </w:p>
              </w:tc>
              <w:tc>
                <w:tcPr>
                  <w:tcW w:w="323" w:type="pct"/>
                  <w:vMerge w:val="continue"/>
                  <w:tcBorders>
                    <w:left w:val="single" w:color="auto" w:sz="4" w:space="0"/>
                    <w:right w:val="single" w:color="auto" w:sz="4" w:space="0"/>
                  </w:tcBorders>
                  <w:vAlign w:val="center"/>
                </w:tcPr>
                <w:p w14:paraId="309626AC">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3BB72ED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HCl</w:t>
                  </w:r>
                </w:p>
              </w:tc>
              <w:tc>
                <w:tcPr>
                  <w:tcW w:w="1992" w:type="pct"/>
                  <w:vMerge w:val="continue"/>
                  <w:tcBorders>
                    <w:left w:val="single" w:color="auto" w:sz="4" w:space="0"/>
                    <w:right w:val="single" w:color="auto" w:sz="4" w:space="0"/>
                  </w:tcBorders>
                  <w:vAlign w:val="center"/>
                </w:tcPr>
                <w:p w14:paraId="03448F9F">
                  <w:pPr>
                    <w:pStyle w:val="108"/>
                    <w:rPr>
                      <w:rFonts w:hint="default" w:ascii="Times New Roman" w:hAnsi="Times New Roman" w:cs="Times New Roman"/>
                      <w:color w:val="auto"/>
                      <w:szCs w:val="21"/>
                      <w:highlight w:val="none"/>
                    </w:rPr>
                  </w:pPr>
                </w:p>
              </w:tc>
            </w:tr>
            <w:tr w14:paraId="395D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45A05102">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4997E8A8">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G5</w:t>
                  </w:r>
                </w:p>
              </w:tc>
              <w:tc>
                <w:tcPr>
                  <w:tcW w:w="739" w:type="pct"/>
                  <w:tcBorders>
                    <w:left w:val="single" w:color="auto" w:sz="4" w:space="0"/>
                    <w:right w:val="single" w:color="auto" w:sz="4" w:space="0"/>
                  </w:tcBorders>
                  <w:vAlign w:val="center"/>
                </w:tcPr>
                <w:p w14:paraId="464D9231">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理化实验室有机废气（以非甲烷总烃计）</w:t>
                  </w:r>
                </w:p>
              </w:tc>
              <w:tc>
                <w:tcPr>
                  <w:tcW w:w="323" w:type="pct"/>
                  <w:vMerge w:val="continue"/>
                  <w:tcBorders>
                    <w:left w:val="single" w:color="auto" w:sz="4" w:space="0"/>
                    <w:right w:val="single" w:color="auto" w:sz="4" w:space="0"/>
                  </w:tcBorders>
                  <w:vAlign w:val="center"/>
                </w:tcPr>
                <w:p w14:paraId="00EE861E">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4CE656B1">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非甲烷总烃</w:t>
                  </w:r>
                </w:p>
              </w:tc>
              <w:tc>
                <w:tcPr>
                  <w:tcW w:w="1992" w:type="pct"/>
                  <w:tcBorders>
                    <w:top w:val="single" w:color="auto" w:sz="4" w:space="0"/>
                    <w:left w:val="single" w:color="auto" w:sz="4" w:space="0"/>
                    <w:right w:val="single" w:color="auto" w:sz="4" w:space="0"/>
                  </w:tcBorders>
                  <w:vAlign w:val="center"/>
                </w:tcPr>
                <w:p w14:paraId="11D881A2">
                  <w:pPr>
                    <w:pStyle w:val="108"/>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实验室通风柜密封收集+二级活性炭吸附+1根23m高排气筒排放（DA001）</w:t>
                  </w:r>
                </w:p>
              </w:tc>
            </w:tr>
            <w:tr w14:paraId="6534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3C663F7F">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47AC3DE3">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G6</w:t>
                  </w:r>
                </w:p>
              </w:tc>
              <w:tc>
                <w:tcPr>
                  <w:tcW w:w="739" w:type="pct"/>
                  <w:tcBorders>
                    <w:left w:val="single" w:color="auto" w:sz="4" w:space="0"/>
                    <w:right w:val="single" w:color="auto" w:sz="4" w:space="0"/>
                  </w:tcBorders>
                  <w:vAlign w:val="center"/>
                </w:tcPr>
                <w:p w14:paraId="0DB52C74">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微生物实验室废气</w:t>
                  </w:r>
                </w:p>
              </w:tc>
              <w:tc>
                <w:tcPr>
                  <w:tcW w:w="323" w:type="pct"/>
                  <w:vMerge w:val="continue"/>
                  <w:tcBorders>
                    <w:left w:val="single" w:color="auto" w:sz="4" w:space="0"/>
                    <w:right w:val="single" w:color="auto" w:sz="4" w:space="0"/>
                  </w:tcBorders>
                  <w:vAlign w:val="center"/>
                </w:tcPr>
                <w:p w14:paraId="66D1284A">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45151184">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颗粒物（含细菌气溶胶团）</w:t>
                  </w:r>
                </w:p>
              </w:tc>
              <w:tc>
                <w:tcPr>
                  <w:tcW w:w="1992" w:type="pct"/>
                  <w:tcBorders>
                    <w:top w:val="single" w:color="auto" w:sz="4" w:space="0"/>
                    <w:left w:val="single" w:color="auto" w:sz="4" w:space="0"/>
                    <w:right w:val="single" w:color="auto" w:sz="4" w:space="0"/>
                  </w:tcBorders>
                  <w:vAlign w:val="center"/>
                </w:tcPr>
                <w:p w14:paraId="71BFBD42">
                  <w:pPr>
                    <w:pStyle w:val="108"/>
                    <w:jc w:val="both"/>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生物安全柜（含高效过滤器）+紫外消毒装置</w:t>
                  </w:r>
                </w:p>
              </w:tc>
            </w:tr>
            <w:tr w14:paraId="551D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10B10A91">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77F85724">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G7</w:t>
                  </w:r>
                </w:p>
              </w:tc>
              <w:tc>
                <w:tcPr>
                  <w:tcW w:w="739" w:type="pct"/>
                  <w:tcBorders>
                    <w:left w:val="single" w:color="auto" w:sz="4" w:space="0"/>
                    <w:right w:val="single" w:color="auto" w:sz="4" w:space="0"/>
                  </w:tcBorders>
                  <w:vAlign w:val="center"/>
                </w:tcPr>
                <w:p w14:paraId="141BEE6A">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药物及试剂异味</w:t>
                  </w:r>
                </w:p>
              </w:tc>
              <w:tc>
                <w:tcPr>
                  <w:tcW w:w="323" w:type="pct"/>
                  <w:vMerge w:val="restart"/>
                  <w:tcBorders>
                    <w:left w:val="single" w:color="auto" w:sz="4" w:space="0"/>
                    <w:right w:val="single" w:color="auto" w:sz="4" w:space="0"/>
                  </w:tcBorders>
                  <w:vAlign w:val="center"/>
                </w:tcPr>
                <w:p w14:paraId="1B3076D9">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无组织</w:t>
                  </w:r>
                </w:p>
              </w:tc>
              <w:tc>
                <w:tcPr>
                  <w:tcW w:w="1346" w:type="pct"/>
                  <w:tcBorders>
                    <w:top w:val="single" w:color="auto" w:sz="4" w:space="0"/>
                    <w:left w:val="single" w:color="auto" w:sz="4" w:space="0"/>
                    <w:right w:val="single" w:color="auto" w:sz="4" w:space="0"/>
                  </w:tcBorders>
                  <w:vAlign w:val="center"/>
                </w:tcPr>
                <w:p w14:paraId="5A09BD31">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臭气浓度（异味）</w:t>
                  </w:r>
                </w:p>
              </w:tc>
              <w:tc>
                <w:tcPr>
                  <w:tcW w:w="1992" w:type="pct"/>
                  <w:tcBorders>
                    <w:top w:val="single" w:color="auto" w:sz="4" w:space="0"/>
                    <w:left w:val="single" w:color="auto" w:sz="4" w:space="0"/>
                    <w:right w:val="single" w:color="auto" w:sz="4" w:space="0"/>
                  </w:tcBorders>
                  <w:vAlign w:val="center"/>
                </w:tcPr>
                <w:p w14:paraId="334CCAD2">
                  <w:pPr>
                    <w:pStyle w:val="108"/>
                    <w:jc w:val="both"/>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加强室内通风换气</w:t>
                  </w:r>
                </w:p>
              </w:tc>
            </w:tr>
            <w:tr w14:paraId="6C47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186E9AB6">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26E52864">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G8</w:t>
                  </w:r>
                </w:p>
              </w:tc>
              <w:tc>
                <w:tcPr>
                  <w:tcW w:w="739" w:type="pct"/>
                  <w:vMerge w:val="restart"/>
                  <w:tcBorders>
                    <w:left w:val="single" w:color="auto" w:sz="4" w:space="0"/>
                    <w:right w:val="single" w:color="auto" w:sz="4" w:space="0"/>
                  </w:tcBorders>
                  <w:vAlign w:val="center"/>
                </w:tcPr>
                <w:p w14:paraId="579CEDE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污水处理站臭气</w:t>
                  </w:r>
                </w:p>
              </w:tc>
              <w:tc>
                <w:tcPr>
                  <w:tcW w:w="323" w:type="pct"/>
                  <w:vMerge w:val="continue"/>
                  <w:tcBorders>
                    <w:left w:val="single" w:color="auto" w:sz="4" w:space="0"/>
                    <w:right w:val="single" w:color="auto" w:sz="4" w:space="0"/>
                  </w:tcBorders>
                  <w:vAlign w:val="center"/>
                </w:tcPr>
                <w:p w14:paraId="7C5C2414">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4C835E8C">
                  <w:pPr>
                    <w:pStyle w:val="108"/>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NH</w:t>
                  </w:r>
                  <w:r>
                    <w:rPr>
                      <w:rFonts w:hint="default" w:ascii="Times New Roman" w:hAnsi="Times New Roman" w:cs="Times New Roman"/>
                      <w:color w:val="auto"/>
                      <w:highlight w:val="none"/>
                      <w:vertAlign w:val="subscript"/>
                    </w:rPr>
                    <w:t>3</w:t>
                  </w:r>
                </w:p>
              </w:tc>
              <w:tc>
                <w:tcPr>
                  <w:tcW w:w="1992" w:type="pct"/>
                  <w:vMerge w:val="restart"/>
                  <w:tcBorders>
                    <w:top w:val="single" w:color="auto" w:sz="4" w:space="0"/>
                    <w:left w:val="single" w:color="auto" w:sz="4" w:space="0"/>
                    <w:right w:val="single" w:color="auto" w:sz="4" w:space="0"/>
                  </w:tcBorders>
                  <w:vAlign w:val="center"/>
                </w:tcPr>
                <w:p w14:paraId="6A9474DA">
                  <w:pPr>
                    <w:pStyle w:val="108"/>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污水处理站设置于地下一层，各处理设施池体加盖，合理布置安放地点，采用密闭方式</w:t>
                  </w:r>
                </w:p>
              </w:tc>
            </w:tr>
            <w:tr w14:paraId="73E5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1F04666D">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52E4F93C">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G9</w:t>
                  </w:r>
                </w:p>
              </w:tc>
              <w:tc>
                <w:tcPr>
                  <w:tcW w:w="739" w:type="pct"/>
                  <w:vMerge w:val="continue"/>
                  <w:tcBorders>
                    <w:left w:val="single" w:color="auto" w:sz="4" w:space="0"/>
                    <w:right w:val="single" w:color="auto" w:sz="4" w:space="0"/>
                  </w:tcBorders>
                  <w:vAlign w:val="center"/>
                </w:tcPr>
                <w:p w14:paraId="1C440DD0">
                  <w:pPr>
                    <w:adjustRightInd w:val="0"/>
                    <w:snapToGrid w:val="0"/>
                    <w:jc w:val="center"/>
                    <w:rPr>
                      <w:rFonts w:hint="default" w:ascii="Times New Roman" w:hAnsi="Times New Roman" w:cs="Times New Roman"/>
                      <w:color w:val="auto"/>
                      <w:szCs w:val="21"/>
                      <w:highlight w:val="none"/>
                    </w:rPr>
                  </w:pPr>
                </w:p>
              </w:tc>
              <w:tc>
                <w:tcPr>
                  <w:tcW w:w="323" w:type="pct"/>
                  <w:vMerge w:val="continue"/>
                  <w:tcBorders>
                    <w:left w:val="single" w:color="auto" w:sz="4" w:space="0"/>
                    <w:right w:val="single" w:color="auto" w:sz="4" w:space="0"/>
                  </w:tcBorders>
                  <w:vAlign w:val="center"/>
                </w:tcPr>
                <w:p w14:paraId="492BC4E9">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36CBEDE4">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H</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S</w:t>
                  </w:r>
                </w:p>
              </w:tc>
              <w:tc>
                <w:tcPr>
                  <w:tcW w:w="1992" w:type="pct"/>
                  <w:vMerge w:val="continue"/>
                  <w:tcBorders>
                    <w:left w:val="single" w:color="auto" w:sz="4" w:space="0"/>
                    <w:right w:val="single" w:color="auto" w:sz="4" w:space="0"/>
                  </w:tcBorders>
                  <w:vAlign w:val="center"/>
                </w:tcPr>
                <w:p w14:paraId="20DB5E94">
                  <w:pPr>
                    <w:pStyle w:val="108"/>
                    <w:jc w:val="both"/>
                    <w:rPr>
                      <w:rFonts w:hint="default" w:ascii="Times New Roman" w:hAnsi="Times New Roman" w:cs="Times New Roman"/>
                      <w:color w:val="auto"/>
                      <w:szCs w:val="21"/>
                      <w:highlight w:val="none"/>
                    </w:rPr>
                  </w:pPr>
                </w:p>
              </w:tc>
            </w:tr>
            <w:tr w14:paraId="557F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455A1498">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12288306">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G10</w:t>
                  </w:r>
                </w:p>
              </w:tc>
              <w:tc>
                <w:tcPr>
                  <w:tcW w:w="739" w:type="pct"/>
                  <w:vMerge w:val="continue"/>
                  <w:tcBorders>
                    <w:left w:val="single" w:color="auto" w:sz="4" w:space="0"/>
                    <w:right w:val="single" w:color="auto" w:sz="4" w:space="0"/>
                  </w:tcBorders>
                  <w:vAlign w:val="center"/>
                </w:tcPr>
                <w:p w14:paraId="23D9624B">
                  <w:pPr>
                    <w:adjustRightInd w:val="0"/>
                    <w:snapToGrid w:val="0"/>
                    <w:jc w:val="center"/>
                    <w:rPr>
                      <w:rFonts w:hint="default" w:ascii="Times New Roman" w:hAnsi="Times New Roman" w:cs="Times New Roman"/>
                      <w:color w:val="auto"/>
                      <w:szCs w:val="21"/>
                      <w:highlight w:val="none"/>
                    </w:rPr>
                  </w:pPr>
                </w:p>
              </w:tc>
              <w:tc>
                <w:tcPr>
                  <w:tcW w:w="323" w:type="pct"/>
                  <w:vMerge w:val="continue"/>
                  <w:tcBorders>
                    <w:left w:val="single" w:color="auto" w:sz="4" w:space="0"/>
                    <w:right w:val="single" w:color="auto" w:sz="4" w:space="0"/>
                  </w:tcBorders>
                  <w:vAlign w:val="center"/>
                </w:tcPr>
                <w:p w14:paraId="03251539">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0AAE4454">
                  <w:pPr>
                    <w:pStyle w:val="5"/>
                    <w:ind w:left="0" w:firstLine="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臭气浓度（异味）</w:t>
                  </w:r>
                </w:p>
              </w:tc>
              <w:tc>
                <w:tcPr>
                  <w:tcW w:w="1992" w:type="pct"/>
                  <w:vMerge w:val="continue"/>
                  <w:tcBorders>
                    <w:left w:val="single" w:color="auto" w:sz="4" w:space="0"/>
                    <w:right w:val="single" w:color="auto" w:sz="4" w:space="0"/>
                  </w:tcBorders>
                  <w:vAlign w:val="center"/>
                </w:tcPr>
                <w:p w14:paraId="6D07BDDE">
                  <w:pPr>
                    <w:pStyle w:val="108"/>
                    <w:jc w:val="both"/>
                    <w:rPr>
                      <w:rFonts w:hint="default" w:ascii="Times New Roman" w:hAnsi="Times New Roman" w:cs="Times New Roman"/>
                      <w:color w:val="auto"/>
                      <w:szCs w:val="21"/>
                      <w:highlight w:val="none"/>
                    </w:rPr>
                  </w:pPr>
                </w:p>
              </w:tc>
            </w:tr>
            <w:tr w14:paraId="0D69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57113975">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53C83D4C">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G11</w:t>
                  </w:r>
                </w:p>
              </w:tc>
              <w:tc>
                <w:tcPr>
                  <w:tcW w:w="739" w:type="pct"/>
                  <w:tcBorders>
                    <w:left w:val="single" w:color="auto" w:sz="4" w:space="0"/>
                    <w:right w:val="single" w:color="auto" w:sz="4" w:space="0"/>
                  </w:tcBorders>
                  <w:vAlign w:val="center"/>
                </w:tcPr>
                <w:p w14:paraId="252DFDD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柴油发电机废气</w:t>
                  </w:r>
                </w:p>
              </w:tc>
              <w:tc>
                <w:tcPr>
                  <w:tcW w:w="323" w:type="pct"/>
                  <w:vMerge w:val="continue"/>
                  <w:tcBorders>
                    <w:left w:val="single" w:color="auto" w:sz="4" w:space="0"/>
                    <w:right w:val="single" w:color="auto" w:sz="4" w:space="0"/>
                  </w:tcBorders>
                  <w:vAlign w:val="center"/>
                </w:tcPr>
                <w:p w14:paraId="3FB23170">
                  <w:pPr>
                    <w:pStyle w:val="108"/>
                    <w:rPr>
                      <w:rFonts w:hint="default" w:ascii="Times New Roman" w:hAnsi="Times New Roman" w:cs="Times New Roman"/>
                      <w:color w:val="auto"/>
                      <w:szCs w:val="21"/>
                      <w:highlight w:val="none"/>
                    </w:rPr>
                  </w:pPr>
                </w:p>
              </w:tc>
              <w:tc>
                <w:tcPr>
                  <w:tcW w:w="1346" w:type="pct"/>
                  <w:tcBorders>
                    <w:top w:val="single" w:color="auto" w:sz="4" w:space="0"/>
                    <w:left w:val="single" w:color="auto" w:sz="4" w:space="0"/>
                    <w:right w:val="single" w:color="auto" w:sz="4" w:space="0"/>
                  </w:tcBorders>
                  <w:vAlign w:val="center"/>
                </w:tcPr>
                <w:p w14:paraId="04244003">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r>
                    <w:rPr>
                      <w:rFonts w:hint="default" w:ascii="Times New Roman" w:hAnsi="Times New Roman" w:cs="Times New Roman"/>
                      <w:color w:val="auto"/>
                      <w:szCs w:val="21"/>
                      <w:highlight w:val="none"/>
                      <w:vertAlign w:val="subscript"/>
                    </w:rPr>
                    <w:t>n</w:t>
                  </w: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vertAlign w:val="subscript"/>
                    </w:rPr>
                    <w:t>m</w:t>
                  </w:r>
                  <w:r>
                    <w:rPr>
                      <w:rFonts w:hint="default" w:ascii="Times New Roman" w:hAnsi="Times New Roman" w:cs="Times New Roman"/>
                      <w:color w:val="auto"/>
                      <w:szCs w:val="21"/>
                      <w:highlight w:val="none"/>
                    </w:rPr>
                    <w:t>、CO、烟尘</w:t>
                  </w:r>
                </w:p>
              </w:tc>
              <w:tc>
                <w:tcPr>
                  <w:tcW w:w="1992" w:type="pct"/>
                  <w:tcBorders>
                    <w:left w:val="single" w:color="auto" w:sz="4" w:space="0"/>
                    <w:right w:val="single" w:color="auto" w:sz="4" w:space="0"/>
                  </w:tcBorders>
                  <w:vAlign w:val="center"/>
                </w:tcPr>
                <w:p w14:paraId="14241DBB">
                  <w:pPr>
                    <w:pStyle w:val="108"/>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设置于单独的发电机房内，设置机械排风系统，烟气经自带过滤棉处理后，经抽排风系统由专用排烟管道引至室外无组织排放</w:t>
                  </w:r>
                </w:p>
              </w:tc>
            </w:tr>
            <w:tr w14:paraId="01A3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restart"/>
                  <w:tcBorders>
                    <w:left w:val="single" w:color="auto" w:sz="4" w:space="0"/>
                    <w:right w:val="single" w:color="auto" w:sz="4" w:space="0"/>
                  </w:tcBorders>
                  <w:vAlign w:val="center"/>
                </w:tcPr>
                <w:p w14:paraId="47B10436">
                  <w:pPr>
                    <w:widowControl/>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废水</w:t>
                  </w:r>
                </w:p>
              </w:tc>
              <w:tc>
                <w:tcPr>
                  <w:tcW w:w="343" w:type="pct"/>
                  <w:tcBorders>
                    <w:top w:val="single" w:color="auto" w:sz="4" w:space="0"/>
                    <w:left w:val="single" w:color="auto" w:sz="4" w:space="0"/>
                    <w:right w:val="single" w:color="auto" w:sz="4" w:space="0"/>
                  </w:tcBorders>
                  <w:vAlign w:val="center"/>
                </w:tcPr>
                <w:p w14:paraId="2662C627">
                  <w:pPr>
                    <w:pStyle w:val="108"/>
                    <w:ind w:left="-105" w:leftChars="-50" w:right="-105" w:rightChars="-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W1</w:t>
                  </w:r>
                </w:p>
              </w:tc>
              <w:tc>
                <w:tcPr>
                  <w:tcW w:w="739" w:type="pct"/>
                  <w:tcBorders>
                    <w:left w:val="single" w:color="auto" w:sz="4" w:space="0"/>
                    <w:right w:val="single" w:color="auto" w:sz="4" w:space="0"/>
                  </w:tcBorders>
                  <w:vAlign w:val="center"/>
                </w:tcPr>
                <w:p w14:paraId="2F8D1640">
                  <w:pPr>
                    <w:pStyle w:val="108"/>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理化实验室</w:t>
                  </w:r>
                  <w:r>
                    <w:rPr>
                      <w:rFonts w:hint="default" w:ascii="Times New Roman" w:hAnsi="Times New Roman" w:cs="Times New Roman"/>
                      <w:color w:val="auto"/>
                      <w:szCs w:val="21"/>
                      <w:highlight w:val="none"/>
                    </w:rPr>
                    <w:t>废水</w:t>
                  </w:r>
                </w:p>
              </w:tc>
              <w:tc>
                <w:tcPr>
                  <w:tcW w:w="323" w:type="pct"/>
                  <w:vMerge w:val="restart"/>
                  <w:tcBorders>
                    <w:top w:val="single" w:color="auto" w:sz="4" w:space="0"/>
                    <w:left w:val="single" w:color="auto" w:sz="4" w:space="0"/>
                    <w:right w:val="single" w:color="auto" w:sz="4" w:space="0"/>
                  </w:tcBorders>
                  <w:vAlign w:val="center"/>
                </w:tcPr>
                <w:p w14:paraId="7CCB62B0">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46" w:type="pct"/>
                  <w:vMerge w:val="restart"/>
                  <w:tcBorders>
                    <w:left w:val="single" w:color="auto" w:sz="4" w:space="0"/>
                    <w:right w:val="single" w:color="auto" w:sz="4" w:space="0"/>
                  </w:tcBorders>
                  <w:vAlign w:val="center"/>
                </w:tcPr>
                <w:p w14:paraId="6F1CAAD5">
                  <w:pPr>
                    <w:pStyle w:val="108"/>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粪大肠菌群数、肠道致病菌、pH、COD、BOD、SS、氨氮、动植物油、石油类、阴离子表面活性剂、色度、挥发酚、总氰化物、总汞、总镉、总铬、六价铬、总砷、总铅、总银、总余氯</w:t>
                  </w:r>
                </w:p>
              </w:tc>
              <w:tc>
                <w:tcPr>
                  <w:tcW w:w="1992" w:type="pct"/>
                  <w:vMerge w:val="restart"/>
                  <w:tcBorders>
                    <w:left w:val="single" w:color="auto" w:sz="4" w:space="0"/>
                    <w:right w:val="single" w:color="auto" w:sz="4" w:space="0"/>
                  </w:tcBorders>
                  <w:vAlign w:val="center"/>
                </w:tcPr>
                <w:p w14:paraId="7E97C8CA">
                  <w:pPr>
                    <w:pStyle w:val="108"/>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①酸碱废水经1m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的实验室废水预处理系统中和预处理；②含重金属废水经1m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的化学沉淀池预处理；③含氰废水经1m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的碱性氯化法破氰槽预处理；</w:t>
                  </w:r>
                  <w:r>
                    <w:rPr>
                      <w:rFonts w:hint="default" w:ascii="Times New Roman" w:hAnsi="Times New Roman" w:cs="Times New Roman"/>
                      <w:color w:val="auto"/>
                      <w:szCs w:val="21"/>
                      <w:highlight w:val="none"/>
                    </w:rPr>
                    <w:fldChar w:fldCharType="begin"/>
                  </w:r>
                  <w:r>
                    <w:rPr>
                      <w:rFonts w:hint="default" w:ascii="Times New Roman" w:hAnsi="Times New Roman" w:cs="Times New Roman"/>
                      <w:color w:val="auto"/>
                      <w:szCs w:val="21"/>
                      <w:highlight w:val="none"/>
                    </w:rPr>
                    <w:instrText xml:space="preserve"> = 4 \* GB3 \* MERGEFORMAT </w:instrText>
                  </w:r>
                  <w:r>
                    <w:rPr>
                      <w:rFonts w:hint="default" w:ascii="Times New Roman" w:hAnsi="Times New Roman" w:cs="Times New Roman"/>
                      <w:color w:val="auto"/>
                      <w:szCs w:val="21"/>
                      <w:highlight w:val="none"/>
                    </w:rPr>
                    <w:fldChar w:fldCharType="separate"/>
                  </w:r>
                  <w:r>
                    <w:rPr>
                      <w:rFonts w:hint="default" w:ascii="Times New Roman" w:hAnsi="Times New Roman" w:cs="Times New Roman"/>
                      <w:color w:val="auto"/>
                      <w:highlight w:val="none"/>
                    </w:rPr>
                    <w:t>④</w:t>
                  </w:r>
                  <w:r>
                    <w:rPr>
                      <w:rFonts w:hint="default" w:ascii="Times New Roman" w:hAnsi="Times New Roman" w:cs="Times New Roman"/>
                      <w:color w:val="auto"/>
                      <w:szCs w:val="21"/>
                      <w:highlight w:val="none"/>
                    </w:rPr>
                    <w:fldChar w:fldCharType="end"/>
                  </w:r>
                  <w:r>
                    <w:rPr>
                      <w:rFonts w:hint="default" w:ascii="Times New Roman" w:hAnsi="Times New Roman" w:cs="Times New Roman"/>
                      <w:color w:val="auto"/>
                      <w:szCs w:val="21"/>
                      <w:highlight w:val="none"/>
                    </w:rPr>
                    <w:t>微生物实验室废水经1m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次氯酸钠消毒池预处理。预处理后的各类废水最终汇入1座现有10m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/d废水处理站</w:t>
                  </w:r>
                  <w:r>
                    <w:rPr>
                      <w:rFonts w:hint="default" w:ascii="Times New Roman" w:hAnsi="Times New Roman" w:cs="Times New Roman"/>
                      <w:color w:val="auto"/>
                      <w:highlight w:val="none"/>
                    </w:rPr>
                    <w:t>处理达标后，排入市政污水管网，最终进入华宁县污水处理厂。</w:t>
                  </w:r>
                </w:p>
              </w:tc>
            </w:tr>
            <w:tr w14:paraId="0D41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3CB0091B">
                  <w:pPr>
                    <w:widowControl/>
                    <w:jc w:val="center"/>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436FEC24">
                  <w:pPr>
                    <w:pStyle w:val="108"/>
                    <w:ind w:left="-105" w:leftChars="-50" w:right="-105" w:rightChars="-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W2</w:t>
                  </w:r>
                </w:p>
              </w:tc>
              <w:tc>
                <w:tcPr>
                  <w:tcW w:w="739" w:type="pct"/>
                  <w:tcBorders>
                    <w:left w:val="single" w:color="auto" w:sz="4" w:space="0"/>
                    <w:right w:val="single" w:color="auto" w:sz="4" w:space="0"/>
                  </w:tcBorders>
                  <w:vAlign w:val="center"/>
                </w:tcPr>
                <w:p w14:paraId="38C1EEC8">
                  <w:pPr>
                    <w:pStyle w:val="108"/>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微生物实验室</w:t>
                  </w:r>
                </w:p>
                <w:p w14:paraId="75BBDF15">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323" w:type="pct"/>
                  <w:vMerge w:val="continue"/>
                  <w:tcBorders>
                    <w:left w:val="single" w:color="auto" w:sz="4" w:space="0"/>
                    <w:right w:val="single" w:color="auto" w:sz="4" w:space="0"/>
                  </w:tcBorders>
                  <w:vAlign w:val="center"/>
                </w:tcPr>
                <w:p w14:paraId="0ED0527C">
                  <w:pPr>
                    <w:pStyle w:val="108"/>
                    <w:rPr>
                      <w:rFonts w:hint="default" w:ascii="Times New Roman" w:hAnsi="Times New Roman" w:cs="Times New Roman"/>
                      <w:color w:val="auto"/>
                      <w:szCs w:val="21"/>
                      <w:highlight w:val="none"/>
                    </w:rPr>
                  </w:pPr>
                </w:p>
              </w:tc>
              <w:tc>
                <w:tcPr>
                  <w:tcW w:w="1346" w:type="pct"/>
                  <w:vMerge w:val="continue"/>
                  <w:tcBorders>
                    <w:left w:val="single" w:color="auto" w:sz="4" w:space="0"/>
                    <w:right w:val="single" w:color="auto" w:sz="4" w:space="0"/>
                  </w:tcBorders>
                  <w:vAlign w:val="center"/>
                </w:tcPr>
                <w:p w14:paraId="65705D08">
                  <w:pPr>
                    <w:pStyle w:val="108"/>
                    <w:jc w:val="both"/>
                    <w:rPr>
                      <w:rFonts w:hint="default" w:ascii="Times New Roman" w:hAnsi="Times New Roman" w:cs="Times New Roman"/>
                      <w:color w:val="auto"/>
                      <w:szCs w:val="21"/>
                      <w:highlight w:val="none"/>
                    </w:rPr>
                  </w:pPr>
                </w:p>
              </w:tc>
              <w:tc>
                <w:tcPr>
                  <w:tcW w:w="1992" w:type="pct"/>
                  <w:vMerge w:val="continue"/>
                  <w:tcBorders>
                    <w:left w:val="single" w:color="auto" w:sz="4" w:space="0"/>
                    <w:right w:val="single" w:color="auto" w:sz="4" w:space="0"/>
                  </w:tcBorders>
                  <w:vAlign w:val="center"/>
                </w:tcPr>
                <w:p w14:paraId="5BEC1519">
                  <w:pPr>
                    <w:pStyle w:val="108"/>
                    <w:jc w:val="both"/>
                    <w:rPr>
                      <w:rFonts w:hint="default" w:ascii="Times New Roman" w:hAnsi="Times New Roman" w:cs="Times New Roman"/>
                      <w:color w:val="auto"/>
                      <w:szCs w:val="21"/>
                      <w:highlight w:val="none"/>
                    </w:rPr>
                  </w:pPr>
                </w:p>
              </w:tc>
            </w:tr>
            <w:tr w14:paraId="7B7E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46966B1D">
                  <w:pPr>
                    <w:pStyle w:val="108"/>
                    <w:rPr>
                      <w:rFonts w:hint="default" w:ascii="Times New Roman" w:hAnsi="Times New Roman" w:cs="Times New Roman"/>
                      <w:color w:val="auto"/>
                      <w:szCs w:val="21"/>
                      <w:highlight w:val="none"/>
                    </w:rPr>
                  </w:pPr>
                </w:p>
              </w:tc>
              <w:tc>
                <w:tcPr>
                  <w:tcW w:w="343" w:type="pct"/>
                  <w:tcBorders>
                    <w:top w:val="single" w:color="auto" w:sz="4" w:space="0"/>
                    <w:left w:val="single" w:color="auto" w:sz="4" w:space="0"/>
                    <w:right w:val="single" w:color="auto" w:sz="4" w:space="0"/>
                  </w:tcBorders>
                  <w:vAlign w:val="center"/>
                </w:tcPr>
                <w:p w14:paraId="31B04F27">
                  <w:pPr>
                    <w:pStyle w:val="108"/>
                    <w:ind w:left="-105" w:leftChars="-50" w:right="-105" w:rightChars="-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W3</w:t>
                  </w:r>
                </w:p>
              </w:tc>
              <w:tc>
                <w:tcPr>
                  <w:tcW w:w="739" w:type="pct"/>
                  <w:tcBorders>
                    <w:left w:val="single" w:color="auto" w:sz="4" w:space="0"/>
                    <w:right w:val="single" w:color="auto" w:sz="4" w:space="0"/>
                  </w:tcBorders>
                  <w:vAlign w:val="center"/>
                </w:tcPr>
                <w:p w14:paraId="530BEE63">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软水制备浓水</w:t>
                  </w:r>
                </w:p>
              </w:tc>
              <w:tc>
                <w:tcPr>
                  <w:tcW w:w="323" w:type="pct"/>
                  <w:vMerge w:val="continue"/>
                  <w:tcBorders>
                    <w:left w:val="single" w:color="auto" w:sz="4" w:space="0"/>
                    <w:right w:val="single" w:color="auto" w:sz="4" w:space="0"/>
                  </w:tcBorders>
                  <w:vAlign w:val="center"/>
                </w:tcPr>
                <w:p w14:paraId="176A59C5">
                  <w:pPr>
                    <w:pStyle w:val="108"/>
                    <w:rPr>
                      <w:rFonts w:hint="default" w:ascii="Times New Roman" w:hAnsi="Times New Roman" w:cs="Times New Roman"/>
                      <w:color w:val="auto"/>
                      <w:szCs w:val="21"/>
                      <w:highlight w:val="none"/>
                    </w:rPr>
                  </w:pPr>
                </w:p>
              </w:tc>
              <w:tc>
                <w:tcPr>
                  <w:tcW w:w="1346" w:type="pct"/>
                  <w:tcBorders>
                    <w:left w:val="single" w:color="auto" w:sz="4" w:space="0"/>
                    <w:right w:val="single" w:color="auto" w:sz="4" w:space="0"/>
                  </w:tcBorders>
                  <w:vAlign w:val="center"/>
                </w:tcPr>
                <w:p w14:paraId="2112A595">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溶解性总固体</w:t>
                  </w:r>
                </w:p>
              </w:tc>
              <w:tc>
                <w:tcPr>
                  <w:tcW w:w="1992" w:type="pct"/>
                  <w:tcBorders>
                    <w:left w:val="single" w:color="auto" w:sz="4" w:space="0"/>
                    <w:right w:val="single" w:color="auto" w:sz="4" w:space="0"/>
                  </w:tcBorders>
                  <w:vAlign w:val="center"/>
                </w:tcPr>
                <w:p w14:paraId="369BF3F1">
                  <w:pPr>
                    <w:pStyle w:val="108"/>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汇入1座现有10m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/d废水处理站</w:t>
                  </w:r>
                  <w:r>
                    <w:rPr>
                      <w:rFonts w:hint="default" w:ascii="Times New Roman" w:hAnsi="Times New Roman" w:cs="Times New Roman"/>
                      <w:color w:val="auto"/>
                      <w:highlight w:val="none"/>
                    </w:rPr>
                    <w:t>，排入市政污水管网，最终进入华宁县污水处理厂</w:t>
                  </w:r>
                </w:p>
              </w:tc>
            </w:tr>
            <w:tr w14:paraId="6A88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restart"/>
                  <w:tcBorders>
                    <w:left w:val="single" w:color="auto" w:sz="4" w:space="0"/>
                    <w:right w:val="single" w:color="auto" w:sz="4" w:space="0"/>
                  </w:tcBorders>
                  <w:vAlign w:val="center"/>
                </w:tcPr>
                <w:p w14:paraId="3BB89F79">
                  <w:pPr>
                    <w:pStyle w:val="108"/>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固体废物</w:t>
                  </w:r>
                </w:p>
              </w:tc>
              <w:tc>
                <w:tcPr>
                  <w:tcW w:w="343" w:type="pct"/>
                  <w:tcBorders>
                    <w:top w:val="single" w:color="auto" w:sz="4" w:space="0"/>
                    <w:left w:val="single" w:color="auto" w:sz="4" w:space="0"/>
                    <w:bottom w:val="single" w:color="auto" w:sz="4" w:space="0"/>
                    <w:right w:val="single" w:color="auto" w:sz="4" w:space="0"/>
                  </w:tcBorders>
                  <w:vAlign w:val="center"/>
                </w:tcPr>
                <w:p w14:paraId="735EE11C">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S1</w:t>
                  </w:r>
                </w:p>
              </w:tc>
              <w:tc>
                <w:tcPr>
                  <w:tcW w:w="739" w:type="pct"/>
                  <w:tcBorders>
                    <w:top w:val="single" w:color="auto" w:sz="4" w:space="0"/>
                    <w:left w:val="single" w:color="auto" w:sz="4" w:space="0"/>
                    <w:bottom w:val="single" w:color="auto" w:sz="4" w:space="0"/>
                    <w:right w:val="single" w:color="auto" w:sz="4" w:space="0"/>
                  </w:tcBorders>
                  <w:vAlign w:val="center"/>
                </w:tcPr>
                <w:p w14:paraId="1F2D1C9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微生物实验室</w:t>
                  </w:r>
                </w:p>
              </w:tc>
              <w:tc>
                <w:tcPr>
                  <w:tcW w:w="323" w:type="pct"/>
                  <w:vMerge w:val="restart"/>
                  <w:tcBorders>
                    <w:left w:val="single" w:color="auto" w:sz="4" w:space="0"/>
                    <w:right w:val="single" w:color="auto" w:sz="4" w:space="0"/>
                  </w:tcBorders>
                  <w:vAlign w:val="center"/>
                </w:tcPr>
                <w:p w14:paraId="710AEDF3">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w:t>
                  </w:r>
                </w:p>
              </w:tc>
              <w:tc>
                <w:tcPr>
                  <w:tcW w:w="1346" w:type="pct"/>
                  <w:tcBorders>
                    <w:left w:val="single" w:color="auto" w:sz="4" w:space="0"/>
                    <w:right w:val="single" w:color="auto" w:sz="4" w:space="0"/>
                  </w:tcBorders>
                  <w:vAlign w:val="center"/>
                </w:tcPr>
                <w:p w14:paraId="50BF0E6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废培养基、废标本、废实验用品、多余样品</w:t>
                  </w:r>
                </w:p>
                <w:p w14:paraId="789AD9D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（HW01 841-001-01）</w:t>
                  </w:r>
                </w:p>
              </w:tc>
              <w:tc>
                <w:tcPr>
                  <w:tcW w:w="1992" w:type="pct"/>
                  <w:tcBorders>
                    <w:left w:val="single" w:color="auto" w:sz="4" w:space="0"/>
                    <w:right w:val="single" w:color="auto" w:sz="4" w:space="0"/>
                  </w:tcBorders>
                  <w:vAlign w:val="center"/>
                </w:tcPr>
                <w:p w14:paraId="47E1C8C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分类收集经消毒灭菌后，暂存于医疗固废暂存间，定期交由玉溪兴洁垃圾处理有限公司处理</w:t>
                  </w:r>
                </w:p>
              </w:tc>
            </w:tr>
            <w:tr w14:paraId="1C85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7193A833">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right w:val="single" w:color="auto" w:sz="4" w:space="0"/>
                  </w:tcBorders>
                  <w:vAlign w:val="center"/>
                </w:tcPr>
                <w:p w14:paraId="6F278C7E">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S2</w:t>
                  </w:r>
                </w:p>
              </w:tc>
              <w:tc>
                <w:tcPr>
                  <w:tcW w:w="739" w:type="pct"/>
                  <w:tcBorders>
                    <w:top w:val="single" w:color="auto" w:sz="4" w:space="0"/>
                    <w:left w:val="single" w:color="auto" w:sz="4" w:space="0"/>
                    <w:bottom w:val="single" w:color="auto" w:sz="4" w:space="0"/>
                    <w:right w:val="single" w:color="auto" w:sz="4" w:space="0"/>
                  </w:tcBorders>
                  <w:vAlign w:val="center"/>
                </w:tcPr>
                <w:p w14:paraId="04E4FA7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理化实验室</w:t>
                  </w:r>
                </w:p>
              </w:tc>
              <w:tc>
                <w:tcPr>
                  <w:tcW w:w="323" w:type="pct"/>
                  <w:vMerge w:val="continue"/>
                  <w:tcBorders>
                    <w:left w:val="single" w:color="auto" w:sz="4" w:space="0"/>
                    <w:right w:val="single" w:color="auto" w:sz="4" w:space="0"/>
                  </w:tcBorders>
                  <w:vAlign w:val="center"/>
                </w:tcPr>
                <w:p w14:paraId="5CA024E7">
                  <w:pPr>
                    <w:pStyle w:val="108"/>
                    <w:rPr>
                      <w:rFonts w:hint="default" w:ascii="Times New Roman" w:hAnsi="Times New Roman" w:cs="Times New Roman"/>
                      <w:color w:val="auto"/>
                      <w:szCs w:val="21"/>
                      <w:highlight w:val="none"/>
                    </w:rPr>
                  </w:pPr>
                </w:p>
              </w:tc>
              <w:tc>
                <w:tcPr>
                  <w:tcW w:w="1346" w:type="pct"/>
                  <w:tcBorders>
                    <w:left w:val="single" w:color="auto" w:sz="4" w:space="0"/>
                    <w:right w:val="single" w:color="auto" w:sz="4" w:space="0"/>
                  </w:tcBorders>
                  <w:vAlign w:val="center"/>
                </w:tcPr>
                <w:p w14:paraId="0F36458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检毕样品、废弃样品、废实验用品、吸收废气碱液</w:t>
                  </w:r>
                </w:p>
                <w:p w14:paraId="243C390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bookmarkStart w:id="8" w:name="OLE_LINK2"/>
                  <w:r>
                    <w:rPr>
                      <w:rFonts w:hint="default" w:ascii="Times New Roman" w:hAnsi="Times New Roman" w:cs="Times New Roman"/>
                      <w:color w:val="auto"/>
                      <w:szCs w:val="21"/>
                      <w:highlight w:val="none"/>
                    </w:rPr>
                    <w:t>HW01 841-004-01</w:t>
                  </w:r>
                  <w:bookmarkEnd w:id="8"/>
                  <w:r>
                    <w:rPr>
                      <w:rFonts w:hint="default" w:ascii="Times New Roman" w:hAnsi="Times New Roman" w:cs="Times New Roman"/>
                      <w:color w:val="auto"/>
                      <w:szCs w:val="21"/>
                      <w:highlight w:val="none"/>
                    </w:rPr>
                    <w:t>）</w:t>
                  </w:r>
                </w:p>
              </w:tc>
              <w:tc>
                <w:tcPr>
                  <w:tcW w:w="1992" w:type="pct"/>
                  <w:tcBorders>
                    <w:left w:val="single" w:color="auto" w:sz="4" w:space="0"/>
                    <w:right w:val="single" w:color="auto" w:sz="4" w:space="0"/>
                  </w:tcBorders>
                  <w:vAlign w:val="center"/>
                </w:tcPr>
                <w:p w14:paraId="467A969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单独收集密封暂存于医疗固废暂存间，定期交由玉溪兴洁垃圾处理有限公司处理</w:t>
                  </w:r>
                </w:p>
              </w:tc>
            </w:tr>
            <w:tr w14:paraId="70C8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5B3D5AFE">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bottom w:val="single" w:color="auto" w:sz="4" w:space="0"/>
                    <w:right w:val="single" w:color="auto" w:sz="4" w:space="0"/>
                  </w:tcBorders>
                  <w:vAlign w:val="center"/>
                </w:tcPr>
                <w:p w14:paraId="28CEB813">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S3</w:t>
                  </w:r>
                </w:p>
              </w:tc>
              <w:tc>
                <w:tcPr>
                  <w:tcW w:w="739" w:type="pct"/>
                  <w:tcBorders>
                    <w:top w:val="single" w:color="auto" w:sz="4" w:space="0"/>
                    <w:left w:val="single" w:color="auto" w:sz="4" w:space="0"/>
                    <w:bottom w:val="single" w:color="auto" w:sz="4" w:space="0"/>
                    <w:right w:val="single" w:color="auto" w:sz="4" w:space="0"/>
                  </w:tcBorders>
                  <w:vAlign w:val="center"/>
                </w:tcPr>
                <w:p w14:paraId="71C45F3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w:t>
                  </w:r>
                </w:p>
              </w:tc>
              <w:tc>
                <w:tcPr>
                  <w:tcW w:w="323" w:type="pct"/>
                  <w:vMerge w:val="continue"/>
                  <w:tcBorders>
                    <w:left w:val="single" w:color="auto" w:sz="4" w:space="0"/>
                    <w:right w:val="single" w:color="auto" w:sz="4" w:space="0"/>
                  </w:tcBorders>
                  <w:vAlign w:val="center"/>
                </w:tcPr>
                <w:p w14:paraId="282C8025">
                  <w:pPr>
                    <w:pStyle w:val="108"/>
                    <w:rPr>
                      <w:rFonts w:hint="default" w:ascii="Times New Roman" w:hAnsi="Times New Roman" w:cs="Times New Roman"/>
                      <w:color w:val="auto"/>
                      <w:szCs w:val="21"/>
                      <w:highlight w:val="none"/>
                    </w:rPr>
                  </w:pPr>
                </w:p>
              </w:tc>
              <w:tc>
                <w:tcPr>
                  <w:tcW w:w="1346" w:type="pct"/>
                  <w:tcBorders>
                    <w:left w:val="single" w:color="auto" w:sz="4" w:space="0"/>
                    <w:right w:val="single" w:color="auto" w:sz="4" w:space="0"/>
                  </w:tcBorders>
                  <w:vAlign w:val="center"/>
                </w:tcPr>
                <w:p w14:paraId="5493476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废活性炭</w:t>
                  </w:r>
                </w:p>
                <w:p w14:paraId="4C479A4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（HW49 900-039-49）</w:t>
                  </w:r>
                </w:p>
              </w:tc>
              <w:tc>
                <w:tcPr>
                  <w:tcW w:w="1992" w:type="pct"/>
                  <w:tcBorders>
                    <w:left w:val="single" w:color="auto" w:sz="4" w:space="0"/>
                    <w:right w:val="single" w:color="auto" w:sz="4" w:space="0"/>
                  </w:tcBorders>
                  <w:vAlign w:val="center"/>
                </w:tcPr>
                <w:p w14:paraId="110D036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暂存于医疗固废暂存间，定期交由有相应危废处置资质单位清运处置</w:t>
                  </w:r>
                </w:p>
              </w:tc>
            </w:tr>
            <w:tr w14:paraId="2EE0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38DD206E">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bottom w:val="single" w:color="auto" w:sz="4" w:space="0"/>
                    <w:right w:val="single" w:color="auto" w:sz="4" w:space="0"/>
                  </w:tcBorders>
                  <w:vAlign w:val="center"/>
                </w:tcPr>
                <w:p w14:paraId="73E20A3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S4</w:t>
                  </w:r>
                </w:p>
              </w:tc>
              <w:tc>
                <w:tcPr>
                  <w:tcW w:w="739" w:type="pct"/>
                  <w:tcBorders>
                    <w:top w:val="single" w:color="auto" w:sz="4" w:space="0"/>
                    <w:left w:val="single" w:color="auto" w:sz="4" w:space="0"/>
                    <w:bottom w:val="single" w:color="auto" w:sz="4" w:space="0"/>
                    <w:right w:val="single" w:color="auto" w:sz="4" w:space="0"/>
                  </w:tcBorders>
                  <w:vAlign w:val="center"/>
                </w:tcPr>
                <w:p w14:paraId="4E6EE31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生物安全柜高效过滤器</w:t>
                  </w:r>
                </w:p>
              </w:tc>
              <w:tc>
                <w:tcPr>
                  <w:tcW w:w="323" w:type="pct"/>
                  <w:vMerge w:val="continue"/>
                  <w:tcBorders>
                    <w:left w:val="single" w:color="auto" w:sz="4" w:space="0"/>
                    <w:right w:val="single" w:color="auto" w:sz="4" w:space="0"/>
                  </w:tcBorders>
                  <w:vAlign w:val="center"/>
                </w:tcPr>
                <w:p w14:paraId="0152886C">
                  <w:pPr>
                    <w:pStyle w:val="108"/>
                    <w:rPr>
                      <w:rFonts w:hint="default" w:ascii="Times New Roman" w:hAnsi="Times New Roman" w:cs="Times New Roman"/>
                      <w:color w:val="auto"/>
                      <w:szCs w:val="21"/>
                      <w:highlight w:val="none"/>
                    </w:rPr>
                  </w:pPr>
                </w:p>
              </w:tc>
              <w:tc>
                <w:tcPr>
                  <w:tcW w:w="1346" w:type="pct"/>
                  <w:tcBorders>
                    <w:left w:val="single" w:color="auto" w:sz="4" w:space="0"/>
                    <w:right w:val="single" w:color="auto" w:sz="4" w:space="0"/>
                  </w:tcBorders>
                  <w:vAlign w:val="center"/>
                </w:tcPr>
                <w:p w14:paraId="2FE0CAE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废滤膜</w:t>
                  </w:r>
                </w:p>
                <w:p w14:paraId="69EBEB8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（HW49 900-041-49）</w:t>
                  </w:r>
                </w:p>
              </w:tc>
              <w:tc>
                <w:tcPr>
                  <w:tcW w:w="1992" w:type="pct"/>
                  <w:tcBorders>
                    <w:left w:val="single" w:color="auto" w:sz="4" w:space="0"/>
                    <w:right w:val="single" w:color="auto" w:sz="4" w:space="0"/>
                  </w:tcBorders>
                  <w:vAlign w:val="center"/>
                </w:tcPr>
                <w:p w14:paraId="64686B38">
                  <w:pP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经消毒灭菌后，暂存于医疗固废暂存间，定期交由有相应危废处置资质单位清运处置</w:t>
                  </w:r>
                </w:p>
              </w:tc>
            </w:tr>
            <w:tr w14:paraId="5B67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601676E7">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bottom w:val="single" w:color="auto" w:sz="4" w:space="0"/>
                    <w:right w:val="single" w:color="auto" w:sz="4" w:space="0"/>
                  </w:tcBorders>
                  <w:vAlign w:val="center"/>
                </w:tcPr>
                <w:p w14:paraId="284678C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S5</w:t>
                  </w:r>
                </w:p>
              </w:tc>
              <w:tc>
                <w:tcPr>
                  <w:tcW w:w="739" w:type="pct"/>
                  <w:tcBorders>
                    <w:top w:val="single" w:color="auto" w:sz="4" w:space="0"/>
                    <w:left w:val="single" w:color="auto" w:sz="4" w:space="0"/>
                    <w:bottom w:val="single" w:color="auto" w:sz="4" w:space="0"/>
                    <w:right w:val="single" w:color="auto" w:sz="4" w:space="0"/>
                  </w:tcBorders>
                  <w:vAlign w:val="center"/>
                </w:tcPr>
                <w:p w14:paraId="5A4363A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实验室废水预处理设备</w:t>
                  </w:r>
                </w:p>
                <w:p w14:paraId="437B27A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（化学沉淀池）</w:t>
                  </w:r>
                </w:p>
              </w:tc>
              <w:tc>
                <w:tcPr>
                  <w:tcW w:w="323" w:type="pct"/>
                  <w:vMerge w:val="continue"/>
                  <w:tcBorders>
                    <w:left w:val="single" w:color="auto" w:sz="4" w:space="0"/>
                    <w:right w:val="single" w:color="auto" w:sz="4" w:space="0"/>
                  </w:tcBorders>
                  <w:vAlign w:val="center"/>
                </w:tcPr>
                <w:p w14:paraId="05C137EB">
                  <w:pPr>
                    <w:pStyle w:val="108"/>
                    <w:rPr>
                      <w:rFonts w:hint="default" w:ascii="Times New Roman" w:hAnsi="Times New Roman" w:cs="Times New Roman"/>
                      <w:color w:val="auto"/>
                      <w:szCs w:val="21"/>
                      <w:highlight w:val="none"/>
                    </w:rPr>
                  </w:pPr>
                </w:p>
              </w:tc>
              <w:tc>
                <w:tcPr>
                  <w:tcW w:w="1346" w:type="pct"/>
                  <w:tcBorders>
                    <w:left w:val="single" w:color="auto" w:sz="4" w:space="0"/>
                    <w:right w:val="single" w:color="auto" w:sz="4" w:space="0"/>
                  </w:tcBorders>
                  <w:vAlign w:val="center"/>
                </w:tcPr>
                <w:p w14:paraId="50F455E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含重金属废水预处理污泥</w:t>
                  </w:r>
                </w:p>
                <w:p w14:paraId="2AAE1C0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（HW49 772-006-49）</w:t>
                  </w:r>
                </w:p>
              </w:tc>
              <w:tc>
                <w:tcPr>
                  <w:tcW w:w="1992" w:type="pct"/>
                  <w:tcBorders>
                    <w:left w:val="single" w:color="auto" w:sz="4" w:space="0"/>
                    <w:right w:val="single" w:color="auto" w:sz="4" w:space="0"/>
                  </w:tcBorders>
                  <w:vAlign w:val="center"/>
                </w:tcPr>
                <w:p w14:paraId="6E29BEB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经实验人员脱水后，暂存于医疗固废暂存间，脱水后定期交由有相应危废处置资质单位清运处置</w:t>
                  </w:r>
                </w:p>
              </w:tc>
            </w:tr>
            <w:tr w14:paraId="2647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11D52DBD">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bottom w:val="single" w:color="auto" w:sz="4" w:space="0"/>
                    <w:right w:val="single" w:color="auto" w:sz="4" w:space="0"/>
                  </w:tcBorders>
                  <w:vAlign w:val="center"/>
                </w:tcPr>
                <w:p w14:paraId="126DB59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S6</w:t>
                  </w:r>
                </w:p>
              </w:tc>
              <w:tc>
                <w:tcPr>
                  <w:tcW w:w="739" w:type="pct"/>
                  <w:vMerge w:val="restart"/>
                  <w:tcBorders>
                    <w:top w:val="single" w:color="auto" w:sz="4" w:space="0"/>
                    <w:left w:val="single" w:color="auto" w:sz="4" w:space="0"/>
                    <w:right w:val="single" w:color="auto" w:sz="4" w:space="0"/>
                  </w:tcBorders>
                  <w:vAlign w:val="center"/>
                </w:tcPr>
                <w:p w14:paraId="09A1EED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w:t>
                  </w:r>
                </w:p>
              </w:tc>
              <w:tc>
                <w:tcPr>
                  <w:tcW w:w="323" w:type="pct"/>
                  <w:vMerge w:val="continue"/>
                  <w:tcBorders>
                    <w:left w:val="single" w:color="auto" w:sz="4" w:space="0"/>
                    <w:right w:val="single" w:color="auto" w:sz="4" w:space="0"/>
                  </w:tcBorders>
                  <w:vAlign w:val="center"/>
                </w:tcPr>
                <w:p w14:paraId="28510CD9">
                  <w:pPr>
                    <w:pStyle w:val="108"/>
                    <w:rPr>
                      <w:rFonts w:hint="default" w:ascii="Times New Roman" w:hAnsi="Times New Roman" w:cs="Times New Roman"/>
                      <w:color w:val="auto"/>
                      <w:szCs w:val="21"/>
                      <w:highlight w:val="none"/>
                    </w:rPr>
                  </w:pPr>
                </w:p>
              </w:tc>
              <w:tc>
                <w:tcPr>
                  <w:tcW w:w="1346" w:type="pct"/>
                  <w:tcBorders>
                    <w:left w:val="single" w:color="auto" w:sz="4" w:space="0"/>
                    <w:right w:val="single" w:color="auto" w:sz="4" w:space="0"/>
                  </w:tcBorders>
                  <w:vAlign w:val="center"/>
                </w:tcPr>
                <w:p w14:paraId="64A929A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污水处理站格栅渣（HW49 772-006-49）</w:t>
                  </w:r>
                </w:p>
              </w:tc>
              <w:tc>
                <w:tcPr>
                  <w:tcW w:w="1992" w:type="pct"/>
                  <w:tcBorders>
                    <w:left w:val="single" w:color="auto" w:sz="4" w:space="0"/>
                    <w:right w:val="single" w:color="auto" w:sz="4" w:space="0"/>
                  </w:tcBorders>
                  <w:vAlign w:val="center"/>
                </w:tcPr>
                <w:p w14:paraId="6A52E096">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滤水后暂存于危废暂存间，定期交由有相应危废处置资质单位清运处置</w:t>
                  </w:r>
                </w:p>
              </w:tc>
            </w:tr>
            <w:tr w14:paraId="6CDB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1EC3749B">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bottom w:val="single" w:color="auto" w:sz="4" w:space="0"/>
                    <w:right w:val="single" w:color="auto" w:sz="4" w:space="0"/>
                  </w:tcBorders>
                  <w:vAlign w:val="center"/>
                </w:tcPr>
                <w:p w14:paraId="787F0C8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S7</w:t>
                  </w:r>
                </w:p>
              </w:tc>
              <w:tc>
                <w:tcPr>
                  <w:tcW w:w="739" w:type="pct"/>
                  <w:vMerge w:val="continue"/>
                  <w:tcBorders>
                    <w:left w:val="single" w:color="auto" w:sz="4" w:space="0"/>
                    <w:bottom w:val="single" w:color="auto" w:sz="4" w:space="0"/>
                    <w:right w:val="single" w:color="auto" w:sz="4" w:space="0"/>
                  </w:tcBorders>
                  <w:vAlign w:val="center"/>
                </w:tcPr>
                <w:p w14:paraId="44D32117">
                  <w:pPr>
                    <w:jc w:val="center"/>
                    <w:rPr>
                      <w:rFonts w:hint="default" w:ascii="Times New Roman" w:hAnsi="Times New Roman" w:cs="Times New Roman"/>
                      <w:color w:val="auto"/>
                      <w:szCs w:val="21"/>
                      <w:highlight w:val="none"/>
                    </w:rPr>
                  </w:pPr>
                </w:p>
              </w:tc>
              <w:tc>
                <w:tcPr>
                  <w:tcW w:w="323" w:type="pct"/>
                  <w:vMerge w:val="continue"/>
                  <w:tcBorders>
                    <w:left w:val="single" w:color="auto" w:sz="4" w:space="0"/>
                    <w:right w:val="single" w:color="auto" w:sz="4" w:space="0"/>
                  </w:tcBorders>
                  <w:vAlign w:val="center"/>
                </w:tcPr>
                <w:p w14:paraId="7E0EFB8E">
                  <w:pPr>
                    <w:pStyle w:val="108"/>
                    <w:rPr>
                      <w:rFonts w:hint="default" w:ascii="Times New Roman" w:hAnsi="Times New Roman" w:cs="Times New Roman"/>
                      <w:color w:val="auto"/>
                      <w:szCs w:val="21"/>
                      <w:highlight w:val="none"/>
                    </w:rPr>
                  </w:pPr>
                </w:p>
              </w:tc>
              <w:tc>
                <w:tcPr>
                  <w:tcW w:w="1346" w:type="pct"/>
                  <w:tcBorders>
                    <w:left w:val="single" w:color="auto" w:sz="4" w:space="0"/>
                    <w:right w:val="single" w:color="auto" w:sz="4" w:space="0"/>
                  </w:tcBorders>
                  <w:vAlign w:val="center"/>
                </w:tcPr>
                <w:p w14:paraId="1E95C2D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污水处理站污泥（HW49 772-006-49）</w:t>
                  </w:r>
                </w:p>
              </w:tc>
              <w:tc>
                <w:tcPr>
                  <w:tcW w:w="1992" w:type="pct"/>
                  <w:tcBorders>
                    <w:left w:val="single" w:color="auto" w:sz="4" w:space="0"/>
                    <w:right w:val="single" w:color="auto" w:sz="4" w:space="0"/>
                  </w:tcBorders>
                  <w:vAlign w:val="center"/>
                </w:tcPr>
                <w:p w14:paraId="63D5AC2F">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经在污水处理站污泥池脱水后，废水回流自污水处理站调节池，</w:t>
                  </w:r>
                  <w:r>
                    <w:rPr>
                      <w:rFonts w:hint="default" w:ascii="Times New Roman" w:hAnsi="Times New Roman" w:cs="Times New Roman"/>
                      <w:color w:val="auto"/>
                      <w:highlight w:val="none"/>
                    </w:rPr>
                    <w:t>脱水-消毒后的污泥</w:t>
                  </w:r>
                  <w:r>
                    <w:rPr>
                      <w:rFonts w:hint="default" w:ascii="Times New Roman" w:hAnsi="Times New Roman" w:cs="Times New Roman"/>
                      <w:color w:val="auto"/>
                      <w:szCs w:val="21"/>
                      <w:highlight w:val="none"/>
                    </w:rPr>
                    <w:t>定期交由有相应危废处置资质单位清运处置</w:t>
                  </w:r>
                </w:p>
              </w:tc>
            </w:tr>
            <w:tr w14:paraId="6349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50E028CD">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bottom w:val="single" w:color="auto" w:sz="4" w:space="0"/>
                    <w:right w:val="single" w:color="auto" w:sz="4" w:space="0"/>
                  </w:tcBorders>
                  <w:vAlign w:val="center"/>
                </w:tcPr>
                <w:p w14:paraId="6AE85EB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S8</w:t>
                  </w:r>
                </w:p>
              </w:tc>
              <w:tc>
                <w:tcPr>
                  <w:tcW w:w="739" w:type="pct"/>
                  <w:tcBorders>
                    <w:top w:val="single" w:color="auto" w:sz="4" w:space="0"/>
                    <w:left w:val="single" w:color="auto" w:sz="4" w:space="0"/>
                    <w:bottom w:val="single" w:color="auto" w:sz="4" w:space="0"/>
                    <w:right w:val="single" w:color="auto" w:sz="4" w:space="0"/>
                  </w:tcBorders>
                  <w:vAlign w:val="center"/>
                </w:tcPr>
                <w:p w14:paraId="2076EFA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纯水制备系统</w:t>
                  </w:r>
                </w:p>
              </w:tc>
              <w:tc>
                <w:tcPr>
                  <w:tcW w:w="323" w:type="pct"/>
                  <w:vMerge w:val="restart"/>
                  <w:tcBorders>
                    <w:left w:val="single" w:color="auto" w:sz="4" w:space="0"/>
                    <w:right w:val="single" w:color="auto" w:sz="4" w:space="0"/>
                  </w:tcBorders>
                  <w:vAlign w:val="center"/>
                </w:tcPr>
                <w:p w14:paraId="46A37597">
                  <w:pPr>
                    <w:pStyle w:val="10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一般固体废物</w:t>
                  </w:r>
                </w:p>
              </w:tc>
              <w:tc>
                <w:tcPr>
                  <w:tcW w:w="1346" w:type="pct"/>
                  <w:tcBorders>
                    <w:left w:val="single" w:color="auto" w:sz="4" w:space="0"/>
                    <w:right w:val="single" w:color="auto" w:sz="4" w:space="0"/>
                  </w:tcBorders>
                  <w:vAlign w:val="center"/>
                </w:tcPr>
                <w:p w14:paraId="0DEAE75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废反渗透膜</w:t>
                  </w:r>
                </w:p>
              </w:tc>
              <w:tc>
                <w:tcPr>
                  <w:tcW w:w="1992" w:type="pct"/>
                  <w:tcBorders>
                    <w:left w:val="single" w:color="auto" w:sz="4" w:space="0"/>
                    <w:right w:val="single" w:color="auto" w:sz="4" w:space="0"/>
                  </w:tcBorders>
                  <w:vAlign w:val="center"/>
                </w:tcPr>
                <w:p w14:paraId="57C3652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由供货商上门回收</w:t>
                  </w:r>
                </w:p>
              </w:tc>
            </w:tr>
            <w:tr w14:paraId="70FE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4" w:type="pct"/>
                  <w:vMerge w:val="continue"/>
                  <w:tcBorders>
                    <w:left w:val="single" w:color="auto" w:sz="4" w:space="0"/>
                    <w:right w:val="single" w:color="auto" w:sz="4" w:space="0"/>
                  </w:tcBorders>
                  <w:vAlign w:val="center"/>
                </w:tcPr>
                <w:p w14:paraId="0DD17F4D">
                  <w:pPr>
                    <w:pStyle w:val="108"/>
                    <w:rPr>
                      <w:rFonts w:hint="default" w:ascii="Times New Roman" w:hAnsi="Times New Roman" w:cs="Times New Roman"/>
                      <w:b/>
                      <w:bCs/>
                      <w:color w:val="auto"/>
                      <w:szCs w:val="21"/>
                      <w:highlight w:val="none"/>
                    </w:rPr>
                  </w:pPr>
                </w:p>
              </w:tc>
              <w:tc>
                <w:tcPr>
                  <w:tcW w:w="343" w:type="pct"/>
                  <w:tcBorders>
                    <w:top w:val="single" w:color="auto" w:sz="4" w:space="0"/>
                    <w:left w:val="single" w:color="auto" w:sz="4" w:space="0"/>
                    <w:bottom w:val="single" w:color="auto" w:sz="4" w:space="0"/>
                    <w:right w:val="single" w:color="auto" w:sz="4" w:space="0"/>
                  </w:tcBorders>
                  <w:vAlign w:val="center"/>
                </w:tcPr>
                <w:p w14:paraId="18D9358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S9</w:t>
                  </w:r>
                </w:p>
              </w:tc>
              <w:tc>
                <w:tcPr>
                  <w:tcW w:w="739" w:type="pct"/>
                  <w:tcBorders>
                    <w:top w:val="single" w:color="auto" w:sz="4" w:space="0"/>
                    <w:left w:val="single" w:color="auto" w:sz="4" w:space="0"/>
                    <w:bottom w:val="single" w:color="auto" w:sz="4" w:space="0"/>
                    <w:right w:val="single" w:color="auto" w:sz="4" w:space="0"/>
                  </w:tcBorders>
                  <w:vAlign w:val="center"/>
                </w:tcPr>
                <w:p w14:paraId="074200D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化粪池</w:t>
                  </w:r>
                </w:p>
              </w:tc>
              <w:tc>
                <w:tcPr>
                  <w:tcW w:w="323" w:type="pct"/>
                  <w:vMerge w:val="continue"/>
                  <w:tcBorders>
                    <w:left w:val="single" w:color="auto" w:sz="4" w:space="0"/>
                    <w:right w:val="single" w:color="auto" w:sz="4" w:space="0"/>
                  </w:tcBorders>
                  <w:vAlign w:val="center"/>
                </w:tcPr>
                <w:p w14:paraId="15E2A39C">
                  <w:pPr>
                    <w:pStyle w:val="108"/>
                    <w:rPr>
                      <w:rFonts w:hint="default" w:ascii="Times New Roman" w:hAnsi="Times New Roman" w:cs="Times New Roman"/>
                      <w:color w:val="auto"/>
                      <w:szCs w:val="21"/>
                      <w:highlight w:val="none"/>
                    </w:rPr>
                  </w:pPr>
                </w:p>
              </w:tc>
              <w:tc>
                <w:tcPr>
                  <w:tcW w:w="1346" w:type="pct"/>
                  <w:tcBorders>
                    <w:left w:val="single" w:color="auto" w:sz="4" w:space="0"/>
                    <w:right w:val="single" w:color="auto" w:sz="4" w:space="0"/>
                  </w:tcBorders>
                  <w:vAlign w:val="center"/>
                </w:tcPr>
                <w:p w14:paraId="09879B4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化粪池污泥</w:t>
                  </w:r>
                </w:p>
              </w:tc>
              <w:tc>
                <w:tcPr>
                  <w:tcW w:w="1992" w:type="pct"/>
                  <w:tcBorders>
                    <w:left w:val="single" w:color="auto" w:sz="4" w:space="0"/>
                    <w:right w:val="single" w:color="auto" w:sz="4" w:space="0"/>
                  </w:tcBorders>
                  <w:vAlign w:val="center"/>
                </w:tcPr>
                <w:p w14:paraId="61AB325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定期委托环卫部门进行清掏处理</w:t>
                  </w:r>
                </w:p>
              </w:tc>
            </w:tr>
          </w:tbl>
          <w:p w14:paraId="42AAF70A">
            <w:pPr>
              <w:jc w:val="center"/>
              <w:rPr>
                <w:rFonts w:hint="default" w:ascii="Times New Roman" w:hAnsi="Times New Roman" w:cs="Times New Roman"/>
                <w:b/>
                <w:color w:val="auto"/>
                <w:szCs w:val="21"/>
                <w:highlight w:val="none"/>
              </w:rPr>
            </w:pPr>
          </w:p>
          <w:p w14:paraId="35E5DD8C">
            <w:pPr>
              <w:jc w:val="center"/>
              <w:rPr>
                <w:rFonts w:hint="default" w:ascii="Times New Roman" w:hAnsi="Times New Roman" w:cs="Times New Roman"/>
                <w:b/>
                <w:color w:val="auto"/>
                <w:szCs w:val="21"/>
                <w:highlight w:val="none"/>
              </w:rPr>
            </w:pPr>
          </w:p>
          <w:p w14:paraId="1686F0D0">
            <w:pPr>
              <w:jc w:val="center"/>
              <w:rPr>
                <w:rFonts w:hint="default" w:ascii="Times New Roman" w:hAnsi="Times New Roman" w:cs="Times New Roman"/>
                <w:b/>
                <w:color w:val="auto"/>
                <w:szCs w:val="21"/>
                <w:highlight w:val="none"/>
              </w:rPr>
            </w:pPr>
          </w:p>
          <w:p w14:paraId="07EAFFDE">
            <w:pPr>
              <w:jc w:val="center"/>
              <w:rPr>
                <w:rFonts w:hint="default" w:ascii="Times New Roman" w:hAnsi="Times New Roman" w:cs="Times New Roman"/>
                <w:b/>
                <w:color w:val="auto"/>
                <w:szCs w:val="21"/>
                <w:highlight w:val="none"/>
              </w:rPr>
            </w:pPr>
          </w:p>
          <w:p w14:paraId="1DF5AA6E">
            <w:pPr>
              <w:jc w:val="center"/>
              <w:rPr>
                <w:rFonts w:hint="default" w:ascii="Times New Roman" w:hAnsi="Times New Roman" w:cs="Times New Roman"/>
                <w:b/>
                <w:color w:val="auto"/>
                <w:szCs w:val="21"/>
                <w:highlight w:val="none"/>
              </w:rPr>
            </w:pPr>
          </w:p>
          <w:p w14:paraId="737402C0">
            <w:pPr>
              <w:jc w:val="center"/>
              <w:rPr>
                <w:rFonts w:hint="default" w:ascii="Times New Roman" w:hAnsi="Times New Roman" w:cs="Times New Roman"/>
                <w:b/>
                <w:color w:val="auto"/>
                <w:szCs w:val="21"/>
                <w:highlight w:val="none"/>
              </w:rPr>
            </w:pPr>
          </w:p>
          <w:p w14:paraId="3A930381">
            <w:pPr>
              <w:jc w:val="center"/>
              <w:rPr>
                <w:rFonts w:hint="default" w:ascii="Times New Roman" w:hAnsi="Times New Roman" w:cs="Times New Roman"/>
                <w:b/>
                <w:color w:val="auto"/>
                <w:szCs w:val="21"/>
                <w:highlight w:val="none"/>
              </w:rPr>
            </w:pPr>
          </w:p>
          <w:p w14:paraId="1F91F51E">
            <w:pPr>
              <w:pStyle w:val="86"/>
              <w:tabs>
                <w:tab w:val="left" w:pos="3780"/>
              </w:tabs>
              <w:spacing w:line="240" w:lineRule="auto"/>
              <w:ind w:left="0" w:leftChars="0" w:firstLine="0" w:firstLineChars="0"/>
              <w:jc w:val="both"/>
              <w:rPr>
                <w:rFonts w:hint="default" w:ascii="Times New Roman" w:hAnsi="Times New Roman" w:cs="Times New Roman"/>
                <w:bCs/>
                <w:color w:val="auto"/>
                <w:sz w:val="24"/>
                <w:highlight w:val="none"/>
              </w:rPr>
            </w:pPr>
          </w:p>
        </w:tc>
      </w:tr>
      <w:tr w14:paraId="7F8EF9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92" w:type="dxa"/>
            <w:vAlign w:val="center"/>
          </w:tcPr>
          <w:p w14:paraId="5523D154">
            <w:pPr>
              <w:pStyle w:val="22"/>
              <w:numPr>
                <w:ilvl w:val="0"/>
                <w:numId w:val="0"/>
              </w:numP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与项目有关的原有环境污染问题</w:t>
            </w:r>
          </w:p>
        </w:tc>
        <w:tc>
          <w:tcPr>
            <w:tcW w:w="8572" w:type="dxa"/>
          </w:tcPr>
          <w:p w14:paraId="5A22709C">
            <w:pPr>
              <w:spacing w:line="360" w:lineRule="auto"/>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2.11 现有项目基本情况</w:t>
            </w:r>
          </w:p>
          <w:p w14:paraId="7646FC7E">
            <w:pPr>
              <w:spacing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1、现有项目履行环境影响评价情况</w:t>
            </w:r>
          </w:p>
          <w:p w14:paraId="7765AAA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现有构筑物原为云南玉溪交通运输集团公司所有，2004年1月18日华宁县人民政府进行收购，以华政复[2004]5号将收购的房产及地产整体划拨给华宁县疾病预防控制中心使用。因年代久远，2004年华宁县疾病预防控制中心无环评手续。2014年，华宁县疾病预防控制中心计划投资120万元建设“华宁县疾病预防控制中心应急物资、疫苗冷链综合储备库建设项目”。因此，建设单位于</w:t>
            </w:r>
            <w:r>
              <w:rPr>
                <w:rFonts w:hint="default" w:ascii="Times New Roman" w:hAnsi="Times New Roman" w:cs="Times New Roman"/>
                <w:color w:val="auto"/>
                <w:kern w:val="0"/>
                <w:sz w:val="24"/>
                <w:highlight w:val="none"/>
              </w:rPr>
              <w:t>2014年10月16日委托中国科学院地球化学研究所编制《华宁县疾病预防控制中心应急物资、疫苗冷链综合储备库建设项目环境影响报告表》；于2015年1月5日取得华宁县环境保护局以华环审[2015]2号文件下发“关于华宁县疾病预防控制中心应急物资、疫苗冷链综合储备库建设项目环境影响报告表的批复”（详见附件10）。该环评及批复内容基本涵盖华宁县疾病预防控制中心现有项目基本情况以及相关环保措施要求。</w:t>
            </w:r>
          </w:p>
          <w:p w14:paraId="12501891">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2、竣工环境保护验收</w:t>
            </w:r>
          </w:p>
          <w:p w14:paraId="25CB352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现有项目已于2017年7月委托玉溪市红塔区环境监测站对“华宁县疾病预防控制中心应急物资、疫苗冷链综合储备库建设项目”进行竣工环境保护验收，并于2017年9月28日通过竣工环境保护验收。</w:t>
            </w:r>
          </w:p>
          <w:p w14:paraId="5E9C06A0">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3、排污许可证手续情况</w:t>
            </w:r>
          </w:p>
          <w:p w14:paraId="22B71AF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现有项目已于2020年8月5日取得固定污染源排污登记回执</w:t>
            </w:r>
            <w:r>
              <w:rPr>
                <w:rFonts w:hint="eastAsia" w:cs="Times New Roman"/>
                <w:color w:val="auto"/>
                <w:sz w:val="24"/>
                <w:highlight w:val="none"/>
                <w:lang w:eastAsia="zh-CN"/>
              </w:rPr>
              <w:t>，</w:t>
            </w:r>
            <w:r>
              <w:rPr>
                <w:rFonts w:hint="eastAsia" w:cs="Times New Roman"/>
                <w:color w:val="auto"/>
                <w:sz w:val="24"/>
                <w:highlight w:val="none"/>
                <w:lang w:val="en-US" w:eastAsia="zh-CN"/>
              </w:rPr>
              <w:t>2025年9月23日进行了延续</w:t>
            </w:r>
            <w:r>
              <w:rPr>
                <w:rFonts w:hint="default" w:ascii="Times New Roman" w:hAnsi="Times New Roman" w:cs="Times New Roman"/>
                <w:color w:val="auto"/>
                <w:sz w:val="24"/>
                <w:highlight w:val="none"/>
              </w:rPr>
              <w:t>。</w:t>
            </w:r>
          </w:p>
          <w:p w14:paraId="65934735">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4、现有项目污染物实际排放总量</w:t>
            </w:r>
          </w:p>
          <w:p w14:paraId="5E1F9A4A">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因现有项目排污许可类型为登记管理，在运营期间，现有项目未进行环境自行监测，因此，本环评在梳理建设单位提供的资料和《华宁县疾病预防控制中心应急物资、疫苗冷链综合储备库建设项目建设项目竣工环境保护验收监测表》以及现场调查、核算情况下，对现有项目污染物排放量进行梳理及核算，具体如下：</w:t>
            </w:r>
          </w:p>
          <w:p w14:paraId="7D6EE125">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（1）现有项目水污染物产排情况</w:t>
            </w:r>
          </w:p>
          <w:p w14:paraId="21C04799">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现有项目产生的废水主要是特殊医疗废水、普通医疗废水及生活污水。</w:t>
            </w:r>
          </w:p>
          <w:p w14:paraId="6887757F">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①特殊医疗废水</w:t>
            </w:r>
          </w:p>
          <w:p w14:paraId="2FB37CD4">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疾控中心现有项目产生的特殊医疗废水主要有：实验室含病原菌、艾滋病菌废水，酸碱废液，含重金属废液。</w:t>
            </w:r>
          </w:p>
          <w:p w14:paraId="13C895E1">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实验室含病原菌、艾滋病菌废水经过高压灭菌器灭菌后与液体培养基、仪器清洗废水一并排入污水处理站；理化实验室酸碱溶液由检测部门中和预处理后排入污水处理站；含重金属废液经絮凝沉淀池预处理设施处理后，进入污水处理站处理。特殊废水产生量为0.103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/d，25.8m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p>
          <w:p w14:paraId="112A8972">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②普通医疗废水及生活污水</w:t>
            </w:r>
          </w:p>
          <w:p w14:paraId="27E79070">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普通医疗废水及生活污水产生量为2.6m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/d，648.8m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/a。经1个5m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的化粪池处理后再排入6m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/d的污水处理站处理。水质达到《医疗机构水污染物排放标准》</w:t>
            </w:r>
            <w:r>
              <w:rPr>
                <w:rFonts w:hint="eastAsia" w:ascii="Times New Roman" w:hAnsi="Times New Roman" w:cs="Times New Roman"/>
                <w:bCs/>
                <w:color w:val="auto"/>
                <w:sz w:val="24"/>
                <w:highlight w:val="none"/>
                <w:lang w:eastAsia="zh-CN"/>
              </w:rPr>
              <w:t>（GB18466-2005）</w:t>
            </w:r>
            <w:r>
              <w:rPr>
                <w:rFonts w:hint="default" w:ascii="Times New Roman" w:hAnsi="Times New Roman" w:cs="Times New Roman"/>
                <w:bCs/>
                <w:color w:val="auto"/>
                <w:sz w:val="24"/>
                <w:highlight w:val="none"/>
              </w:rPr>
              <w:t>表2综合医疗机构和其他医疗机构水污染物排放限值预处理标准后，</w:t>
            </w:r>
            <w:r>
              <w:rPr>
                <w:rFonts w:hint="default" w:ascii="Times New Roman" w:hAnsi="Times New Roman" w:cs="Times New Roman"/>
                <w:color w:val="auto"/>
                <w:sz w:val="24"/>
                <w:highlight w:val="none"/>
              </w:rPr>
              <w:t>排入市政污水管网，最终进入华宁县污水处理厂处理。</w:t>
            </w:r>
          </w:p>
          <w:p w14:paraId="799CF11A">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根据《华宁县疾病预防控制中心应急物资、疫苗冷链综合储备库建设项目竣工环境保护验收监测表》中数据，现有项目综合废水排放情况如下表：</w:t>
            </w:r>
          </w:p>
          <w:p w14:paraId="14DA592D">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highlight w:val="none"/>
              </w:rPr>
              <w:t>表2-14 现有项目综合废水排放情况一览表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661"/>
              <w:gridCol w:w="1256"/>
              <w:gridCol w:w="1411"/>
              <w:gridCol w:w="1215"/>
              <w:gridCol w:w="2125"/>
            </w:tblGrid>
            <w:tr w14:paraId="2C82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179BC806">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序号</w:t>
                  </w:r>
                </w:p>
              </w:tc>
              <w:tc>
                <w:tcPr>
                  <w:tcW w:w="995" w:type="pct"/>
                  <w:vAlign w:val="center"/>
                </w:tcPr>
                <w:p w14:paraId="4E555C41">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排放口编号</w:t>
                  </w:r>
                </w:p>
              </w:tc>
              <w:tc>
                <w:tcPr>
                  <w:tcW w:w="752" w:type="pct"/>
                  <w:vAlign w:val="center"/>
                </w:tcPr>
                <w:p w14:paraId="3BC10DCB">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废水总排放量（t/a）</w:t>
                  </w:r>
                </w:p>
              </w:tc>
              <w:tc>
                <w:tcPr>
                  <w:tcW w:w="845" w:type="pct"/>
                  <w:vAlign w:val="center"/>
                </w:tcPr>
                <w:p w14:paraId="783AF8F6">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污染物种类</w:t>
                  </w:r>
                </w:p>
              </w:tc>
              <w:tc>
                <w:tcPr>
                  <w:tcW w:w="728" w:type="pct"/>
                  <w:vAlign w:val="center"/>
                </w:tcPr>
                <w:p w14:paraId="096DFBDE">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排放浓度（mg/L）</w:t>
                  </w:r>
                </w:p>
              </w:tc>
              <w:tc>
                <w:tcPr>
                  <w:tcW w:w="1273" w:type="pct"/>
                  <w:vAlign w:val="center"/>
                </w:tcPr>
                <w:p w14:paraId="5B6428EC">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污染物排放量（t/d）</w:t>
                  </w:r>
                </w:p>
              </w:tc>
            </w:tr>
            <w:tr w14:paraId="4EDC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2FD3D26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w:t>
                  </w:r>
                </w:p>
              </w:tc>
              <w:tc>
                <w:tcPr>
                  <w:tcW w:w="995" w:type="pct"/>
                  <w:vMerge w:val="restart"/>
                  <w:vAlign w:val="center"/>
                </w:tcPr>
                <w:p w14:paraId="6C3A841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DW001</w:t>
                  </w:r>
                </w:p>
                <w:p w14:paraId="1BEA50A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（废水总排口）</w:t>
                  </w:r>
                </w:p>
              </w:tc>
              <w:tc>
                <w:tcPr>
                  <w:tcW w:w="752" w:type="pct"/>
                  <w:vMerge w:val="restart"/>
                  <w:vAlign w:val="center"/>
                </w:tcPr>
                <w:p w14:paraId="0725F37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674.6</w:t>
                  </w:r>
                </w:p>
              </w:tc>
              <w:tc>
                <w:tcPr>
                  <w:tcW w:w="845" w:type="pct"/>
                  <w:vAlign w:val="center"/>
                </w:tcPr>
                <w:p w14:paraId="55F9BDF2">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COD</w:t>
                  </w:r>
                </w:p>
              </w:tc>
              <w:tc>
                <w:tcPr>
                  <w:tcW w:w="728" w:type="pct"/>
                  <w:vAlign w:val="center"/>
                </w:tcPr>
                <w:p w14:paraId="68F8E31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55</w:t>
                  </w:r>
                </w:p>
              </w:tc>
              <w:tc>
                <w:tcPr>
                  <w:tcW w:w="1273" w:type="pct"/>
                  <w:vAlign w:val="center"/>
                </w:tcPr>
                <w:p w14:paraId="2F2C3AE7">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0.035618</w:t>
                  </w:r>
                </w:p>
              </w:tc>
            </w:tr>
            <w:tr w14:paraId="32D1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7A11520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2</w:t>
                  </w:r>
                </w:p>
              </w:tc>
              <w:tc>
                <w:tcPr>
                  <w:tcW w:w="995" w:type="pct"/>
                  <w:vMerge w:val="continue"/>
                  <w:vAlign w:val="center"/>
                </w:tcPr>
                <w:p w14:paraId="05843AC0">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3CCE7C64">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5886DB59">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BOD</w:t>
                  </w:r>
                  <w:r>
                    <w:rPr>
                      <w:rFonts w:hint="default" w:ascii="Times New Roman" w:hAnsi="Times New Roman" w:cs="Times New Roman"/>
                      <w:color w:val="auto"/>
                      <w:szCs w:val="21"/>
                      <w:highlight w:val="none"/>
                      <w:vertAlign w:val="subscript"/>
                    </w:rPr>
                    <w:t>5</w:t>
                  </w:r>
                </w:p>
              </w:tc>
              <w:tc>
                <w:tcPr>
                  <w:tcW w:w="728" w:type="pct"/>
                  <w:vAlign w:val="center"/>
                </w:tcPr>
                <w:p w14:paraId="4899C91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17.2</w:t>
                  </w:r>
                </w:p>
              </w:tc>
              <w:tc>
                <w:tcPr>
                  <w:tcW w:w="1273" w:type="pct"/>
                  <w:vAlign w:val="center"/>
                </w:tcPr>
                <w:p w14:paraId="4EC33B96">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0.0111387</w:t>
                  </w:r>
                </w:p>
              </w:tc>
            </w:tr>
            <w:tr w14:paraId="3A32A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3325B23A">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3</w:t>
                  </w:r>
                </w:p>
              </w:tc>
              <w:tc>
                <w:tcPr>
                  <w:tcW w:w="995" w:type="pct"/>
                  <w:vMerge w:val="continue"/>
                  <w:vAlign w:val="center"/>
                </w:tcPr>
                <w:p w14:paraId="48332254">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6CB8C063">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06B987EF">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SS</w:t>
                  </w:r>
                </w:p>
              </w:tc>
              <w:tc>
                <w:tcPr>
                  <w:tcW w:w="728" w:type="pct"/>
                  <w:vAlign w:val="center"/>
                </w:tcPr>
                <w:p w14:paraId="16A099F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7.8</w:t>
                  </w:r>
                </w:p>
              </w:tc>
              <w:tc>
                <w:tcPr>
                  <w:tcW w:w="1273" w:type="pct"/>
                  <w:vAlign w:val="center"/>
                </w:tcPr>
                <w:p w14:paraId="2A3E7C4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0.0050513</w:t>
                  </w:r>
                </w:p>
              </w:tc>
            </w:tr>
            <w:tr w14:paraId="3A947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440FACE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4</w:t>
                  </w:r>
                </w:p>
              </w:tc>
              <w:tc>
                <w:tcPr>
                  <w:tcW w:w="995" w:type="pct"/>
                  <w:vMerge w:val="continue"/>
                  <w:vAlign w:val="center"/>
                </w:tcPr>
                <w:p w14:paraId="2868BDF6">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554C4801">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6A732CB2">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NH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w:t>
                  </w:r>
                </w:p>
              </w:tc>
              <w:tc>
                <w:tcPr>
                  <w:tcW w:w="728" w:type="pct"/>
                  <w:vAlign w:val="center"/>
                </w:tcPr>
                <w:p w14:paraId="5F869CC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12.6</w:t>
                  </w:r>
                </w:p>
              </w:tc>
              <w:tc>
                <w:tcPr>
                  <w:tcW w:w="1273" w:type="pct"/>
                  <w:vAlign w:val="center"/>
                </w:tcPr>
                <w:p w14:paraId="4A3A5324">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0.0081598</w:t>
                  </w:r>
                </w:p>
              </w:tc>
            </w:tr>
            <w:tr w14:paraId="207E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6BB7874A">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w:t>
                  </w:r>
                </w:p>
              </w:tc>
              <w:tc>
                <w:tcPr>
                  <w:tcW w:w="995" w:type="pct"/>
                  <w:vMerge w:val="continue"/>
                  <w:vAlign w:val="center"/>
                </w:tcPr>
                <w:p w14:paraId="7ACE0B87">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4D9D3EBE">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247CCCE0">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粪大肠菌群</w:t>
                  </w:r>
                </w:p>
              </w:tc>
              <w:tc>
                <w:tcPr>
                  <w:tcW w:w="728" w:type="pct"/>
                  <w:vAlign w:val="center"/>
                </w:tcPr>
                <w:p w14:paraId="62CC7CA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3</w:t>
                  </w:r>
                </w:p>
              </w:tc>
              <w:tc>
                <w:tcPr>
                  <w:tcW w:w="1273" w:type="pct"/>
                  <w:vAlign w:val="center"/>
                </w:tcPr>
                <w:p w14:paraId="59D6CCE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0.0019428</w:t>
                  </w:r>
                </w:p>
              </w:tc>
            </w:tr>
            <w:tr w14:paraId="13D2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431BAB1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6</w:t>
                  </w:r>
                </w:p>
              </w:tc>
              <w:tc>
                <w:tcPr>
                  <w:tcW w:w="995" w:type="pct"/>
                  <w:vMerge w:val="continue"/>
                  <w:vAlign w:val="center"/>
                </w:tcPr>
                <w:p w14:paraId="177F3493">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0610AD1E">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48CE16D7">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总余氯</w:t>
                  </w:r>
                </w:p>
              </w:tc>
              <w:tc>
                <w:tcPr>
                  <w:tcW w:w="728" w:type="pct"/>
                  <w:vAlign w:val="center"/>
                </w:tcPr>
                <w:p w14:paraId="254EFFC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8.52</w:t>
                  </w:r>
                </w:p>
              </w:tc>
              <w:tc>
                <w:tcPr>
                  <w:tcW w:w="1273" w:type="pct"/>
                  <w:vAlign w:val="center"/>
                </w:tcPr>
                <w:p w14:paraId="62B6A485">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0.0055176</w:t>
                  </w:r>
                </w:p>
              </w:tc>
            </w:tr>
            <w:tr w14:paraId="233A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093FEF8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7</w:t>
                  </w:r>
                </w:p>
              </w:tc>
              <w:tc>
                <w:tcPr>
                  <w:tcW w:w="995" w:type="pct"/>
                  <w:vMerge w:val="continue"/>
                  <w:vAlign w:val="center"/>
                </w:tcPr>
                <w:p w14:paraId="74D4F990">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2976FC41">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54B815A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石油类</w:t>
                  </w:r>
                </w:p>
              </w:tc>
              <w:tc>
                <w:tcPr>
                  <w:tcW w:w="728" w:type="pct"/>
                  <w:vAlign w:val="center"/>
                </w:tcPr>
                <w:p w14:paraId="3524029C">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0.06</w:t>
                  </w:r>
                </w:p>
              </w:tc>
              <w:tc>
                <w:tcPr>
                  <w:tcW w:w="1273" w:type="pct"/>
                  <w:vAlign w:val="center"/>
                </w:tcPr>
                <w:p w14:paraId="4184EB1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0.0000389</w:t>
                  </w:r>
                </w:p>
              </w:tc>
            </w:tr>
            <w:tr w14:paraId="31CB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25D22082">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8</w:t>
                  </w:r>
                </w:p>
              </w:tc>
              <w:tc>
                <w:tcPr>
                  <w:tcW w:w="995" w:type="pct"/>
                  <w:vMerge w:val="continue"/>
                  <w:vAlign w:val="center"/>
                </w:tcPr>
                <w:p w14:paraId="0935E09D">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72F6A227">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7AB79811">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LAS</w:t>
                  </w:r>
                </w:p>
              </w:tc>
              <w:tc>
                <w:tcPr>
                  <w:tcW w:w="728" w:type="pct"/>
                  <w:vAlign w:val="center"/>
                </w:tcPr>
                <w:p w14:paraId="7051C59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0.12</w:t>
                  </w:r>
                </w:p>
              </w:tc>
              <w:tc>
                <w:tcPr>
                  <w:tcW w:w="1273" w:type="pct"/>
                  <w:vAlign w:val="center"/>
                </w:tcPr>
                <w:p w14:paraId="0C158CEB">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0.0000777</w:t>
                  </w:r>
                </w:p>
              </w:tc>
            </w:tr>
            <w:tr w14:paraId="0C5A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7433267F">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9</w:t>
                  </w:r>
                </w:p>
              </w:tc>
              <w:tc>
                <w:tcPr>
                  <w:tcW w:w="995" w:type="pct"/>
                  <w:vMerge w:val="continue"/>
                  <w:vAlign w:val="center"/>
                </w:tcPr>
                <w:p w14:paraId="6958D8E2">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108554F5">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6619025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总氰化物</w:t>
                  </w:r>
                </w:p>
              </w:tc>
              <w:tc>
                <w:tcPr>
                  <w:tcW w:w="728" w:type="pct"/>
                  <w:vAlign w:val="center"/>
                </w:tcPr>
                <w:p w14:paraId="687B741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0.001L</w:t>
                  </w:r>
                </w:p>
              </w:tc>
              <w:tc>
                <w:tcPr>
                  <w:tcW w:w="1273" w:type="pct"/>
                  <w:vAlign w:val="center"/>
                </w:tcPr>
                <w:p w14:paraId="6321377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snapToGrid w:val="0"/>
                      <w:color w:val="auto"/>
                      <w:kern w:val="21"/>
                      <w:szCs w:val="21"/>
                      <w:highlight w:val="none"/>
                    </w:rPr>
                    <w:t>≤0.0000007</w:t>
                  </w:r>
                </w:p>
              </w:tc>
            </w:tr>
            <w:tr w14:paraId="0B58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74016EE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10</w:t>
                  </w:r>
                </w:p>
              </w:tc>
              <w:tc>
                <w:tcPr>
                  <w:tcW w:w="995" w:type="pct"/>
                  <w:vMerge w:val="continue"/>
                  <w:vAlign w:val="center"/>
                </w:tcPr>
                <w:p w14:paraId="76085314">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38682B44">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0F50931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挥发酚</w:t>
                  </w:r>
                </w:p>
              </w:tc>
              <w:tc>
                <w:tcPr>
                  <w:tcW w:w="728" w:type="pct"/>
                  <w:vAlign w:val="center"/>
                </w:tcPr>
                <w:p w14:paraId="2126B1F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0.00065</w:t>
                  </w:r>
                </w:p>
              </w:tc>
              <w:tc>
                <w:tcPr>
                  <w:tcW w:w="1273" w:type="pct"/>
                  <w:vAlign w:val="center"/>
                </w:tcPr>
                <w:p w14:paraId="648632CF">
                  <w:pPr>
                    <w:pStyle w:val="66"/>
                    <w:spacing w:beforeLines="0" w:afterLines="0" w:line="240" w:lineRule="auto"/>
                    <w:ind w:firstLine="0" w:firstLineChars="0"/>
                    <w:rPr>
                      <w:rFonts w:hint="default" w:ascii="Times New Roman" w:hAnsi="Times New Roman" w:cs="Times New Roman"/>
                      <w:bCs/>
                      <w:snapToGrid w:val="0"/>
                      <w:color w:val="auto"/>
                      <w:szCs w:val="21"/>
                      <w:highlight w:val="none"/>
                    </w:rPr>
                  </w:pPr>
                  <w:r>
                    <w:rPr>
                      <w:rFonts w:hint="default" w:ascii="Times New Roman" w:hAnsi="Times New Roman" w:cs="Times New Roman"/>
                      <w:snapToGrid w:val="0"/>
                      <w:color w:val="auto"/>
                      <w:kern w:val="21"/>
                      <w:szCs w:val="21"/>
                      <w:highlight w:val="none"/>
                    </w:rPr>
                    <w:t>0.0000004</w:t>
                  </w:r>
                </w:p>
              </w:tc>
            </w:tr>
            <w:tr w14:paraId="504F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4FC9437B">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11</w:t>
                  </w:r>
                </w:p>
              </w:tc>
              <w:tc>
                <w:tcPr>
                  <w:tcW w:w="995" w:type="pct"/>
                  <w:vMerge w:val="continue"/>
                  <w:vAlign w:val="center"/>
                </w:tcPr>
                <w:p w14:paraId="772E96C1">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515A587B">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120155F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总汞</w:t>
                  </w:r>
                </w:p>
              </w:tc>
              <w:tc>
                <w:tcPr>
                  <w:tcW w:w="728" w:type="pct"/>
                  <w:vAlign w:val="center"/>
                </w:tcPr>
                <w:p w14:paraId="584B415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0.0036</w:t>
                  </w:r>
                </w:p>
              </w:tc>
              <w:tc>
                <w:tcPr>
                  <w:tcW w:w="1273" w:type="pct"/>
                  <w:vAlign w:val="center"/>
                </w:tcPr>
                <w:p w14:paraId="5A1770D0">
                  <w:pPr>
                    <w:pStyle w:val="66"/>
                    <w:spacing w:beforeLines="0" w:afterLines="0" w:line="240" w:lineRule="auto"/>
                    <w:ind w:firstLine="0" w:firstLineChars="0"/>
                    <w:rPr>
                      <w:rFonts w:hint="default" w:ascii="Times New Roman" w:hAnsi="Times New Roman" w:cs="Times New Roman"/>
                      <w:bCs/>
                      <w:snapToGrid w:val="0"/>
                      <w:color w:val="auto"/>
                      <w:szCs w:val="21"/>
                      <w:highlight w:val="none"/>
                    </w:rPr>
                  </w:pPr>
                  <w:r>
                    <w:rPr>
                      <w:rFonts w:hint="default" w:ascii="Times New Roman" w:hAnsi="Times New Roman" w:cs="Times New Roman"/>
                      <w:snapToGrid w:val="0"/>
                      <w:color w:val="auto"/>
                      <w:kern w:val="21"/>
                      <w:szCs w:val="21"/>
                      <w:highlight w:val="none"/>
                    </w:rPr>
                    <w:t>0.0000023</w:t>
                  </w:r>
                </w:p>
              </w:tc>
            </w:tr>
            <w:tr w14:paraId="5453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1FC081A2">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12</w:t>
                  </w:r>
                </w:p>
              </w:tc>
              <w:tc>
                <w:tcPr>
                  <w:tcW w:w="995" w:type="pct"/>
                  <w:vMerge w:val="continue"/>
                  <w:vAlign w:val="center"/>
                </w:tcPr>
                <w:p w14:paraId="3739D84D">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412BE182">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4B77026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总砷</w:t>
                  </w:r>
                </w:p>
              </w:tc>
              <w:tc>
                <w:tcPr>
                  <w:tcW w:w="728" w:type="pct"/>
                  <w:vAlign w:val="center"/>
                </w:tcPr>
                <w:p w14:paraId="2FA422E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0.0002L</w:t>
                  </w:r>
                </w:p>
              </w:tc>
              <w:tc>
                <w:tcPr>
                  <w:tcW w:w="1273" w:type="pct"/>
                  <w:vAlign w:val="center"/>
                </w:tcPr>
                <w:p w14:paraId="46DAD613">
                  <w:pPr>
                    <w:pStyle w:val="66"/>
                    <w:spacing w:beforeLines="0" w:afterLines="0" w:line="240" w:lineRule="auto"/>
                    <w:ind w:firstLine="0" w:firstLineChars="0"/>
                    <w:rPr>
                      <w:rFonts w:hint="default" w:ascii="Times New Roman" w:hAnsi="Times New Roman" w:cs="Times New Roman"/>
                      <w:bCs/>
                      <w:snapToGrid w:val="0"/>
                      <w:color w:val="auto"/>
                      <w:szCs w:val="21"/>
                      <w:highlight w:val="none"/>
                    </w:rPr>
                  </w:pPr>
                  <w:r>
                    <w:rPr>
                      <w:rFonts w:hint="default" w:ascii="Times New Roman" w:hAnsi="Times New Roman" w:cs="Times New Roman"/>
                      <w:snapToGrid w:val="0"/>
                      <w:color w:val="auto"/>
                      <w:kern w:val="21"/>
                      <w:szCs w:val="21"/>
                      <w:highlight w:val="none"/>
                    </w:rPr>
                    <w:t>≤0.0000001</w:t>
                  </w:r>
                </w:p>
              </w:tc>
            </w:tr>
            <w:tr w14:paraId="36CC2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1E1F117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13</w:t>
                  </w:r>
                </w:p>
              </w:tc>
              <w:tc>
                <w:tcPr>
                  <w:tcW w:w="995" w:type="pct"/>
                  <w:vMerge w:val="continue"/>
                  <w:vAlign w:val="center"/>
                </w:tcPr>
                <w:p w14:paraId="28ED8B4C">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3C05BBA0">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42FBBAD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总镉</w:t>
                  </w:r>
                </w:p>
              </w:tc>
              <w:tc>
                <w:tcPr>
                  <w:tcW w:w="728" w:type="pct"/>
                  <w:vAlign w:val="center"/>
                </w:tcPr>
                <w:p w14:paraId="4E3CDD5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0.05L</w:t>
                  </w:r>
                </w:p>
              </w:tc>
              <w:tc>
                <w:tcPr>
                  <w:tcW w:w="1273" w:type="pct"/>
                  <w:vAlign w:val="center"/>
                </w:tcPr>
                <w:p w14:paraId="10054F9E">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snapToGrid w:val="0"/>
                      <w:color w:val="auto"/>
                      <w:kern w:val="21"/>
                      <w:szCs w:val="21"/>
                      <w:highlight w:val="none"/>
                    </w:rPr>
                    <w:t>≤</w:t>
                  </w:r>
                  <w:r>
                    <w:rPr>
                      <w:rFonts w:hint="default" w:ascii="Times New Roman" w:hAnsi="Times New Roman" w:cs="Times New Roman"/>
                      <w:color w:val="auto"/>
                      <w:kern w:val="0"/>
                      <w:sz w:val="22"/>
                      <w:szCs w:val="22"/>
                      <w:highlight w:val="none"/>
                      <w:lang w:bidi="ar"/>
                    </w:rPr>
                    <w:t>0.0000324</w:t>
                  </w:r>
                </w:p>
              </w:tc>
            </w:tr>
            <w:tr w14:paraId="0B87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51D4FF7F">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14</w:t>
                  </w:r>
                </w:p>
              </w:tc>
              <w:tc>
                <w:tcPr>
                  <w:tcW w:w="995" w:type="pct"/>
                  <w:vMerge w:val="continue"/>
                  <w:vAlign w:val="center"/>
                </w:tcPr>
                <w:p w14:paraId="735A9DC6">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7663B1AF">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69A4710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总铅</w:t>
                  </w:r>
                </w:p>
              </w:tc>
              <w:tc>
                <w:tcPr>
                  <w:tcW w:w="728" w:type="pct"/>
                  <w:vAlign w:val="center"/>
                </w:tcPr>
                <w:p w14:paraId="6491B78B">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0.2L</w:t>
                  </w:r>
                </w:p>
              </w:tc>
              <w:tc>
                <w:tcPr>
                  <w:tcW w:w="1273" w:type="pct"/>
                  <w:vAlign w:val="center"/>
                </w:tcPr>
                <w:p w14:paraId="453B35B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snapToGrid w:val="0"/>
                      <w:color w:val="auto"/>
                      <w:kern w:val="21"/>
                      <w:szCs w:val="21"/>
                      <w:highlight w:val="none"/>
                    </w:rPr>
                    <w:t>≤</w:t>
                  </w:r>
                  <w:r>
                    <w:rPr>
                      <w:rFonts w:hint="default" w:ascii="Times New Roman" w:hAnsi="Times New Roman" w:cs="Times New Roman"/>
                      <w:color w:val="auto"/>
                      <w:kern w:val="0"/>
                      <w:sz w:val="22"/>
                      <w:szCs w:val="22"/>
                      <w:highlight w:val="none"/>
                      <w:lang w:bidi="ar"/>
                    </w:rPr>
                    <w:t>0.0001295</w:t>
                  </w:r>
                </w:p>
              </w:tc>
            </w:tr>
            <w:tr w14:paraId="668A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7758BF5B">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15</w:t>
                  </w:r>
                </w:p>
              </w:tc>
              <w:tc>
                <w:tcPr>
                  <w:tcW w:w="995" w:type="pct"/>
                  <w:vMerge w:val="continue"/>
                  <w:vAlign w:val="center"/>
                </w:tcPr>
                <w:p w14:paraId="22B1EBBD">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1EAD77DF">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7FDC610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总银</w:t>
                  </w:r>
                </w:p>
              </w:tc>
              <w:tc>
                <w:tcPr>
                  <w:tcW w:w="728" w:type="pct"/>
                  <w:vAlign w:val="center"/>
                </w:tcPr>
                <w:p w14:paraId="4484350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0.03L</w:t>
                  </w:r>
                </w:p>
              </w:tc>
              <w:tc>
                <w:tcPr>
                  <w:tcW w:w="1273" w:type="pct"/>
                  <w:vAlign w:val="center"/>
                </w:tcPr>
                <w:p w14:paraId="1EF2E00D">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snapToGrid w:val="0"/>
                      <w:color w:val="auto"/>
                      <w:kern w:val="21"/>
                      <w:szCs w:val="21"/>
                      <w:highlight w:val="none"/>
                    </w:rPr>
                    <w:t>≤</w:t>
                  </w:r>
                  <w:r>
                    <w:rPr>
                      <w:rFonts w:hint="default" w:ascii="Times New Roman" w:hAnsi="Times New Roman" w:cs="Times New Roman"/>
                      <w:color w:val="auto"/>
                      <w:kern w:val="0"/>
                      <w:sz w:val="22"/>
                      <w:szCs w:val="22"/>
                      <w:highlight w:val="none"/>
                      <w:lang w:bidi="ar"/>
                    </w:rPr>
                    <w:t>0.0000194</w:t>
                  </w:r>
                </w:p>
              </w:tc>
            </w:tr>
            <w:tr w14:paraId="03CF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5D160AE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16</w:t>
                  </w:r>
                </w:p>
              </w:tc>
              <w:tc>
                <w:tcPr>
                  <w:tcW w:w="995" w:type="pct"/>
                  <w:vMerge w:val="continue"/>
                  <w:vAlign w:val="center"/>
                </w:tcPr>
                <w:p w14:paraId="31AD4F7B">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60CEFC6C">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7FB693C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总铬</w:t>
                  </w:r>
                </w:p>
              </w:tc>
              <w:tc>
                <w:tcPr>
                  <w:tcW w:w="728" w:type="pct"/>
                  <w:vAlign w:val="center"/>
                </w:tcPr>
                <w:p w14:paraId="1A50EDC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0.004L</w:t>
                  </w:r>
                </w:p>
              </w:tc>
              <w:tc>
                <w:tcPr>
                  <w:tcW w:w="1273" w:type="pct"/>
                  <w:vAlign w:val="center"/>
                </w:tcPr>
                <w:p w14:paraId="2DBE97BA">
                  <w:pPr>
                    <w:pStyle w:val="66"/>
                    <w:spacing w:beforeLines="0" w:afterLines="0" w:line="240" w:lineRule="auto"/>
                    <w:ind w:firstLine="0" w:firstLineChars="0"/>
                    <w:rPr>
                      <w:rFonts w:hint="default" w:ascii="Times New Roman" w:hAnsi="Times New Roman" w:cs="Times New Roman"/>
                      <w:bCs/>
                      <w:snapToGrid w:val="0"/>
                      <w:color w:val="auto"/>
                      <w:szCs w:val="21"/>
                      <w:highlight w:val="none"/>
                    </w:rPr>
                  </w:pPr>
                  <w:r>
                    <w:rPr>
                      <w:rFonts w:hint="default" w:ascii="Times New Roman" w:hAnsi="Times New Roman" w:cs="Times New Roman"/>
                      <w:snapToGrid w:val="0"/>
                      <w:color w:val="auto"/>
                      <w:kern w:val="21"/>
                      <w:szCs w:val="21"/>
                      <w:highlight w:val="none"/>
                    </w:rPr>
                    <w:t>≤0.0000026</w:t>
                  </w:r>
                </w:p>
              </w:tc>
            </w:tr>
            <w:tr w14:paraId="2443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4BD6C4D4">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17</w:t>
                  </w:r>
                </w:p>
              </w:tc>
              <w:tc>
                <w:tcPr>
                  <w:tcW w:w="995" w:type="pct"/>
                  <w:vMerge w:val="continue"/>
                  <w:vAlign w:val="center"/>
                </w:tcPr>
                <w:p w14:paraId="0949CA64">
                  <w:pPr>
                    <w:adjustRightInd w:val="0"/>
                    <w:snapToGrid w:val="0"/>
                    <w:jc w:val="center"/>
                    <w:rPr>
                      <w:rFonts w:hint="default" w:ascii="Times New Roman" w:hAnsi="Times New Roman" w:cs="Times New Roman"/>
                      <w:bCs/>
                      <w:snapToGrid w:val="0"/>
                      <w:color w:val="auto"/>
                      <w:kern w:val="0"/>
                      <w:szCs w:val="21"/>
                      <w:highlight w:val="none"/>
                    </w:rPr>
                  </w:pPr>
                </w:p>
              </w:tc>
              <w:tc>
                <w:tcPr>
                  <w:tcW w:w="752" w:type="pct"/>
                  <w:vMerge w:val="continue"/>
                  <w:vAlign w:val="center"/>
                </w:tcPr>
                <w:p w14:paraId="6EE61BD7">
                  <w:pPr>
                    <w:adjustRightInd w:val="0"/>
                    <w:snapToGrid w:val="0"/>
                    <w:jc w:val="center"/>
                    <w:rPr>
                      <w:rFonts w:hint="default" w:ascii="Times New Roman" w:hAnsi="Times New Roman" w:cs="Times New Roman"/>
                      <w:bCs/>
                      <w:snapToGrid w:val="0"/>
                      <w:color w:val="auto"/>
                      <w:kern w:val="0"/>
                      <w:szCs w:val="21"/>
                      <w:highlight w:val="none"/>
                    </w:rPr>
                  </w:pPr>
                </w:p>
              </w:tc>
              <w:tc>
                <w:tcPr>
                  <w:tcW w:w="845" w:type="pct"/>
                  <w:vAlign w:val="center"/>
                </w:tcPr>
                <w:p w14:paraId="0CC70C2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六价铬</w:t>
                  </w:r>
                </w:p>
              </w:tc>
              <w:tc>
                <w:tcPr>
                  <w:tcW w:w="728" w:type="pct"/>
                  <w:vAlign w:val="center"/>
                </w:tcPr>
                <w:p w14:paraId="4B2B0AF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0.004L</w:t>
                  </w:r>
                </w:p>
              </w:tc>
              <w:tc>
                <w:tcPr>
                  <w:tcW w:w="1273" w:type="pct"/>
                  <w:vAlign w:val="center"/>
                </w:tcPr>
                <w:p w14:paraId="4D507FCB">
                  <w:pPr>
                    <w:pStyle w:val="66"/>
                    <w:spacing w:beforeLines="0" w:afterLines="0" w:line="240" w:lineRule="auto"/>
                    <w:ind w:firstLine="0" w:firstLineChars="0"/>
                    <w:rPr>
                      <w:rFonts w:hint="default" w:ascii="Times New Roman" w:hAnsi="Times New Roman" w:cs="Times New Roman"/>
                      <w:bCs/>
                      <w:snapToGrid w:val="0"/>
                      <w:color w:val="auto"/>
                      <w:szCs w:val="21"/>
                      <w:highlight w:val="none"/>
                    </w:rPr>
                  </w:pPr>
                  <w:r>
                    <w:rPr>
                      <w:rFonts w:hint="default" w:ascii="Times New Roman" w:hAnsi="Times New Roman" w:cs="Times New Roman"/>
                      <w:snapToGrid w:val="0"/>
                      <w:color w:val="auto"/>
                      <w:kern w:val="21"/>
                      <w:szCs w:val="21"/>
                      <w:highlight w:val="none"/>
                    </w:rPr>
                    <w:t>≤0.0000026</w:t>
                  </w:r>
                </w:p>
              </w:tc>
            </w:tr>
          </w:tbl>
          <w:p w14:paraId="4AF8BE2E">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（2）现有项目大气污染物产排情况</w:t>
            </w:r>
          </w:p>
          <w:p w14:paraId="43A4BA0F">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①微生物实验含菌废气</w:t>
            </w:r>
          </w:p>
          <w:p w14:paraId="2182B901">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微生物实验室病毒的分离、培养及鉴定，分子生物学检测，血清学检测等操作均在生物安全柜和负压罩中进行，由于项目微生物实验较少，产生的含有病原微生物的和有毒有害等废气量较小，现有项目产生的微生物实验含菌废气通过内置高效过滤器过滤后排放。</w:t>
            </w:r>
          </w:p>
          <w:p w14:paraId="2F000FE4">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②理化实验室废气</w:t>
            </w:r>
          </w:p>
          <w:p w14:paraId="306E5DF8">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现有理化实验过程中，各种化学试剂的挥发及各种试剂相互反应过程均会产生少量的气体，理化实验室内安装有排风换气系统，项目理化试验在通风柜内进行，产生的理化实验废气引至屋顶排气筒排放。根据项目实际运营中理化实验室药品及试剂的消耗量，计算得现有项目理化实验室废气量。</w:t>
            </w:r>
          </w:p>
          <w:p w14:paraId="1517B928">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highlight w:val="none"/>
              </w:rPr>
              <w:t>表2-15 现有项目理化实验室药品及试剂耗量一览表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1"/>
              <w:gridCol w:w="2217"/>
              <w:gridCol w:w="2420"/>
              <w:gridCol w:w="1838"/>
            </w:tblGrid>
            <w:tr w14:paraId="2EE1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Align w:val="center"/>
                </w:tcPr>
                <w:p w14:paraId="4A26E0A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科室</w:t>
                  </w:r>
                </w:p>
              </w:tc>
              <w:tc>
                <w:tcPr>
                  <w:tcW w:w="1328" w:type="pct"/>
                  <w:vAlign w:val="center"/>
                </w:tcPr>
                <w:p w14:paraId="5084B464">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名称</w:t>
                  </w:r>
                </w:p>
              </w:tc>
              <w:tc>
                <w:tcPr>
                  <w:tcW w:w="1450" w:type="pct"/>
                  <w:vAlign w:val="center"/>
                </w:tcPr>
                <w:p w14:paraId="0E093EB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规格及年耗量</w:t>
                  </w:r>
                </w:p>
              </w:tc>
              <w:tc>
                <w:tcPr>
                  <w:tcW w:w="1101" w:type="pct"/>
                  <w:vAlign w:val="center"/>
                </w:tcPr>
                <w:p w14:paraId="13B8AD6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来源</w:t>
                  </w:r>
                </w:p>
              </w:tc>
            </w:tr>
            <w:tr w14:paraId="34E1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restart"/>
                  <w:vAlign w:val="center"/>
                </w:tcPr>
                <w:p w14:paraId="106D12D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理化实验室</w:t>
                  </w:r>
                </w:p>
              </w:tc>
              <w:tc>
                <w:tcPr>
                  <w:tcW w:w="1328" w:type="pct"/>
                  <w:vAlign w:val="center"/>
                </w:tcPr>
                <w:p w14:paraId="43776A5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氢氧化钠</w:t>
                  </w:r>
                </w:p>
              </w:tc>
              <w:tc>
                <w:tcPr>
                  <w:tcW w:w="1450" w:type="pct"/>
                  <w:vAlign w:val="center"/>
                </w:tcPr>
                <w:p w14:paraId="5736541B">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500g/瓶×7瓶</w:t>
                  </w:r>
                </w:p>
              </w:tc>
              <w:tc>
                <w:tcPr>
                  <w:tcW w:w="1101" w:type="pct"/>
                  <w:vMerge w:val="restart"/>
                  <w:vAlign w:val="center"/>
                </w:tcPr>
                <w:p w14:paraId="5A456FD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外购</w:t>
                  </w:r>
                </w:p>
              </w:tc>
            </w:tr>
            <w:tr w14:paraId="7569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47026322">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41A1FCAC">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氨水</w:t>
                  </w:r>
                </w:p>
              </w:tc>
              <w:tc>
                <w:tcPr>
                  <w:tcW w:w="1450" w:type="pct"/>
                  <w:vAlign w:val="center"/>
                </w:tcPr>
                <w:p w14:paraId="7E672CD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500g/瓶×4瓶</w:t>
                  </w:r>
                </w:p>
              </w:tc>
              <w:tc>
                <w:tcPr>
                  <w:tcW w:w="1101" w:type="pct"/>
                  <w:vMerge w:val="continue"/>
                  <w:vAlign w:val="center"/>
                </w:tcPr>
                <w:p w14:paraId="57305CEB">
                  <w:pPr>
                    <w:adjustRightInd w:val="0"/>
                    <w:snapToGrid w:val="0"/>
                    <w:jc w:val="center"/>
                    <w:rPr>
                      <w:rFonts w:hint="default" w:ascii="Times New Roman" w:hAnsi="Times New Roman" w:cs="Times New Roman"/>
                      <w:bCs/>
                      <w:snapToGrid w:val="0"/>
                      <w:color w:val="auto"/>
                      <w:kern w:val="0"/>
                      <w:szCs w:val="21"/>
                      <w:highlight w:val="none"/>
                    </w:rPr>
                  </w:pPr>
                </w:p>
              </w:tc>
            </w:tr>
            <w:tr w14:paraId="47B1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6C540282">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6DF130E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硝酸</w:t>
                  </w:r>
                </w:p>
              </w:tc>
              <w:tc>
                <w:tcPr>
                  <w:tcW w:w="1450" w:type="pct"/>
                  <w:vAlign w:val="center"/>
                </w:tcPr>
                <w:p w14:paraId="58EF167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500g/瓶×7瓶</w:t>
                  </w:r>
                </w:p>
              </w:tc>
              <w:tc>
                <w:tcPr>
                  <w:tcW w:w="1101" w:type="pct"/>
                  <w:vMerge w:val="continue"/>
                  <w:vAlign w:val="center"/>
                </w:tcPr>
                <w:p w14:paraId="673DC4BF">
                  <w:pPr>
                    <w:adjustRightInd w:val="0"/>
                    <w:snapToGrid w:val="0"/>
                    <w:jc w:val="center"/>
                    <w:rPr>
                      <w:rFonts w:hint="default" w:ascii="Times New Roman" w:hAnsi="Times New Roman" w:cs="Times New Roman"/>
                      <w:bCs/>
                      <w:snapToGrid w:val="0"/>
                      <w:color w:val="auto"/>
                      <w:kern w:val="0"/>
                      <w:szCs w:val="21"/>
                      <w:highlight w:val="none"/>
                    </w:rPr>
                  </w:pPr>
                </w:p>
              </w:tc>
            </w:tr>
            <w:tr w14:paraId="0D6E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07606F76">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19A0AD0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硫酸</w:t>
                  </w:r>
                </w:p>
              </w:tc>
              <w:tc>
                <w:tcPr>
                  <w:tcW w:w="1450" w:type="pct"/>
                  <w:vAlign w:val="center"/>
                </w:tcPr>
                <w:p w14:paraId="441AB0FF">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500g/瓶×5瓶</w:t>
                  </w:r>
                </w:p>
              </w:tc>
              <w:tc>
                <w:tcPr>
                  <w:tcW w:w="1101" w:type="pct"/>
                  <w:vMerge w:val="continue"/>
                  <w:vAlign w:val="center"/>
                </w:tcPr>
                <w:p w14:paraId="4F04FD1A">
                  <w:pPr>
                    <w:adjustRightInd w:val="0"/>
                    <w:snapToGrid w:val="0"/>
                    <w:jc w:val="center"/>
                    <w:rPr>
                      <w:rFonts w:hint="default" w:ascii="Times New Roman" w:hAnsi="Times New Roman" w:cs="Times New Roman"/>
                      <w:bCs/>
                      <w:snapToGrid w:val="0"/>
                      <w:color w:val="auto"/>
                      <w:kern w:val="0"/>
                      <w:szCs w:val="21"/>
                      <w:highlight w:val="none"/>
                    </w:rPr>
                  </w:pPr>
                </w:p>
              </w:tc>
            </w:tr>
            <w:tr w14:paraId="36B5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6CC16195">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51C974DC">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盐酸</w:t>
                  </w:r>
                </w:p>
              </w:tc>
              <w:tc>
                <w:tcPr>
                  <w:tcW w:w="1450" w:type="pct"/>
                  <w:vAlign w:val="center"/>
                </w:tcPr>
                <w:p w14:paraId="3894ECC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500g/瓶×7瓶</w:t>
                  </w:r>
                </w:p>
              </w:tc>
              <w:tc>
                <w:tcPr>
                  <w:tcW w:w="1101" w:type="pct"/>
                  <w:vMerge w:val="continue"/>
                  <w:vAlign w:val="center"/>
                </w:tcPr>
                <w:p w14:paraId="444C1B08">
                  <w:pPr>
                    <w:adjustRightInd w:val="0"/>
                    <w:snapToGrid w:val="0"/>
                    <w:jc w:val="center"/>
                    <w:rPr>
                      <w:rFonts w:hint="default" w:ascii="Times New Roman" w:hAnsi="Times New Roman" w:cs="Times New Roman"/>
                      <w:bCs/>
                      <w:snapToGrid w:val="0"/>
                      <w:color w:val="auto"/>
                      <w:kern w:val="0"/>
                      <w:szCs w:val="21"/>
                      <w:highlight w:val="none"/>
                    </w:rPr>
                  </w:pPr>
                </w:p>
              </w:tc>
            </w:tr>
            <w:tr w14:paraId="516C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7909C813">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074D739F">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三氯甲烷</w:t>
                  </w:r>
                </w:p>
              </w:tc>
              <w:tc>
                <w:tcPr>
                  <w:tcW w:w="1450" w:type="pct"/>
                  <w:vAlign w:val="center"/>
                </w:tcPr>
                <w:p w14:paraId="415951D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500g/瓶×5瓶</w:t>
                  </w:r>
                </w:p>
              </w:tc>
              <w:tc>
                <w:tcPr>
                  <w:tcW w:w="1101" w:type="pct"/>
                  <w:vMerge w:val="continue"/>
                  <w:vAlign w:val="center"/>
                </w:tcPr>
                <w:p w14:paraId="1AA545A1">
                  <w:pPr>
                    <w:adjustRightInd w:val="0"/>
                    <w:snapToGrid w:val="0"/>
                    <w:jc w:val="center"/>
                    <w:rPr>
                      <w:rFonts w:hint="default" w:ascii="Times New Roman" w:hAnsi="Times New Roman" w:cs="Times New Roman"/>
                      <w:bCs/>
                      <w:snapToGrid w:val="0"/>
                      <w:color w:val="auto"/>
                      <w:kern w:val="0"/>
                      <w:szCs w:val="21"/>
                      <w:highlight w:val="none"/>
                    </w:rPr>
                  </w:pPr>
                </w:p>
              </w:tc>
            </w:tr>
            <w:tr w14:paraId="3BD8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58A17486">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45001B3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乙醚</w:t>
                  </w:r>
                </w:p>
              </w:tc>
              <w:tc>
                <w:tcPr>
                  <w:tcW w:w="1450" w:type="pct"/>
                  <w:vAlign w:val="center"/>
                </w:tcPr>
                <w:p w14:paraId="3020BAF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500g/瓶×4瓶</w:t>
                  </w:r>
                </w:p>
              </w:tc>
              <w:tc>
                <w:tcPr>
                  <w:tcW w:w="1101" w:type="pct"/>
                  <w:vMerge w:val="continue"/>
                  <w:vAlign w:val="center"/>
                </w:tcPr>
                <w:p w14:paraId="72B2439D">
                  <w:pPr>
                    <w:adjustRightInd w:val="0"/>
                    <w:snapToGrid w:val="0"/>
                    <w:jc w:val="center"/>
                    <w:rPr>
                      <w:rFonts w:hint="default" w:ascii="Times New Roman" w:hAnsi="Times New Roman" w:cs="Times New Roman"/>
                      <w:bCs/>
                      <w:snapToGrid w:val="0"/>
                      <w:color w:val="auto"/>
                      <w:kern w:val="0"/>
                      <w:szCs w:val="21"/>
                      <w:highlight w:val="none"/>
                    </w:rPr>
                  </w:pPr>
                </w:p>
              </w:tc>
            </w:tr>
            <w:tr w14:paraId="780E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08D88716">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75C3174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汞标准溶液</w:t>
                  </w:r>
                </w:p>
              </w:tc>
              <w:tc>
                <w:tcPr>
                  <w:tcW w:w="1450" w:type="pct"/>
                  <w:vAlign w:val="center"/>
                </w:tcPr>
                <w:p w14:paraId="5860F92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20ml/支×2支</w:t>
                  </w:r>
                </w:p>
              </w:tc>
              <w:tc>
                <w:tcPr>
                  <w:tcW w:w="1101" w:type="pct"/>
                  <w:vAlign w:val="center"/>
                </w:tcPr>
                <w:p w14:paraId="1B431879">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市CDC下发</w:t>
                  </w:r>
                </w:p>
              </w:tc>
            </w:tr>
            <w:tr w14:paraId="7EB0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647C68A7">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13C7C76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镉标准溶液</w:t>
                  </w:r>
                </w:p>
              </w:tc>
              <w:tc>
                <w:tcPr>
                  <w:tcW w:w="1450" w:type="pct"/>
                  <w:vAlign w:val="center"/>
                </w:tcPr>
                <w:p w14:paraId="72389F9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20ml/支×2支</w:t>
                  </w:r>
                </w:p>
              </w:tc>
              <w:tc>
                <w:tcPr>
                  <w:tcW w:w="1101" w:type="pct"/>
                  <w:vAlign w:val="center"/>
                </w:tcPr>
                <w:p w14:paraId="01503FE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市CDC下发</w:t>
                  </w:r>
                </w:p>
              </w:tc>
            </w:tr>
            <w:tr w14:paraId="21CB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473EAABB">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4A28903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锌标准溶液</w:t>
                  </w:r>
                </w:p>
              </w:tc>
              <w:tc>
                <w:tcPr>
                  <w:tcW w:w="1450" w:type="pct"/>
                  <w:vAlign w:val="center"/>
                </w:tcPr>
                <w:p w14:paraId="113258D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20ml/支×2支</w:t>
                  </w:r>
                </w:p>
              </w:tc>
              <w:tc>
                <w:tcPr>
                  <w:tcW w:w="1101" w:type="pct"/>
                  <w:vAlign w:val="center"/>
                </w:tcPr>
                <w:p w14:paraId="5387F4EB">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市CDC下发</w:t>
                  </w:r>
                </w:p>
              </w:tc>
            </w:tr>
            <w:tr w14:paraId="4D03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pct"/>
                  <w:vMerge w:val="continue"/>
                  <w:vAlign w:val="center"/>
                </w:tcPr>
                <w:p w14:paraId="21522F01">
                  <w:pPr>
                    <w:adjustRightInd w:val="0"/>
                    <w:snapToGrid w:val="0"/>
                    <w:jc w:val="center"/>
                    <w:rPr>
                      <w:rFonts w:hint="default" w:ascii="Times New Roman" w:hAnsi="Times New Roman" w:cs="Times New Roman"/>
                      <w:bCs/>
                      <w:snapToGrid w:val="0"/>
                      <w:color w:val="auto"/>
                      <w:kern w:val="0"/>
                      <w:szCs w:val="21"/>
                      <w:highlight w:val="none"/>
                    </w:rPr>
                  </w:pPr>
                </w:p>
              </w:tc>
              <w:tc>
                <w:tcPr>
                  <w:tcW w:w="1328" w:type="pct"/>
                  <w:vAlign w:val="center"/>
                </w:tcPr>
                <w:p w14:paraId="68E1F93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碘化汞</w:t>
                  </w:r>
                </w:p>
              </w:tc>
              <w:tc>
                <w:tcPr>
                  <w:tcW w:w="1450" w:type="pct"/>
                  <w:vAlign w:val="center"/>
                </w:tcPr>
                <w:p w14:paraId="4022107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100g/瓶×14瓶</w:t>
                  </w:r>
                </w:p>
              </w:tc>
              <w:tc>
                <w:tcPr>
                  <w:tcW w:w="1101" w:type="pct"/>
                  <w:vAlign w:val="center"/>
                </w:tcPr>
                <w:p w14:paraId="75DD7CA4">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市CDC下发</w:t>
                  </w:r>
                </w:p>
              </w:tc>
            </w:tr>
          </w:tbl>
          <w:p w14:paraId="1B1BFB30">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1）无机废气</w:t>
            </w:r>
          </w:p>
          <w:p w14:paraId="1B801B7C">
            <w:pPr>
              <w:pStyle w:val="10"/>
              <w:ind w:firstLine="480"/>
              <w:rPr>
                <w:rFonts w:hint="default" w:ascii="Times New Roman" w:hAnsi="Times New Roman" w:cs="Times New Roman"/>
                <w:bCs/>
                <w:color w:val="auto"/>
                <w:highlight w:val="none"/>
              </w:rPr>
            </w:pPr>
            <w:r>
              <w:rPr>
                <w:rFonts w:hint="default" w:ascii="Times New Roman" w:hAnsi="Times New Roman" w:cs="Times New Roman"/>
                <w:color w:val="auto"/>
                <w:szCs w:val="24"/>
                <w:highlight w:val="none"/>
              </w:rPr>
              <w:t>根据现有项目理化实验室药品及试剂消耗情况，氨水、硝酸、硫酸、盐酸年消耗量分别为2kg/a、3.5kg/a、2.5kg/a、3.5kg/a。实验室所用的器具瓶口面积比较小，挥发产生的无机废气以氨气、</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szCs w:val="24"/>
                <w:highlight w:val="none"/>
              </w:rPr>
              <w:t>、硫雾、HCl计，现有项目氨气挥发量取试剂用量的5%、</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szCs w:val="24"/>
                <w:highlight w:val="none"/>
              </w:rPr>
              <w:t>挥发量取试剂用量的5%、硫雾挥发量取试剂用量的0.1%、HCl挥发量取试剂用量的10%，则现有项目无机废气排放量为：氨气：0.1kg/a、</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：0.175</w:t>
            </w:r>
            <w:r>
              <w:rPr>
                <w:rFonts w:hint="default" w:ascii="Times New Roman" w:hAnsi="Times New Roman" w:cs="Times New Roman"/>
                <w:color w:val="auto"/>
                <w:szCs w:val="24"/>
                <w:highlight w:val="none"/>
              </w:rPr>
              <w:t>kg/a、硫雾：0.003kg/a、HCl：0.35kg/a。</w:t>
            </w:r>
          </w:p>
          <w:p w14:paraId="1CAB1C9F">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2）有机废气</w:t>
            </w:r>
          </w:p>
          <w:p w14:paraId="6B75B88E">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现有项目具有挥发性的化学试剂有三氯甲烷和乙醚，仅少部分以有机废气（以非甲烷总烃计）的形式挥发，由于理化实验室所用器皿的敞口面积较小，挥发量取试剂用量的5%计，则现有项目有机废气（以非甲烷总烃计）排放量为0.225</w:t>
            </w:r>
            <w:r>
              <w:rPr>
                <w:rFonts w:hint="default" w:ascii="Times New Roman" w:hAnsi="Times New Roman" w:cs="Times New Roman"/>
                <w:color w:val="auto"/>
                <w:sz w:val="24"/>
                <w:highlight w:val="none"/>
              </w:rPr>
              <w:t>kg/a。</w:t>
            </w:r>
          </w:p>
          <w:p w14:paraId="1E3613A7">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（3）现有项目噪声产排情况</w:t>
            </w:r>
          </w:p>
          <w:p w14:paraId="1B9CAF15">
            <w:pPr>
              <w:pStyle w:val="22"/>
              <w:numPr>
                <w:ilvl w:val="0"/>
                <w:numId w:val="0"/>
              </w:num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现有项目噪声主要来源于通排风风机噪声、来访和就诊人员交流噪声、进出车辆噪声。</w:t>
            </w:r>
            <w:r>
              <w:rPr>
                <w:rFonts w:hint="default" w:ascii="Times New Roman" w:hAnsi="Times New Roman" w:cs="Times New Roman"/>
                <w:color w:val="auto"/>
                <w:sz w:val="24"/>
                <w:highlight w:val="none"/>
              </w:rPr>
              <w:t>根据现有项目验收监测结果可知，现有</w:t>
            </w:r>
            <w:r>
              <w:rPr>
                <w:rFonts w:hint="default" w:ascii="Times New Roman" w:hAnsi="Times New Roman" w:cs="Times New Roman"/>
                <w:bCs/>
                <w:color w:val="auto"/>
                <w:sz w:val="24"/>
                <w:highlight w:val="none"/>
              </w:rPr>
              <w:t>项目东、南、西、北4个厂界噪声测点昼间测值范围为46.2~53.1dB（A），夜间测值范围为40.2~43.6 dB（A），所有测点昼间、夜间测值均达到</w:t>
            </w:r>
            <w:r>
              <w:rPr>
                <w:rFonts w:hint="default" w:ascii="Times New Roman" w:hAnsi="Times New Roman" w:cs="Times New Roman"/>
                <w:color w:val="auto"/>
                <w:sz w:val="24"/>
                <w:highlight w:val="none"/>
              </w:rPr>
              <w:t>《工业企业厂界环境噪声排放标准》（GB12348-2008）2类和4类标准限值要求。</w:t>
            </w:r>
          </w:p>
          <w:p w14:paraId="64F5820F">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（4）现有项目固体废物产排情况</w:t>
            </w:r>
          </w:p>
          <w:p w14:paraId="398B539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现有项目产生的</w:t>
            </w:r>
            <w:r>
              <w:rPr>
                <w:rFonts w:hint="default" w:ascii="Times New Roman" w:hAnsi="Times New Roman" w:cs="Times New Roman"/>
                <w:color w:val="auto"/>
                <w:sz w:val="24"/>
                <w:highlight w:val="none"/>
              </w:rPr>
              <w:t>固体废物主要包括：医疗固废（主要为理化实验室及微生物实验室废物）、特殊废水预处理污泥、污水处理设施产生的污泥、化粪池污泥及生活垃圾。</w:t>
            </w:r>
          </w:p>
          <w:p w14:paraId="31128F0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1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①</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医疗固废（主要为理化实验室及微生物实验室废物）</w:t>
            </w:r>
          </w:p>
          <w:p w14:paraId="30063B8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疾控中心医疗固废产生量为14.6kg/d，3.66t/a，医疗固废按照《危险废物贮存污染控制标准》（GB18597-2001）和《医疗废物管理条例》要求进行贮存管理，暂存于3.5m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的医疗固废暂存间，由玉溪兴洁垃圾处理有限公司收运处置。</w:t>
            </w:r>
          </w:p>
          <w:p w14:paraId="7A26ECD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②</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特殊废水预处理污泥、污水处理设施产生的污泥和化粪池污泥</w:t>
            </w:r>
          </w:p>
          <w:p w14:paraId="4259719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特殊废水预处理污泥、污水处理设施产生的污泥和化粪池污泥产生的污泥量为0.33t/a。污泥按照《危险废物贮存污染控制标准》（GB18597-2023）和《医疗机构水污染物排放标准》</w:t>
            </w:r>
            <w:r>
              <w:rPr>
                <w:rFonts w:hint="eastAsia" w:ascii="Times New Roman" w:hAnsi="Times New Roman" w:cs="Times New Roman"/>
                <w:color w:val="auto"/>
                <w:sz w:val="24"/>
                <w:highlight w:val="none"/>
                <w:lang w:eastAsia="zh-CN"/>
              </w:rPr>
              <w:t>（GB18466-2005）</w:t>
            </w:r>
            <w:r>
              <w:rPr>
                <w:rFonts w:hint="default" w:ascii="Times New Roman" w:hAnsi="Times New Roman" w:cs="Times New Roman"/>
                <w:color w:val="auto"/>
                <w:sz w:val="24"/>
                <w:highlight w:val="none"/>
              </w:rPr>
              <w:t>要求进行管理和处置，由玉溪兴洁垃圾处理有限公司收运处置。</w:t>
            </w:r>
          </w:p>
          <w:p w14:paraId="7C67743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3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③</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生活垃圾</w:t>
            </w:r>
          </w:p>
          <w:p w14:paraId="27E22AF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运营期中心生活垃圾产</w:t>
            </w:r>
            <w:bookmarkStart w:id="20" w:name="_GoBack"/>
            <w:bookmarkEnd w:id="20"/>
            <w:r>
              <w:rPr>
                <w:rFonts w:hint="default" w:ascii="Times New Roman" w:hAnsi="Times New Roman" w:cs="Times New Roman"/>
                <w:color w:val="auto"/>
                <w:sz w:val="24"/>
                <w:highlight w:val="none"/>
              </w:rPr>
              <w:t>生量为7.45t/a，集中收集后交由华宁县环卫部门统一清运处置。</w:t>
            </w:r>
          </w:p>
          <w:p w14:paraId="2A96F636">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5、主要环境问题及整改措施</w:t>
            </w:r>
          </w:p>
          <w:p w14:paraId="7C703D1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（1）现有项目存在的问题</w:t>
            </w:r>
          </w:p>
          <w:p w14:paraId="78E4CCD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现有项目已通过“三同时”环保竣工验收，项目运行至今，未发生环保投诉事件，各项环保措施正常运行。经现场踏勘，现有项目存在以下问题：</w:t>
            </w:r>
          </w:p>
          <w:p w14:paraId="53DB4F2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项目现有</w:t>
            </w:r>
            <w:r>
              <w:rPr>
                <w:rFonts w:hint="default" w:ascii="Times New Roman" w:hAnsi="Times New Roman" w:cs="Times New Roman"/>
                <w:bCs/>
                <w:color w:val="auto"/>
                <w:sz w:val="24"/>
                <w:highlight w:val="none"/>
              </w:rPr>
              <w:t>6m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default" w:ascii="Times New Roman" w:hAnsi="Times New Roman" w:cs="Times New Roman"/>
                <w:color w:val="auto"/>
                <w:sz w:val="24"/>
                <w:highlight w:val="none"/>
              </w:rPr>
              <w:t>污水处理站设施老化，管道、阀门等金属部件锈迹斑斑，密封性下降，设备能效低下，处理成本攀升。</w:t>
            </w:r>
          </w:p>
          <w:p w14:paraId="1F786CA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（2）“以新带老”整改措施</w:t>
            </w:r>
          </w:p>
          <w:p w14:paraId="447A864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建设单位于2025年10月30日在现有项目原厂址建设完成一个处理规模为10m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/d“缺氧+接触氧化+MBR+次氯酸钠消毒”工艺的污水处理站。自该污水处理站建成后，现有6m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/d的污水处理站废止不再使用，现有项目及改扩建项目污水经预处理后均进入该污水处理站处理。</w:t>
            </w:r>
          </w:p>
          <w:p w14:paraId="24C5A22C">
            <w:pPr>
              <w:spacing w:line="360" w:lineRule="auto"/>
              <w:ind w:firstLine="480" w:firstLineChars="200"/>
              <w:rPr>
                <w:rFonts w:hint="default" w:ascii="Times New Roman" w:hAnsi="Times New Roman" w:cs="Times New Roman"/>
                <w:color w:val="auto"/>
                <w:sz w:val="24"/>
                <w:highlight w:val="none"/>
              </w:rPr>
            </w:pPr>
          </w:p>
          <w:p w14:paraId="67CF7DF8">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6、“三本账”核算</w:t>
            </w:r>
          </w:p>
          <w:p w14:paraId="05ED3B52">
            <w:pPr>
              <w:spacing w:line="360" w:lineRule="auto"/>
              <w:ind w:firstLine="480" w:firstLineChars="200"/>
              <w:rPr>
                <w:rFonts w:hint="default" w:ascii="Times New Roman" w:hAnsi="Times New Roman" w:cs="Times New Roman"/>
                <w:b w:val="0"/>
                <w:bCs w:val="0"/>
                <w:color w:val="auto"/>
                <w:sz w:val="24"/>
                <w:highlight w:val="none"/>
              </w:rPr>
            </w:pPr>
            <w:r>
              <w:rPr>
                <w:rFonts w:hint="default" w:ascii="Times New Roman" w:hAnsi="Times New Roman" w:cs="Times New Roman"/>
                <w:b w:val="0"/>
                <w:bCs w:val="0"/>
                <w:color w:val="auto"/>
                <w:sz w:val="24"/>
                <w:highlight w:val="none"/>
              </w:rPr>
              <w:t>项目“三本账”核算情况详见表2-16。</w:t>
            </w:r>
          </w:p>
          <w:p w14:paraId="379862F8">
            <w:pPr>
              <w:pStyle w:val="22"/>
              <w:numPr>
                <w:ilvl w:val="0"/>
                <w:numId w:val="0"/>
              </w:numPr>
              <w:spacing w:before="120" w:beforeLines="5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表2-16  项目“三本账”核算一览表</w:t>
            </w:r>
          </w:p>
          <w:tbl>
            <w:tblPr>
              <w:tblStyle w:val="3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99"/>
              <w:gridCol w:w="914"/>
              <w:gridCol w:w="1344"/>
              <w:gridCol w:w="1450"/>
              <w:gridCol w:w="829"/>
              <w:gridCol w:w="1671"/>
              <w:gridCol w:w="1229"/>
            </w:tblGrid>
            <w:tr w14:paraId="25EBF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40" w:type="pct"/>
                  <w:tcBorders>
                    <w:top w:val="single" w:color="auto" w:sz="8" w:space="0"/>
                    <w:left w:val="single" w:color="auto" w:sz="8" w:space="0"/>
                    <w:bottom w:val="single" w:color="auto" w:sz="4" w:space="0"/>
                    <w:right w:val="single" w:color="auto" w:sz="4" w:space="0"/>
                    <w:tl2br w:val="single" w:color="auto" w:sz="4" w:space="0"/>
                  </w:tcBorders>
                  <w:tcMar>
                    <w:top w:w="0" w:type="dxa"/>
                    <w:left w:w="28" w:type="dxa"/>
                    <w:bottom w:w="0" w:type="dxa"/>
                    <w:right w:w="28" w:type="dxa"/>
                  </w:tcMar>
                  <w:vAlign w:val="center"/>
                </w:tcPr>
                <w:p w14:paraId="63AC53DE">
                  <w:pPr>
                    <w:pStyle w:val="66"/>
                    <w:widowControl/>
                    <w:spacing w:before="24" w:after="24"/>
                    <w:ind w:firstLine="398"/>
                    <w:jc w:val="both"/>
                    <w:rPr>
                      <w:rFonts w:hint="default" w:ascii="Times New Roman" w:hAnsi="Times New Roman" w:cs="Times New Roman"/>
                      <w:b/>
                      <w:bCs/>
                      <w:color w:val="auto"/>
                      <w:spacing w:val="-6"/>
                      <w:kern w:val="21"/>
                      <w:szCs w:val="21"/>
                      <w:highlight w:val="none"/>
                    </w:rPr>
                  </w:pPr>
                  <w:r>
                    <w:rPr>
                      <w:rFonts w:hint="default" w:ascii="Times New Roman" w:hAnsi="Times New Roman" w:cs="Times New Roman"/>
                      <w:b/>
                      <w:bCs/>
                      <w:color w:val="auto"/>
                      <w:spacing w:val="-6"/>
                      <w:kern w:val="21"/>
                      <w:highlight w:val="none"/>
                    </w:rPr>
                    <w:t>项目</w:t>
                  </w:r>
                </w:p>
                <w:p w14:paraId="651A4868">
                  <w:pPr>
                    <w:pStyle w:val="66"/>
                    <w:widowControl/>
                    <w:spacing w:before="24" w:after="24"/>
                    <w:ind w:firstLine="0" w:firstLineChars="0"/>
                    <w:jc w:val="left"/>
                    <w:rPr>
                      <w:rFonts w:hint="default" w:ascii="Times New Roman" w:hAnsi="Times New Roman" w:cs="Times New Roman"/>
                      <w:b/>
                      <w:bCs/>
                      <w:color w:val="auto"/>
                      <w:spacing w:val="-6"/>
                      <w:kern w:val="21"/>
                      <w:highlight w:val="none"/>
                    </w:rPr>
                  </w:pPr>
                  <w:r>
                    <w:rPr>
                      <w:rFonts w:hint="default" w:ascii="Times New Roman" w:hAnsi="Times New Roman" w:cs="Times New Roman"/>
                      <w:b/>
                      <w:bCs/>
                      <w:color w:val="auto"/>
                      <w:spacing w:val="-6"/>
                      <w:kern w:val="21"/>
                      <w:highlight w:val="none"/>
                    </w:rPr>
                    <w:t>分类</w:t>
                  </w:r>
                </w:p>
              </w:tc>
              <w:tc>
                <w:tcPr>
                  <w:tcW w:w="548" w:type="pct"/>
                  <w:tcBorders>
                    <w:top w:val="single" w:color="auto" w:sz="8" w:space="0"/>
                    <w:left w:val="nil"/>
                    <w:bottom w:val="single" w:color="auto" w:sz="4" w:space="0"/>
                    <w:right w:val="single" w:color="auto" w:sz="4" w:space="0"/>
                  </w:tcBorders>
                  <w:tcMar>
                    <w:top w:w="0" w:type="dxa"/>
                    <w:left w:w="28" w:type="dxa"/>
                    <w:bottom w:w="0" w:type="dxa"/>
                    <w:right w:w="28" w:type="dxa"/>
                  </w:tcMar>
                  <w:vAlign w:val="center"/>
                </w:tcPr>
                <w:p w14:paraId="5F8FC19B">
                  <w:pPr>
                    <w:pStyle w:val="66"/>
                    <w:widowControl/>
                    <w:spacing w:before="24" w:after="24"/>
                    <w:ind w:firstLine="0" w:firstLineChars="0"/>
                    <w:rPr>
                      <w:rFonts w:hint="default" w:ascii="Times New Roman" w:hAnsi="Times New Roman" w:cs="Times New Roman"/>
                      <w:b/>
                      <w:bCs/>
                      <w:color w:val="auto"/>
                      <w:spacing w:val="-6"/>
                      <w:kern w:val="21"/>
                      <w:highlight w:val="none"/>
                    </w:rPr>
                  </w:pPr>
                  <w:r>
                    <w:rPr>
                      <w:rFonts w:hint="default" w:ascii="Times New Roman" w:hAnsi="Times New Roman" w:cs="Times New Roman"/>
                      <w:b/>
                      <w:bCs/>
                      <w:color w:val="auto"/>
                      <w:spacing w:val="-6"/>
                      <w:kern w:val="21"/>
                      <w:highlight w:val="none"/>
                    </w:rPr>
                    <w:t>污染物</w:t>
                  </w:r>
                </w:p>
                <w:p w14:paraId="3C58B90A">
                  <w:pPr>
                    <w:pStyle w:val="66"/>
                    <w:widowControl/>
                    <w:spacing w:before="24" w:after="24"/>
                    <w:ind w:firstLine="0" w:firstLineChars="0"/>
                    <w:rPr>
                      <w:rFonts w:hint="default" w:ascii="Times New Roman" w:hAnsi="Times New Roman" w:cs="Times New Roman"/>
                      <w:b/>
                      <w:bCs/>
                      <w:color w:val="auto"/>
                      <w:spacing w:val="-6"/>
                      <w:kern w:val="21"/>
                      <w:highlight w:val="none"/>
                    </w:rPr>
                  </w:pPr>
                  <w:r>
                    <w:rPr>
                      <w:rFonts w:hint="default" w:ascii="Times New Roman" w:hAnsi="Times New Roman" w:cs="Times New Roman"/>
                      <w:b/>
                      <w:bCs/>
                      <w:color w:val="auto"/>
                      <w:spacing w:val="-6"/>
                      <w:kern w:val="21"/>
                      <w:highlight w:val="none"/>
                    </w:rPr>
                    <w:t>名称</w:t>
                  </w:r>
                </w:p>
              </w:tc>
              <w:tc>
                <w:tcPr>
                  <w:tcW w:w="806" w:type="pct"/>
                  <w:tcBorders>
                    <w:top w:val="single" w:color="auto" w:sz="8" w:space="0"/>
                    <w:left w:val="nil"/>
                    <w:bottom w:val="single" w:color="auto" w:sz="4" w:space="0"/>
                    <w:right w:val="single" w:color="auto" w:sz="4" w:space="0"/>
                  </w:tcBorders>
                  <w:tcMar>
                    <w:top w:w="0" w:type="dxa"/>
                    <w:left w:w="28" w:type="dxa"/>
                    <w:bottom w:w="0" w:type="dxa"/>
                    <w:right w:w="28" w:type="dxa"/>
                  </w:tcMar>
                  <w:vAlign w:val="center"/>
                </w:tcPr>
                <w:p w14:paraId="32BF86C1">
                  <w:pPr>
                    <w:pStyle w:val="66"/>
                    <w:widowControl/>
                    <w:spacing w:before="24" w:after="24"/>
                    <w:ind w:firstLine="0" w:firstLineChars="0"/>
                    <w:rPr>
                      <w:rFonts w:hint="default" w:ascii="Times New Roman" w:hAnsi="Times New Roman" w:cs="Times New Roman"/>
                      <w:b/>
                      <w:bCs/>
                      <w:color w:val="auto"/>
                      <w:spacing w:val="-6"/>
                      <w:kern w:val="21"/>
                      <w:highlight w:val="none"/>
                    </w:rPr>
                  </w:pPr>
                  <w:r>
                    <w:rPr>
                      <w:rFonts w:hint="default" w:ascii="Times New Roman" w:hAnsi="Times New Roman" w:cs="Times New Roman"/>
                      <w:b/>
                      <w:bCs/>
                      <w:color w:val="auto"/>
                      <w:spacing w:val="-6"/>
                      <w:kern w:val="21"/>
                      <w:highlight w:val="none"/>
                    </w:rPr>
                    <w:t>现有工程</w:t>
                  </w:r>
                </w:p>
                <w:p w14:paraId="78A176F2">
                  <w:pPr>
                    <w:pStyle w:val="66"/>
                    <w:widowControl/>
                    <w:spacing w:before="24" w:after="24"/>
                    <w:ind w:firstLine="0" w:firstLineChars="0"/>
                    <w:rPr>
                      <w:rFonts w:hint="default" w:ascii="Times New Roman" w:hAnsi="Times New Roman" w:cs="Times New Roman"/>
                      <w:b/>
                      <w:bCs/>
                      <w:color w:val="auto"/>
                      <w:spacing w:val="-6"/>
                      <w:kern w:val="21"/>
                      <w:highlight w:val="none"/>
                    </w:rPr>
                  </w:pPr>
                  <w:r>
                    <w:rPr>
                      <w:rFonts w:hint="default" w:ascii="Times New Roman" w:hAnsi="Times New Roman" w:cs="Times New Roman"/>
                      <w:b/>
                      <w:bCs/>
                      <w:color w:val="auto"/>
                      <w:spacing w:val="-6"/>
                      <w:kern w:val="21"/>
                      <w:highlight w:val="none"/>
                    </w:rPr>
                    <w:t>排放量（固体废物产生量）</w:t>
                  </w:r>
                </w:p>
              </w:tc>
              <w:tc>
                <w:tcPr>
                  <w:tcW w:w="870" w:type="pct"/>
                  <w:tcBorders>
                    <w:top w:val="single" w:color="auto" w:sz="8" w:space="0"/>
                    <w:left w:val="nil"/>
                    <w:bottom w:val="single" w:color="auto" w:sz="4" w:space="0"/>
                    <w:right w:val="single" w:color="auto" w:sz="4" w:space="0"/>
                  </w:tcBorders>
                  <w:tcMar>
                    <w:top w:w="0" w:type="dxa"/>
                    <w:left w:w="28" w:type="dxa"/>
                    <w:bottom w:w="0" w:type="dxa"/>
                    <w:right w:w="28" w:type="dxa"/>
                  </w:tcMar>
                  <w:vAlign w:val="center"/>
                </w:tcPr>
                <w:p w14:paraId="655D2423">
                  <w:pPr>
                    <w:pStyle w:val="66"/>
                    <w:widowControl/>
                    <w:spacing w:before="24" w:after="24"/>
                    <w:ind w:firstLine="0" w:firstLineChars="0"/>
                    <w:rPr>
                      <w:rFonts w:hint="default" w:ascii="Times New Roman" w:hAnsi="Times New Roman" w:cs="Times New Roman"/>
                      <w:b/>
                      <w:bCs/>
                      <w:color w:val="auto"/>
                      <w:spacing w:val="-6"/>
                      <w:kern w:val="21"/>
                      <w:highlight w:val="none"/>
                    </w:rPr>
                  </w:pPr>
                  <w:r>
                    <w:rPr>
                      <w:rFonts w:hint="default" w:ascii="Times New Roman" w:hAnsi="Times New Roman" w:cs="Times New Roman"/>
                      <w:b/>
                      <w:bCs/>
                      <w:color w:val="auto"/>
                      <w:spacing w:val="-6"/>
                      <w:kern w:val="21"/>
                      <w:highlight w:val="none"/>
                    </w:rPr>
                    <w:t>本项目</w:t>
                  </w:r>
                </w:p>
                <w:p w14:paraId="4140473B">
                  <w:pPr>
                    <w:pStyle w:val="66"/>
                    <w:widowControl/>
                    <w:spacing w:before="24" w:after="24"/>
                    <w:ind w:firstLine="0" w:firstLineChars="0"/>
                    <w:rPr>
                      <w:rFonts w:hint="default" w:ascii="Times New Roman" w:hAnsi="Times New Roman" w:cs="Times New Roman"/>
                      <w:b/>
                      <w:bCs/>
                      <w:color w:val="auto"/>
                      <w:spacing w:val="-6"/>
                      <w:kern w:val="21"/>
                      <w:highlight w:val="none"/>
                    </w:rPr>
                  </w:pPr>
                  <w:r>
                    <w:rPr>
                      <w:rFonts w:hint="default" w:ascii="Times New Roman" w:hAnsi="Times New Roman" w:cs="Times New Roman"/>
                      <w:b/>
                      <w:bCs/>
                      <w:color w:val="auto"/>
                      <w:spacing w:val="-6"/>
                      <w:kern w:val="21"/>
                      <w:highlight w:val="none"/>
                    </w:rPr>
                    <w:t>排放量（固体废物产生量）</w:t>
                  </w:r>
                </w:p>
              </w:tc>
              <w:tc>
                <w:tcPr>
                  <w:tcW w:w="497" w:type="pct"/>
                  <w:tcBorders>
                    <w:top w:val="single" w:color="auto" w:sz="8" w:space="0"/>
                    <w:left w:val="nil"/>
                    <w:bottom w:val="single" w:color="auto" w:sz="4" w:space="0"/>
                    <w:right w:val="single" w:color="auto" w:sz="4" w:space="0"/>
                  </w:tcBorders>
                  <w:tcMar>
                    <w:top w:w="0" w:type="dxa"/>
                    <w:left w:w="28" w:type="dxa"/>
                    <w:bottom w:w="0" w:type="dxa"/>
                    <w:right w:w="28" w:type="dxa"/>
                  </w:tcMar>
                  <w:vAlign w:val="center"/>
                </w:tcPr>
                <w:p w14:paraId="59F96737">
                  <w:pPr>
                    <w:pStyle w:val="66"/>
                    <w:widowControl/>
                    <w:spacing w:before="24" w:after="24"/>
                    <w:ind w:firstLine="0" w:firstLineChars="0"/>
                    <w:rPr>
                      <w:rFonts w:hint="default" w:ascii="Times New Roman" w:hAnsi="Times New Roman" w:cs="Times New Roman"/>
                      <w:b/>
                      <w:bCs/>
                      <w:color w:val="auto"/>
                      <w:spacing w:val="-16"/>
                      <w:kern w:val="21"/>
                      <w:highlight w:val="none"/>
                    </w:rPr>
                  </w:pPr>
                  <w:r>
                    <w:rPr>
                      <w:rFonts w:hint="default" w:ascii="Times New Roman" w:hAnsi="Times New Roman" w:cs="Times New Roman"/>
                      <w:b/>
                      <w:bCs/>
                      <w:color w:val="auto"/>
                      <w:spacing w:val="-16"/>
                      <w:kern w:val="21"/>
                      <w:highlight w:val="none"/>
                    </w:rPr>
                    <w:t>以新带老削减量</w:t>
                  </w:r>
                </w:p>
                <w:p w14:paraId="4FF99F71">
                  <w:pPr>
                    <w:pStyle w:val="66"/>
                    <w:widowControl/>
                    <w:spacing w:before="24" w:after="24"/>
                    <w:ind w:firstLine="0" w:firstLineChars="0"/>
                    <w:rPr>
                      <w:rFonts w:hint="default" w:ascii="Times New Roman" w:hAnsi="Times New Roman" w:cs="Times New Roman"/>
                      <w:b/>
                      <w:bCs/>
                      <w:color w:val="auto"/>
                      <w:spacing w:val="-16"/>
                      <w:kern w:val="21"/>
                      <w:highlight w:val="none"/>
                    </w:rPr>
                  </w:pPr>
                  <w:r>
                    <w:rPr>
                      <w:rFonts w:hint="default" w:ascii="Times New Roman" w:hAnsi="Times New Roman" w:cs="Times New Roman"/>
                      <w:b/>
                      <w:bCs/>
                      <w:color w:val="auto"/>
                      <w:spacing w:val="-16"/>
                      <w:kern w:val="21"/>
                      <w:highlight w:val="none"/>
                    </w:rPr>
                    <w:t>（新建项目不填）</w:t>
                  </w:r>
                </w:p>
              </w:tc>
              <w:tc>
                <w:tcPr>
                  <w:tcW w:w="1002" w:type="pct"/>
                  <w:tcBorders>
                    <w:top w:val="single" w:color="auto" w:sz="8" w:space="0"/>
                    <w:left w:val="nil"/>
                    <w:bottom w:val="single" w:color="auto" w:sz="4" w:space="0"/>
                    <w:right w:val="single" w:color="auto" w:sz="4" w:space="0"/>
                  </w:tcBorders>
                  <w:tcMar>
                    <w:top w:w="0" w:type="dxa"/>
                    <w:left w:w="28" w:type="dxa"/>
                    <w:bottom w:w="0" w:type="dxa"/>
                    <w:right w:w="28" w:type="dxa"/>
                  </w:tcMar>
                  <w:vAlign w:val="center"/>
                </w:tcPr>
                <w:p w14:paraId="3666928F">
                  <w:pPr>
                    <w:pStyle w:val="66"/>
                    <w:widowControl/>
                    <w:spacing w:before="24" w:after="24"/>
                    <w:ind w:firstLine="0" w:firstLineChars="0"/>
                    <w:rPr>
                      <w:rFonts w:hint="default" w:ascii="Times New Roman" w:hAnsi="Times New Roman" w:cs="Times New Roman"/>
                      <w:b/>
                      <w:bCs/>
                      <w:color w:val="auto"/>
                      <w:spacing w:val="-16"/>
                      <w:kern w:val="21"/>
                      <w:highlight w:val="none"/>
                    </w:rPr>
                  </w:pPr>
                  <w:r>
                    <w:rPr>
                      <w:rFonts w:hint="default" w:ascii="Times New Roman" w:hAnsi="Times New Roman" w:cs="Times New Roman"/>
                      <w:b/>
                      <w:bCs/>
                      <w:color w:val="auto"/>
                      <w:spacing w:val="-16"/>
                      <w:kern w:val="21"/>
                      <w:highlight w:val="none"/>
                    </w:rPr>
                    <w:t>本项目建成后</w:t>
                  </w:r>
                </w:p>
                <w:p w14:paraId="18114FFE">
                  <w:pPr>
                    <w:pStyle w:val="66"/>
                    <w:widowControl/>
                    <w:spacing w:before="24" w:after="24"/>
                    <w:ind w:firstLine="0" w:firstLineChars="0"/>
                    <w:rPr>
                      <w:rFonts w:hint="default" w:ascii="Times New Roman" w:hAnsi="Times New Roman" w:cs="Times New Roman"/>
                      <w:b/>
                      <w:bCs/>
                      <w:color w:val="auto"/>
                      <w:spacing w:val="-16"/>
                      <w:kern w:val="21"/>
                      <w:highlight w:val="none"/>
                    </w:rPr>
                  </w:pPr>
                  <w:r>
                    <w:rPr>
                      <w:rFonts w:hint="default" w:ascii="Times New Roman" w:hAnsi="Times New Roman" w:cs="Times New Roman"/>
                      <w:b/>
                      <w:bCs/>
                      <w:color w:val="auto"/>
                      <w:spacing w:val="-16"/>
                      <w:kern w:val="21"/>
                      <w:highlight w:val="none"/>
                    </w:rPr>
                    <w:t>全厂排放量（固体废物产生量）</w:t>
                  </w:r>
                </w:p>
              </w:tc>
              <w:tc>
                <w:tcPr>
                  <w:tcW w:w="738" w:type="pct"/>
                  <w:tcBorders>
                    <w:top w:val="single" w:color="auto" w:sz="8" w:space="0"/>
                    <w:left w:val="nil"/>
                    <w:bottom w:val="single" w:color="auto" w:sz="4" w:space="0"/>
                    <w:right w:val="single" w:color="auto" w:sz="8" w:space="0"/>
                  </w:tcBorders>
                  <w:tcMar>
                    <w:top w:w="0" w:type="dxa"/>
                    <w:left w:w="28" w:type="dxa"/>
                    <w:bottom w:w="0" w:type="dxa"/>
                    <w:right w:w="28" w:type="dxa"/>
                  </w:tcMar>
                  <w:vAlign w:val="center"/>
                </w:tcPr>
                <w:p w14:paraId="6B368728">
                  <w:pPr>
                    <w:pStyle w:val="66"/>
                    <w:widowControl/>
                    <w:spacing w:before="24" w:after="24"/>
                    <w:ind w:firstLine="0" w:firstLineChars="0"/>
                    <w:rPr>
                      <w:rFonts w:hint="default" w:ascii="Times New Roman" w:hAnsi="Times New Roman" w:cs="Times New Roman"/>
                      <w:b/>
                      <w:bCs/>
                      <w:color w:val="auto"/>
                      <w:spacing w:val="-6"/>
                      <w:kern w:val="21"/>
                      <w:highlight w:val="none"/>
                    </w:rPr>
                  </w:pPr>
                  <w:r>
                    <w:rPr>
                      <w:rFonts w:hint="default" w:ascii="Times New Roman" w:hAnsi="Times New Roman" w:cs="Times New Roman"/>
                      <w:b/>
                      <w:bCs/>
                      <w:color w:val="auto"/>
                      <w:spacing w:val="-6"/>
                      <w:kern w:val="21"/>
                      <w:highlight w:val="none"/>
                    </w:rPr>
                    <w:t>变化量</w:t>
                  </w:r>
                </w:p>
              </w:tc>
            </w:tr>
            <w:tr w14:paraId="408FE9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540" w:type="pct"/>
                  <w:vMerge w:val="restart"/>
                  <w:tcBorders>
                    <w:top w:val="nil"/>
                    <w:left w:val="single" w:color="auto" w:sz="8" w:space="0"/>
                    <w:bottom w:val="single" w:color="auto" w:sz="4" w:space="0"/>
                    <w:right w:val="single" w:color="auto" w:sz="4" w:space="0"/>
                  </w:tcBorders>
                  <w:vAlign w:val="center"/>
                </w:tcPr>
                <w:p w14:paraId="68C01FC0">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废气</w:t>
                  </w:r>
                </w:p>
              </w:tc>
              <w:tc>
                <w:tcPr>
                  <w:tcW w:w="548" w:type="pct"/>
                  <w:tcBorders>
                    <w:top w:val="single" w:color="auto" w:sz="4" w:space="0"/>
                    <w:left w:val="nil"/>
                    <w:bottom w:val="single" w:color="auto" w:sz="4" w:space="0"/>
                    <w:right w:val="single" w:color="auto" w:sz="4" w:space="0"/>
                  </w:tcBorders>
                  <w:vAlign w:val="center"/>
                </w:tcPr>
                <w:p w14:paraId="2D8F09A1">
                  <w:pPr>
                    <w:pStyle w:val="10"/>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氨气</w:t>
                  </w:r>
                </w:p>
              </w:tc>
              <w:tc>
                <w:tcPr>
                  <w:tcW w:w="806" w:type="pct"/>
                  <w:tcBorders>
                    <w:top w:val="single" w:color="auto" w:sz="4" w:space="0"/>
                    <w:left w:val="nil"/>
                    <w:bottom w:val="single" w:color="auto" w:sz="4" w:space="0"/>
                    <w:right w:val="single" w:color="auto" w:sz="4" w:space="0"/>
                  </w:tcBorders>
                  <w:vAlign w:val="center"/>
                </w:tcPr>
                <w:p w14:paraId="63712926">
                  <w:pPr>
                    <w:pStyle w:val="116"/>
                    <w:widowControl/>
                    <w:ind w:left="0" w:leftChars="0"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kern w:val="21"/>
                      <w:sz w:val="21"/>
                      <w:szCs w:val="21"/>
                      <w:highlight w:val="none"/>
                    </w:rPr>
                    <w:t>0.1</w:t>
                  </w:r>
                  <w:r>
                    <w:rPr>
                      <w:rFonts w:hint="default" w:ascii="Times New Roman" w:hAnsi="Times New Roman" w:cs="Times New Roman"/>
                      <w:color w:val="auto"/>
                      <w:sz w:val="21"/>
                      <w:szCs w:val="21"/>
                      <w:highlight w:val="none"/>
                    </w:rPr>
                    <w:t>kg/a</w:t>
                  </w:r>
                </w:p>
              </w:tc>
              <w:tc>
                <w:tcPr>
                  <w:tcW w:w="870" w:type="pct"/>
                  <w:tcBorders>
                    <w:top w:val="single" w:color="auto" w:sz="4" w:space="0"/>
                    <w:left w:val="nil"/>
                    <w:bottom w:val="single" w:color="auto" w:sz="4" w:space="0"/>
                    <w:right w:val="single" w:color="auto" w:sz="4" w:space="0"/>
                  </w:tcBorders>
                  <w:vAlign w:val="center"/>
                </w:tcPr>
                <w:p w14:paraId="07447179">
                  <w:pPr>
                    <w:pStyle w:val="10"/>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0.0142kg/a</w:t>
                  </w:r>
                </w:p>
              </w:tc>
              <w:tc>
                <w:tcPr>
                  <w:tcW w:w="497" w:type="pct"/>
                  <w:tcBorders>
                    <w:top w:val="single" w:color="auto" w:sz="4" w:space="0"/>
                    <w:left w:val="nil"/>
                    <w:bottom w:val="single" w:color="auto" w:sz="4" w:space="0"/>
                    <w:right w:val="single" w:color="auto" w:sz="4" w:space="0"/>
                  </w:tcBorders>
                  <w:vAlign w:val="center"/>
                </w:tcPr>
                <w:p w14:paraId="67C1DA30">
                  <w:pPr>
                    <w:pStyle w:val="66"/>
                    <w:widowControl/>
                    <w:spacing w:before="24" w:after="24"/>
                    <w:ind w:firstLine="0" w:firstLineChars="0"/>
                    <w:rPr>
                      <w:rFonts w:hint="default" w:ascii="Times New Roman" w:hAnsi="Times New Roman" w:cs="Times New Roman"/>
                      <w:color w:val="auto"/>
                      <w:kern w:val="21"/>
                      <w:szCs w:val="21"/>
                      <w:highlight w:val="none"/>
                    </w:rPr>
                  </w:pPr>
                </w:p>
              </w:tc>
              <w:tc>
                <w:tcPr>
                  <w:tcW w:w="1002" w:type="pct"/>
                  <w:tcBorders>
                    <w:top w:val="single" w:color="auto" w:sz="4" w:space="0"/>
                    <w:left w:val="nil"/>
                    <w:bottom w:val="single" w:color="auto" w:sz="4" w:space="0"/>
                    <w:right w:val="single" w:color="auto" w:sz="4" w:space="0"/>
                  </w:tcBorders>
                  <w:vAlign w:val="center"/>
                </w:tcPr>
                <w:p w14:paraId="12DC5C3A">
                  <w:pPr>
                    <w:pStyle w:val="10"/>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0.1142kg/a</w:t>
                  </w:r>
                </w:p>
              </w:tc>
              <w:tc>
                <w:tcPr>
                  <w:tcW w:w="738" w:type="pct"/>
                  <w:tcBorders>
                    <w:top w:val="single" w:color="auto" w:sz="4" w:space="0"/>
                    <w:left w:val="nil"/>
                    <w:bottom w:val="single" w:color="auto" w:sz="4" w:space="0"/>
                    <w:right w:val="single" w:color="auto" w:sz="8" w:space="0"/>
                  </w:tcBorders>
                  <w:vAlign w:val="center"/>
                </w:tcPr>
                <w:p w14:paraId="2ACAC90E">
                  <w:pPr>
                    <w:pStyle w:val="10"/>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0.0142kg/a</w:t>
                  </w:r>
                </w:p>
              </w:tc>
            </w:tr>
            <w:tr w14:paraId="766AB3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6BFC49BA">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48A55A0F">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806" w:type="pct"/>
                  <w:tcBorders>
                    <w:top w:val="single" w:color="auto" w:sz="4" w:space="0"/>
                    <w:left w:val="nil"/>
                    <w:bottom w:val="single" w:color="auto" w:sz="4" w:space="0"/>
                    <w:right w:val="single" w:color="auto" w:sz="4" w:space="0"/>
                  </w:tcBorders>
                  <w:vAlign w:val="center"/>
                </w:tcPr>
                <w:p w14:paraId="0A7CC419">
                  <w:pPr>
                    <w:pStyle w:val="116"/>
                    <w:widowControl/>
                    <w:ind w:left="0" w:leftChars="0"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kern w:val="21"/>
                      <w:sz w:val="21"/>
                      <w:szCs w:val="21"/>
                      <w:highlight w:val="none"/>
                    </w:rPr>
                    <w:t>0.175</w:t>
                  </w:r>
                  <w:r>
                    <w:rPr>
                      <w:rFonts w:hint="default" w:ascii="Times New Roman" w:hAnsi="Times New Roman" w:cs="Times New Roman"/>
                      <w:color w:val="auto"/>
                      <w:sz w:val="21"/>
                      <w:szCs w:val="21"/>
                      <w:highlight w:val="none"/>
                    </w:rPr>
                    <w:t>kg/a</w:t>
                  </w:r>
                </w:p>
              </w:tc>
              <w:tc>
                <w:tcPr>
                  <w:tcW w:w="870" w:type="pct"/>
                  <w:tcBorders>
                    <w:top w:val="single" w:color="auto" w:sz="4" w:space="0"/>
                    <w:left w:val="nil"/>
                    <w:bottom w:val="single" w:color="auto" w:sz="4" w:space="0"/>
                    <w:right w:val="single" w:color="auto" w:sz="4" w:space="0"/>
                  </w:tcBorders>
                  <w:vAlign w:val="center"/>
                </w:tcPr>
                <w:p w14:paraId="6F7BB3F8">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0.0268kg/a</w:t>
                  </w:r>
                </w:p>
              </w:tc>
              <w:tc>
                <w:tcPr>
                  <w:tcW w:w="497" w:type="pct"/>
                  <w:tcBorders>
                    <w:top w:val="single" w:color="auto" w:sz="4" w:space="0"/>
                    <w:left w:val="nil"/>
                    <w:bottom w:val="single" w:color="auto" w:sz="4" w:space="0"/>
                    <w:right w:val="single" w:color="auto" w:sz="4" w:space="0"/>
                  </w:tcBorders>
                  <w:vAlign w:val="center"/>
                </w:tcPr>
                <w:p w14:paraId="77B41678">
                  <w:pPr>
                    <w:pStyle w:val="66"/>
                    <w:widowControl/>
                    <w:spacing w:before="24" w:after="24"/>
                    <w:ind w:firstLine="0" w:firstLineChars="0"/>
                    <w:rPr>
                      <w:rFonts w:hint="default" w:ascii="Times New Roman" w:hAnsi="Times New Roman" w:cs="Times New Roman"/>
                      <w:color w:val="auto"/>
                      <w:kern w:val="21"/>
                      <w:szCs w:val="21"/>
                      <w:highlight w:val="none"/>
                    </w:rPr>
                  </w:pPr>
                </w:p>
              </w:tc>
              <w:tc>
                <w:tcPr>
                  <w:tcW w:w="1002" w:type="pct"/>
                  <w:tcBorders>
                    <w:top w:val="single" w:color="auto" w:sz="4" w:space="0"/>
                    <w:left w:val="nil"/>
                    <w:bottom w:val="single" w:color="auto" w:sz="4" w:space="0"/>
                    <w:right w:val="single" w:color="auto" w:sz="4" w:space="0"/>
                  </w:tcBorders>
                  <w:vAlign w:val="center"/>
                </w:tcPr>
                <w:p w14:paraId="52CEF0A7">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0.2018kg/a</w:t>
                  </w:r>
                </w:p>
              </w:tc>
              <w:tc>
                <w:tcPr>
                  <w:tcW w:w="738" w:type="pct"/>
                  <w:tcBorders>
                    <w:top w:val="single" w:color="auto" w:sz="4" w:space="0"/>
                    <w:left w:val="nil"/>
                    <w:bottom w:val="single" w:color="auto" w:sz="4" w:space="0"/>
                    <w:right w:val="single" w:color="auto" w:sz="8" w:space="0"/>
                  </w:tcBorders>
                  <w:vAlign w:val="center"/>
                </w:tcPr>
                <w:p w14:paraId="67F328A2">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0.0268kg/a</w:t>
                  </w:r>
                </w:p>
              </w:tc>
            </w:tr>
            <w:tr w14:paraId="28A2C8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766BADBC">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1BF4FF82">
                  <w:pPr>
                    <w:pStyle w:val="10"/>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硫酸雾</w:t>
                  </w:r>
                </w:p>
              </w:tc>
              <w:tc>
                <w:tcPr>
                  <w:tcW w:w="806" w:type="pct"/>
                  <w:tcBorders>
                    <w:top w:val="single" w:color="auto" w:sz="4" w:space="0"/>
                    <w:left w:val="nil"/>
                    <w:bottom w:val="single" w:color="auto" w:sz="4" w:space="0"/>
                    <w:right w:val="single" w:color="auto" w:sz="4" w:space="0"/>
                  </w:tcBorders>
                  <w:vAlign w:val="center"/>
                </w:tcPr>
                <w:p w14:paraId="20FADB98">
                  <w:pPr>
                    <w:pStyle w:val="116"/>
                    <w:widowControl/>
                    <w:ind w:left="0" w:leftChars="0"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kern w:val="21"/>
                      <w:sz w:val="21"/>
                      <w:szCs w:val="21"/>
                      <w:highlight w:val="none"/>
                    </w:rPr>
                    <w:t>0.003</w:t>
                  </w:r>
                  <w:r>
                    <w:rPr>
                      <w:rFonts w:hint="default" w:ascii="Times New Roman" w:hAnsi="Times New Roman" w:cs="Times New Roman"/>
                      <w:color w:val="auto"/>
                      <w:sz w:val="21"/>
                      <w:szCs w:val="21"/>
                      <w:highlight w:val="none"/>
                    </w:rPr>
                    <w:t>kg/a</w:t>
                  </w:r>
                </w:p>
              </w:tc>
              <w:tc>
                <w:tcPr>
                  <w:tcW w:w="870" w:type="pct"/>
                  <w:tcBorders>
                    <w:top w:val="single" w:color="auto" w:sz="4" w:space="0"/>
                    <w:left w:val="nil"/>
                    <w:bottom w:val="single" w:color="auto" w:sz="4" w:space="0"/>
                    <w:right w:val="single" w:color="auto" w:sz="4" w:space="0"/>
                  </w:tcBorders>
                  <w:vAlign w:val="center"/>
                </w:tcPr>
                <w:p w14:paraId="52C726FE">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0.00007kg/a</w:t>
                  </w:r>
                </w:p>
              </w:tc>
              <w:tc>
                <w:tcPr>
                  <w:tcW w:w="497" w:type="pct"/>
                  <w:tcBorders>
                    <w:top w:val="single" w:color="auto" w:sz="4" w:space="0"/>
                    <w:left w:val="nil"/>
                    <w:bottom w:val="single" w:color="auto" w:sz="4" w:space="0"/>
                    <w:right w:val="single" w:color="auto" w:sz="4" w:space="0"/>
                  </w:tcBorders>
                  <w:vAlign w:val="center"/>
                </w:tcPr>
                <w:p w14:paraId="3D2FB0C5">
                  <w:pPr>
                    <w:pStyle w:val="66"/>
                    <w:widowControl/>
                    <w:spacing w:before="24" w:after="24"/>
                    <w:ind w:firstLine="0" w:firstLineChars="0"/>
                    <w:rPr>
                      <w:rFonts w:hint="default" w:ascii="Times New Roman" w:hAnsi="Times New Roman" w:cs="Times New Roman"/>
                      <w:color w:val="auto"/>
                      <w:kern w:val="21"/>
                      <w:szCs w:val="21"/>
                      <w:highlight w:val="none"/>
                    </w:rPr>
                  </w:pPr>
                </w:p>
              </w:tc>
              <w:tc>
                <w:tcPr>
                  <w:tcW w:w="1002" w:type="pct"/>
                  <w:tcBorders>
                    <w:top w:val="single" w:color="auto" w:sz="4" w:space="0"/>
                    <w:left w:val="nil"/>
                    <w:bottom w:val="single" w:color="auto" w:sz="4" w:space="0"/>
                    <w:right w:val="single" w:color="auto" w:sz="4" w:space="0"/>
                  </w:tcBorders>
                  <w:vAlign w:val="center"/>
                </w:tcPr>
                <w:p w14:paraId="699D4EE1">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0.00307kg/a</w:t>
                  </w:r>
                </w:p>
              </w:tc>
              <w:tc>
                <w:tcPr>
                  <w:tcW w:w="738" w:type="pct"/>
                  <w:tcBorders>
                    <w:top w:val="single" w:color="auto" w:sz="4" w:space="0"/>
                    <w:left w:val="nil"/>
                    <w:bottom w:val="single" w:color="auto" w:sz="4" w:space="0"/>
                    <w:right w:val="single" w:color="auto" w:sz="8" w:space="0"/>
                  </w:tcBorders>
                  <w:vAlign w:val="center"/>
                </w:tcPr>
                <w:p w14:paraId="52E7FB5C">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0.00007kg/a</w:t>
                  </w:r>
                </w:p>
              </w:tc>
            </w:tr>
            <w:tr w14:paraId="6BE125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07EAD737">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574F1705">
                  <w:pPr>
                    <w:pStyle w:val="10"/>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HCl</w:t>
                  </w:r>
                </w:p>
              </w:tc>
              <w:tc>
                <w:tcPr>
                  <w:tcW w:w="806" w:type="pct"/>
                  <w:tcBorders>
                    <w:top w:val="single" w:color="auto" w:sz="4" w:space="0"/>
                    <w:left w:val="nil"/>
                    <w:bottom w:val="single" w:color="auto" w:sz="4" w:space="0"/>
                    <w:right w:val="single" w:color="auto" w:sz="4" w:space="0"/>
                  </w:tcBorders>
                  <w:vAlign w:val="center"/>
                </w:tcPr>
                <w:p w14:paraId="103303F2">
                  <w:pPr>
                    <w:pStyle w:val="116"/>
                    <w:widowControl/>
                    <w:ind w:left="0" w:leftChars="0"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kern w:val="21"/>
                      <w:sz w:val="21"/>
                      <w:szCs w:val="21"/>
                      <w:highlight w:val="none"/>
                    </w:rPr>
                    <w:t>0.35</w:t>
                  </w:r>
                  <w:r>
                    <w:rPr>
                      <w:rFonts w:hint="default" w:ascii="Times New Roman" w:hAnsi="Times New Roman" w:cs="Times New Roman"/>
                      <w:color w:val="auto"/>
                      <w:sz w:val="21"/>
                      <w:szCs w:val="21"/>
                      <w:highlight w:val="none"/>
                    </w:rPr>
                    <w:t>kg/a</w:t>
                  </w:r>
                </w:p>
              </w:tc>
              <w:tc>
                <w:tcPr>
                  <w:tcW w:w="870" w:type="pct"/>
                  <w:tcBorders>
                    <w:top w:val="single" w:color="auto" w:sz="4" w:space="0"/>
                    <w:left w:val="nil"/>
                    <w:bottom w:val="single" w:color="auto" w:sz="4" w:space="0"/>
                    <w:right w:val="single" w:color="auto" w:sz="4" w:space="0"/>
                  </w:tcBorders>
                  <w:vAlign w:val="center"/>
                </w:tcPr>
                <w:p w14:paraId="102B0853">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0.0151kg/a</w:t>
                  </w:r>
                </w:p>
              </w:tc>
              <w:tc>
                <w:tcPr>
                  <w:tcW w:w="497" w:type="pct"/>
                  <w:tcBorders>
                    <w:top w:val="single" w:color="auto" w:sz="4" w:space="0"/>
                    <w:left w:val="nil"/>
                    <w:bottom w:val="single" w:color="auto" w:sz="4" w:space="0"/>
                    <w:right w:val="single" w:color="auto" w:sz="4" w:space="0"/>
                  </w:tcBorders>
                  <w:vAlign w:val="center"/>
                </w:tcPr>
                <w:p w14:paraId="5DEB0E79">
                  <w:pPr>
                    <w:pStyle w:val="66"/>
                    <w:widowControl/>
                    <w:spacing w:before="24" w:after="24"/>
                    <w:ind w:firstLine="0" w:firstLineChars="0"/>
                    <w:rPr>
                      <w:rFonts w:hint="default" w:ascii="Times New Roman" w:hAnsi="Times New Roman" w:cs="Times New Roman"/>
                      <w:color w:val="auto"/>
                      <w:kern w:val="21"/>
                      <w:szCs w:val="21"/>
                      <w:highlight w:val="none"/>
                    </w:rPr>
                  </w:pPr>
                </w:p>
              </w:tc>
              <w:tc>
                <w:tcPr>
                  <w:tcW w:w="1002" w:type="pct"/>
                  <w:tcBorders>
                    <w:top w:val="single" w:color="auto" w:sz="4" w:space="0"/>
                    <w:left w:val="nil"/>
                    <w:bottom w:val="single" w:color="auto" w:sz="4" w:space="0"/>
                    <w:right w:val="single" w:color="auto" w:sz="4" w:space="0"/>
                  </w:tcBorders>
                  <w:vAlign w:val="center"/>
                </w:tcPr>
                <w:p w14:paraId="1D972C40">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0.3651kg/a</w:t>
                  </w:r>
                </w:p>
              </w:tc>
              <w:tc>
                <w:tcPr>
                  <w:tcW w:w="738" w:type="pct"/>
                  <w:tcBorders>
                    <w:top w:val="single" w:color="auto" w:sz="4" w:space="0"/>
                    <w:left w:val="nil"/>
                    <w:bottom w:val="single" w:color="auto" w:sz="4" w:space="0"/>
                    <w:right w:val="single" w:color="auto" w:sz="8" w:space="0"/>
                  </w:tcBorders>
                  <w:vAlign w:val="center"/>
                </w:tcPr>
                <w:p w14:paraId="4B894321">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0.0151kg/a</w:t>
                  </w:r>
                </w:p>
              </w:tc>
            </w:tr>
            <w:tr w14:paraId="56D2C6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37668C29">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741BE392">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非甲烷总烃</w:t>
                  </w:r>
                </w:p>
              </w:tc>
              <w:tc>
                <w:tcPr>
                  <w:tcW w:w="806" w:type="pct"/>
                  <w:tcBorders>
                    <w:top w:val="single" w:color="auto" w:sz="4" w:space="0"/>
                    <w:left w:val="nil"/>
                    <w:bottom w:val="single" w:color="auto" w:sz="4" w:space="0"/>
                    <w:right w:val="single" w:color="auto" w:sz="4" w:space="0"/>
                  </w:tcBorders>
                  <w:vAlign w:val="center"/>
                </w:tcPr>
                <w:p w14:paraId="6CF660B5">
                  <w:pPr>
                    <w:pStyle w:val="116"/>
                    <w:widowControl/>
                    <w:ind w:left="0" w:leftChars="0"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kern w:val="21"/>
                      <w:sz w:val="21"/>
                      <w:szCs w:val="21"/>
                      <w:highlight w:val="none"/>
                    </w:rPr>
                    <w:t>0.225</w:t>
                  </w:r>
                  <w:r>
                    <w:rPr>
                      <w:rFonts w:hint="default" w:ascii="Times New Roman" w:hAnsi="Times New Roman" w:cs="Times New Roman"/>
                      <w:color w:val="auto"/>
                      <w:sz w:val="21"/>
                      <w:szCs w:val="21"/>
                      <w:highlight w:val="none"/>
                    </w:rPr>
                    <w:t>kg/a</w:t>
                  </w:r>
                </w:p>
              </w:tc>
              <w:tc>
                <w:tcPr>
                  <w:tcW w:w="870" w:type="pct"/>
                  <w:tcBorders>
                    <w:top w:val="single" w:color="auto" w:sz="4" w:space="0"/>
                    <w:left w:val="nil"/>
                    <w:bottom w:val="single" w:color="auto" w:sz="4" w:space="0"/>
                    <w:right w:val="single" w:color="auto" w:sz="4" w:space="0"/>
                  </w:tcBorders>
                  <w:vAlign w:val="center"/>
                </w:tcPr>
                <w:p w14:paraId="42E8E595">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0.0552kg/a</w:t>
                  </w:r>
                </w:p>
              </w:tc>
              <w:tc>
                <w:tcPr>
                  <w:tcW w:w="497" w:type="pct"/>
                  <w:tcBorders>
                    <w:top w:val="single" w:color="auto" w:sz="4" w:space="0"/>
                    <w:left w:val="nil"/>
                    <w:bottom w:val="single" w:color="auto" w:sz="4" w:space="0"/>
                    <w:right w:val="single" w:color="auto" w:sz="4" w:space="0"/>
                  </w:tcBorders>
                  <w:vAlign w:val="center"/>
                </w:tcPr>
                <w:p w14:paraId="7BBC5945">
                  <w:pPr>
                    <w:pStyle w:val="66"/>
                    <w:widowControl/>
                    <w:spacing w:before="24" w:after="24"/>
                    <w:ind w:firstLine="0" w:firstLineChars="0"/>
                    <w:rPr>
                      <w:rFonts w:hint="default" w:ascii="Times New Roman" w:hAnsi="Times New Roman" w:cs="Times New Roman"/>
                      <w:color w:val="auto"/>
                      <w:kern w:val="21"/>
                      <w:szCs w:val="21"/>
                      <w:highlight w:val="none"/>
                    </w:rPr>
                  </w:pPr>
                </w:p>
              </w:tc>
              <w:tc>
                <w:tcPr>
                  <w:tcW w:w="1002" w:type="pct"/>
                  <w:tcBorders>
                    <w:top w:val="single" w:color="auto" w:sz="4" w:space="0"/>
                    <w:left w:val="nil"/>
                    <w:bottom w:val="single" w:color="auto" w:sz="4" w:space="0"/>
                    <w:right w:val="single" w:color="auto" w:sz="4" w:space="0"/>
                  </w:tcBorders>
                  <w:vAlign w:val="center"/>
                </w:tcPr>
                <w:p w14:paraId="03B9AB99">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0.2802kg/a</w:t>
                  </w:r>
                </w:p>
              </w:tc>
              <w:tc>
                <w:tcPr>
                  <w:tcW w:w="738" w:type="pct"/>
                  <w:tcBorders>
                    <w:top w:val="single" w:color="auto" w:sz="4" w:space="0"/>
                    <w:left w:val="nil"/>
                    <w:bottom w:val="single" w:color="auto" w:sz="4" w:space="0"/>
                    <w:right w:val="single" w:color="auto" w:sz="8" w:space="0"/>
                  </w:tcBorders>
                  <w:vAlign w:val="center"/>
                </w:tcPr>
                <w:p w14:paraId="04F8C60E">
                  <w:pPr>
                    <w:pStyle w:val="10"/>
                    <w:ind w:firstLine="0" w:firstLineChars="0"/>
                    <w:jc w:val="center"/>
                    <w:rPr>
                      <w:rFonts w:hint="default" w:ascii="Times New Roman" w:hAnsi="Times New Roman" w:cs="Times New Roman"/>
                      <w:color w:val="auto"/>
                      <w:kern w:val="21"/>
                      <w:sz w:val="21"/>
                      <w:szCs w:val="21"/>
                      <w:highlight w:val="none"/>
                    </w:rPr>
                  </w:pPr>
                  <w:r>
                    <w:rPr>
                      <w:rFonts w:hint="default" w:ascii="Times New Roman" w:hAnsi="Times New Roman" w:cs="Times New Roman"/>
                      <w:color w:val="auto"/>
                      <w:sz w:val="21"/>
                      <w:szCs w:val="21"/>
                      <w:highlight w:val="none"/>
                    </w:rPr>
                    <w:t>0.0552kg/a</w:t>
                  </w:r>
                </w:p>
              </w:tc>
            </w:tr>
            <w:tr w14:paraId="2531EA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restart"/>
                  <w:tcBorders>
                    <w:top w:val="nil"/>
                    <w:left w:val="single" w:color="auto" w:sz="8" w:space="0"/>
                    <w:bottom w:val="single" w:color="auto" w:sz="4" w:space="0"/>
                    <w:right w:val="single" w:color="auto" w:sz="4" w:space="0"/>
                  </w:tcBorders>
                  <w:vAlign w:val="center"/>
                </w:tcPr>
                <w:p w14:paraId="6F2082E7">
                  <w:pPr>
                    <w:pStyle w:val="66"/>
                    <w:widowControl/>
                    <w:spacing w:before="24" w:after="24"/>
                    <w:ind w:firstLine="0" w:firstLineChars="0"/>
                    <w:rPr>
                      <w:rFonts w:hint="default" w:ascii="Times New Roman" w:hAnsi="Times New Roman" w:cs="Times New Roman"/>
                      <w:color w:val="auto"/>
                      <w:kern w:val="21"/>
                      <w:szCs w:val="21"/>
                      <w:highlight w:val="none"/>
                    </w:rPr>
                  </w:pPr>
                  <w:r>
                    <w:rPr>
                      <w:rFonts w:hint="default" w:ascii="Times New Roman" w:hAnsi="Times New Roman" w:cs="Times New Roman"/>
                      <w:color w:val="auto"/>
                      <w:kern w:val="21"/>
                      <w:highlight w:val="none"/>
                    </w:rPr>
                    <w:t>废水</w:t>
                  </w:r>
                </w:p>
              </w:tc>
              <w:tc>
                <w:tcPr>
                  <w:tcW w:w="548" w:type="pct"/>
                  <w:tcBorders>
                    <w:top w:val="single" w:color="auto" w:sz="4" w:space="0"/>
                    <w:left w:val="nil"/>
                    <w:bottom w:val="single" w:color="auto" w:sz="4" w:space="0"/>
                    <w:right w:val="single" w:color="auto" w:sz="4" w:space="0"/>
                  </w:tcBorders>
                  <w:vAlign w:val="center"/>
                </w:tcPr>
                <w:p w14:paraId="4D4AC41D">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排放量</w:t>
                  </w:r>
                </w:p>
              </w:tc>
              <w:tc>
                <w:tcPr>
                  <w:tcW w:w="806" w:type="pct"/>
                  <w:tcBorders>
                    <w:top w:val="single" w:color="auto" w:sz="4" w:space="0"/>
                    <w:left w:val="nil"/>
                    <w:bottom w:val="single" w:color="auto" w:sz="4" w:space="0"/>
                    <w:right w:val="single" w:color="auto" w:sz="4" w:space="0"/>
                  </w:tcBorders>
                  <w:vAlign w:val="center"/>
                </w:tcPr>
                <w:p w14:paraId="48527177">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674.6t/a</w:t>
                  </w:r>
                </w:p>
              </w:tc>
              <w:tc>
                <w:tcPr>
                  <w:tcW w:w="870" w:type="pct"/>
                  <w:tcBorders>
                    <w:top w:val="single" w:color="auto" w:sz="4" w:space="0"/>
                    <w:left w:val="nil"/>
                    <w:bottom w:val="single" w:color="auto" w:sz="4" w:space="0"/>
                    <w:right w:val="single" w:color="auto" w:sz="4" w:space="0"/>
                  </w:tcBorders>
                  <w:vAlign w:val="center"/>
                </w:tcPr>
                <w:p w14:paraId="1DD7AF69">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128t/a</w:t>
                  </w:r>
                </w:p>
              </w:tc>
              <w:tc>
                <w:tcPr>
                  <w:tcW w:w="497" w:type="pct"/>
                  <w:tcBorders>
                    <w:top w:val="single" w:color="auto" w:sz="4" w:space="0"/>
                    <w:left w:val="nil"/>
                    <w:bottom w:val="single" w:color="auto" w:sz="4" w:space="0"/>
                    <w:right w:val="single" w:color="auto" w:sz="4" w:space="0"/>
                  </w:tcBorders>
                  <w:vAlign w:val="center"/>
                </w:tcPr>
                <w:p w14:paraId="76710610">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6902997B">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802.6</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23C705B0">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128t/a</w:t>
                  </w:r>
                </w:p>
              </w:tc>
            </w:tr>
            <w:tr w14:paraId="0DB013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left w:val="single" w:color="auto" w:sz="8" w:space="0"/>
                    <w:right w:val="single" w:color="auto" w:sz="4" w:space="0"/>
                  </w:tcBorders>
                  <w:vAlign w:val="center"/>
                </w:tcPr>
                <w:p w14:paraId="7E07C88B">
                  <w:pPr>
                    <w:pStyle w:val="66"/>
                    <w:widowControl/>
                    <w:spacing w:before="24" w:after="24"/>
                    <w:ind w:firstLine="0" w:firstLineChars="0"/>
                    <w:rPr>
                      <w:rFonts w:hint="default" w:ascii="Times New Roman" w:hAnsi="Times New Roman" w:cs="Times New Roman"/>
                      <w:color w:val="auto"/>
                      <w:kern w:val="21"/>
                      <w:highlight w:val="none"/>
                    </w:rPr>
                  </w:pPr>
                </w:p>
              </w:tc>
              <w:tc>
                <w:tcPr>
                  <w:tcW w:w="548" w:type="pct"/>
                  <w:tcBorders>
                    <w:top w:val="single" w:color="auto" w:sz="4" w:space="0"/>
                    <w:left w:val="nil"/>
                    <w:bottom w:val="single" w:color="auto" w:sz="4" w:space="0"/>
                    <w:right w:val="single" w:color="auto" w:sz="4" w:space="0"/>
                  </w:tcBorders>
                  <w:vAlign w:val="center"/>
                </w:tcPr>
                <w:p w14:paraId="6F4B5238">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pH(无量纲)</w:t>
                  </w:r>
                </w:p>
              </w:tc>
              <w:tc>
                <w:tcPr>
                  <w:tcW w:w="806" w:type="pct"/>
                  <w:tcBorders>
                    <w:top w:val="single" w:color="auto" w:sz="4" w:space="0"/>
                    <w:left w:val="nil"/>
                    <w:bottom w:val="single" w:color="auto" w:sz="4" w:space="0"/>
                    <w:right w:val="single" w:color="auto" w:sz="4" w:space="0"/>
                  </w:tcBorders>
                  <w:vAlign w:val="center"/>
                </w:tcPr>
                <w:p w14:paraId="7E56A84F">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6-9</w:t>
                  </w:r>
                </w:p>
              </w:tc>
              <w:tc>
                <w:tcPr>
                  <w:tcW w:w="870" w:type="pct"/>
                  <w:tcBorders>
                    <w:top w:val="single" w:color="auto" w:sz="4" w:space="0"/>
                    <w:left w:val="nil"/>
                    <w:bottom w:val="single" w:color="auto" w:sz="4" w:space="0"/>
                    <w:right w:val="single" w:color="auto" w:sz="4" w:space="0"/>
                  </w:tcBorders>
                  <w:vAlign w:val="center"/>
                </w:tcPr>
                <w:p w14:paraId="495BDD89">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6-9</w:t>
                  </w:r>
                </w:p>
              </w:tc>
              <w:tc>
                <w:tcPr>
                  <w:tcW w:w="497" w:type="pct"/>
                  <w:tcBorders>
                    <w:top w:val="single" w:color="auto" w:sz="4" w:space="0"/>
                    <w:left w:val="nil"/>
                    <w:bottom w:val="single" w:color="auto" w:sz="4" w:space="0"/>
                    <w:right w:val="single" w:color="auto" w:sz="4" w:space="0"/>
                  </w:tcBorders>
                  <w:vAlign w:val="center"/>
                </w:tcPr>
                <w:p w14:paraId="1382748D">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30EA0F8C">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6-9</w:t>
                  </w:r>
                </w:p>
              </w:tc>
              <w:tc>
                <w:tcPr>
                  <w:tcW w:w="738" w:type="pct"/>
                  <w:tcBorders>
                    <w:top w:val="single" w:color="auto" w:sz="4" w:space="0"/>
                    <w:left w:val="nil"/>
                    <w:bottom w:val="single" w:color="auto" w:sz="4" w:space="0"/>
                    <w:right w:val="single" w:color="auto" w:sz="8" w:space="0"/>
                  </w:tcBorders>
                  <w:vAlign w:val="center"/>
                </w:tcPr>
                <w:p w14:paraId="3EF5CE32">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w:t>
                  </w:r>
                </w:p>
              </w:tc>
            </w:tr>
            <w:tr w14:paraId="4D362D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15C58399">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2B5A2BE7">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COD</w:t>
                  </w:r>
                </w:p>
              </w:tc>
              <w:tc>
                <w:tcPr>
                  <w:tcW w:w="806" w:type="pct"/>
                  <w:tcBorders>
                    <w:top w:val="single" w:color="auto" w:sz="4" w:space="0"/>
                    <w:left w:val="nil"/>
                    <w:bottom w:val="single" w:color="auto" w:sz="4" w:space="0"/>
                    <w:right w:val="single" w:color="auto" w:sz="4" w:space="0"/>
                  </w:tcBorders>
                  <w:vAlign w:val="center"/>
                </w:tcPr>
                <w:p w14:paraId="3D5300E1">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0.035618</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345587EA">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0.00704</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504BDD1F">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096EC22F">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0.042658</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791C4955">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0.00704</w:t>
                  </w:r>
                  <w:r>
                    <w:rPr>
                      <w:rFonts w:hint="default" w:ascii="Times New Roman" w:hAnsi="Times New Roman" w:cs="Times New Roman"/>
                      <w:color w:val="auto"/>
                      <w:kern w:val="21"/>
                      <w:highlight w:val="none"/>
                    </w:rPr>
                    <w:t>t/a</w:t>
                  </w:r>
                </w:p>
              </w:tc>
            </w:tr>
            <w:tr w14:paraId="45BAED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328CB43E">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5AEB6B84">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BOD</w:t>
                  </w:r>
                  <w:r>
                    <w:rPr>
                      <w:rFonts w:hint="default" w:ascii="Times New Roman" w:hAnsi="Times New Roman" w:cs="Times New Roman"/>
                      <w:color w:val="auto"/>
                      <w:highlight w:val="none"/>
                      <w:vertAlign w:val="subscript"/>
                    </w:rPr>
                    <w:t>5</w:t>
                  </w:r>
                </w:p>
              </w:tc>
              <w:tc>
                <w:tcPr>
                  <w:tcW w:w="806" w:type="pct"/>
                  <w:tcBorders>
                    <w:top w:val="single" w:color="auto" w:sz="4" w:space="0"/>
                    <w:left w:val="nil"/>
                    <w:bottom w:val="single" w:color="auto" w:sz="4" w:space="0"/>
                    <w:right w:val="single" w:color="auto" w:sz="4" w:space="0"/>
                  </w:tcBorders>
                  <w:vAlign w:val="center"/>
                </w:tcPr>
                <w:p w14:paraId="14887B40">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0.0111387</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52ED06FD">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0.0022016</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6A31EF59">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18B82890">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0.0133403</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6BF8E01F">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0.0022016</w:t>
                  </w:r>
                  <w:r>
                    <w:rPr>
                      <w:rFonts w:hint="default" w:ascii="Times New Roman" w:hAnsi="Times New Roman" w:cs="Times New Roman"/>
                      <w:color w:val="auto"/>
                      <w:kern w:val="21"/>
                      <w:highlight w:val="none"/>
                    </w:rPr>
                    <w:t>t/a</w:t>
                  </w:r>
                </w:p>
              </w:tc>
            </w:tr>
            <w:tr w14:paraId="6A55D9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2F4400A4">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5ED966BF">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SS</w:t>
                  </w:r>
                </w:p>
              </w:tc>
              <w:tc>
                <w:tcPr>
                  <w:tcW w:w="806" w:type="pct"/>
                  <w:tcBorders>
                    <w:top w:val="single" w:color="auto" w:sz="4" w:space="0"/>
                    <w:left w:val="nil"/>
                    <w:bottom w:val="single" w:color="auto" w:sz="4" w:space="0"/>
                    <w:right w:val="single" w:color="auto" w:sz="4" w:space="0"/>
                  </w:tcBorders>
                  <w:vAlign w:val="center"/>
                </w:tcPr>
                <w:p w14:paraId="55479F0D">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0.0050513</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37ADA49E">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0.0009984</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1B9114A5">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27D1D037">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0.0060497</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372D9264">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0.0009984</w:t>
                  </w:r>
                  <w:r>
                    <w:rPr>
                      <w:rFonts w:hint="default" w:ascii="Times New Roman" w:hAnsi="Times New Roman" w:cs="Times New Roman"/>
                      <w:color w:val="auto"/>
                      <w:kern w:val="21"/>
                      <w:highlight w:val="none"/>
                    </w:rPr>
                    <w:t>t/a</w:t>
                  </w:r>
                </w:p>
              </w:tc>
            </w:tr>
            <w:tr w14:paraId="00187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7A970E06">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1001F8B7">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w:t>
                  </w:r>
                </w:p>
              </w:tc>
              <w:tc>
                <w:tcPr>
                  <w:tcW w:w="806" w:type="pct"/>
                  <w:tcBorders>
                    <w:top w:val="single" w:color="auto" w:sz="4" w:space="0"/>
                    <w:left w:val="nil"/>
                    <w:bottom w:val="single" w:color="auto" w:sz="4" w:space="0"/>
                    <w:right w:val="single" w:color="auto" w:sz="4" w:space="0"/>
                  </w:tcBorders>
                  <w:vAlign w:val="center"/>
                </w:tcPr>
                <w:p w14:paraId="36AF33C3">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0.0081598</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7A618AEA">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0.0016128</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0B1B335D">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2D8E301B">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0.0097726</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42D853ED">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0.0016128</w:t>
                  </w:r>
                  <w:r>
                    <w:rPr>
                      <w:rFonts w:hint="default" w:ascii="Times New Roman" w:hAnsi="Times New Roman" w:cs="Times New Roman"/>
                      <w:color w:val="auto"/>
                      <w:kern w:val="21"/>
                      <w:highlight w:val="none"/>
                    </w:rPr>
                    <w:t>t/a</w:t>
                  </w:r>
                </w:p>
              </w:tc>
            </w:tr>
            <w:tr w14:paraId="6530E8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4571D6B9">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3B47632E">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粪大肠菌群</w:t>
                  </w:r>
                </w:p>
              </w:tc>
              <w:tc>
                <w:tcPr>
                  <w:tcW w:w="806" w:type="pct"/>
                  <w:tcBorders>
                    <w:top w:val="single" w:color="auto" w:sz="4" w:space="0"/>
                    <w:left w:val="nil"/>
                    <w:bottom w:val="single" w:color="auto" w:sz="4" w:space="0"/>
                    <w:right w:val="single" w:color="auto" w:sz="4" w:space="0"/>
                  </w:tcBorders>
                  <w:vAlign w:val="center"/>
                </w:tcPr>
                <w:p w14:paraId="3CB4B95F">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0.0019428</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7C384D4C">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0.000384</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16FA4A02">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1AF5E9B3">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0.0023268</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671329A1">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0.000384</w:t>
                  </w:r>
                  <w:r>
                    <w:rPr>
                      <w:rFonts w:hint="default" w:ascii="Times New Roman" w:hAnsi="Times New Roman" w:cs="Times New Roman"/>
                      <w:color w:val="auto"/>
                      <w:kern w:val="21"/>
                      <w:highlight w:val="none"/>
                    </w:rPr>
                    <w:t>t/a</w:t>
                  </w:r>
                </w:p>
              </w:tc>
            </w:tr>
            <w:tr w14:paraId="1C2332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205E9AE5">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6869080C">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总余氯</w:t>
                  </w:r>
                </w:p>
              </w:tc>
              <w:tc>
                <w:tcPr>
                  <w:tcW w:w="806" w:type="pct"/>
                  <w:tcBorders>
                    <w:top w:val="single" w:color="auto" w:sz="4" w:space="0"/>
                    <w:left w:val="nil"/>
                    <w:bottom w:val="single" w:color="auto" w:sz="4" w:space="0"/>
                    <w:right w:val="single" w:color="auto" w:sz="4" w:space="0"/>
                  </w:tcBorders>
                  <w:vAlign w:val="center"/>
                </w:tcPr>
                <w:p w14:paraId="2066B1CB">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0.0055176</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1EBF6EC6">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0.00109056</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310953FC">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4DE7AAE9">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0.00660816</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4B94879B">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0.00109056</w:t>
                  </w:r>
                  <w:r>
                    <w:rPr>
                      <w:rFonts w:hint="default" w:ascii="Times New Roman" w:hAnsi="Times New Roman" w:cs="Times New Roman"/>
                      <w:color w:val="auto"/>
                      <w:kern w:val="21"/>
                      <w:highlight w:val="none"/>
                    </w:rPr>
                    <w:t>t/a</w:t>
                  </w:r>
                </w:p>
              </w:tc>
            </w:tr>
            <w:tr w14:paraId="1FB29A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0D5FE499">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32D16F1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石油类</w:t>
                  </w:r>
                </w:p>
              </w:tc>
              <w:tc>
                <w:tcPr>
                  <w:tcW w:w="806" w:type="pct"/>
                  <w:tcBorders>
                    <w:top w:val="single" w:color="auto" w:sz="4" w:space="0"/>
                    <w:left w:val="nil"/>
                    <w:bottom w:val="single" w:color="auto" w:sz="4" w:space="0"/>
                    <w:right w:val="single" w:color="auto" w:sz="4" w:space="0"/>
                  </w:tcBorders>
                  <w:vAlign w:val="center"/>
                </w:tcPr>
                <w:p w14:paraId="279E9C78">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0.0000389</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0AE57167">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0.00000768</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1F3C2CAD">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628A9B6C">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0.00004658</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7A796F5F">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0.00000768</w:t>
                  </w:r>
                  <w:r>
                    <w:rPr>
                      <w:rFonts w:hint="default" w:ascii="Times New Roman" w:hAnsi="Times New Roman" w:cs="Times New Roman"/>
                      <w:color w:val="auto"/>
                      <w:kern w:val="21"/>
                      <w:highlight w:val="none"/>
                    </w:rPr>
                    <w:t>t/a</w:t>
                  </w:r>
                </w:p>
              </w:tc>
            </w:tr>
            <w:tr w14:paraId="74CFB2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21D85EDD">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04BC1AE8">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LAS</w:t>
                  </w:r>
                </w:p>
              </w:tc>
              <w:tc>
                <w:tcPr>
                  <w:tcW w:w="806" w:type="pct"/>
                  <w:tcBorders>
                    <w:top w:val="single" w:color="auto" w:sz="4" w:space="0"/>
                    <w:left w:val="nil"/>
                    <w:bottom w:val="single" w:color="auto" w:sz="4" w:space="0"/>
                    <w:right w:val="single" w:color="auto" w:sz="4" w:space="0"/>
                  </w:tcBorders>
                  <w:vAlign w:val="center"/>
                </w:tcPr>
                <w:p w14:paraId="3F60E8DC">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0.0000777</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03D20AB4">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0.00001536</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2BF15982">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650399F4">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0.00009306</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56361BA7">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0.00001536</w:t>
                  </w:r>
                  <w:r>
                    <w:rPr>
                      <w:rFonts w:hint="default" w:ascii="Times New Roman" w:hAnsi="Times New Roman" w:cs="Times New Roman"/>
                      <w:color w:val="auto"/>
                      <w:kern w:val="21"/>
                      <w:highlight w:val="none"/>
                    </w:rPr>
                    <w:t>t/a</w:t>
                  </w:r>
                </w:p>
              </w:tc>
            </w:tr>
            <w:tr w14:paraId="522EE2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5F087A56">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5B42518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总氰</w:t>
                  </w:r>
                </w:p>
                <w:p w14:paraId="634A1D5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化物</w:t>
                  </w:r>
                </w:p>
              </w:tc>
              <w:tc>
                <w:tcPr>
                  <w:tcW w:w="806" w:type="pct"/>
                  <w:tcBorders>
                    <w:top w:val="single" w:color="auto" w:sz="4" w:space="0"/>
                    <w:left w:val="nil"/>
                    <w:bottom w:val="single" w:color="auto" w:sz="4" w:space="0"/>
                    <w:right w:val="single" w:color="auto" w:sz="4" w:space="0"/>
                  </w:tcBorders>
                  <w:vAlign w:val="center"/>
                </w:tcPr>
                <w:p w14:paraId="2D5391BB">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0.0000007t/a</w:t>
                  </w:r>
                </w:p>
              </w:tc>
              <w:tc>
                <w:tcPr>
                  <w:tcW w:w="870" w:type="pct"/>
                  <w:tcBorders>
                    <w:top w:val="single" w:color="auto" w:sz="4" w:space="0"/>
                    <w:left w:val="nil"/>
                    <w:bottom w:val="single" w:color="auto" w:sz="4" w:space="0"/>
                    <w:right w:val="single" w:color="auto" w:sz="4" w:space="0"/>
                  </w:tcBorders>
                  <w:vAlign w:val="center"/>
                </w:tcPr>
                <w:p w14:paraId="7A0A7C96">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0.0000001</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7F5A7588">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4C5BEA1A">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0.0000008</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7D30BF7C">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0.0000001</w:t>
                  </w:r>
                  <w:r>
                    <w:rPr>
                      <w:rFonts w:hint="default" w:ascii="Times New Roman" w:hAnsi="Times New Roman" w:cs="Times New Roman"/>
                      <w:color w:val="auto"/>
                      <w:kern w:val="21"/>
                      <w:highlight w:val="none"/>
                    </w:rPr>
                    <w:t>t/a</w:t>
                  </w:r>
                </w:p>
              </w:tc>
            </w:tr>
            <w:tr w14:paraId="11E3C1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6BAC46F6">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4B2B44E7">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挥发酚</w:t>
                  </w:r>
                </w:p>
              </w:tc>
              <w:tc>
                <w:tcPr>
                  <w:tcW w:w="806" w:type="pct"/>
                  <w:tcBorders>
                    <w:top w:val="single" w:color="auto" w:sz="4" w:space="0"/>
                    <w:left w:val="nil"/>
                    <w:bottom w:val="single" w:color="auto" w:sz="4" w:space="0"/>
                    <w:right w:val="single" w:color="auto" w:sz="4" w:space="0"/>
                  </w:tcBorders>
                  <w:vAlign w:val="center"/>
                </w:tcPr>
                <w:p w14:paraId="55FF1D5F">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0.0000004t/a</w:t>
                  </w:r>
                </w:p>
              </w:tc>
              <w:tc>
                <w:tcPr>
                  <w:tcW w:w="870" w:type="pct"/>
                  <w:tcBorders>
                    <w:top w:val="single" w:color="auto" w:sz="4" w:space="0"/>
                    <w:left w:val="nil"/>
                    <w:bottom w:val="single" w:color="auto" w:sz="4" w:space="0"/>
                    <w:right w:val="single" w:color="auto" w:sz="4" w:space="0"/>
                  </w:tcBorders>
                  <w:vAlign w:val="center"/>
                </w:tcPr>
                <w:p w14:paraId="37169BFB">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0.00000008</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796AB72F">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0E027F76">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0.00000048</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10E08F3D">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0.00000008</w:t>
                  </w:r>
                  <w:r>
                    <w:rPr>
                      <w:rFonts w:hint="default" w:ascii="Times New Roman" w:hAnsi="Times New Roman" w:cs="Times New Roman"/>
                      <w:color w:val="auto"/>
                      <w:kern w:val="21"/>
                      <w:highlight w:val="none"/>
                    </w:rPr>
                    <w:t>t/a</w:t>
                  </w:r>
                </w:p>
              </w:tc>
            </w:tr>
            <w:tr w14:paraId="0D091F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6985D088">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4D9DF11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总汞</w:t>
                  </w:r>
                </w:p>
              </w:tc>
              <w:tc>
                <w:tcPr>
                  <w:tcW w:w="806" w:type="pct"/>
                  <w:tcBorders>
                    <w:top w:val="single" w:color="auto" w:sz="4" w:space="0"/>
                    <w:left w:val="nil"/>
                    <w:bottom w:val="single" w:color="auto" w:sz="4" w:space="0"/>
                    <w:right w:val="single" w:color="auto" w:sz="4" w:space="0"/>
                  </w:tcBorders>
                  <w:vAlign w:val="center"/>
                </w:tcPr>
                <w:p w14:paraId="3F36A040">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0.0000023t/a</w:t>
                  </w:r>
                </w:p>
              </w:tc>
              <w:tc>
                <w:tcPr>
                  <w:tcW w:w="870" w:type="pct"/>
                  <w:tcBorders>
                    <w:top w:val="single" w:color="auto" w:sz="4" w:space="0"/>
                    <w:left w:val="nil"/>
                    <w:bottom w:val="single" w:color="auto" w:sz="4" w:space="0"/>
                    <w:right w:val="single" w:color="auto" w:sz="4" w:space="0"/>
                  </w:tcBorders>
                  <w:vAlign w:val="center"/>
                </w:tcPr>
                <w:p w14:paraId="2DAE8720">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0.00000046</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1B82A23B">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7D966F79">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0.00000276</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0F3F5E16">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0.00000046</w:t>
                  </w:r>
                  <w:r>
                    <w:rPr>
                      <w:rFonts w:hint="default" w:ascii="Times New Roman" w:hAnsi="Times New Roman" w:cs="Times New Roman"/>
                      <w:color w:val="auto"/>
                      <w:kern w:val="21"/>
                      <w:highlight w:val="none"/>
                    </w:rPr>
                    <w:t>t/a</w:t>
                  </w:r>
                </w:p>
              </w:tc>
            </w:tr>
            <w:tr w14:paraId="4A1BA4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3209489D">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293378D7">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总砷</w:t>
                  </w:r>
                </w:p>
              </w:tc>
              <w:tc>
                <w:tcPr>
                  <w:tcW w:w="806" w:type="pct"/>
                  <w:tcBorders>
                    <w:top w:val="single" w:color="auto" w:sz="4" w:space="0"/>
                    <w:left w:val="nil"/>
                    <w:bottom w:val="single" w:color="auto" w:sz="4" w:space="0"/>
                    <w:right w:val="single" w:color="auto" w:sz="4" w:space="0"/>
                  </w:tcBorders>
                  <w:vAlign w:val="center"/>
                </w:tcPr>
                <w:p w14:paraId="36AFA6B9">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0.0000001t/a</w:t>
                  </w:r>
                </w:p>
              </w:tc>
              <w:tc>
                <w:tcPr>
                  <w:tcW w:w="870" w:type="pct"/>
                  <w:tcBorders>
                    <w:top w:val="single" w:color="auto" w:sz="4" w:space="0"/>
                    <w:left w:val="nil"/>
                    <w:bottom w:val="single" w:color="auto" w:sz="4" w:space="0"/>
                    <w:right w:val="single" w:color="auto" w:sz="4" w:space="0"/>
                  </w:tcBorders>
                  <w:vAlign w:val="center"/>
                </w:tcPr>
                <w:p w14:paraId="0B9BE027">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0.00000003</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75F2DC95">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0105249D">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0.00000013</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3D5A3E7A">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0.00000003</w:t>
                  </w:r>
                  <w:r>
                    <w:rPr>
                      <w:rFonts w:hint="default" w:ascii="Times New Roman" w:hAnsi="Times New Roman" w:cs="Times New Roman"/>
                      <w:color w:val="auto"/>
                      <w:kern w:val="21"/>
                      <w:highlight w:val="none"/>
                    </w:rPr>
                    <w:t>t/a</w:t>
                  </w:r>
                </w:p>
              </w:tc>
            </w:tr>
            <w:tr w14:paraId="1156D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21936F98">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302CDCFB">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总镉</w:t>
                  </w:r>
                </w:p>
              </w:tc>
              <w:tc>
                <w:tcPr>
                  <w:tcW w:w="806" w:type="pct"/>
                  <w:tcBorders>
                    <w:top w:val="single" w:color="auto" w:sz="4" w:space="0"/>
                    <w:left w:val="nil"/>
                    <w:bottom w:val="single" w:color="auto" w:sz="4" w:space="0"/>
                    <w:right w:val="single" w:color="auto" w:sz="4" w:space="0"/>
                  </w:tcBorders>
                  <w:vAlign w:val="center"/>
                </w:tcPr>
                <w:p w14:paraId="44265CF4">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0.0000324</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0EC8D955">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0.0000064</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4A463971">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03167A4C">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0.0000388</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105E6BB6">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0.0000064</w:t>
                  </w:r>
                  <w:r>
                    <w:rPr>
                      <w:rFonts w:hint="default" w:ascii="Times New Roman" w:hAnsi="Times New Roman" w:cs="Times New Roman"/>
                      <w:color w:val="auto"/>
                      <w:kern w:val="21"/>
                      <w:highlight w:val="none"/>
                    </w:rPr>
                    <w:t>t/a</w:t>
                  </w:r>
                </w:p>
              </w:tc>
            </w:tr>
            <w:tr w14:paraId="5FE808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4C94DE53">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0621E86D">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总铅</w:t>
                  </w:r>
                </w:p>
              </w:tc>
              <w:tc>
                <w:tcPr>
                  <w:tcW w:w="806" w:type="pct"/>
                  <w:tcBorders>
                    <w:top w:val="single" w:color="auto" w:sz="4" w:space="0"/>
                    <w:left w:val="nil"/>
                    <w:bottom w:val="single" w:color="auto" w:sz="4" w:space="0"/>
                    <w:right w:val="single" w:color="auto" w:sz="4" w:space="0"/>
                  </w:tcBorders>
                  <w:vAlign w:val="center"/>
                </w:tcPr>
                <w:p w14:paraId="5DDE6201">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0.0001295</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3762BA59">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0.0000256</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6193B714">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7AE376CB">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0.0001551</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0351459B">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0.0000256</w:t>
                  </w:r>
                  <w:r>
                    <w:rPr>
                      <w:rFonts w:hint="default" w:ascii="Times New Roman" w:hAnsi="Times New Roman" w:cs="Times New Roman"/>
                      <w:color w:val="auto"/>
                      <w:kern w:val="21"/>
                      <w:highlight w:val="none"/>
                    </w:rPr>
                    <w:t>t/a</w:t>
                  </w:r>
                </w:p>
              </w:tc>
            </w:tr>
            <w:tr w14:paraId="687F71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639BE5E1">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6ECEDA7A">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总银</w:t>
                  </w:r>
                </w:p>
              </w:tc>
              <w:tc>
                <w:tcPr>
                  <w:tcW w:w="806" w:type="pct"/>
                  <w:tcBorders>
                    <w:top w:val="single" w:color="auto" w:sz="4" w:space="0"/>
                    <w:left w:val="nil"/>
                    <w:bottom w:val="single" w:color="auto" w:sz="4" w:space="0"/>
                    <w:right w:val="single" w:color="auto" w:sz="4" w:space="0"/>
                  </w:tcBorders>
                  <w:vAlign w:val="center"/>
                </w:tcPr>
                <w:p w14:paraId="10A07030">
                  <w:pPr>
                    <w:widowControl/>
                    <w:jc w:val="center"/>
                    <w:textAlignment w:val="center"/>
                    <w:rPr>
                      <w:rFonts w:hint="default" w:ascii="Times New Roman" w:hAnsi="Times New Roman" w:cs="Times New Roman"/>
                      <w:color w:val="auto"/>
                      <w:kern w:val="21"/>
                      <w:highlight w:val="none"/>
                    </w:rPr>
                  </w:pPr>
                  <w:r>
                    <w:rPr>
                      <w:rFonts w:hint="default" w:ascii="Times New Roman" w:hAnsi="Times New Roman" w:cs="Times New Roman"/>
                      <w:color w:val="auto"/>
                      <w:kern w:val="0"/>
                      <w:highlight w:val="none"/>
                    </w:rPr>
                    <w:t>0.0000194</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75FC8A45">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0.0000038</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7451790B">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749D7E20">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0.0000232</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58FC7774">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0.0000038</w:t>
                  </w:r>
                  <w:r>
                    <w:rPr>
                      <w:rFonts w:hint="default" w:ascii="Times New Roman" w:hAnsi="Times New Roman" w:cs="Times New Roman"/>
                      <w:color w:val="auto"/>
                      <w:kern w:val="21"/>
                      <w:highlight w:val="none"/>
                    </w:rPr>
                    <w:t>t/a</w:t>
                  </w:r>
                </w:p>
              </w:tc>
            </w:tr>
            <w:tr w14:paraId="084E41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7C29D6AE">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6C1DD74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总铬</w:t>
                  </w:r>
                </w:p>
              </w:tc>
              <w:tc>
                <w:tcPr>
                  <w:tcW w:w="806" w:type="pct"/>
                  <w:tcBorders>
                    <w:top w:val="single" w:color="auto" w:sz="4" w:space="0"/>
                    <w:left w:val="nil"/>
                    <w:bottom w:val="single" w:color="auto" w:sz="4" w:space="0"/>
                    <w:right w:val="single" w:color="auto" w:sz="4" w:space="0"/>
                  </w:tcBorders>
                  <w:vAlign w:val="center"/>
                </w:tcPr>
                <w:p w14:paraId="4FD7D72B">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0.0000026t/a</w:t>
                  </w:r>
                </w:p>
              </w:tc>
              <w:tc>
                <w:tcPr>
                  <w:tcW w:w="870" w:type="pct"/>
                  <w:tcBorders>
                    <w:top w:val="single" w:color="auto" w:sz="4" w:space="0"/>
                    <w:left w:val="nil"/>
                    <w:bottom w:val="single" w:color="auto" w:sz="4" w:space="0"/>
                    <w:right w:val="single" w:color="auto" w:sz="4" w:space="0"/>
                  </w:tcBorders>
                  <w:vAlign w:val="center"/>
                </w:tcPr>
                <w:p w14:paraId="26665E85">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0.0000005</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4044DC3F">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2CC2451D">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0.0000031</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33E2366A">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0.0000005</w:t>
                  </w:r>
                  <w:r>
                    <w:rPr>
                      <w:rFonts w:hint="default" w:ascii="Times New Roman" w:hAnsi="Times New Roman" w:cs="Times New Roman"/>
                      <w:color w:val="auto"/>
                      <w:kern w:val="21"/>
                      <w:highlight w:val="none"/>
                    </w:rPr>
                    <w:t>t/a</w:t>
                  </w:r>
                </w:p>
              </w:tc>
            </w:tr>
            <w:tr w14:paraId="7A72BB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3D43C42A">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6BC9596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六价铬</w:t>
                  </w:r>
                </w:p>
              </w:tc>
              <w:tc>
                <w:tcPr>
                  <w:tcW w:w="806" w:type="pct"/>
                  <w:tcBorders>
                    <w:top w:val="single" w:color="auto" w:sz="4" w:space="0"/>
                    <w:left w:val="nil"/>
                    <w:bottom w:val="single" w:color="auto" w:sz="4" w:space="0"/>
                    <w:right w:val="single" w:color="auto" w:sz="4" w:space="0"/>
                  </w:tcBorders>
                  <w:vAlign w:val="center"/>
                </w:tcPr>
                <w:p w14:paraId="2677653D">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0.0000026t/a</w:t>
                  </w:r>
                </w:p>
              </w:tc>
              <w:tc>
                <w:tcPr>
                  <w:tcW w:w="870" w:type="pct"/>
                  <w:tcBorders>
                    <w:top w:val="single" w:color="auto" w:sz="4" w:space="0"/>
                    <w:left w:val="nil"/>
                    <w:bottom w:val="single" w:color="auto" w:sz="4" w:space="0"/>
                    <w:right w:val="single" w:color="auto" w:sz="4" w:space="0"/>
                  </w:tcBorders>
                  <w:vAlign w:val="center"/>
                </w:tcPr>
                <w:p w14:paraId="4D739E37">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0.0000005</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678981A4">
                  <w:pPr>
                    <w:pStyle w:val="66"/>
                    <w:widowControl/>
                    <w:spacing w:before="24" w:after="24"/>
                    <w:ind w:firstLine="0" w:firstLineChars="0"/>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213F4C5E">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0.0000031</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1461792F">
                  <w:pPr>
                    <w:widowControl/>
                    <w:jc w:val="center"/>
                    <w:textAlignment w:val="center"/>
                    <w:rPr>
                      <w:rFonts w:hint="default" w:ascii="Times New Roman" w:hAnsi="Times New Roman" w:cs="Times New Roman"/>
                      <w:bCs/>
                      <w:color w:val="auto"/>
                      <w:kern w:val="0"/>
                      <w:highlight w:val="none"/>
                    </w:rPr>
                  </w:pPr>
                  <w:r>
                    <w:rPr>
                      <w:rFonts w:hint="default" w:ascii="Times New Roman" w:hAnsi="Times New Roman" w:cs="Times New Roman"/>
                      <w:color w:val="auto"/>
                      <w:kern w:val="0"/>
                      <w:highlight w:val="none"/>
                    </w:rPr>
                    <w:t>0.0000005</w:t>
                  </w:r>
                  <w:r>
                    <w:rPr>
                      <w:rFonts w:hint="default" w:ascii="Times New Roman" w:hAnsi="Times New Roman" w:cs="Times New Roman"/>
                      <w:color w:val="auto"/>
                      <w:kern w:val="21"/>
                      <w:highlight w:val="none"/>
                    </w:rPr>
                    <w:t>t/a</w:t>
                  </w:r>
                </w:p>
              </w:tc>
            </w:tr>
            <w:tr w14:paraId="3E669A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restart"/>
                  <w:tcBorders>
                    <w:top w:val="nil"/>
                    <w:left w:val="single" w:color="auto" w:sz="8" w:space="0"/>
                    <w:bottom w:val="single" w:color="auto" w:sz="4" w:space="0"/>
                    <w:right w:val="single" w:color="auto" w:sz="4" w:space="0"/>
                  </w:tcBorders>
                  <w:vAlign w:val="center"/>
                </w:tcPr>
                <w:p w14:paraId="56C0F0FC">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危险</w:t>
                  </w:r>
                </w:p>
                <w:p w14:paraId="1E7E6CF7">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废物</w:t>
                  </w:r>
                </w:p>
              </w:tc>
              <w:tc>
                <w:tcPr>
                  <w:tcW w:w="548" w:type="pct"/>
                  <w:tcBorders>
                    <w:top w:val="single" w:color="auto" w:sz="4" w:space="0"/>
                    <w:left w:val="nil"/>
                    <w:bottom w:val="single" w:color="auto" w:sz="4" w:space="0"/>
                    <w:right w:val="single" w:color="auto" w:sz="4" w:space="0"/>
                  </w:tcBorders>
                  <w:vAlign w:val="center"/>
                </w:tcPr>
                <w:p w14:paraId="66251E45">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医疗</w:t>
                  </w:r>
                </w:p>
                <w:p w14:paraId="7326FCCB">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806" w:type="pct"/>
                  <w:vMerge w:val="restart"/>
                  <w:tcBorders>
                    <w:top w:val="nil"/>
                    <w:left w:val="nil"/>
                    <w:bottom w:val="single" w:color="auto" w:sz="4" w:space="0"/>
                    <w:right w:val="single" w:color="auto" w:sz="4" w:space="0"/>
                  </w:tcBorders>
                  <w:vAlign w:val="center"/>
                </w:tcPr>
                <w:p w14:paraId="39BCF95F">
                  <w:pPr>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3.66t/a</w:t>
                  </w:r>
                </w:p>
              </w:tc>
              <w:tc>
                <w:tcPr>
                  <w:tcW w:w="870" w:type="pct"/>
                  <w:tcBorders>
                    <w:top w:val="single" w:color="auto" w:sz="4" w:space="0"/>
                    <w:left w:val="nil"/>
                    <w:bottom w:val="single" w:color="auto" w:sz="4" w:space="0"/>
                    <w:right w:val="single" w:color="auto" w:sz="4" w:space="0"/>
                  </w:tcBorders>
                  <w:vAlign w:val="center"/>
                </w:tcPr>
                <w:p w14:paraId="21B794A5">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497" w:type="pct"/>
                  <w:tcBorders>
                    <w:top w:val="single" w:color="auto" w:sz="4" w:space="0"/>
                    <w:left w:val="nil"/>
                    <w:bottom w:val="single" w:color="auto" w:sz="4" w:space="0"/>
                    <w:right w:val="single" w:color="auto" w:sz="4" w:space="0"/>
                  </w:tcBorders>
                  <w:vAlign w:val="center"/>
                </w:tcPr>
                <w:p w14:paraId="1ACE3D55">
                  <w:pPr>
                    <w:jc w:val="center"/>
                    <w:rPr>
                      <w:rFonts w:hint="default" w:ascii="Times New Roman" w:hAnsi="Times New Roman" w:cs="Times New Roman"/>
                      <w:color w:val="auto"/>
                      <w:kern w:val="21"/>
                      <w:highlight w:val="none"/>
                    </w:rPr>
                  </w:pPr>
                </w:p>
              </w:tc>
              <w:tc>
                <w:tcPr>
                  <w:tcW w:w="1002" w:type="pct"/>
                  <w:vMerge w:val="restart"/>
                  <w:tcBorders>
                    <w:top w:val="nil"/>
                    <w:left w:val="nil"/>
                    <w:bottom w:val="single" w:color="auto" w:sz="4" w:space="0"/>
                    <w:right w:val="single" w:color="auto" w:sz="4" w:space="0"/>
                  </w:tcBorders>
                  <w:vAlign w:val="center"/>
                </w:tcPr>
                <w:p w14:paraId="7513B2FA">
                  <w:pPr>
                    <w:jc w:val="center"/>
                    <w:rPr>
                      <w:rFonts w:hint="default" w:ascii="Times New Roman" w:hAnsi="Times New Roman" w:cs="Times New Roman"/>
                      <w:color w:val="auto"/>
                      <w:highlight w:val="none"/>
                    </w:rPr>
                  </w:pPr>
                  <w:r>
                    <w:rPr>
                      <w:rFonts w:hint="default" w:ascii="Times New Roman" w:hAnsi="Times New Roman" w:cs="Times New Roman"/>
                      <w:color w:val="auto"/>
                      <w:kern w:val="21"/>
                      <w:highlight w:val="none"/>
                    </w:rPr>
                    <w:t>5.46t/a</w:t>
                  </w:r>
                </w:p>
              </w:tc>
              <w:tc>
                <w:tcPr>
                  <w:tcW w:w="738" w:type="pct"/>
                  <w:tcBorders>
                    <w:top w:val="single" w:color="auto" w:sz="4" w:space="0"/>
                    <w:left w:val="nil"/>
                    <w:bottom w:val="single" w:color="auto" w:sz="4" w:space="0"/>
                    <w:right w:val="single" w:color="auto" w:sz="8" w:space="0"/>
                  </w:tcBorders>
                  <w:vAlign w:val="center"/>
                </w:tcPr>
                <w:p w14:paraId="0FC61D81">
                  <w:pPr>
                    <w:spacing w:line="240" w:lineRule="exact"/>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w:t>
                  </w:r>
                </w:p>
              </w:tc>
            </w:tr>
            <w:tr w14:paraId="5E802D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015277BA">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53C7D730">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微生物</w:t>
                  </w:r>
                </w:p>
                <w:p w14:paraId="34972441">
                  <w:pPr>
                    <w:jc w:val="center"/>
                    <w:rPr>
                      <w:rFonts w:hint="default" w:ascii="Times New Roman" w:hAnsi="Times New Roman" w:cs="Times New Roman"/>
                      <w:color w:val="auto"/>
                      <w:kern w:val="21"/>
                      <w:highlight w:val="none"/>
                    </w:rPr>
                  </w:pPr>
                  <w:r>
                    <w:rPr>
                      <w:rFonts w:hint="default" w:ascii="Times New Roman" w:hAnsi="Times New Roman" w:cs="Times New Roman"/>
                      <w:color w:val="auto"/>
                      <w:highlight w:val="none"/>
                    </w:rPr>
                    <w:t>实验室危废</w:t>
                  </w:r>
                </w:p>
              </w:tc>
              <w:tc>
                <w:tcPr>
                  <w:tcW w:w="806" w:type="pct"/>
                  <w:vMerge w:val="continue"/>
                  <w:tcBorders>
                    <w:top w:val="nil"/>
                    <w:left w:val="nil"/>
                    <w:bottom w:val="single" w:color="auto" w:sz="4" w:space="0"/>
                    <w:right w:val="single" w:color="auto" w:sz="4" w:space="0"/>
                  </w:tcBorders>
                  <w:vAlign w:val="center"/>
                </w:tcPr>
                <w:p w14:paraId="2556B26C">
                  <w:pPr>
                    <w:widowControl/>
                    <w:spacing w:beforeAutospacing="1" w:afterAutospacing="1"/>
                    <w:jc w:val="left"/>
                    <w:rPr>
                      <w:rFonts w:hint="default" w:ascii="Times New Roman" w:hAnsi="Times New Roman" w:cs="Times New Roman"/>
                      <w:color w:val="auto"/>
                      <w:kern w:val="21"/>
                      <w:szCs w:val="21"/>
                      <w:highlight w:val="none"/>
                    </w:rPr>
                  </w:pPr>
                </w:p>
              </w:tc>
              <w:tc>
                <w:tcPr>
                  <w:tcW w:w="870" w:type="pct"/>
                  <w:tcBorders>
                    <w:top w:val="single" w:color="auto" w:sz="4" w:space="0"/>
                    <w:left w:val="nil"/>
                    <w:bottom w:val="single" w:color="auto" w:sz="4" w:space="0"/>
                    <w:right w:val="single" w:color="auto" w:sz="4" w:space="0"/>
                  </w:tcBorders>
                  <w:vAlign w:val="center"/>
                </w:tcPr>
                <w:p w14:paraId="0A07A6CA">
                  <w:pPr>
                    <w:jc w:val="center"/>
                    <w:rPr>
                      <w:rFonts w:hint="default" w:ascii="Times New Roman" w:hAnsi="Times New Roman" w:cs="Times New Roman"/>
                      <w:color w:val="auto"/>
                      <w:kern w:val="21"/>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629646C8">
                  <w:pPr>
                    <w:jc w:val="center"/>
                    <w:rPr>
                      <w:rFonts w:hint="default" w:ascii="Times New Roman" w:hAnsi="Times New Roman" w:cs="Times New Roman"/>
                      <w:color w:val="auto"/>
                      <w:kern w:val="21"/>
                      <w:highlight w:val="none"/>
                    </w:rPr>
                  </w:pPr>
                </w:p>
              </w:tc>
              <w:tc>
                <w:tcPr>
                  <w:tcW w:w="1002" w:type="pct"/>
                  <w:vMerge w:val="continue"/>
                  <w:tcBorders>
                    <w:top w:val="nil"/>
                    <w:left w:val="nil"/>
                    <w:bottom w:val="single" w:color="auto" w:sz="4" w:space="0"/>
                    <w:right w:val="single" w:color="auto" w:sz="4" w:space="0"/>
                  </w:tcBorders>
                  <w:vAlign w:val="center"/>
                </w:tcPr>
                <w:p w14:paraId="3A2657B9">
                  <w:pPr>
                    <w:widowControl/>
                    <w:spacing w:beforeAutospacing="1" w:afterAutospacing="1"/>
                    <w:jc w:val="left"/>
                    <w:rPr>
                      <w:rFonts w:hint="default" w:ascii="Times New Roman" w:hAnsi="Times New Roman" w:cs="Times New Roman"/>
                      <w:color w:val="auto"/>
                      <w:szCs w:val="21"/>
                      <w:highlight w:val="none"/>
                    </w:rPr>
                  </w:pPr>
                </w:p>
              </w:tc>
              <w:tc>
                <w:tcPr>
                  <w:tcW w:w="738" w:type="pct"/>
                  <w:tcBorders>
                    <w:top w:val="single" w:color="auto" w:sz="4" w:space="0"/>
                    <w:left w:val="nil"/>
                    <w:bottom w:val="single" w:color="auto" w:sz="4" w:space="0"/>
                    <w:right w:val="single" w:color="auto" w:sz="8" w:space="0"/>
                  </w:tcBorders>
                  <w:vAlign w:val="center"/>
                </w:tcPr>
                <w:p w14:paraId="6C0031B7">
                  <w:pPr>
                    <w:spacing w:line="240" w:lineRule="exact"/>
                    <w:jc w:val="center"/>
                    <w:rPr>
                      <w:rFonts w:hint="default" w:ascii="Times New Roman" w:hAnsi="Times New Roman" w:cs="Times New Roman"/>
                      <w:color w:val="auto"/>
                      <w:kern w:val="21"/>
                      <w:highlight w:val="none"/>
                    </w:rPr>
                  </w:pPr>
                  <w:r>
                    <w:rPr>
                      <w:rFonts w:hint="default" w:ascii="Times New Roman" w:hAnsi="Times New Roman" w:cs="Times New Roman"/>
                      <w:color w:val="auto"/>
                      <w:highlight w:val="none"/>
                    </w:rPr>
                    <w:t>1</w:t>
                  </w:r>
                  <w:r>
                    <w:rPr>
                      <w:rFonts w:hint="default" w:ascii="Times New Roman" w:hAnsi="Times New Roman" w:cs="Times New Roman"/>
                      <w:color w:val="auto"/>
                      <w:kern w:val="21"/>
                      <w:highlight w:val="none"/>
                    </w:rPr>
                    <w:t>t/a</w:t>
                  </w:r>
                </w:p>
              </w:tc>
            </w:tr>
            <w:tr w14:paraId="5C27AF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7665D503">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3BA9BBA4">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理化</w:t>
                  </w:r>
                </w:p>
                <w:p w14:paraId="79905D9D">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实验室危废</w:t>
                  </w:r>
                </w:p>
              </w:tc>
              <w:tc>
                <w:tcPr>
                  <w:tcW w:w="806" w:type="pct"/>
                  <w:vMerge w:val="continue"/>
                  <w:tcBorders>
                    <w:top w:val="nil"/>
                    <w:left w:val="nil"/>
                    <w:bottom w:val="single" w:color="auto" w:sz="4" w:space="0"/>
                    <w:right w:val="single" w:color="auto" w:sz="4" w:space="0"/>
                  </w:tcBorders>
                  <w:vAlign w:val="center"/>
                </w:tcPr>
                <w:p w14:paraId="3264447A">
                  <w:pPr>
                    <w:widowControl/>
                    <w:spacing w:beforeAutospacing="1" w:afterAutospacing="1"/>
                    <w:jc w:val="left"/>
                    <w:rPr>
                      <w:rFonts w:hint="default" w:ascii="Times New Roman" w:hAnsi="Times New Roman" w:cs="Times New Roman"/>
                      <w:color w:val="auto"/>
                      <w:kern w:val="21"/>
                      <w:szCs w:val="21"/>
                      <w:highlight w:val="none"/>
                    </w:rPr>
                  </w:pPr>
                </w:p>
              </w:tc>
              <w:tc>
                <w:tcPr>
                  <w:tcW w:w="870" w:type="pct"/>
                  <w:tcBorders>
                    <w:top w:val="single" w:color="auto" w:sz="4" w:space="0"/>
                    <w:left w:val="nil"/>
                    <w:bottom w:val="single" w:color="auto" w:sz="4" w:space="0"/>
                    <w:right w:val="single" w:color="auto" w:sz="4" w:space="0"/>
                  </w:tcBorders>
                  <w:vAlign w:val="center"/>
                </w:tcPr>
                <w:p w14:paraId="4BA3BA49">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0.8</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632E64AC">
                  <w:pPr>
                    <w:jc w:val="center"/>
                    <w:rPr>
                      <w:rFonts w:hint="default" w:ascii="Times New Roman" w:hAnsi="Times New Roman" w:cs="Times New Roman"/>
                      <w:color w:val="auto"/>
                      <w:kern w:val="21"/>
                      <w:highlight w:val="none"/>
                    </w:rPr>
                  </w:pPr>
                </w:p>
              </w:tc>
              <w:tc>
                <w:tcPr>
                  <w:tcW w:w="1002" w:type="pct"/>
                  <w:vMerge w:val="continue"/>
                  <w:tcBorders>
                    <w:top w:val="nil"/>
                    <w:left w:val="nil"/>
                    <w:bottom w:val="single" w:color="auto" w:sz="4" w:space="0"/>
                    <w:right w:val="single" w:color="auto" w:sz="4" w:space="0"/>
                  </w:tcBorders>
                  <w:vAlign w:val="center"/>
                </w:tcPr>
                <w:p w14:paraId="05D918BE">
                  <w:pPr>
                    <w:widowControl/>
                    <w:spacing w:beforeAutospacing="1" w:afterAutospacing="1"/>
                    <w:jc w:val="left"/>
                    <w:rPr>
                      <w:rFonts w:hint="default" w:ascii="Times New Roman" w:hAnsi="Times New Roman" w:cs="Times New Roman"/>
                      <w:color w:val="auto"/>
                      <w:szCs w:val="21"/>
                      <w:highlight w:val="none"/>
                    </w:rPr>
                  </w:pPr>
                </w:p>
              </w:tc>
              <w:tc>
                <w:tcPr>
                  <w:tcW w:w="738" w:type="pct"/>
                  <w:tcBorders>
                    <w:top w:val="single" w:color="auto" w:sz="4" w:space="0"/>
                    <w:left w:val="nil"/>
                    <w:bottom w:val="single" w:color="auto" w:sz="4" w:space="0"/>
                    <w:right w:val="single" w:color="auto" w:sz="8" w:space="0"/>
                  </w:tcBorders>
                  <w:vAlign w:val="center"/>
                </w:tcPr>
                <w:p w14:paraId="7496E6F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0.8</w:t>
                  </w:r>
                  <w:r>
                    <w:rPr>
                      <w:rFonts w:hint="default" w:ascii="Times New Roman" w:hAnsi="Times New Roman" w:cs="Times New Roman"/>
                      <w:color w:val="auto"/>
                      <w:kern w:val="21"/>
                      <w:highlight w:val="none"/>
                    </w:rPr>
                    <w:t>t/a</w:t>
                  </w:r>
                </w:p>
              </w:tc>
            </w:tr>
            <w:tr w14:paraId="602975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79941BD6">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1231F33D">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废活</w:t>
                  </w:r>
                </w:p>
                <w:p w14:paraId="41FCE8AA">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性炭</w:t>
                  </w:r>
                </w:p>
              </w:tc>
              <w:tc>
                <w:tcPr>
                  <w:tcW w:w="806" w:type="pct"/>
                  <w:tcBorders>
                    <w:top w:val="single" w:color="auto" w:sz="4" w:space="0"/>
                    <w:left w:val="nil"/>
                    <w:bottom w:val="single" w:color="auto" w:sz="4" w:space="0"/>
                    <w:right w:val="single" w:color="auto" w:sz="4" w:space="0"/>
                  </w:tcBorders>
                  <w:vAlign w:val="center"/>
                </w:tcPr>
                <w:p w14:paraId="1E76886B">
                  <w:pPr>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w:t>
                  </w:r>
                </w:p>
              </w:tc>
              <w:tc>
                <w:tcPr>
                  <w:tcW w:w="870" w:type="pct"/>
                  <w:tcBorders>
                    <w:top w:val="single" w:color="auto" w:sz="4" w:space="0"/>
                    <w:left w:val="nil"/>
                    <w:bottom w:val="single" w:color="auto" w:sz="4" w:space="0"/>
                    <w:right w:val="single" w:color="auto" w:sz="4" w:space="0"/>
                  </w:tcBorders>
                  <w:vAlign w:val="center"/>
                </w:tcPr>
                <w:p w14:paraId="445C2F5D">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0.1t</w:t>
                  </w:r>
                  <w:r>
                    <w:rPr>
                      <w:rFonts w:hint="default" w:ascii="Times New Roman" w:hAnsi="Times New Roman" w:cs="Times New Roman"/>
                      <w:color w:val="auto"/>
                      <w:kern w:val="21"/>
                      <w:highlight w:val="none"/>
                    </w:rPr>
                    <w:t>/a</w:t>
                  </w:r>
                </w:p>
              </w:tc>
              <w:tc>
                <w:tcPr>
                  <w:tcW w:w="497" w:type="pct"/>
                  <w:tcBorders>
                    <w:top w:val="single" w:color="auto" w:sz="4" w:space="0"/>
                    <w:left w:val="nil"/>
                    <w:bottom w:val="single" w:color="auto" w:sz="4" w:space="0"/>
                    <w:right w:val="single" w:color="auto" w:sz="4" w:space="0"/>
                  </w:tcBorders>
                  <w:vAlign w:val="center"/>
                </w:tcPr>
                <w:p w14:paraId="1F91C8FF">
                  <w:pPr>
                    <w:jc w:val="center"/>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36D899A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0.1t</w:t>
                  </w:r>
                  <w:r>
                    <w:rPr>
                      <w:rFonts w:hint="default" w:ascii="Times New Roman" w:hAnsi="Times New Roman" w:cs="Times New Roman"/>
                      <w:color w:val="auto"/>
                      <w:kern w:val="21"/>
                      <w:highlight w:val="none"/>
                    </w:rPr>
                    <w:t>/a</w:t>
                  </w:r>
                </w:p>
              </w:tc>
              <w:tc>
                <w:tcPr>
                  <w:tcW w:w="738" w:type="pct"/>
                  <w:tcBorders>
                    <w:top w:val="single" w:color="auto" w:sz="4" w:space="0"/>
                    <w:left w:val="nil"/>
                    <w:bottom w:val="single" w:color="auto" w:sz="4" w:space="0"/>
                    <w:right w:val="single" w:color="auto" w:sz="8" w:space="0"/>
                  </w:tcBorders>
                  <w:vAlign w:val="center"/>
                </w:tcPr>
                <w:p w14:paraId="2E8C8725">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0.1t</w:t>
                  </w:r>
                  <w:r>
                    <w:rPr>
                      <w:rFonts w:hint="default" w:ascii="Times New Roman" w:hAnsi="Times New Roman" w:cs="Times New Roman"/>
                      <w:color w:val="auto"/>
                      <w:kern w:val="21"/>
                      <w:highlight w:val="none"/>
                    </w:rPr>
                    <w:t>/a</w:t>
                  </w:r>
                </w:p>
              </w:tc>
            </w:tr>
            <w:tr w14:paraId="68413D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319162A6">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31823BA5">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废滤膜</w:t>
                  </w:r>
                </w:p>
              </w:tc>
              <w:tc>
                <w:tcPr>
                  <w:tcW w:w="806" w:type="pct"/>
                  <w:tcBorders>
                    <w:top w:val="single" w:color="auto" w:sz="4" w:space="0"/>
                    <w:left w:val="nil"/>
                    <w:bottom w:val="single" w:color="auto" w:sz="4" w:space="0"/>
                    <w:right w:val="single" w:color="auto" w:sz="4" w:space="0"/>
                  </w:tcBorders>
                  <w:vAlign w:val="center"/>
                </w:tcPr>
                <w:p w14:paraId="6C36EB67">
                  <w:pPr>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w:t>
                  </w:r>
                </w:p>
              </w:tc>
              <w:tc>
                <w:tcPr>
                  <w:tcW w:w="870" w:type="pct"/>
                  <w:tcBorders>
                    <w:top w:val="single" w:color="auto" w:sz="4" w:space="0"/>
                    <w:left w:val="nil"/>
                    <w:bottom w:val="single" w:color="auto" w:sz="4" w:space="0"/>
                    <w:right w:val="single" w:color="auto" w:sz="4" w:space="0"/>
                  </w:tcBorders>
                  <w:vAlign w:val="center"/>
                </w:tcPr>
                <w:p w14:paraId="11F1ACA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0.2</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7F7A562A">
                  <w:pPr>
                    <w:jc w:val="center"/>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134889FD">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0.2</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60E264C8">
                  <w:pPr>
                    <w:spacing w:line="240" w:lineRule="exact"/>
                    <w:jc w:val="center"/>
                    <w:rPr>
                      <w:rFonts w:hint="default" w:ascii="Times New Roman" w:hAnsi="Times New Roman" w:cs="Times New Roman"/>
                      <w:color w:val="auto"/>
                      <w:kern w:val="21"/>
                      <w:highlight w:val="none"/>
                    </w:rPr>
                  </w:pPr>
                  <w:r>
                    <w:rPr>
                      <w:rFonts w:hint="default" w:ascii="Times New Roman" w:hAnsi="Times New Roman" w:cs="Times New Roman"/>
                      <w:color w:val="auto"/>
                      <w:highlight w:val="none"/>
                    </w:rPr>
                    <w:t>0.2</w:t>
                  </w:r>
                  <w:r>
                    <w:rPr>
                      <w:rFonts w:hint="default" w:ascii="Times New Roman" w:hAnsi="Times New Roman" w:cs="Times New Roman"/>
                      <w:color w:val="auto"/>
                      <w:kern w:val="21"/>
                      <w:highlight w:val="none"/>
                    </w:rPr>
                    <w:t>t/a</w:t>
                  </w:r>
                </w:p>
              </w:tc>
            </w:tr>
            <w:tr w14:paraId="1314BE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29E1201B">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68B76254">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含重金属污泥</w:t>
                  </w:r>
                </w:p>
              </w:tc>
              <w:tc>
                <w:tcPr>
                  <w:tcW w:w="806" w:type="pct"/>
                  <w:vMerge w:val="restart"/>
                  <w:tcBorders>
                    <w:top w:val="nil"/>
                    <w:left w:val="nil"/>
                    <w:bottom w:val="single" w:color="auto" w:sz="4" w:space="0"/>
                    <w:right w:val="single" w:color="auto" w:sz="4" w:space="0"/>
                  </w:tcBorders>
                  <w:vAlign w:val="center"/>
                </w:tcPr>
                <w:p w14:paraId="5E441BA9">
                  <w:pPr>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0.33t/a</w:t>
                  </w:r>
                </w:p>
              </w:tc>
              <w:tc>
                <w:tcPr>
                  <w:tcW w:w="870" w:type="pct"/>
                  <w:tcBorders>
                    <w:top w:val="single" w:color="auto" w:sz="4" w:space="0"/>
                    <w:left w:val="nil"/>
                    <w:bottom w:val="single" w:color="auto" w:sz="4" w:space="0"/>
                    <w:right w:val="single" w:color="auto" w:sz="4" w:space="0"/>
                  </w:tcBorders>
                  <w:vAlign w:val="center"/>
                </w:tcPr>
                <w:p w14:paraId="75E618DA">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0.01</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17546A12">
                  <w:pPr>
                    <w:jc w:val="center"/>
                    <w:rPr>
                      <w:rFonts w:hint="default" w:ascii="Times New Roman" w:hAnsi="Times New Roman" w:cs="Times New Roman"/>
                      <w:color w:val="auto"/>
                      <w:kern w:val="21"/>
                      <w:highlight w:val="none"/>
                    </w:rPr>
                  </w:pPr>
                </w:p>
              </w:tc>
              <w:tc>
                <w:tcPr>
                  <w:tcW w:w="1002" w:type="pct"/>
                  <w:vMerge w:val="restart"/>
                  <w:tcBorders>
                    <w:top w:val="nil"/>
                    <w:left w:val="nil"/>
                    <w:bottom w:val="single" w:color="auto" w:sz="4" w:space="0"/>
                    <w:right w:val="single" w:color="auto" w:sz="4" w:space="0"/>
                  </w:tcBorders>
                  <w:vAlign w:val="center"/>
                </w:tcPr>
                <w:p w14:paraId="1C75E638">
                  <w:pPr>
                    <w:jc w:val="center"/>
                    <w:rPr>
                      <w:rFonts w:hint="default" w:ascii="Times New Roman" w:hAnsi="Times New Roman" w:cs="Times New Roman"/>
                      <w:color w:val="auto"/>
                      <w:highlight w:val="none"/>
                    </w:rPr>
                  </w:pPr>
                  <w:r>
                    <w:rPr>
                      <w:rFonts w:hint="default" w:ascii="Times New Roman" w:hAnsi="Times New Roman" w:cs="Times New Roman"/>
                      <w:color w:val="auto"/>
                      <w:kern w:val="21"/>
                      <w:highlight w:val="none"/>
                    </w:rPr>
                    <w:t>0.3628t/a</w:t>
                  </w:r>
                </w:p>
              </w:tc>
              <w:tc>
                <w:tcPr>
                  <w:tcW w:w="738" w:type="pct"/>
                  <w:vMerge w:val="restart"/>
                  <w:tcBorders>
                    <w:top w:val="nil"/>
                    <w:left w:val="nil"/>
                    <w:bottom w:val="single" w:color="auto" w:sz="4" w:space="0"/>
                    <w:right w:val="single" w:color="auto" w:sz="8" w:space="0"/>
                  </w:tcBorders>
                  <w:vAlign w:val="center"/>
                </w:tcPr>
                <w:p w14:paraId="720DB63A">
                  <w:pPr>
                    <w:spacing w:line="240" w:lineRule="exact"/>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0.0328t/a</w:t>
                  </w:r>
                </w:p>
              </w:tc>
            </w:tr>
            <w:tr w14:paraId="1F20FF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1DE25EE4">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105F04FB">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污水处理站格栅渣</w:t>
                  </w:r>
                </w:p>
              </w:tc>
              <w:tc>
                <w:tcPr>
                  <w:tcW w:w="806" w:type="pct"/>
                  <w:vMerge w:val="continue"/>
                  <w:tcBorders>
                    <w:top w:val="nil"/>
                    <w:left w:val="nil"/>
                    <w:bottom w:val="single" w:color="auto" w:sz="4" w:space="0"/>
                    <w:right w:val="single" w:color="auto" w:sz="4" w:space="0"/>
                  </w:tcBorders>
                  <w:vAlign w:val="center"/>
                </w:tcPr>
                <w:p w14:paraId="284ED4D8">
                  <w:pPr>
                    <w:widowControl/>
                    <w:spacing w:beforeAutospacing="1" w:afterAutospacing="1"/>
                    <w:jc w:val="left"/>
                    <w:rPr>
                      <w:rFonts w:hint="default" w:ascii="Times New Roman" w:hAnsi="Times New Roman" w:cs="Times New Roman"/>
                      <w:color w:val="auto"/>
                      <w:kern w:val="21"/>
                      <w:szCs w:val="21"/>
                      <w:highlight w:val="none"/>
                    </w:rPr>
                  </w:pPr>
                </w:p>
              </w:tc>
              <w:tc>
                <w:tcPr>
                  <w:tcW w:w="870" w:type="pct"/>
                  <w:tcBorders>
                    <w:top w:val="single" w:color="auto" w:sz="4" w:space="0"/>
                    <w:left w:val="nil"/>
                    <w:bottom w:val="single" w:color="auto" w:sz="4" w:space="0"/>
                    <w:right w:val="single" w:color="auto" w:sz="4" w:space="0"/>
                  </w:tcBorders>
                  <w:vAlign w:val="center"/>
                </w:tcPr>
                <w:p w14:paraId="73483D21">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0.01</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355E12F3">
                  <w:pPr>
                    <w:jc w:val="center"/>
                    <w:rPr>
                      <w:rFonts w:hint="default" w:ascii="Times New Roman" w:hAnsi="Times New Roman" w:cs="Times New Roman"/>
                      <w:color w:val="auto"/>
                      <w:kern w:val="21"/>
                      <w:highlight w:val="none"/>
                    </w:rPr>
                  </w:pPr>
                </w:p>
              </w:tc>
              <w:tc>
                <w:tcPr>
                  <w:tcW w:w="1002" w:type="pct"/>
                  <w:vMerge w:val="continue"/>
                  <w:tcBorders>
                    <w:top w:val="nil"/>
                    <w:left w:val="nil"/>
                    <w:bottom w:val="single" w:color="auto" w:sz="4" w:space="0"/>
                    <w:right w:val="single" w:color="auto" w:sz="4" w:space="0"/>
                  </w:tcBorders>
                  <w:vAlign w:val="center"/>
                </w:tcPr>
                <w:p w14:paraId="7509C6C5">
                  <w:pPr>
                    <w:widowControl/>
                    <w:spacing w:beforeAutospacing="1" w:afterAutospacing="1"/>
                    <w:jc w:val="left"/>
                    <w:rPr>
                      <w:rFonts w:hint="default" w:ascii="Times New Roman" w:hAnsi="Times New Roman" w:cs="Times New Roman"/>
                      <w:color w:val="auto"/>
                      <w:szCs w:val="21"/>
                      <w:highlight w:val="none"/>
                    </w:rPr>
                  </w:pPr>
                </w:p>
              </w:tc>
              <w:tc>
                <w:tcPr>
                  <w:tcW w:w="738" w:type="pct"/>
                  <w:vMerge w:val="continue"/>
                  <w:tcBorders>
                    <w:top w:val="nil"/>
                    <w:left w:val="nil"/>
                    <w:bottom w:val="single" w:color="auto" w:sz="4" w:space="0"/>
                    <w:right w:val="single" w:color="auto" w:sz="8" w:space="0"/>
                  </w:tcBorders>
                  <w:vAlign w:val="center"/>
                </w:tcPr>
                <w:p w14:paraId="131B733F">
                  <w:pPr>
                    <w:widowControl/>
                    <w:spacing w:beforeAutospacing="1" w:afterAutospacing="1"/>
                    <w:jc w:val="left"/>
                    <w:rPr>
                      <w:rFonts w:hint="default" w:ascii="Times New Roman" w:hAnsi="Times New Roman" w:cs="Times New Roman"/>
                      <w:color w:val="auto"/>
                      <w:kern w:val="21"/>
                      <w:szCs w:val="21"/>
                      <w:highlight w:val="none"/>
                    </w:rPr>
                  </w:pPr>
                </w:p>
              </w:tc>
            </w:tr>
            <w:tr w14:paraId="5B0410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4FE8FE50">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702F033C">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污水处理站</w:t>
                  </w:r>
                </w:p>
                <w:p w14:paraId="38713507">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污泥</w:t>
                  </w:r>
                </w:p>
              </w:tc>
              <w:tc>
                <w:tcPr>
                  <w:tcW w:w="806" w:type="pct"/>
                  <w:vMerge w:val="continue"/>
                  <w:tcBorders>
                    <w:top w:val="nil"/>
                    <w:left w:val="nil"/>
                    <w:bottom w:val="single" w:color="auto" w:sz="4" w:space="0"/>
                    <w:right w:val="single" w:color="auto" w:sz="4" w:space="0"/>
                  </w:tcBorders>
                  <w:vAlign w:val="center"/>
                </w:tcPr>
                <w:p w14:paraId="6A0C31F2">
                  <w:pPr>
                    <w:widowControl/>
                    <w:spacing w:beforeAutospacing="1" w:afterAutospacing="1"/>
                    <w:jc w:val="left"/>
                    <w:rPr>
                      <w:rFonts w:hint="default" w:ascii="Times New Roman" w:hAnsi="Times New Roman" w:cs="Times New Roman"/>
                      <w:color w:val="auto"/>
                      <w:kern w:val="21"/>
                      <w:szCs w:val="21"/>
                      <w:highlight w:val="none"/>
                    </w:rPr>
                  </w:pPr>
                </w:p>
              </w:tc>
              <w:tc>
                <w:tcPr>
                  <w:tcW w:w="870" w:type="pct"/>
                  <w:tcBorders>
                    <w:top w:val="single" w:color="auto" w:sz="4" w:space="0"/>
                    <w:left w:val="nil"/>
                    <w:bottom w:val="single" w:color="auto" w:sz="4" w:space="0"/>
                    <w:right w:val="single" w:color="auto" w:sz="4" w:space="0"/>
                  </w:tcBorders>
                  <w:vAlign w:val="center"/>
                </w:tcPr>
                <w:p w14:paraId="70E4FA09">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0.0128</w:t>
                  </w:r>
                  <w:r>
                    <w:rPr>
                      <w:rFonts w:hint="default" w:ascii="Times New Roman" w:hAnsi="Times New Roman" w:cs="Times New Roman"/>
                      <w:color w:val="auto"/>
                      <w:kern w:val="21"/>
                      <w:highlight w:val="none"/>
                    </w:rPr>
                    <w:t>t/a</w:t>
                  </w:r>
                </w:p>
              </w:tc>
              <w:tc>
                <w:tcPr>
                  <w:tcW w:w="497" w:type="pct"/>
                  <w:tcBorders>
                    <w:top w:val="single" w:color="auto" w:sz="4" w:space="0"/>
                    <w:left w:val="nil"/>
                    <w:bottom w:val="single" w:color="auto" w:sz="4" w:space="0"/>
                    <w:right w:val="single" w:color="auto" w:sz="4" w:space="0"/>
                  </w:tcBorders>
                  <w:vAlign w:val="center"/>
                </w:tcPr>
                <w:p w14:paraId="1B592568">
                  <w:pPr>
                    <w:jc w:val="center"/>
                    <w:rPr>
                      <w:rFonts w:hint="default" w:ascii="Times New Roman" w:hAnsi="Times New Roman" w:cs="Times New Roman"/>
                      <w:color w:val="auto"/>
                      <w:kern w:val="21"/>
                      <w:highlight w:val="none"/>
                    </w:rPr>
                  </w:pPr>
                </w:p>
              </w:tc>
              <w:tc>
                <w:tcPr>
                  <w:tcW w:w="1002" w:type="pct"/>
                  <w:vMerge w:val="continue"/>
                  <w:tcBorders>
                    <w:top w:val="nil"/>
                    <w:left w:val="nil"/>
                    <w:bottom w:val="single" w:color="auto" w:sz="4" w:space="0"/>
                    <w:right w:val="single" w:color="auto" w:sz="4" w:space="0"/>
                  </w:tcBorders>
                  <w:vAlign w:val="center"/>
                </w:tcPr>
                <w:p w14:paraId="45FCBD41">
                  <w:pPr>
                    <w:widowControl/>
                    <w:spacing w:beforeAutospacing="1" w:afterAutospacing="1"/>
                    <w:jc w:val="left"/>
                    <w:rPr>
                      <w:rFonts w:hint="default" w:ascii="Times New Roman" w:hAnsi="Times New Roman" w:cs="Times New Roman"/>
                      <w:color w:val="auto"/>
                      <w:szCs w:val="21"/>
                      <w:highlight w:val="none"/>
                    </w:rPr>
                  </w:pPr>
                </w:p>
              </w:tc>
              <w:tc>
                <w:tcPr>
                  <w:tcW w:w="738" w:type="pct"/>
                  <w:vMerge w:val="continue"/>
                  <w:tcBorders>
                    <w:top w:val="nil"/>
                    <w:left w:val="nil"/>
                    <w:bottom w:val="single" w:color="auto" w:sz="4" w:space="0"/>
                    <w:right w:val="single" w:color="auto" w:sz="8" w:space="0"/>
                  </w:tcBorders>
                  <w:vAlign w:val="center"/>
                </w:tcPr>
                <w:p w14:paraId="0BF5427B">
                  <w:pPr>
                    <w:widowControl/>
                    <w:spacing w:beforeAutospacing="1" w:afterAutospacing="1"/>
                    <w:jc w:val="left"/>
                    <w:rPr>
                      <w:rFonts w:hint="default" w:ascii="Times New Roman" w:hAnsi="Times New Roman" w:cs="Times New Roman"/>
                      <w:color w:val="auto"/>
                      <w:kern w:val="21"/>
                      <w:szCs w:val="21"/>
                      <w:highlight w:val="none"/>
                    </w:rPr>
                  </w:pPr>
                </w:p>
              </w:tc>
            </w:tr>
            <w:tr w14:paraId="7112D9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restart"/>
                  <w:tcBorders>
                    <w:top w:val="nil"/>
                    <w:left w:val="single" w:color="auto" w:sz="8" w:space="0"/>
                    <w:bottom w:val="single" w:color="auto" w:sz="4" w:space="0"/>
                    <w:right w:val="single" w:color="auto" w:sz="4" w:space="0"/>
                  </w:tcBorders>
                  <w:vAlign w:val="center"/>
                </w:tcPr>
                <w:p w14:paraId="14FA9358">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一般工业固废</w:t>
                  </w:r>
                </w:p>
              </w:tc>
              <w:tc>
                <w:tcPr>
                  <w:tcW w:w="548" w:type="pct"/>
                  <w:tcBorders>
                    <w:top w:val="single" w:color="auto" w:sz="4" w:space="0"/>
                    <w:left w:val="nil"/>
                    <w:bottom w:val="single" w:color="auto" w:sz="4" w:space="0"/>
                    <w:right w:val="single" w:color="auto" w:sz="4" w:space="0"/>
                  </w:tcBorders>
                  <w:vAlign w:val="center"/>
                </w:tcPr>
                <w:p w14:paraId="6BF3505D">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废反渗透膜</w:t>
                  </w:r>
                </w:p>
              </w:tc>
              <w:tc>
                <w:tcPr>
                  <w:tcW w:w="806" w:type="pct"/>
                  <w:tcBorders>
                    <w:top w:val="single" w:color="auto" w:sz="4" w:space="0"/>
                    <w:left w:val="nil"/>
                    <w:bottom w:val="single" w:color="auto" w:sz="4" w:space="0"/>
                    <w:right w:val="single" w:color="auto" w:sz="4" w:space="0"/>
                  </w:tcBorders>
                  <w:vAlign w:val="center"/>
                </w:tcPr>
                <w:p w14:paraId="705EDEDE">
                  <w:pPr>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w:t>
                  </w:r>
                </w:p>
              </w:tc>
              <w:tc>
                <w:tcPr>
                  <w:tcW w:w="870" w:type="pct"/>
                  <w:tcBorders>
                    <w:top w:val="single" w:color="auto" w:sz="4" w:space="0"/>
                    <w:left w:val="nil"/>
                    <w:bottom w:val="single" w:color="auto" w:sz="4" w:space="0"/>
                    <w:right w:val="single" w:color="auto" w:sz="4" w:space="0"/>
                  </w:tcBorders>
                  <w:vAlign w:val="center"/>
                </w:tcPr>
                <w:p w14:paraId="0298D7D3">
                  <w:pPr>
                    <w:jc w:val="center"/>
                    <w:rPr>
                      <w:rFonts w:hint="default" w:ascii="Times New Roman" w:hAnsi="Times New Roman" w:cs="Times New Roman"/>
                      <w:color w:val="auto"/>
                      <w:highlight w:val="none"/>
                    </w:rPr>
                  </w:pPr>
                  <w:r>
                    <w:rPr>
                      <w:rFonts w:hint="default" w:ascii="Times New Roman" w:hAnsi="Times New Roman" w:cs="Times New Roman"/>
                      <w:color w:val="auto"/>
                      <w:kern w:val="21"/>
                      <w:highlight w:val="none"/>
                    </w:rPr>
                    <w:t>0.5t/a</w:t>
                  </w:r>
                </w:p>
              </w:tc>
              <w:tc>
                <w:tcPr>
                  <w:tcW w:w="497" w:type="pct"/>
                  <w:tcBorders>
                    <w:top w:val="single" w:color="auto" w:sz="4" w:space="0"/>
                    <w:left w:val="nil"/>
                    <w:bottom w:val="single" w:color="auto" w:sz="4" w:space="0"/>
                    <w:right w:val="single" w:color="auto" w:sz="4" w:space="0"/>
                  </w:tcBorders>
                  <w:vAlign w:val="center"/>
                </w:tcPr>
                <w:p w14:paraId="3C9C5FCB">
                  <w:pPr>
                    <w:jc w:val="center"/>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5613B3AE">
                  <w:pPr>
                    <w:jc w:val="center"/>
                    <w:rPr>
                      <w:rFonts w:hint="default" w:ascii="Times New Roman" w:hAnsi="Times New Roman" w:cs="Times New Roman"/>
                      <w:color w:val="auto"/>
                      <w:highlight w:val="none"/>
                    </w:rPr>
                  </w:pPr>
                  <w:r>
                    <w:rPr>
                      <w:rFonts w:hint="default" w:ascii="Times New Roman" w:hAnsi="Times New Roman" w:cs="Times New Roman"/>
                      <w:color w:val="auto"/>
                      <w:kern w:val="21"/>
                      <w:highlight w:val="none"/>
                    </w:rPr>
                    <w:t>0.5t/a</w:t>
                  </w:r>
                </w:p>
              </w:tc>
              <w:tc>
                <w:tcPr>
                  <w:tcW w:w="738" w:type="pct"/>
                  <w:tcBorders>
                    <w:top w:val="single" w:color="auto" w:sz="4" w:space="0"/>
                    <w:left w:val="nil"/>
                    <w:bottom w:val="single" w:color="auto" w:sz="4" w:space="0"/>
                    <w:right w:val="single" w:color="auto" w:sz="8" w:space="0"/>
                  </w:tcBorders>
                  <w:vAlign w:val="center"/>
                </w:tcPr>
                <w:p w14:paraId="4CE10F40">
                  <w:pPr>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0.5t/a</w:t>
                  </w:r>
                </w:p>
              </w:tc>
            </w:tr>
            <w:tr w14:paraId="553D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vMerge w:val="continue"/>
                  <w:tcBorders>
                    <w:top w:val="nil"/>
                    <w:left w:val="single" w:color="auto" w:sz="8" w:space="0"/>
                    <w:bottom w:val="single" w:color="auto" w:sz="4" w:space="0"/>
                    <w:right w:val="single" w:color="auto" w:sz="4" w:space="0"/>
                  </w:tcBorders>
                  <w:vAlign w:val="center"/>
                </w:tcPr>
                <w:p w14:paraId="7B2CEA63">
                  <w:pPr>
                    <w:widowControl/>
                    <w:spacing w:beforeAutospacing="1" w:afterAutospacing="1"/>
                    <w:jc w:val="left"/>
                    <w:rPr>
                      <w:rFonts w:hint="default" w:ascii="Times New Roman" w:hAnsi="Times New Roman" w:cs="Times New Roman"/>
                      <w:color w:val="auto"/>
                      <w:kern w:val="21"/>
                      <w:szCs w:val="21"/>
                      <w:highlight w:val="none"/>
                    </w:rPr>
                  </w:pPr>
                </w:p>
              </w:tc>
              <w:tc>
                <w:tcPr>
                  <w:tcW w:w="548" w:type="pct"/>
                  <w:tcBorders>
                    <w:top w:val="single" w:color="auto" w:sz="4" w:space="0"/>
                    <w:left w:val="nil"/>
                    <w:bottom w:val="single" w:color="auto" w:sz="4" w:space="0"/>
                    <w:right w:val="single" w:color="auto" w:sz="4" w:space="0"/>
                  </w:tcBorders>
                  <w:vAlign w:val="center"/>
                </w:tcPr>
                <w:p w14:paraId="0528E176">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化粪池污泥</w:t>
                  </w:r>
                </w:p>
              </w:tc>
              <w:tc>
                <w:tcPr>
                  <w:tcW w:w="806" w:type="pct"/>
                  <w:tcBorders>
                    <w:top w:val="single" w:color="auto" w:sz="4" w:space="0"/>
                    <w:left w:val="nil"/>
                    <w:bottom w:val="single" w:color="auto" w:sz="4" w:space="0"/>
                    <w:right w:val="single" w:color="auto" w:sz="4" w:space="0"/>
                  </w:tcBorders>
                  <w:vAlign w:val="center"/>
                </w:tcPr>
                <w:p w14:paraId="0C5E2B56">
                  <w:pPr>
                    <w:jc w:val="center"/>
                    <w:rPr>
                      <w:rFonts w:hint="default" w:ascii="Times New Roman" w:hAnsi="Times New Roman" w:cs="Times New Roman"/>
                      <w:color w:val="auto"/>
                      <w:kern w:val="21"/>
                      <w:highlight w:val="none"/>
                    </w:rPr>
                  </w:pPr>
                  <w:r>
                    <w:rPr>
                      <w:rFonts w:hint="default" w:ascii="Times New Roman" w:hAnsi="Times New Roman" w:cs="Times New Roman"/>
                      <w:color w:val="auto"/>
                      <w:highlight w:val="none"/>
                    </w:rPr>
                    <w:t>0.064</w:t>
                  </w:r>
                  <w:r>
                    <w:rPr>
                      <w:rFonts w:hint="default" w:ascii="Times New Roman" w:hAnsi="Times New Roman" w:cs="Times New Roman"/>
                      <w:color w:val="auto"/>
                      <w:kern w:val="21"/>
                      <w:highlight w:val="none"/>
                    </w:rPr>
                    <w:t>t/a</w:t>
                  </w:r>
                </w:p>
              </w:tc>
              <w:tc>
                <w:tcPr>
                  <w:tcW w:w="870" w:type="pct"/>
                  <w:tcBorders>
                    <w:top w:val="single" w:color="auto" w:sz="4" w:space="0"/>
                    <w:left w:val="nil"/>
                    <w:bottom w:val="single" w:color="auto" w:sz="4" w:space="0"/>
                    <w:right w:val="single" w:color="auto" w:sz="4" w:space="0"/>
                  </w:tcBorders>
                  <w:vAlign w:val="center"/>
                </w:tcPr>
                <w:p w14:paraId="13B12FF4">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497" w:type="pct"/>
                  <w:tcBorders>
                    <w:top w:val="single" w:color="auto" w:sz="4" w:space="0"/>
                    <w:left w:val="nil"/>
                    <w:bottom w:val="single" w:color="auto" w:sz="4" w:space="0"/>
                    <w:right w:val="single" w:color="auto" w:sz="4" w:space="0"/>
                  </w:tcBorders>
                  <w:vAlign w:val="center"/>
                </w:tcPr>
                <w:p w14:paraId="0F894F7A">
                  <w:pPr>
                    <w:jc w:val="center"/>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4" w:space="0"/>
                    <w:right w:val="single" w:color="auto" w:sz="4" w:space="0"/>
                  </w:tcBorders>
                  <w:vAlign w:val="center"/>
                </w:tcPr>
                <w:p w14:paraId="21BAB8C4">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0.064</w:t>
                  </w:r>
                  <w:r>
                    <w:rPr>
                      <w:rFonts w:hint="default" w:ascii="Times New Roman" w:hAnsi="Times New Roman" w:cs="Times New Roman"/>
                      <w:color w:val="auto"/>
                      <w:kern w:val="21"/>
                      <w:highlight w:val="none"/>
                    </w:rPr>
                    <w:t>t/a</w:t>
                  </w:r>
                </w:p>
              </w:tc>
              <w:tc>
                <w:tcPr>
                  <w:tcW w:w="738" w:type="pct"/>
                  <w:tcBorders>
                    <w:top w:val="single" w:color="auto" w:sz="4" w:space="0"/>
                    <w:left w:val="nil"/>
                    <w:bottom w:val="single" w:color="auto" w:sz="4" w:space="0"/>
                    <w:right w:val="single" w:color="auto" w:sz="8" w:space="0"/>
                  </w:tcBorders>
                  <w:vAlign w:val="center"/>
                </w:tcPr>
                <w:p w14:paraId="134EE895">
                  <w:pPr>
                    <w:jc w:val="center"/>
                    <w:rPr>
                      <w:rFonts w:hint="default" w:ascii="Times New Roman" w:hAnsi="Times New Roman" w:cs="Times New Roman"/>
                      <w:color w:val="auto"/>
                      <w:kern w:val="21"/>
                      <w:highlight w:val="none"/>
                    </w:rPr>
                  </w:pPr>
                  <w:r>
                    <w:rPr>
                      <w:rFonts w:hint="default" w:ascii="Times New Roman" w:hAnsi="Times New Roman" w:cs="Times New Roman"/>
                      <w:color w:val="auto"/>
                      <w:highlight w:val="none"/>
                    </w:rPr>
                    <w:t>0</w:t>
                  </w:r>
                </w:p>
              </w:tc>
            </w:tr>
            <w:tr w14:paraId="4F344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40" w:type="pct"/>
                  <w:tcBorders>
                    <w:top w:val="single" w:color="auto" w:sz="4" w:space="0"/>
                    <w:left w:val="single" w:color="auto" w:sz="8" w:space="0"/>
                    <w:bottom w:val="single" w:color="auto" w:sz="8" w:space="0"/>
                    <w:right w:val="single" w:color="auto" w:sz="4" w:space="0"/>
                  </w:tcBorders>
                  <w:vAlign w:val="center"/>
                </w:tcPr>
                <w:p w14:paraId="3C1D3F08">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生活</w:t>
                  </w:r>
                </w:p>
                <w:p w14:paraId="302BB08E">
                  <w:pPr>
                    <w:pStyle w:val="66"/>
                    <w:widowControl/>
                    <w:spacing w:before="24" w:after="24"/>
                    <w:ind w:firstLine="0" w:firstLineChars="0"/>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垃圾</w:t>
                  </w:r>
                </w:p>
              </w:tc>
              <w:tc>
                <w:tcPr>
                  <w:tcW w:w="548" w:type="pct"/>
                  <w:tcBorders>
                    <w:top w:val="single" w:color="auto" w:sz="4" w:space="0"/>
                    <w:left w:val="nil"/>
                    <w:bottom w:val="single" w:color="auto" w:sz="8" w:space="0"/>
                    <w:right w:val="single" w:color="auto" w:sz="4" w:space="0"/>
                  </w:tcBorders>
                  <w:vAlign w:val="center"/>
                </w:tcPr>
                <w:p w14:paraId="48832B4B">
                  <w:pPr>
                    <w:spacing w:line="240" w:lineRule="exact"/>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生活</w:t>
                  </w:r>
                </w:p>
                <w:p w14:paraId="1720FB53">
                  <w:pPr>
                    <w:spacing w:line="240" w:lineRule="exact"/>
                    <w:jc w:val="center"/>
                    <w:rPr>
                      <w:rFonts w:hint="default" w:ascii="Times New Roman" w:hAnsi="Times New Roman" w:cs="Times New Roman"/>
                      <w:color w:val="auto"/>
                      <w:highlight w:val="none"/>
                    </w:rPr>
                  </w:pPr>
                  <w:r>
                    <w:rPr>
                      <w:rFonts w:hint="default" w:ascii="Times New Roman" w:hAnsi="Times New Roman" w:cs="Times New Roman"/>
                      <w:color w:val="auto"/>
                      <w:kern w:val="21"/>
                      <w:highlight w:val="none"/>
                    </w:rPr>
                    <w:t>垃圾</w:t>
                  </w:r>
                </w:p>
              </w:tc>
              <w:tc>
                <w:tcPr>
                  <w:tcW w:w="806" w:type="pct"/>
                  <w:tcBorders>
                    <w:top w:val="single" w:color="auto" w:sz="4" w:space="0"/>
                    <w:left w:val="nil"/>
                    <w:bottom w:val="single" w:color="auto" w:sz="8" w:space="0"/>
                    <w:right w:val="single" w:color="auto" w:sz="4" w:space="0"/>
                  </w:tcBorders>
                  <w:vAlign w:val="center"/>
                </w:tcPr>
                <w:p w14:paraId="67565A6B">
                  <w:pPr>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7.45t/a</w:t>
                  </w:r>
                </w:p>
              </w:tc>
              <w:tc>
                <w:tcPr>
                  <w:tcW w:w="870" w:type="pct"/>
                  <w:tcBorders>
                    <w:top w:val="single" w:color="auto" w:sz="4" w:space="0"/>
                    <w:left w:val="nil"/>
                    <w:bottom w:val="single" w:color="auto" w:sz="8" w:space="0"/>
                    <w:right w:val="single" w:color="auto" w:sz="4" w:space="0"/>
                  </w:tcBorders>
                  <w:vAlign w:val="center"/>
                </w:tcPr>
                <w:p w14:paraId="76D7AEB5">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497" w:type="pct"/>
                  <w:tcBorders>
                    <w:top w:val="single" w:color="auto" w:sz="4" w:space="0"/>
                    <w:left w:val="nil"/>
                    <w:bottom w:val="single" w:color="auto" w:sz="8" w:space="0"/>
                    <w:right w:val="single" w:color="auto" w:sz="4" w:space="0"/>
                  </w:tcBorders>
                  <w:vAlign w:val="center"/>
                </w:tcPr>
                <w:p w14:paraId="4B564EEA">
                  <w:pPr>
                    <w:jc w:val="center"/>
                    <w:rPr>
                      <w:rFonts w:hint="default" w:ascii="Times New Roman" w:hAnsi="Times New Roman" w:cs="Times New Roman"/>
                      <w:color w:val="auto"/>
                      <w:kern w:val="21"/>
                      <w:highlight w:val="none"/>
                    </w:rPr>
                  </w:pPr>
                </w:p>
              </w:tc>
              <w:tc>
                <w:tcPr>
                  <w:tcW w:w="1002" w:type="pct"/>
                  <w:tcBorders>
                    <w:top w:val="single" w:color="auto" w:sz="4" w:space="0"/>
                    <w:left w:val="nil"/>
                    <w:bottom w:val="single" w:color="auto" w:sz="8" w:space="0"/>
                    <w:right w:val="single" w:color="auto" w:sz="4" w:space="0"/>
                  </w:tcBorders>
                  <w:vAlign w:val="center"/>
                </w:tcPr>
                <w:p w14:paraId="491E35E8">
                  <w:pPr>
                    <w:jc w:val="center"/>
                    <w:rPr>
                      <w:rFonts w:hint="default" w:ascii="Times New Roman" w:hAnsi="Times New Roman" w:cs="Times New Roman"/>
                      <w:color w:val="auto"/>
                      <w:highlight w:val="none"/>
                    </w:rPr>
                  </w:pPr>
                  <w:r>
                    <w:rPr>
                      <w:rFonts w:hint="default" w:ascii="Times New Roman" w:hAnsi="Times New Roman" w:cs="Times New Roman"/>
                      <w:color w:val="auto"/>
                      <w:kern w:val="21"/>
                      <w:highlight w:val="none"/>
                    </w:rPr>
                    <w:t>7.45t/a</w:t>
                  </w:r>
                </w:p>
              </w:tc>
              <w:tc>
                <w:tcPr>
                  <w:tcW w:w="738" w:type="pct"/>
                  <w:tcBorders>
                    <w:top w:val="single" w:color="auto" w:sz="4" w:space="0"/>
                    <w:left w:val="nil"/>
                    <w:bottom w:val="single" w:color="auto" w:sz="8" w:space="0"/>
                    <w:right w:val="single" w:color="auto" w:sz="8" w:space="0"/>
                  </w:tcBorders>
                  <w:vAlign w:val="center"/>
                </w:tcPr>
                <w:p w14:paraId="2706E963">
                  <w:pPr>
                    <w:spacing w:line="240" w:lineRule="exact"/>
                    <w:jc w:val="center"/>
                    <w:rPr>
                      <w:rFonts w:hint="default" w:ascii="Times New Roman" w:hAnsi="Times New Roman" w:cs="Times New Roman"/>
                      <w:color w:val="auto"/>
                      <w:kern w:val="21"/>
                      <w:highlight w:val="none"/>
                    </w:rPr>
                  </w:pPr>
                  <w:r>
                    <w:rPr>
                      <w:rFonts w:hint="default" w:ascii="Times New Roman" w:hAnsi="Times New Roman" w:cs="Times New Roman"/>
                      <w:color w:val="auto"/>
                      <w:kern w:val="21"/>
                      <w:highlight w:val="none"/>
                    </w:rPr>
                    <w:t>0</w:t>
                  </w:r>
                </w:p>
              </w:tc>
            </w:tr>
          </w:tbl>
          <w:p w14:paraId="6C199850">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3E888A12">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2DC8E8CE">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4D070094">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63CC7858">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3D4114CD">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15B56E92">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4C16C48C">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1D75474F">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0E030E8A">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6EB5B486">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1B07B34B">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0B05498D">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612DB334">
            <w:pPr>
              <w:pStyle w:val="22"/>
              <w:numPr>
                <w:ilvl w:val="0"/>
                <w:numId w:val="0"/>
              </w:numPr>
              <w:spacing w:line="360" w:lineRule="auto"/>
              <w:ind w:firstLine="480" w:firstLineChars="200"/>
              <w:rPr>
                <w:rFonts w:hint="default" w:ascii="Times New Roman" w:hAnsi="Times New Roman" w:cs="Times New Roman"/>
                <w:color w:val="auto"/>
                <w:sz w:val="24"/>
                <w:highlight w:val="none"/>
              </w:rPr>
            </w:pPr>
          </w:p>
          <w:p w14:paraId="0702554C">
            <w:pPr>
              <w:pStyle w:val="22"/>
              <w:numPr>
                <w:ilvl w:val="0"/>
                <w:numId w:val="0"/>
              </w:numPr>
              <w:spacing w:line="360" w:lineRule="auto"/>
              <w:rPr>
                <w:rFonts w:hint="default" w:ascii="Times New Roman" w:hAnsi="Times New Roman" w:cs="Times New Roman"/>
                <w:bCs/>
                <w:color w:val="auto"/>
                <w:sz w:val="24"/>
                <w:highlight w:val="none"/>
              </w:rPr>
            </w:pPr>
          </w:p>
        </w:tc>
      </w:tr>
    </w:tbl>
    <w:p w14:paraId="59CDB466">
      <w:pPr>
        <w:pStyle w:val="28"/>
        <w:jc w:val="center"/>
        <w:rPr>
          <w:rFonts w:hint="default" w:ascii="Times New Roman" w:hAnsi="Times New Roman" w:eastAsia="黑体" w:cs="Times New Roman"/>
          <w:snapToGrid w:val="0"/>
          <w:color w:val="auto"/>
          <w:sz w:val="36"/>
          <w:szCs w:val="36"/>
          <w:highlight w:val="none"/>
        </w:rPr>
        <w:sectPr>
          <w:pgSz w:w="11906" w:h="16838"/>
          <w:pgMar w:top="1361" w:right="1361" w:bottom="1361" w:left="1361" w:header="851" w:footer="851" w:gutter="0"/>
          <w:cols w:space="720" w:num="1"/>
          <w:docGrid w:linePitch="312" w:charSpace="0"/>
        </w:sectPr>
      </w:pPr>
    </w:p>
    <w:p w14:paraId="5587EB7D">
      <w:pPr>
        <w:pStyle w:val="28"/>
        <w:adjustRightInd w:val="0"/>
        <w:snapToGrid w:val="0"/>
        <w:spacing w:before="0" w:beforeAutospacing="0" w:after="0" w:afterAutospacing="0" w:line="14" w:lineRule="auto"/>
        <w:jc w:val="center"/>
        <w:rPr>
          <w:rFonts w:hint="default" w:ascii="Times New Roman" w:hAnsi="Times New Roman" w:eastAsia="黑体" w:cs="Times New Roman"/>
          <w:snapToGrid w:val="0"/>
          <w:color w:val="auto"/>
          <w:sz w:val="30"/>
          <w:szCs w:val="30"/>
          <w:highlight w:val="none"/>
        </w:rPr>
      </w:pPr>
    </w:p>
    <w:p w14:paraId="5A61F8F8">
      <w:pPr>
        <w:pStyle w:val="28"/>
        <w:jc w:val="center"/>
        <w:outlineLvl w:val="0"/>
        <w:rPr>
          <w:rFonts w:hint="default" w:ascii="Times New Roman" w:hAnsi="Times New Roman" w:cs="Times New Roman"/>
          <w:b/>
          <w:snapToGrid w:val="0"/>
          <w:color w:val="auto"/>
          <w:sz w:val="30"/>
          <w:szCs w:val="30"/>
          <w:highlight w:val="none"/>
        </w:rPr>
      </w:pPr>
      <w:bookmarkStart w:id="9" w:name="_Toc221181286"/>
      <w:r>
        <w:rPr>
          <w:rFonts w:hint="default" w:ascii="Times New Roman" w:hAnsi="Times New Roman" w:cs="Times New Roman"/>
          <w:b/>
          <w:snapToGrid w:val="0"/>
          <w:color w:val="auto"/>
          <w:sz w:val="30"/>
          <w:szCs w:val="30"/>
          <w:highlight w:val="none"/>
        </w:rPr>
        <w:t>三、区域环境质量现状、环境保护目标及评价标准</w:t>
      </w:r>
      <w:bookmarkEnd w:id="9"/>
    </w:p>
    <w:tbl>
      <w:tblPr>
        <w:tblStyle w:val="33"/>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8703"/>
      </w:tblGrid>
      <w:tr w14:paraId="2FFAEF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82" w:hRule="atLeast"/>
          <w:jc w:val="center"/>
        </w:trPr>
        <w:tc>
          <w:tcPr>
            <w:tcW w:w="370" w:type="pct"/>
            <w:vAlign w:val="center"/>
          </w:tcPr>
          <w:p w14:paraId="7B9924C5">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区域</w:t>
            </w:r>
          </w:p>
          <w:p w14:paraId="3D24A23C">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环境</w:t>
            </w:r>
          </w:p>
          <w:p w14:paraId="4170BDA0">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质量</w:t>
            </w:r>
          </w:p>
          <w:p w14:paraId="1D277732">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现状</w:t>
            </w:r>
          </w:p>
        </w:tc>
        <w:tc>
          <w:tcPr>
            <w:tcW w:w="4629" w:type="pct"/>
            <w:vAlign w:val="center"/>
          </w:tcPr>
          <w:p w14:paraId="0E148B5D">
            <w:pPr>
              <w:pStyle w:val="10"/>
              <w:ind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3.1 区域环境质量现状</w:t>
            </w:r>
          </w:p>
          <w:p w14:paraId="45332C3A">
            <w:pPr>
              <w:pStyle w:val="10"/>
              <w:ind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3.1.1 环境空气质量现状</w:t>
            </w:r>
          </w:p>
          <w:p w14:paraId="573484CF">
            <w:pPr>
              <w:pStyle w:val="19"/>
              <w:spacing w:line="360" w:lineRule="auto"/>
              <w:ind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1、环境空气功能区划及执行标准</w:t>
            </w:r>
          </w:p>
          <w:p w14:paraId="14D7EDF1">
            <w:pPr>
              <w:pStyle w:val="19"/>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项目位于云南省玉溪市华宁县东风路与松山路交叉路口，根据大气环境功能区划，属于《环境空气质量标准》（GB3095-20</w:t>
            </w:r>
            <w:r>
              <w:rPr>
                <w:rFonts w:hint="default" w:ascii="Times New Roman" w:hAnsi="Times New Roman" w:cs="Times New Roman"/>
                <w:color w:val="auto"/>
                <w:kern w:val="0"/>
                <w:sz w:val="24"/>
                <w:highlight w:val="none"/>
                <w:lang w:val="en-US" w:eastAsia="zh-CN"/>
              </w:rPr>
              <w:t>26</w:t>
            </w:r>
            <w:r>
              <w:rPr>
                <w:rFonts w:hint="default" w:ascii="Times New Roman" w:hAnsi="Times New Roman" w:cs="Times New Roman"/>
                <w:color w:val="auto"/>
                <w:kern w:val="0"/>
                <w:sz w:val="24"/>
                <w:highlight w:val="none"/>
              </w:rPr>
              <w:t>）二类功能区，执行《环境空气质量标准》（GB3095-20</w:t>
            </w:r>
            <w:r>
              <w:rPr>
                <w:rFonts w:hint="default" w:ascii="Times New Roman" w:hAnsi="Times New Roman" w:cs="Times New Roman"/>
                <w:color w:val="auto"/>
                <w:kern w:val="0"/>
                <w:sz w:val="24"/>
                <w:highlight w:val="none"/>
                <w:lang w:val="en-US" w:eastAsia="zh-CN"/>
              </w:rPr>
              <w:t>26</w:t>
            </w:r>
            <w:r>
              <w:rPr>
                <w:rFonts w:hint="default" w:ascii="Times New Roman" w:hAnsi="Times New Roman" w:cs="Times New Roman"/>
                <w:color w:val="auto"/>
                <w:kern w:val="0"/>
                <w:sz w:val="24"/>
                <w:highlight w:val="none"/>
              </w:rPr>
              <w:t>）二级标准。</w:t>
            </w:r>
          </w:p>
          <w:p w14:paraId="3ACFE9E1">
            <w:pPr>
              <w:pStyle w:val="19"/>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2、环境空气质量现状</w:t>
            </w:r>
          </w:p>
          <w:p w14:paraId="554C2079">
            <w:pPr>
              <w:pStyle w:val="19"/>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本次引用生态环境部门在本项目东南侧723m处华宁县宁州镇示范小学设置的环境空气质量自动监测站2024年的六项基本污染物监测数据进行评价，监测数据统计如下：</w:t>
            </w:r>
          </w:p>
          <w:p w14:paraId="6486A396">
            <w:pPr>
              <w:pStyle w:val="19"/>
              <w:spacing w:before="120" w:beforeLines="50"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表3-1 区域空气质量现状评价表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3"/>
              <w:gridCol w:w="2644"/>
              <w:gridCol w:w="1297"/>
              <w:gridCol w:w="1297"/>
              <w:gridCol w:w="1286"/>
              <w:gridCol w:w="917"/>
            </w:tblGrid>
            <w:tr w14:paraId="336D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Align w:val="center"/>
                </w:tcPr>
                <w:p w14:paraId="1C3EA555">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污染物</w:t>
                  </w:r>
                </w:p>
              </w:tc>
              <w:tc>
                <w:tcPr>
                  <w:tcW w:w="1560" w:type="pct"/>
                  <w:vAlign w:val="center"/>
                </w:tcPr>
                <w:p w14:paraId="2A5980AD">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年评价指标</w:t>
                  </w:r>
                </w:p>
              </w:tc>
              <w:tc>
                <w:tcPr>
                  <w:tcW w:w="765" w:type="pct"/>
                  <w:vAlign w:val="center"/>
                </w:tcPr>
                <w:p w14:paraId="46AA3BAC">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现状浓度（µg/m</w:t>
                  </w:r>
                  <w:r>
                    <w:rPr>
                      <w:rFonts w:hint="default" w:ascii="Times New Roman" w:hAnsi="Times New Roman" w:cs="Times New Roman"/>
                      <w:color w:val="auto"/>
                      <w:kern w:val="0"/>
                      <w:sz w:val="21"/>
                      <w:szCs w:val="21"/>
                      <w:highlight w:val="none"/>
                      <w:vertAlign w:val="superscript"/>
                    </w:rPr>
                    <w:t>3</w:t>
                  </w:r>
                  <w:r>
                    <w:rPr>
                      <w:rFonts w:hint="default" w:ascii="Times New Roman" w:hAnsi="Times New Roman" w:cs="Times New Roman"/>
                      <w:color w:val="auto"/>
                      <w:kern w:val="0"/>
                      <w:sz w:val="21"/>
                      <w:szCs w:val="21"/>
                      <w:highlight w:val="none"/>
                    </w:rPr>
                    <w:t>）</w:t>
                  </w:r>
                </w:p>
              </w:tc>
              <w:tc>
                <w:tcPr>
                  <w:tcW w:w="765" w:type="pct"/>
                  <w:vAlign w:val="center"/>
                </w:tcPr>
                <w:p w14:paraId="0BC012A0">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标准值（µg/m</w:t>
                  </w:r>
                  <w:r>
                    <w:rPr>
                      <w:rFonts w:hint="default" w:ascii="Times New Roman" w:hAnsi="Times New Roman" w:cs="Times New Roman"/>
                      <w:color w:val="auto"/>
                      <w:kern w:val="0"/>
                      <w:sz w:val="21"/>
                      <w:szCs w:val="21"/>
                      <w:highlight w:val="none"/>
                      <w:vertAlign w:val="superscript"/>
                    </w:rPr>
                    <w:t>3</w:t>
                  </w:r>
                  <w:r>
                    <w:rPr>
                      <w:rFonts w:hint="default" w:ascii="Times New Roman" w:hAnsi="Times New Roman" w:cs="Times New Roman"/>
                      <w:color w:val="auto"/>
                      <w:kern w:val="0"/>
                      <w:sz w:val="21"/>
                      <w:szCs w:val="21"/>
                      <w:highlight w:val="none"/>
                    </w:rPr>
                    <w:t>）</w:t>
                  </w:r>
                </w:p>
              </w:tc>
              <w:tc>
                <w:tcPr>
                  <w:tcW w:w="759" w:type="pct"/>
                  <w:vAlign w:val="center"/>
                </w:tcPr>
                <w:p w14:paraId="62972F22">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占标率/%</w:t>
                  </w:r>
                </w:p>
              </w:tc>
              <w:tc>
                <w:tcPr>
                  <w:tcW w:w="539" w:type="pct"/>
                  <w:vAlign w:val="center"/>
                </w:tcPr>
                <w:p w14:paraId="5CF80F3B">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达标情况</w:t>
                  </w:r>
                </w:p>
              </w:tc>
            </w:tr>
            <w:tr w14:paraId="3555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restart"/>
                  <w:vAlign w:val="center"/>
                </w:tcPr>
                <w:p w14:paraId="7DD03AB1">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SO</w:t>
                  </w:r>
                  <w:r>
                    <w:rPr>
                      <w:rFonts w:hint="default" w:ascii="Times New Roman" w:hAnsi="Times New Roman" w:cs="Times New Roman"/>
                      <w:color w:val="auto"/>
                      <w:kern w:val="0"/>
                      <w:sz w:val="21"/>
                      <w:szCs w:val="21"/>
                      <w:highlight w:val="none"/>
                      <w:vertAlign w:val="subscript"/>
                    </w:rPr>
                    <w:t>2</w:t>
                  </w:r>
                </w:p>
              </w:tc>
              <w:tc>
                <w:tcPr>
                  <w:tcW w:w="2455" w:type="dxa"/>
                  <w:vAlign w:val="center"/>
                </w:tcPr>
                <w:p w14:paraId="386898BB">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年平均质量浓度</w:t>
                  </w:r>
                </w:p>
              </w:tc>
              <w:tc>
                <w:tcPr>
                  <w:tcW w:w="1204" w:type="dxa"/>
                  <w:vAlign w:val="center"/>
                </w:tcPr>
                <w:p w14:paraId="1FB7FE4D">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 w:val="21"/>
                      <w:szCs w:val="21"/>
                      <w:lang w:val="en-US" w:eastAsia="zh-CN"/>
                    </w:rPr>
                    <w:t>12.76</w:t>
                  </w:r>
                </w:p>
              </w:tc>
              <w:tc>
                <w:tcPr>
                  <w:tcW w:w="1204" w:type="dxa"/>
                  <w:vAlign w:val="center"/>
                </w:tcPr>
                <w:p w14:paraId="70A38492">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1"/>
                      <w:szCs w:val="21"/>
                    </w:rPr>
                    <w:t>60</w:t>
                  </w:r>
                </w:p>
              </w:tc>
              <w:tc>
                <w:tcPr>
                  <w:tcW w:w="1195" w:type="dxa"/>
                  <w:vAlign w:val="center"/>
                </w:tcPr>
                <w:p w14:paraId="4C21C282">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21.27 </w:t>
                  </w:r>
                </w:p>
              </w:tc>
              <w:tc>
                <w:tcPr>
                  <w:tcW w:w="539" w:type="pct"/>
                  <w:vAlign w:val="center"/>
                </w:tcPr>
                <w:p w14:paraId="462FDD9A">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6B217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14:paraId="2148ED03">
                  <w:pPr>
                    <w:pStyle w:val="19"/>
                    <w:spacing w:line="240" w:lineRule="auto"/>
                    <w:jc w:val="center"/>
                    <w:rPr>
                      <w:rFonts w:hint="default" w:ascii="Times New Roman" w:hAnsi="Times New Roman" w:cs="Times New Roman"/>
                      <w:color w:val="auto"/>
                      <w:kern w:val="0"/>
                      <w:sz w:val="21"/>
                      <w:szCs w:val="21"/>
                      <w:highlight w:val="none"/>
                    </w:rPr>
                  </w:pPr>
                </w:p>
              </w:tc>
              <w:tc>
                <w:tcPr>
                  <w:tcW w:w="2455" w:type="dxa"/>
                  <w:vAlign w:val="center"/>
                </w:tcPr>
                <w:p w14:paraId="05B95646">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24h平均第98百分位数</w:t>
                  </w:r>
                </w:p>
              </w:tc>
              <w:tc>
                <w:tcPr>
                  <w:tcW w:w="1204" w:type="dxa"/>
                  <w:vAlign w:val="center"/>
                </w:tcPr>
                <w:p w14:paraId="322F682A">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 w:val="21"/>
                      <w:szCs w:val="21"/>
                      <w:lang w:val="en-US" w:eastAsia="zh-CN"/>
                    </w:rPr>
                    <w:t>34</w:t>
                  </w:r>
                </w:p>
              </w:tc>
              <w:tc>
                <w:tcPr>
                  <w:tcW w:w="1204" w:type="dxa"/>
                  <w:vAlign w:val="center"/>
                </w:tcPr>
                <w:p w14:paraId="5FBBD797">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1"/>
                      <w:szCs w:val="21"/>
                    </w:rPr>
                    <w:t>150</w:t>
                  </w:r>
                </w:p>
              </w:tc>
              <w:tc>
                <w:tcPr>
                  <w:tcW w:w="1195" w:type="dxa"/>
                  <w:vAlign w:val="center"/>
                </w:tcPr>
                <w:p w14:paraId="444AAEDF">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22.67 </w:t>
                  </w:r>
                </w:p>
              </w:tc>
              <w:tc>
                <w:tcPr>
                  <w:tcW w:w="539" w:type="pct"/>
                  <w:vAlign w:val="center"/>
                </w:tcPr>
                <w:p w14:paraId="002373E3">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0960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restart"/>
                  <w:vAlign w:val="center"/>
                </w:tcPr>
                <w:p w14:paraId="7E747C34">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NO</w:t>
                  </w:r>
                  <w:r>
                    <w:rPr>
                      <w:rFonts w:hint="default" w:ascii="Times New Roman" w:hAnsi="Times New Roman" w:cs="Times New Roman"/>
                      <w:color w:val="auto"/>
                      <w:kern w:val="0"/>
                      <w:sz w:val="21"/>
                      <w:szCs w:val="21"/>
                      <w:highlight w:val="none"/>
                      <w:vertAlign w:val="subscript"/>
                    </w:rPr>
                    <w:t>2</w:t>
                  </w:r>
                </w:p>
              </w:tc>
              <w:tc>
                <w:tcPr>
                  <w:tcW w:w="2455" w:type="dxa"/>
                  <w:vAlign w:val="center"/>
                </w:tcPr>
                <w:p w14:paraId="55CDDD63">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年平均质量浓度</w:t>
                  </w:r>
                </w:p>
              </w:tc>
              <w:tc>
                <w:tcPr>
                  <w:tcW w:w="1204" w:type="dxa"/>
                  <w:vAlign w:val="center"/>
                </w:tcPr>
                <w:p w14:paraId="55B2FA9A">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 w:val="21"/>
                      <w:szCs w:val="21"/>
                      <w:lang w:val="en-US" w:eastAsia="zh-CN"/>
                    </w:rPr>
                    <w:t>16.41</w:t>
                  </w:r>
                </w:p>
              </w:tc>
              <w:tc>
                <w:tcPr>
                  <w:tcW w:w="1204" w:type="dxa"/>
                  <w:vAlign w:val="center"/>
                </w:tcPr>
                <w:p w14:paraId="4E44C567">
                  <w:pPr>
                    <w:widowControl w:val="0"/>
                    <w:adjustRightInd w:val="0"/>
                    <w:snapToGrid w:val="0"/>
                    <w:spacing w:before="31" w:beforeLines="10" w:after="31" w:afterLines="10"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2"/>
                      <w:sz w:val="21"/>
                      <w:szCs w:val="21"/>
                      <w:lang w:val="en-US" w:eastAsia="zh-CN" w:bidi="ar-SA"/>
                    </w:rPr>
                    <w:t>40</w:t>
                  </w:r>
                </w:p>
              </w:tc>
              <w:tc>
                <w:tcPr>
                  <w:tcW w:w="1195" w:type="dxa"/>
                  <w:vAlign w:val="center"/>
                </w:tcPr>
                <w:p w14:paraId="3F55E9FE">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41.03 </w:t>
                  </w:r>
                </w:p>
              </w:tc>
              <w:tc>
                <w:tcPr>
                  <w:tcW w:w="539" w:type="pct"/>
                  <w:vAlign w:val="center"/>
                </w:tcPr>
                <w:p w14:paraId="5DFE8C7D">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4344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14:paraId="565DD978">
                  <w:pPr>
                    <w:pStyle w:val="19"/>
                    <w:spacing w:line="240" w:lineRule="auto"/>
                    <w:jc w:val="center"/>
                    <w:rPr>
                      <w:rFonts w:hint="default" w:ascii="Times New Roman" w:hAnsi="Times New Roman" w:cs="Times New Roman"/>
                      <w:color w:val="auto"/>
                      <w:kern w:val="0"/>
                      <w:sz w:val="21"/>
                      <w:szCs w:val="21"/>
                      <w:highlight w:val="none"/>
                    </w:rPr>
                  </w:pPr>
                </w:p>
              </w:tc>
              <w:tc>
                <w:tcPr>
                  <w:tcW w:w="2455" w:type="dxa"/>
                  <w:vAlign w:val="center"/>
                </w:tcPr>
                <w:p w14:paraId="696CB811">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24h平均第98百分位数</w:t>
                  </w:r>
                </w:p>
              </w:tc>
              <w:tc>
                <w:tcPr>
                  <w:tcW w:w="1204" w:type="dxa"/>
                  <w:vAlign w:val="center"/>
                </w:tcPr>
                <w:p w14:paraId="0ADE5E76">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1"/>
                      <w:szCs w:val="21"/>
                    </w:rPr>
                    <w:t>25</w:t>
                  </w:r>
                </w:p>
              </w:tc>
              <w:tc>
                <w:tcPr>
                  <w:tcW w:w="1204" w:type="dxa"/>
                  <w:vAlign w:val="center"/>
                </w:tcPr>
                <w:p w14:paraId="0FDA9921">
                  <w:pPr>
                    <w:widowControl w:val="0"/>
                    <w:adjustRightInd w:val="0"/>
                    <w:snapToGrid w:val="0"/>
                    <w:spacing w:before="31" w:beforeLines="10" w:after="31" w:afterLines="10"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2"/>
                      <w:sz w:val="21"/>
                      <w:szCs w:val="21"/>
                      <w:lang w:val="en-US" w:eastAsia="zh-CN" w:bidi="ar-SA"/>
                    </w:rPr>
                    <w:t>80</w:t>
                  </w:r>
                </w:p>
              </w:tc>
              <w:tc>
                <w:tcPr>
                  <w:tcW w:w="1195" w:type="dxa"/>
                  <w:vAlign w:val="center"/>
                </w:tcPr>
                <w:p w14:paraId="50314CAC">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31.25 </w:t>
                  </w:r>
                </w:p>
              </w:tc>
              <w:tc>
                <w:tcPr>
                  <w:tcW w:w="539" w:type="pct"/>
                  <w:vAlign w:val="center"/>
                </w:tcPr>
                <w:p w14:paraId="0E57397B">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75DEA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restart"/>
                  <w:vAlign w:val="center"/>
                </w:tcPr>
                <w:p w14:paraId="42557932">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PM</w:t>
                  </w:r>
                  <w:r>
                    <w:rPr>
                      <w:rFonts w:hint="default" w:ascii="Times New Roman" w:hAnsi="Times New Roman" w:cs="Times New Roman"/>
                      <w:color w:val="auto"/>
                      <w:kern w:val="0"/>
                      <w:sz w:val="21"/>
                      <w:szCs w:val="21"/>
                      <w:highlight w:val="none"/>
                      <w:vertAlign w:val="subscript"/>
                    </w:rPr>
                    <w:t>10</w:t>
                  </w:r>
                </w:p>
              </w:tc>
              <w:tc>
                <w:tcPr>
                  <w:tcW w:w="2455" w:type="dxa"/>
                  <w:vAlign w:val="center"/>
                </w:tcPr>
                <w:p w14:paraId="64175984">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年平均质量浓度</w:t>
                  </w:r>
                </w:p>
              </w:tc>
              <w:tc>
                <w:tcPr>
                  <w:tcW w:w="1204" w:type="dxa"/>
                  <w:vAlign w:val="center"/>
                </w:tcPr>
                <w:p w14:paraId="6ED1FB6F">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 w:val="21"/>
                      <w:szCs w:val="21"/>
                      <w:lang w:val="en-US" w:eastAsia="zh-CN"/>
                    </w:rPr>
                    <w:t>30.84</w:t>
                  </w:r>
                </w:p>
              </w:tc>
              <w:tc>
                <w:tcPr>
                  <w:tcW w:w="1204" w:type="dxa"/>
                  <w:vAlign w:val="center"/>
                </w:tcPr>
                <w:p w14:paraId="08A7D367">
                  <w:pPr>
                    <w:widowControl w:val="0"/>
                    <w:adjustRightInd w:val="0"/>
                    <w:snapToGrid w:val="0"/>
                    <w:spacing w:before="31" w:beforeLines="10" w:after="31" w:afterLines="10"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2"/>
                      <w:sz w:val="21"/>
                      <w:szCs w:val="21"/>
                      <w:lang w:val="en-US" w:eastAsia="zh-CN" w:bidi="ar-SA"/>
                    </w:rPr>
                    <w:t>60</w:t>
                  </w:r>
                </w:p>
              </w:tc>
              <w:tc>
                <w:tcPr>
                  <w:tcW w:w="1195" w:type="dxa"/>
                  <w:vAlign w:val="center"/>
                </w:tcPr>
                <w:p w14:paraId="2965D67C">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44.06 </w:t>
                  </w:r>
                </w:p>
              </w:tc>
              <w:tc>
                <w:tcPr>
                  <w:tcW w:w="539" w:type="pct"/>
                  <w:vAlign w:val="center"/>
                </w:tcPr>
                <w:p w14:paraId="42E21223">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7927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14:paraId="78B8B722">
                  <w:pPr>
                    <w:pStyle w:val="19"/>
                    <w:spacing w:line="240" w:lineRule="auto"/>
                    <w:jc w:val="center"/>
                    <w:rPr>
                      <w:rFonts w:hint="default" w:ascii="Times New Roman" w:hAnsi="Times New Roman" w:cs="Times New Roman"/>
                      <w:color w:val="auto"/>
                      <w:kern w:val="0"/>
                      <w:sz w:val="21"/>
                      <w:szCs w:val="21"/>
                      <w:highlight w:val="none"/>
                    </w:rPr>
                  </w:pPr>
                </w:p>
              </w:tc>
              <w:tc>
                <w:tcPr>
                  <w:tcW w:w="2455" w:type="dxa"/>
                  <w:vAlign w:val="center"/>
                </w:tcPr>
                <w:p w14:paraId="61569BA5">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24h平均第95百分位数</w:t>
                  </w:r>
                </w:p>
              </w:tc>
              <w:tc>
                <w:tcPr>
                  <w:tcW w:w="1204" w:type="dxa"/>
                  <w:vAlign w:val="center"/>
                </w:tcPr>
                <w:p w14:paraId="529DF25D">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 w:val="21"/>
                      <w:szCs w:val="21"/>
                      <w:lang w:val="en-US" w:eastAsia="zh-CN"/>
                    </w:rPr>
                    <w:t>63</w:t>
                  </w:r>
                </w:p>
              </w:tc>
              <w:tc>
                <w:tcPr>
                  <w:tcW w:w="1204" w:type="dxa"/>
                  <w:vAlign w:val="center"/>
                </w:tcPr>
                <w:p w14:paraId="1067C96E">
                  <w:pPr>
                    <w:widowControl w:val="0"/>
                    <w:adjustRightInd w:val="0"/>
                    <w:snapToGrid w:val="0"/>
                    <w:spacing w:before="31" w:beforeLines="10" w:after="31" w:afterLines="10"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2"/>
                      <w:sz w:val="21"/>
                      <w:szCs w:val="21"/>
                      <w:lang w:val="en-US" w:eastAsia="zh-CN" w:bidi="ar-SA"/>
                    </w:rPr>
                    <w:t>120</w:t>
                  </w:r>
                </w:p>
              </w:tc>
              <w:tc>
                <w:tcPr>
                  <w:tcW w:w="1195" w:type="dxa"/>
                  <w:vAlign w:val="center"/>
                </w:tcPr>
                <w:p w14:paraId="78A74D29">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52.5 </w:t>
                  </w:r>
                </w:p>
              </w:tc>
              <w:tc>
                <w:tcPr>
                  <w:tcW w:w="539" w:type="pct"/>
                  <w:vAlign w:val="center"/>
                </w:tcPr>
                <w:p w14:paraId="454813AF">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2DD78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restart"/>
                  <w:vAlign w:val="center"/>
                </w:tcPr>
                <w:p w14:paraId="0B1824B4">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PM</w:t>
                  </w:r>
                  <w:r>
                    <w:rPr>
                      <w:rFonts w:hint="default" w:ascii="Times New Roman" w:hAnsi="Times New Roman" w:cs="Times New Roman"/>
                      <w:color w:val="auto"/>
                      <w:kern w:val="0"/>
                      <w:sz w:val="21"/>
                      <w:szCs w:val="21"/>
                      <w:highlight w:val="none"/>
                      <w:vertAlign w:val="subscript"/>
                    </w:rPr>
                    <w:t>2.5</w:t>
                  </w:r>
                </w:p>
              </w:tc>
              <w:tc>
                <w:tcPr>
                  <w:tcW w:w="2455" w:type="dxa"/>
                  <w:vAlign w:val="center"/>
                </w:tcPr>
                <w:p w14:paraId="3844CE0E">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年平均质量浓度</w:t>
                  </w:r>
                </w:p>
              </w:tc>
              <w:tc>
                <w:tcPr>
                  <w:tcW w:w="1204" w:type="dxa"/>
                  <w:vAlign w:val="center"/>
                </w:tcPr>
                <w:p w14:paraId="42A1BF8F">
                  <w:pPr>
                    <w:wordWrap/>
                    <w:adjustRightInd w:val="0"/>
                    <w:snapToGrid w:val="0"/>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 w:val="21"/>
                      <w:szCs w:val="21"/>
                      <w:lang w:val="en-US" w:eastAsia="zh-CN"/>
                    </w:rPr>
                    <w:t>19.63</w:t>
                  </w:r>
                </w:p>
              </w:tc>
              <w:tc>
                <w:tcPr>
                  <w:tcW w:w="1204" w:type="dxa"/>
                  <w:vAlign w:val="center"/>
                </w:tcPr>
                <w:p w14:paraId="523EADEF">
                  <w:pPr>
                    <w:widowControl w:val="0"/>
                    <w:adjustRightInd w:val="0"/>
                    <w:snapToGrid w:val="0"/>
                    <w:spacing w:before="31" w:beforeLines="10" w:after="31" w:afterLines="10"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2"/>
                      <w:sz w:val="21"/>
                      <w:szCs w:val="21"/>
                      <w:lang w:val="en-US" w:eastAsia="zh-CN" w:bidi="ar-SA"/>
                    </w:rPr>
                    <w:t>30</w:t>
                  </w:r>
                </w:p>
              </w:tc>
              <w:tc>
                <w:tcPr>
                  <w:tcW w:w="1195" w:type="dxa"/>
                  <w:vAlign w:val="center"/>
                </w:tcPr>
                <w:p w14:paraId="49A3939F">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65.4 </w:t>
                  </w:r>
                </w:p>
              </w:tc>
              <w:tc>
                <w:tcPr>
                  <w:tcW w:w="539" w:type="pct"/>
                  <w:vAlign w:val="center"/>
                </w:tcPr>
                <w:p w14:paraId="236326E3">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5444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Merge w:val="continue"/>
                  <w:vAlign w:val="center"/>
                </w:tcPr>
                <w:p w14:paraId="40D8591C">
                  <w:pPr>
                    <w:pStyle w:val="19"/>
                    <w:spacing w:line="240" w:lineRule="auto"/>
                    <w:jc w:val="center"/>
                    <w:rPr>
                      <w:rFonts w:hint="default" w:ascii="Times New Roman" w:hAnsi="Times New Roman" w:cs="Times New Roman"/>
                      <w:color w:val="auto"/>
                      <w:kern w:val="0"/>
                      <w:sz w:val="21"/>
                      <w:szCs w:val="21"/>
                      <w:highlight w:val="none"/>
                    </w:rPr>
                  </w:pPr>
                </w:p>
              </w:tc>
              <w:tc>
                <w:tcPr>
                  <w:tcW w:w="2455" w:type="dxa"/>
                  <w:vAlign w:val="center"/>
                </w:tcPr>
                <w:p w14:paraId="46DF6415">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24h平均第95百分位数</w:t>
                  </w:r>
                </w:p>
              </w:tc>
              <w:tc>
                <w:tcPr>
                  <w:tcW w:w="1204" w:type="dxa"/>
                  <w:vAlign w:val="center"/>
                </w:tcPr>
                <w:p w14:paraId="030F5C77">
                  <w:pPr>
                    <w:wordWrap/>
                    <w:adjustRightInd w:val="0"/>
                    <w:snapToGrid w:val="0"/>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1"/>
                      <w:szCs w:val="21"/>
                    </w:rPr>
                    <w:t>42</w:t>
                  </w:r>
                </w:p>
              </w:tc>
              <w:tc>
                <w:tcPr>
                  <w:tcW w:w="1204" w:type="dxa"/>
                  <w:vAlign w:val="center"/>
                </w:tcPr>
                <w:p w14:paraId="7F5AE4BE">
                  <w:pPr>
                    <w:widowControl w:val="0"/>
                    <w:adjustRightInd w:val="0"/>
                    <w:snapToGrid w:val="0"/>
                    <w:spacing w:before="31" w:beforeLines="10" w:after="31" w:afterLines="10"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2"/>
                      <w:sz w:val="21"/>
                      <w:szCs w:val="21"/>
                      <w:lang w:val="en-US" w:eastAsia="zh-CN" w:bidi="ar-SA"/>
                    </w:rPr>
                    <w:t>60</w:t>
                  </w:r>
                </w:p>
              </w:tc>
              <w:tc>
                <w:tcPr>
                  <w:tcW w:w="1195" w:type="dxa"/>
                  <w:vAlign w:val="center"/>
                </w:tcPr>
                <w:p w14:paraId="5D0650F9">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70.0 </w:t>
                  </w:r>
                </w:p>
              </w:tc>
              <w:tc>
                <w:tcPr>
                  <w:tcW w:w="539" w:type="pct"/>
                  <w:vAlign w:val="center"/>
                </w:tcPr>
                <w:p w14:paraId="565D4C47">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13EC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Align w:val="center"/>
                </w:tcPr>
                <w:p w14:paraId="55C8B44E">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CO</w:t>
                  </w:r>
                </w:p>
              </w:tc>
              <w:tc>
                <w:tcPr>
                  <w:tcW w:w="2455" w:type="dxa"/>
                  <w:vAlign w:val="center"/>
                </w:tcPr>
                <w:p w14:paraId="0FB9EFC0">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24h平均第95百分位数</w:t>
                  </w:r>
                </w:p>
              </w:tc>
              <w:tc>
                <w:tcPr>
                  <w:tcW w:w="1204" w:type="dxa"/>
                  <w:vAlign w:val="center"/>
                </w:tcPr>
                <w:p w14:paraId="6B2F634D">
                  <w:pPr>
                    <w:wordWrap/>
                    <w:adjustRightInd w:val="0"/>
                    <w:snapToGrid w:val="0"/>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 w:val="21"/>
                      <w:szCs w:val="21"/>
                      <w:lang w:val="en-US" w:eastAsia="zh-CN"/>
                    </w:rPr>
                    <w:t>959</w:t>
                  </w:r>
                </w:p>
              </w:tc>
              <w:tc>
                <w:tcPr>
                  <w:tcW w:w="1204" w:type="dxa"/>
                  <w:vAlign w:val="center"/>
                </w:tcPr>
                <w:p w14:paraId="140176EA">
                  <w:pPr>
                    <w:wordWrap/>
                    <w:adjustRightInd w:val="0"/>
                    <w:snapToGrid w:val="0"/>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1"/>
                      <w:szCs w:val="21"/>
                    </w:rPr>
                    <w:t>4000</w:t>
                  </w:r>
                </w:p>
              </w:tc>
              <w:tc>
                <w:tcPr>
                  <w:tcW w:w="1195" w:type="dxa"/>
                  <w:vAlign w:val="center"/>
                </w:tcPr>
                <w:p w14:paraId="173B9EE4">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23.98 </w:t>
                  </w:r>
                </w:p>
              </w:tc>
              <w:tc>
                <w:tcPr>
                  <w:tcW w:w="539" w:type="pct"/>
                  <w:vAlign w:val="center"/>
                </w:tcPr>
                <w:p w14:paraId="654B46ED">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3074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0" w:type="pct"/>
                  <w:vAlign w:val="center"/>
                </w:tcPr>
                <w:p w14:paraId="7F2D3E49">
                  <w:pPr>
                    <w:pStyle w:val="19"/>
                    <w:spacing w:line="240" w:lineRule="auto"/>
                    <w:jc w:val="center"/>
                    <w:rPr>
                      <w:rFonts w:hint="default" w:ascii="Times New Roman" w:hAnsi="Times New Roman" w:cs="Times New Roman"/>
                      <w:color w:val="auto"/>
                      <w:kern w:val="0"/>
                      <w:sz w:val="21"/>
                      <w:szCs w:val="21"/>
                      <w:highlight w:val="none"/>
                      <w:vertAlign w:val="subscript"/>
                    </w:rPr>
                  </w:pPr>
                  <w:r>
                    <w:rPr>
                      <w:rFonts w:hint="default" w:ascii="Times New Roman" w:hAnsi="Times New Roman" w:cs="Times New Roman"/>
                      <w:color w:val="auto"/>
                      <w:kern w:val="0"/>
                      <w:sz w:val="21"/>
                      <w:szCs w:val="21"/>
                      <w:highlight w:val="none"/>
                    </w:rPr>
                    <w:t>O</w:t>
                  </w:r>
                  <w:r>
                    <w:rPr>
                      <w:rFonts w:hint="default" w:ascii="Times New Roman" w:hAnsi="Times New Roman" w:cs="Times New Roman"/>
                      <w:color w:val="auto"/>
                      <w:kern w:val="0"/>
                      <w:sz w:val="21"/>
                      <w:szCs w:val="21"/>
                      <w:highlight w:val="none"/>
                      <w:vertAlign w:val="subscript"/>
                    </w:rPr>
                    <w:t>3</w:t>
                  </w:r>
                </w:p>
              </w:tc>
              <w:tc>
                <w:tcPr>
                  <w:tcW w:w="2455" w:type="dxa"/>
                  <w:vAlign w:val="center"/>
                </w:tcPr>
                <w:p w14:paraId="05BB7839">
                  <w:pPr>
                    <w:wordWrap/>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rPr>
                    <w:t>8h平均第90百分位数</w:t>
                  </w:r>
                </w:p>
              </w:tc>
              <w:tc>
                <w:tcPr>
                  <w:tcW w:w="1204" w:type="dxa"/>
                  <w:vAlign w:val="center"/>
                </w:tcPr>
                <w:p w14:paraId="03FFE65F">
                  <w:pPr>
                    <w:wordWrap/>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1"/>
                      <w:szCs w:val="21"/>
                    </w:rPr>
                    <w:t>124</w:t>
                  </w:r>
                </w:p>
              </w:tc>
              <w:tc>
                <w:tcPr>
                  <w:tcW w:w="1204" w:type="dxa"/>
                  <w:vAlign w:val="center"/>
                </w:tcPr>
                <w:p w14:paraId="0B357ED1">
                  <w:pPr>
                    <w:widowControl w:val="0"/>
                    <w:wordWrap w:val="0"/>
                    <w:adjustRightInd w:val="0"/>
                    <w:snapToGrid w:val="0"/>
                    <w:spacing w:line="240" w:lineRule="auto"/>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kern w:val="2"/>
                      <w:sz w:val="21"/>
                      <w:szCs w:val="21"/>
                      <w:lang w:val="en-US" w:eastAsia="zh-CN" w:bidi="ar-SA"/>
                    </w:rPr>
                    <w:t>160</w:t>
                  </w:r>
                </w:p>
              </w:tc>
              <w:tc>
                <w:tcPr>
                  <w:tcW w:w="1195" w:type="dxa"/>
                  <w:vAlign w:val="center"/>
                </w:tcPr>
                <w:p w14:paraId="1E4EC329">
                  <w:pPr>
                    <w:keepNext w:val="0"/>
                    <w:keepLines w:val="0"/>
                    <w:widowControl/>
                    <w:suppressLineNumbers w:val="0"/>
                    <w:ind w:firstLine="0" w:firstLineChars="0"/>
                    <w:jc w:val="center"/>
                    <w:textAlignment w:val="center"/>
                    <w:rPr>
                      <w:rFonts w:hint="default" w:ascii="Times New Roman" w:hAnsi="Times New Roman" w:cs="Times New Roman"/>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77.50 </w:t>
                  </w:r>
                </w:p>
              </w:tc>
              <w:tc>
                <w:tcPr>
                  <w:tcW w:w="539" w:type="pct"/>
                  <w:vAlign w:val="center"/>
                </w:tcPr>
                <w:p w14:paraId="4EA1CE51">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180E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772E48D">
                  <w:pPr>
                    <w:pStyle w:val="19"/>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highlight w:val="none"/>
                    </w:rPr>
                    <w:t>备注：华宁第一小学，坐标：经度 102.924722094，纬度 24.197785669</w:t>
                  </w:r>
                </w:p>
              </w:tc>
            </w:tr>
          </w:tbl>
          <w:p w14:paraId="0BBA3650">
            <w:pPr>
              <w:pStyle w:val="19"/>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从监测数据来看，区域SO</w:t>
            </w:r>
            <w:r>
              <w:rPr>
                <w:rFonts w:hint="default" w:ascii="Times New Roman" w:hAnsi="Times New Roman" w:cs="Times New Roman"/>
                <w:color w:val="auto"/>
                <w:kern w:val="0"/>
                <w:sz w:val="24"/>
                <w:highlight w:val="none"/>
                <w:vertAlign w:val="subscript"/>
              </w:rPr>
              <w:t>2</w:t>
            </w:r>
            <w:r>
              <w:rPr>
                <w:rFonts w:hint="default" w:ascii="Times New Roman" w:hAnsi="Times New Roman" w:cs="Times New Roman"/>
                <w:color w:val="auto"/>
                <w:kern w:val="0"/>
                <w:sz w:val="24"/>
                <w:highlight w:val="none"/>
              </w:rPr>
              <w:t>、NO</w:t>
            </w:r>
            <w:r>
              <w:rPr>
                <w:rFonts w:hint="default" w:ascii="Times New Roman" w:hAnsi="Times New Roman" w:cs="Times New Roman"/>
                <w:color w:val="auto"/>
                <w:kern w:val="0"/>
                <w:sz w:val="24"/>
                <w:highlight w:val="none"/>
                <w:vertAlign w:val="subscript"/>
              </w:rPr>
              <w:t>2</w:t>
            </w:r>
            <w:r>
              <w:rPr>
                <w:rFonts w:hint="default" w:ascii="Times New Roman" w:hAnsi="Times New Roman" w:cs="Times New Roman"/>
                <w:color w:val="auto"/>
                <w:kern w:val="0"/>
                <w:sz w:val="24"/>
                <w:highlight w:val="none"/>
              </w:rPr>
              <w:t>、PM</w:t>
            </w:r>
            <w:r>
              <w:rPr>
                <w:rFonts w:hint="default" w:ascii="Times New Roman" w:hAnsi="Times New Roman" w:cs="Times New Roman"/>
                <w:color w:val="auto"/>
                <w:kern w:val="0"/>
                <w:sz w:val="24"/>
                <w:highlight w:val="none"/>
                <w:vertAlign w:val="subscript"/>
              </w:rPr>
              <w:t>10</w:t>
            </w:r>
            <w:r>
              <w:rPr>
                <w:rFonts w:hint="default" w:ascii="Times New Roman" w:hAnsi="Times New Roman" w:cs="Times New Roman"/>
                <w:color w:val="auto"/>
                <w:kern w:val="0"/>
                <w:sz w:val="24"/>
                <w:highlight w:val="none"/>
              </w:rPr>
              <w:t>、PM</w:t>
            </w:r>
            <w:r>
              <w:rPr>
                <w:rFonts w:hint="default" w:ascii="Times New Roman" w:hAnsi="Times New Roman" w:cs="Times New Roman"/>
                <w:color w:val="auto"/>
                <w:kern w:val="0"/>
                <w:sz w:val="24"/>
                <w:highlight w:val="none"/>
                <w:vertAlign w:val="subscript"/>
              </w:rPr>
              <w:t>2.5</w:t>
            </w:r>
            <w:r>
              <w:rPr>
                <w:rFonts w:hint="default" w:ascii="Times New Roman" w:hAnsi="Times New Roman" w:cs="Times New Roman"/>
                <w:color w:val="auto"/>
                <w:kern w:val="0"/>
                <w:sz w:val="24"/>
                <w:highlight w:val="none"/>
              </w:rPr>
              <w:t>、CO、O</w:t>
            </w:r>
            <w:r>
              <w:rPr>
                <w:rFonts w:hint="default" w:ascii="Times New Roman" w:hAnsi="Times New Roman" w:cs="Times New Roman"/>
                <w:color w:val="auto"/>
                <w:kern w:val="0"/>
                <w:sz w:val="24"/>
                <w:highlight w:val="none"/>
                <w:vertAlign w:val="subscript"/>
              </w:rPr>
              <w:t>3</w:t>
            </w:r>
            <w:r>
              <w:rPr>
                <w:rFonts w:hint="default" w:ascii="Times New Roman" w:hAnsi="Times New Roman" w:cs="Times New Roman"/>
                <w:color w:val="auto"/>
                <w:kern w:val="0"/>
                <w:sz w:val="24"/>
                <w:highlight w:val="none"/>
              </w:rPr>
              <w:t>六项基本污染物均达到《环境空气质量标准》（GB3095-20</w:t>
            </w:r>
            <w:r>
              <w:rPr>
                <w:rFonts w:hint="default" w:ascii="Times New Roman" w:hAnsi="Times New Roman" w:cs="Times New Roman"/>
                <w:color w:val="auto"/>
                <w:kern w:val="0"/>
                <w:sz w:val="24"/>
                <w:highlight w:val="none"/>
                <w:lang w:val="en-US" w:eastAsia="zh-CN"/>
              </w:rPr>
              <w:t>26</w:t>
            </w:r>
            <w:r>
              <w:rPr>
                <w:rFonts w:hint="default" w:ascii="Times New Roman" w:hAnsi="Times New Roman" w:cs="Times New Roman"/>
                <w:color w:val="auto"/>
                <w:kern w:val="0"/>
                <w:sz w:val="24"/>
                <w:highlight w:val="none"/>
              </w:rPr>
              <w:t>）二级标准要求，因此项目所在地为达标区。</w:t>
            </w:r>
          </w:p>
          <w:p w14:paraId="04610452">
            <w:pPr>
              <w:pStyle w:val="10"/>
              <w:ind w:firstLine="0" w:firstLineChars="0"/>
              <w:rPr>
                <w:rFonts w:hint="default" w:ascii="Times New Roman" w:hAnsi="Times New Roman" w:cs="Times New Roman"/>
                <w:color w:val="auto"/>
                <w:szCs w:val="24"/>
                <w:highlight w:val="none"/>
                <w:lang w:val="zh-CN"/>
              </w:rPr>
            </w:pPr>
            <w:r>
              <w:rPr>
                <w:rFonts w:hint="default" w:ascii="Times New Roman" w:hAnsi="Times New Roman" w:cs="Times New Roman"/>
                <w:b/>
                <w:bCs/>
                <w:color w:val="auto"/>
                <w:sz w:val="28"/>
                <w:szCs w:val="28"/>
                <w:highlight w:val="none"/>
              </w:rPr>
              <w:t>3.1.2 地表水环境质量现状</w:t>
            </w:r>
          </w:p>
          <w:p w14:paraId="18EF6F52">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1、周边地表水功能区划及执行标准</w:t>
            </w:r>
          </w:p>
          <w:p w14:paraId="348E52BD">
            <w:pPr>
              <w:pStyle w:val="10"/>
              <w:ind w:firstLine="480"/>
              <w:rPr>
                <w:rFonts w:hint="default" w:ascii="Times New Roman" w:hAnsi="Times New Roman" w:cs="Times New Roman"/>
                <w:color w:val="auto"/>
                <w:szCs w:val="24"/>
                <w:highlight w:val="none"/>
                <w:lang w:val="zh-CN"/>
              </w:rPr>
            </w:pPr>
            <w:r>
              <w:rPr>
                <w:rFonts w:hint="default" w:ascii="Times New Roman" w:hAnsi="Times New Roman" w:cs="Times New Roman"/>
                <w:color w:val="auto"/>
                <w:szCs w:val="24"/>
                <w:highlight w:val="none"/>
                <w:lang w:val="zh-CN"/>
              </w:rPr>
              <w:t>项目区最近地表径流为项目区西北侧</w:t>
            </w:r>
            <w:r>
              <w:rPr>
                <w:rFonts w:hint="default" w:ascii="Times New Roman" w:hAnsi="Times New Roman" w:cs="Times New Roman"/>
                <w:color w:val="auto"/>
                <w:szCs w:val="24"/>
                <w:highlight w:val="none"/>
              </w:rPr>
              <w:t>643</w:t>
            </w:r>
            <w:r>
              <w:rPr>
                <w:rFonts w:hint="default" w:ascii="Times New Roman" w:hAnsi="Times New Roman" w:cs="Times New Roman"/>
                <w:color w:val="auto"/>
                <w:szCs w:val="24"/>
                <w:highlight w:val="none"/>
                <w:lang w:val="zh-CN"/>
              </w:rPr>
              <w:t>m处的白龙河，白龙河下游汇入龙洞河，龙洞河进入曲江，最终进入南盘江。根据《云南省水功能区划》（2014年版），项目区地表水属于珠江流域南盘江干流曲江支流峨山小街-入南盘江口河段，水功能区划为农业用水、工业用水，2030年水质保护目标为Ⅲ类，水质执行《地表水环境质量标准》（GB3838-2002）Ⅲ类标准。标准限值如下所示。</w:t>
            </w:r>
          </w:p>
          <w:p w14:paraId="5308EE1B">
            <w:pPr>
              <w:pStyle w:val="19"/>
              <w:spacing w:before="120" w:beforeLines="50"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表3-2 地表水环境质量标准   单位：mg/L（pH无量纲）</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5026"/>
              <w:gridCol w:w="2175"/>
            </w:tblGrid>
            <w:tr w14:paraId="2F74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18A36CA9">
                  <w:pPr>
                    <w:pStyle w:val="10"/>
                    <w:spacing w:line="240" w:lineRule="auto"/>
                    <w:ind w:firstLine="0" w:firstLineChars="0"/>
                    <w:jc w:val="center"/>
                    <w:rPr>
                      <w:rFonts w:hint="default" w:ascii="Times New Roman" w:hAnsi="Times New Roman" w:cs="Times New Roman"/>
                      <w:b/>
                      <w:bCs/>
                      <w:color w:val="auto"/>
                      <w:sz w:val="21"/>
                      <w:szCs w:val="21"/>
                      <w:highlight w:val="none"/>
                      <w:lang w:val="zh-CN"/>
                    </w:rPr>
                  </w:pPr>
                  <w:r>
                    <w:rPr>
                      <w:rFonts w:hint="default" w:ascii="Times New Roman" w:hAnsi="Times New Roman" w:cs="Times New Roman"/>
                      <w:b/>
                      <w:bCs/>
                      <w:color w:val="auto"/>
                      <w:sz w:val="21"/>
                      <w:szCs w:val="21"/>
                      <w:highlight w:val="none"/>
                      <w:lang w:val="zh-CN"/>
                    </w:rPr>
                    <w:t>序号</w:t>
                  </w:r>
                </w:p>
              </w:tc>
              <w:tc>
                <w:tcPr>
                  <w:tcW w:w="2965" w:type="pct"/>
                  <w:vAlign w:val="center"/>
                </w:tcPr>
                <w:p w14:paraId="508C439E">
                  <w:pPr>
                    <w:pStyle w:val="10"/>
                    <w:spacing w:line="240" w:lineRule="auto"/>
                    <w:ind w:firstLine="0" w:firstLineChars="0"/>
                    <w:jc w:val="center"/>
                    <w:rPr>
                      <w:rFonts w:hint="default" w:ascii="Times New Roman" w:hAnsi="Times New Roman" w:cs="Times New Roman"/>
                      <w:b/>
                      <w:bCs/>
                      <w:color w:val="auto"/>
                      <w:sz w:val="21"/>
                      <w:szCs w:val="21"/>
                      <w:highlight w:val="none"/>
                      <w:lang w:val="zh-CN"/>
                    </w:rPr>
                  </w:pPr>
                  <w:r>
                    <w:rPr>
                      <w:rFonts w:hint="default" w:ascii="Times New Roman" w:hAnsi="Times New Roman" w:cs="Times New Roman"/>
                      <w:b/>
                      <w:bCs/>
                      <w:color w:val="auto"/>
                      <w:sz w:val="21"/>
                      <w:szCs w:val="21"/>
                      <w:highlight w:val="none"/>
                      <w:lang w:val="zh-CN"/>
                    </w:rPr>
                    <w:t>项目</w:t>
                  </w:r>
                </w:p>
              </w:tc>
              <w:tc>
                <w:tcPr>
                  <w:tcW w:w="1283" w:type="pct"/>
                  <w:vAlign w:val="center"/>
                </w:tcPr>
                <w:p w14:paraId="300AF564">
                  <w:pPr>
                    <w:pStyle w:val="10"/>
                    <w:spacing w:line="240" w:lineRule="auto"/>
                    <w:ind w:firstLine="0" w:firstLineChars="0"/>
                    <w:jc w:val="center"/>
                    <w:rPr>
                      <w:rFonts w:hint="default" w:ascii="Times New Roman" w:hAnsi="Times New Roman" w:cs="Times New Roman"/>
                      <w:b/>
                      <w:bCs/>
                      <w:color w:val="auto"/>
                      <w:sz w:val="21"/>
                      <w:szCs w:val="21"/>
                      <w:highlight w:val="none"/>
                      <w:lang w:val="zh-CN"/>
                    </w:rPr>
                  </w:pPr>
                  <w:r>
                    <w:rPr>
                      <w:rFonts w:hint="default" w:ascii="Times New Roman" w:hAnsi="Times New Roman" w:cs="Times New Roman"/>
                      <w:b/>
                      <w:bCs/>
                      <w:color w:val="auto"/>
                      <w:sz w:val="21"/>
                      <w:szCs w:val="21"/>
                      <w:highlight w:val="none"/>
                      <w:lang w:val="zh-CN"/>
                    </w:rPr>
                    <w:t>Ⅲ类标准</w:t>
                  </w:r>
                </w:p>
              </w:tc>
            </w:tr>
            <w:tr w14:paraId="4085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2FF0E3F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2965" w:type="pct"/>
                  <w:vAlign w:val="center"/>
                </w:tcPr>
                <w:p w14:paraId="47670972">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pH值（无量纲）</w:t>
                  </w:r>
                </w:p>
              </w:tc>
              <w:tc>
                <w:tcPr>
                  <w:tcW w:w="1283" w:type="pct"/>
                  <w:vAlign w:val="center"/>
                </w:tcPr>
                <w:p w14:paraId="56E23E8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r>
            <w:tr w14:paraId="2F0D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53313BE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2965" w:type="pct"/>
                  <w:vAlign w:val="center"/>
                </w:tcPr>
                <w:p w14:paraId="22D4F4A7">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zh-CN"/>
                    </w:rPr>
                    <w:t>溶解氧</w:t>
                  </w:r>
                  <w:r>
                    <w:rPr>
                      <w:rFonts w:hint="default" w:ascii="Times New Roman" w:hAnsi="Times New Roman" w:cs="Times New Roman"/>
                      <w:color w:val="auto"/>
                      <w:sz w:val="21"/>
                      <w:szCs w:val="21"/>
                      <w:highlight w:val="none"/>
                    </w:rPr>
                    <w:t xml:space="preserve">   ≥</w:t>
                  </w:r>
                </w:p>
              </w:tc>
              <w:tc>
                <w:tcPr>
                  <w:tcW w:w="1283" w:type="pct"/>
                  <w:vAlign w:val="center"/>
                </w:tcPr>
                <w:p w14:paraId="5EBA605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r>
            <w:tr w14:paraId="02C3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51" w:type="pct"/>
                  <w:vAlign w:val="center"/>
                </w:tcPr>
                <w:p w14:paraId="423EC7C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2965" w:type="pct"/>
                  <w:vAlign w:val="center"/>
                </w:tcPr>
                <w:p w14:paraId="7D821033">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高锰酸钾指数   ≤</w:t>
                  </w:r>
                </w:p>
              </w:tc>
              <w:tc>
                <w:tcPr>
                  <w:tcW w:w="1283" w:type="pct"/>
                  <w:vAlign w:val="center"/>
                </w:tcPr>
                <w:p w14:paraId="01B4739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r>
            <w:tr w14:paraId="42CD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2F170E5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2965" w:type="pct"/>
                  <w:vAlign w:val="center"/>
                </w:tcPr>
                <w:p w14:paraId="228DFF36">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COD   ≤</w:t>
                  </w:r>
                </w:p>
              </w:tc>
              <w:tc>
                <w:tcPr>
                  <w:tcW w:w="1283" w:type="pct"/>
                  <w:vAlign w:val="center"/>
                </w:tcPr>
                <w:p w14:paraId="3C84841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r>
            <w:tr w14:paraId="3690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5FDC519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2965" w:type="pct"/>
                  <w:vAlign w:val="center"/>
                </w:tcPr>
                <w:p w14:paraId="22323DAF">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BOD</w:t>
                  </w:r>
                  <w:r>
                    <w:rPr>
                      <w:rFonts w:hint="default" w:ascii="Times New Roman" w:hAnsi="Times New Roman" w:cs="Times New Roman"/>
                      <w:color w:val="auto"/>
                      <w:sz w:val="21"/>
                      <w:szCs w:val="21"/>
                      <w:highlight w:val="none"/>
                      <w:vertAlign w:val="subscript"/>
                    </w:rPr>
                    <w:t>5</w:t>
                  </w:r>
                  <w:r>
                    <w:rPr>
                      <w:rFonts w:hint="default" w:ascii="Times New Roman" w:hAnsi="Times New Roman" w:cs="Times New Roman"/>
                      <w:color w:val="auto"/>
                      <w:sz w:val="21"/>
                      <w:szCs w:val="21"/>
                      <w:highlight w:val="none"/>
                    </w:rPr>
                    <w:t xml:space="preserve">   ≤</w:t>
                  </w:r>
                </w:p>
              </w:tc>
              <w:tc>
                <w:tcPr>
                  <w:tcW w:w="1283" w:type="pct"/>
                  <w:vAlign w:val="center"/>
                </w:tcPr>
                <w:p w14:paraId="7C752EC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r>
            <w:tr w14:paraId="2F9B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5A81F60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2965" w:type="pct"/>
                  <w:vAlign w:val="center"/>
                </w:tcPr>
                <w:p w14:paraId="46C734C4">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-N   ≤</w:t>
                  </w:r>
                </w:p>
              </w:tc>
              <w:tc>
                <w:tcPr>
                  <w:tcW w:w="1283" w:type="pct"/>
                  <w:vAlign w:val="center"/>
                </w:tcPr>
                <w:p w14:paraId="63402A1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130C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6EAD727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tc>
              <w:tc>
                <w:tcPr>
                  <w:tcW w:w="2965" w:type="pct"/>
                  <w:vAlign w:val="center"/>
                </w:tcPr>
                <w:p w14:paraId="0F0DE81A">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总磷   ≤</w:t>
                  </w:r>
                </w:p>
              </w:tc>
              <w:tc>
                <w:tcPr>
                  <w:tcW w:w="1283" w:type="pct"/>
                  <w:vAlign w:val="center"/>
                </w:tcPr>
                <w:p w14:paraId="238DD40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w:t>
                  </w:r>
                </w:p>
              </w:tc>
            </w:tr>
            <w:tr w14:paraId="2095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540D3CF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2965" w:type="pct"/>
                  <w:vAlign w:val="center"/>
                </w:tcPr>
                <w:p w14:paraId="1AE91D56">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总氮   ≤</w:t>
                  </w:r>
                </w:p>
              </w:tc>
              <w:tc>
                <w:tcPr>
                  <w:tcW w:w="1283" w:type="pct"/>
                  <w:vAlign w:val="center"/>
                </w:tcPr>
                <w:p w14:paraId="7C172FE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1E00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2418A4E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2965" w:type="pct"/>
                  <w:vAlign w:val="center"/>
                </w:tcPr>
                <w:p w14:paraId="607A05BB">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铜</w:t>
                  </w:r>
                  <w:r>
                    <w:rPr>
                      <w:rFonts w:hint="default" w:ascii="Times New Roman" w:hAnsi="Times New Roman" w:cs="Times New Roman"/>
                      <w:color w:val="auto"/>
                      <w:sz w:val="21"/>
                      <w:szCs w:val="21"/>
                      <w:highlight w:val="none"/>
                    </w:rPr>
                    <w:t xml:space="preserve">   ≤</w:t>
                  </w:r>
                </w:p>
              </w:tc>
              <w:tc>
                <w:tcPr>
                  <w:tcW w:w="1283" w:type="pct"/>
                  <w:vAlign w:val="center"/>
                </w:tcPr>
                <w:p w14:paraId="443AC76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76B9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1536715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2965" w:type="pct"/>
                  <w:vAlign w:val="center"/>
                </w:tcPr>
                <w:p w14:paraId="64A5FCB3">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锌</w:t>
                  </w:r>
                  <w:r>
                    <w:rPr>
                      <w:rFonts w:hint="default" w:ascii="Times New Roman" w:hAnsi="Times New Roman" w:cs="Times New Roman"/>
                      <w:color w:val="auto"/>
                      <w:sz w:val="21"/>
                      <w:szCs w:val="21"/>
                      <w:highlight w:val="none"/>
                    </w:rPr>
                    <w:t xml:space="preserve">   ≤</w:t>
                  </w:r>
                </w:p>
              </w:tc>
              <w:tc>
                <w:tcPr>
                  <w:tcW w:w="1283" w:type="pct"/>
                  <w:vAlign w:val="center"/>
                </w:tcPr>
                <w:p w14:paraId="4EDC5BC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564F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5687DA3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w:t>
                  </w:r>
                </w:p>
              </w:tc>
              <w:tc>
                <w:tcPr>
                  <w:tcW w:w="2965" w:type="pct"/>
                  <w:vAlign w:val="center"/>
                </w:tcPr>
                <w:p w14:paraId="34CBC680">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氟化物</w:t>
                  </w:r>
                  <w:r>
                    <w:rPr>
                      <w:rFonts w:hint="default" w:ascii="Times New Roman" w:hAnsi="Times New Roman" w:cs="Times New Roman"/>
                      <w:color w:val="auto"/>
                      <w:sz w:val="21"/>
                      <w:szCs w:val="21"/>
                      <w:highlight w:val="none"/>
                    </w:rPr>
                    <w:t xml:space="preserve">   ≤</w:t>
                  </w:r>
                </w:p>
              </w:tc>
              <w:tc>
                <w:tcPr>
                  <w:tcW w:w="1283" w:type="pct"/>
                  <w:vAlign w:val="center"/>
                </w:tcPr>
                <w:p w14:paraId="088AF7C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38A2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4FF10E1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w:t>
                  </w:r>
                </w:p>
              </w:tc>
              <w:tc>
                <w:tcPr>
                  <w:tcW w:w="2965" w:type="pct"/>
                  <w:vAlign w:val="center"/>
                </w:tcPr>
                <w:p w14:paraId="6DB6F726">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硒</w:t>
                  </w:r>
                  <w:r>
                    <w:rPr>
                      <w:rFonts w:hint="default" w:ascii="Times New Roman" w:hAnsi="Times New Roman" w:cs="Times New Roman"/>
                      <w:color w:val="auto"/>
                      <w:sz w:val="21"/>
                      <w:szCs w:val="21"/>
                      <w:highlight w:val="none"/>
                    </w:rPr>
                    <w:t xml:space="preserve">   ≤</w:t>
                  </w:r>
                </w:p>
              </w:tc>
              <w:tc>
                <w:tcPr>
                  <w:tcW w:w="1283" w:type="pct"/>
                  <w:vAlign w:val="center"/>
                </w:tcPr>
                <w:p w14:paraId="1F3468B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w:t>
                  </w:r>
                </w:p>
              </w:tc>
            </w:tr>
            <w:tr w14:paraId="48CB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5B4EC96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w:t>
                  </w:r>
                </w:p>
              </w:tc>
              <w:tc>
                <w:tcPr>
                  <w:tcW w:w="2965" w:type="pct"/>
                  <w:vAlign w:val="center"/>
                </w:tcPr>
                <w:p w14:paraId="7891E4DC">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砷</w:t>
                  </w:r>
                  <w:r>
                    <w:rPr>
                      <w:rFonts w:hint="default" w:ascii="Times New Roman" w:hAnsi="Times New Roman" w:cs="Times New Roman"/>
                      <w:color w:val="auto"/>
                      <w:sz w:val="21"/>
                      <w:szCs w:val="21"/>
                      <w:highlight w:val="none"/>
                    </w:rPr>
                    <w:t xml:space="preserve">   ≤</w:t>
                  </w:r>
                </w:p>
              </w:tc>
              <w:tc>
                <w:tcPr>
                  <w:tcW w:w="1283" w:type="pct"/>
                  <w:vAlign w:val="center"/>
                </w:tcPr>
                <w:p w14:paraId="1005C7B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22D0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33BB0A7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w:t>
                  </w:r>
                </w:p>
              </w:tc>
              <w:tc>
                <w:tcPr>
                  <w:tcW w:w="2965" w:type="pct"/>
                  <w:vAlign w:val="center"/>
                </w:tcPr>
                <w:p w14:paraId="298CBC43">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汞</w:t>
                  </w:r>
                  <w:r>
                    <w:rPr>
                      <w:rFonts w:hint="default" w:ascii="Times New Roman" w:hAnsi="Times New Roman" w:cs="Times New Roman"/>
                      <w:color w:val="auto"/>
                      <w:sz w:val="21"/>
                      <w:szCs w:val="21"/>
                      <w:highlight w:val="none"/>
                    </w:rPr>
                    <w:t xml:space="preserve">   ≤</w:t>
                  </w:r>
                </w:p>
              </w:tc>
              <w:tc>
                <w:tcPr>
                  <w:tcW w:w="1283" w:type="pct"/>
                  <w:vAlign w:val="center"/>
                </w:tcPr>
                <w:p w14:paraId="171F320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0.0001</w:t>
                  </w:r>
                </w:p>
              </w:tc>
            </w:tr>
            <w:tr w14:paraId="2BDD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2115AE4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c>
                <w:tcPr>
                  <w:tcW w:w="2965" w:type="pct"/>
                  <w:vAlign w:val="center"/>
                </w:tcPr>
                <w:p w14:paraId="57CAF191">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镉</w:t>
                  </w:r>
                  <w:r>
                    <w:rPr>
                      <w:rFonts w:hint="default" w:ascii="Times New Roman" w:hAnsi="Times New Roman" w:cs="Times New Roman"/>
                      <w:color w:val="auto"/>
                      <w:sz w:val="21"/>
                      <w:szCs w:val="21"/>
                      <w:highlight w:val="none"/>
                    </w:rPr>
                    <w:t xml:space="preserve">   ≤</w:t>
                  </w:r>
                </w:p>
              </w:tc>
              <w:tc>
                <w:tcPr>
                  <w:tcW w:w="1283" w:type="pct"/>
                  <w:vAlign w:val="center"/>
                </w:tcPr>
                <w:p w14:paraId="1FA22E7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0.005</w:t>
                  </w:r>
                </w:p>
              </w:tc>
            </w:tr>
            <w:tr w14:paraId="6FE80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79F0E09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w:t>
                  </w:r>
                </w:p>
              </w:tc>
              <w:tc>
                <w:tcPr>
                  <w:tcW w:w="2965" w:type="pct"/>
                  <w:vAlign w:val="center"/>
                </w:tcPr>
                <w:p w14:paraId="28E53642">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铬</w:t>
                  </w:r>
                  <w:r>
                    <w:rPr>
                      <w:rFonts w:hint="default" w:ascii="Times New Roman" w:hAnsi="Times New Roman" w:cs="Times New Roman"/>
                      <w:color w:val="auto"/>
                      <w:sz w:val="21"/>
                      <w:szCs w:val="21"/>
                      <w:highlight w:val="none"/>
                    </w:rPr>
                    <w:t xml:space="preserve">   ≤</w:t>
                  </w:r>
                </w:p>
              </w:tc>
              <w:tc>
                <w:tcPr>
                  <w:tcW w:w="1283" w:type="pct"/>
                  <w:vAlign w:val="center"/>
                </w:tcPr>
                <w:p w14:paraId="7C5F525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4E10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32C3D2C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17</w:t>
                  </w:r>
                </w:p>
              </w:tc>
              <w:tc>
                <w:tcPr>
                  <w:tcW w:w="2965" w:type="pct"/>
                  <w:vAlign w:val="center"/>
                </w:tcPr>
                <w:p w14:paraId="1D78D536">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铅</w:t>
                  </w:r>
                  <w:r>
                    <w:rPr>
                      <w:rFonts w:hint="default" w:ascii="Times New Roman" w:hAnsi="Times New Roman" w:cs="Times New Roman"/>
                      <w:color w:val="auto"/>
                      <w:sz w:val="21"/>
                      <w:szCs w:val="21"/>
                      <w:highlight w:val="none"/>
                    </w:rPr>
                    <w:t xml:space="preserve">   ≤</w:t>
                  </w:r>
                </w:p>
              </w:tc>
              <w:tc>
                <w:tcPr>
                  <w:tcW w:w="1283" w:type="pct"/>
                  <w:vAlign w:val="center"/>
                </w:tcPr>
                <w:p w14:paraId="3F983AB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33D6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7A678C6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18</w:t>
                  </w:r>
                </w:p>
              </w:tc>
              <w:tc>
                <w:tcPr>
                  <w:tcW w:w="2965" w:type="pct"/>
                  <w:vAlign w:val="center"/>
                </w:tcPr>
                <w:p w14:paraId="7181EF9B">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氰化物</w:t>
                  </w:r>
                  <w:r>
                    <w:rPr>
                      <w:rFonts w:hint="default" w:ascii="Times New Roman" w:hAnsi="Times New Roman" w:cs="Times New Roman"/>
                      <w:color w:val="auto"/>
                      <w:sz w:val="21"/>
                      <w:szCs w:val="21"/>
                      <w:highlight w:val="none"/>
                    </w:rPr>
                    <w:t xml:space="preserve">   ≤</w:t>
                  </w:r>
                </w:p>
              </w:tc>
              <w:tc>
                <w:tcPr>
                  <w:tcW w:w="1283" w:type="pct"/>
                  <w:vAlign w:val="center"/>
                </w:tcPr>
                <w:p w14:paraId="20D2035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w:t>
                  </w:r>
                </w:p>
              </w:tc>
            </w:tr>
            <w:tr w14:paraId="0415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3D127E7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19</w:t>
                  </w:r>
                </w:p>
              </w:tc>
              <w:tc>
                <w:tcPr>
                  <w:tcW w:w="2965" w:type="pct"/>
                  <w:vAlign w:val="center"/>
                </w:tcPr>
                <w:p w14:paraId="098AA57A">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挥发酚</w:t>
                  </w:r>
                  <w:r>
                    <w:rPr>
                      <w:rFonts w:hint="default" w:ascii="Times New Roman" w:hAnsi="Times New Roman" w:cs="Times New Roman"/>
                      <w:color w:val="auto"/>
                      <w:sz w:val="21"/>
                      <w:szCs w:val="21"/>
                      <w:highlight w:val="none"/>
                    </w:rPr>
                    <w:t xml:space="preserve">   ≤</w:t>
                  </w:r>
                </w:p>
              </w:tc>
              <w:tc>
                <w:tcPr>
                  <w:tcW w:w="1283" w:type="pct"/>
                  <w:vAlign w:val="center"/>
                </w:tcPr>
                <w:p w14:paraId="26FAF1A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0.005</w:t>
                  </w:r>
                </w:p>
              </w:tc>
            </w:tr>
            <w:tr w14:paraId="5A2D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59BFF7F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2965" w:type="pct"/>
                  <w:vAlign w:val="center"/>
                </w:tcPr>
                <w:p w14:paraId="349798C4">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石油类</w:t>
                  </w:r>
                  <w:r>
                    <w:rPr>
                      <w:rFonts w:hint="default" w:ascii="Times New Roman" w:hAnsi="Times New Roman" w:cs="Times New Roman"/>
                      <w:color w:val="auto"/>
                      <w:sz w:val="21"/>
                      <w:szCs w:val="21"/>
                      <w:highlight w:val="none"/>
                    </w:rPr>
                    <w:t xml:space="preserve">   ≤</w:t>
                  </w:r>
                </w:p>
              </w:tc>
              <w:tc>
                <w:tcPr>
                  <w:tcW w:w="1283" w:type="pct"/>
                  <w:vAlign w:val="center"/>
                </w:tcPr>
                <w:p w14:paraId="36CC643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7FCF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30FAB23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w:t>
                  </w:r>
                </w:p>
              </w:tc>
              <w:tc>
                <w:tcPr>
                  <w:tcW w:w="2965" w:type="pct"/>
                  <w:vAlign w:val="center"/>
                </w:tcPr>
                <w:p w14:paraId="1C937625">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阴离子表面活性剂</w:t>
                  </w:r>
                  <w:r>
                    <w:rPr>
                      <w:rFonts w:hint="default" w:ascii="Times New Roman" w:hAnsi="Times New Roman" w:cs="Times New Roman"/>
                      <w:color w:val="auto"/>
                      <w:sz w:val="21"/>
                      <w:szCs w:val="21"/>
                      <w:highlight w:val="none"/>
                    </w:rPr>
                    <w:t xml:space="preserve">   ≤</w:t>
                  </w:r>
                </w:p>
              </w:tc>
              <w:tc>
                <w:tcPr>
                  <w:tcW w:w="1283" w:type="pct"/>
                  <w:vAlign w:val="center"/>
                </w:tcPr>
                <w:p w14:paraId="6028299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w:t>
                  </w:r>
                </w:p>
              </w:tc>
            </w:tr>
            <w:tr w14:paraId="5284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697DA7E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w:t>
                  </w:r>
                </w:p>
              </w:tc>
              <w:tc>
                <w:tcPr>
                  <w:tcW w:w="2965" w:type="pct"/>
                  <w:vAlign w:val="center"/>
                </w:tcPr>
                <w:p w14:paraId="149F569C">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硫化物</w:t>
                  </w:r>
                  <w:r>
                    <w:rPr>
                      <w:rFonts w:hint="default" w:ascii="Times New Roman" w:hAnsi="Times New Roman" w:cs="Times New Roman"/>
                      <w:color w:val="auto"/>
                      <w:sz w:val="21"/>
                      <w:szCs w:val="21"/>
                      <w:highlight w:val="none"/>
                    </w:rPr>
                    <w:t xml:space="preserve">   ≤</w:t>
                  </w:r>
                </w:p>
              </w:tc>
              <w:tc>
                <w:tcPr>
                  <w:tcW w:w="1283" w:type="pct"/>
                  <w:vAlign w:val="center"/>
                </w:tcPr>
                <w:p w14:paraId="3FCA64A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w:t>
                  </w:r>
                </w:p>
              </w:tc>
            </w:tr>
            <w:tr w14:paraId="567C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1" w:type="pct"/>
                  <w:vAlign w:val="center"/>
                </w:tcPr>
                <w:p w14:paraId="389F45B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w:t>
                  </w:r>
                </w:p>
              </w:tc>
              <w:tc>
                <w:tcPr>
                  <w:tcW w:w="2965" w:type="pct"/>
                  <w:vAlign w:val="center"/>
                </w:tcPr>
                <w:p w14:paraId="5141E86D">
                  <w:pPr>
                    <w:pStyle w:val="10"/>
                    <w:spacing w:line="240" w:lineRule="auto"/>
                    <w:ind w:firstLine="0" w:firstLineChars="0"/>
                    <w:rPr>
                      <w:rFonts w:hint="default" w:ascii="Times New Roman" w:hAnsi="Times New Roman" w:cs="Times New Roman"/>
                      <w:color w:val="auto"/>
                      <w:sz w:val="21"/>
                      <w:szCs w:val="21"/>
                      <w:highlight w:val="none"/>
                      <w:lang w:val="zh-CN"/>
                    </w:rPr>
                  </w:pPr>
                  <w:r>
                    <w:rPr>
                      <w:rFonts w:hint="default" w:ascii="Times New Roman" w:hAnsi="Times New Roman" w:cs="Times New Roman"/>
                      <w:color w:val="auto"/>
                      <w:sz w:val="21"/>
                      <w:szCs w:val="21"/>
                      <w:highlight w:val="none"/>
                      <w:lang w:val="zh-CN"/>
                    </w:rPr>
                    <w:t>粪大肠菌群（个</w:t>
                  </w:r>
                  <w:r>
                    <w:rPr>
                      <w:rFonts w:hint="default" w:ascii="Times New Roman" w:hAnsi="Times New Roman" w:cs="Times New Roman"/>
                      <w:color w:val="auto"/>
                      <w:sz w:val="21"/>
                      <w:szCs w:val="21"/>
                      <w:highlight w:val="none"/>
                    </w:rPr>
                    <w:t>/L</w:t>
                  </w:r>
                  <w:r>
                    <w:rPr>
                      <w:rFonts w:hint="default" w:ascii="Times New Roman" w:hAnsi="Times New Roman" w:cs="Times New Roman"/>
                      <w:color w:val="auto"/>
                      <w:sz w:val="21"/>
                      <w:szCs w:val="21"/>
                      <w:highlight w:val="none"/>
                      <w:lang w:val="zh-CN"/>
                    </w:rPr>
                    <w:t>）</w:t>
                  </w:r>
                  <w:r>
                    <w:rPr>
                      <w:rFonts w:hint="default" w:ascii="Times New Roman" w:hAnsi="Times New Roman" w:cs="Times New Roman"/>
                      <w:color w:val="auto"/>
                      <w:sz w:val="21"/>
                      <w:szCs w:val="21"/>
                      <w:highlight w:val="none"/>
                    </w:rPr>
                    <w:t xml:space="preserve">   ≤</w:t>
                  </w:r>
                </w:p>
              </w:tc>
              <w:tc>
                <w:tcPr>
                  <w:tcW w:w="1283" w:type="pct"/>
                  <w:vAlign w:val="center"/>
                </w:tcPr>
                <w:p w14:paraId="687E75D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10000</w:t>
                  </w:r>
                </w:p>
              </w:tc>
            </w:tr>
          </w:tbl>
          <w:p w14:paraId="0017541D">
            <w:pPr>
              <w:pStyle w:val="10"/>
              <w:ind w:firstLine="482"/>
              <w:rPr>
                <w:rFonts w:hint="default" w:ascii="Times New Roman" w:hAnsi="Times New Roman" w:cs="Times New Roman"/>
                <w:b/>
                <w:bCs/>
                <w:color w:val="auto"/>
                <w:highlight w:val="none"/>
                <w:lang w:val="zh-CN"/>
              </w:rPr>
            </w:pPr>
            <w:r>
              <w:rPr>
                <w:rFonts w:hint="default" w:ascii="Times New Roman" w:hAnsi="Times New Roman" w:cs="Times New Roman"/>
                <w:b/>
                <w:bCs/>
                <w:color w:val="auto"/>
                <w:szCs w:val="24"/>
                <w:highlight w:val="none"/>
              </w:rPr>
              <w:t>2、地表水环境质量现状</w:t>
            </w:r>
          </w:p>
          <w:p w14:paraId="1434C5E1">
            <w:pPr>
              <w:pStyle w:val="31"/>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Cs w:val="24"/>
                <w:highlight w:val="none"/>
                <w:lang w:val="zh-CN"/>
              </w:rPr>
              <w:t>因白龙河水质例行监测数据涉密，本项目水环境保护目标白龙河地表水环境质量现状评价引用已批复的《华宁县白塔山陶器厂年产900万件建筑陶器项目环境影响报告表》中关于白龙河水质的评价结论，该结论为：“本项目2025年8月20日向玉</w:t>
            </w:r>
            <w:r>
              <w:rPr>
                <w:rFonts w:hint="default" w:ascii="Times New Roman" w:hAnsi="Times New Roman" w:cs="Times New Roman"/>
                <w:color w:val="auto"/>
                <w:sz w:val="24"/>
                <w:szCs w:val="24"/>
                <w:highlight w:val="none"/>
                <w:lang w:val="zh-CN"/>
              </w:rPr>
              <w:t>溪市生态环境局申请调用白龙河2023-2024年现状监测数据（涉密），文本不公示数据，根据玉溪市生态环境局提供的数据，白龙河水质为《地表水环境质量标准》（GB3838-2002）Ⅳ类标准，受上游生活源（普沼村）污染，化学需氧量和总磷超《地表水环境质量标准》（GB3838-2002）Ⅲ类标准。”</w:t>
            </w:r>
          </w:p>
          <w:p w14:paraId="4798068E">
            <w:pPr>
              <w:pStyle w:val="10"/>
              <w:ind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3.1.3 声环境质量现状</w:t>
            </w:r>
          </w:p>
          <w:p w14:paraId="2E4049CF">
            <w:pPr>
              <w:pStyle w:val="10"/>
              <w:ind w:firstLine="482"/>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1、声环境功能区划及执行标准</w:t>
            </w:r>
          </w:p>
          <w:p w14:paraId="415A4BCB">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 w:val="24"/>
                <w:szCs w:val="24"/>
                <w:highlight w:val="none"/>
              </w:rPr>
              <w:t>本项目位于云南省玉溪市华宁县东</w:t>
            </w:r>
            <w:r>
              <w:rPr>
                <w:rFonts w:hint="default" w:ascii="Times New Roman" w:hAnsi="Times New Roman" w:cs="Times New Roman"/>
                <w:color w:val="auto"/>
                <w:szCs w:val="24"/>
                <w:highlight w:val="none"/>
              </w:rPr>
              <w:t>风路与松山路交叉路口，根据《云南省</w:t>
            </w:r>
            <w:r>
              <w:rPr>
                <w:rFonts w:hint="default" w:ascii="Times New Roman" w:hAnsi="Times New Roman" w:cs="Times New Roman"/>
                <w:color w:val="auto"/>
                <w:szCs w:val="24"/>
                <w:highlight w:val="none"/>
              </w:rPr>
              <w:fldChar w:fldCharType="begin"/>
            </w:r>
            <w:r>
              <w:rPr>
                <w:rFonts w:hint="default" w:ascii="Times New Roman" w:hAnsi="Times New Roman" w:cs="Times New Roman"/>
                <w:color w:val="auto"/>
                <w:szCs w:val="24"/>
                <w:highlight w:val="none"/>
              </w:rPr>
              <w:instrText xml:space="preserve">ADDIN CNKISM.UserStyle</w:instrText>
            </w:r>
            <w:r>
              <w:rPr>
                <w:rFonts w:hint="default" w:ascii="Times New Roman" w:hAnsi="Times New Roman" w:cs="Times New Roman"/>
                <w:color w:val="auto"/>
                <w:szCs w:val="24"/>
                <w:highlight w:val="none"/>
              </w:rPr>
              <w:fldChar w:fldCharType="end"/>
            </w:r>
            <w:r>
              <w:rPr>
                <w:rFonts w:hint="default" w:ascii="Times New Roman" w:hAnsi="Times New Roman" w:cs="Times New Roman"/>
                <w:color w:val="auto"/>
                <w:szCs w:val="24"/>
                <w:highlight w:val="none"/>
              </w:rPr>
              <w:t>华宁县城市声环境功能区划分修编》（2025~2035年）结果：</w:t>
            </w:r>
          </w:p>
          <w:p w14:paraId="38CC587E">
            <w:pPr>
              <w:pStyle w:val="10"/>
              <w:numPr>
                <w:ilvl w:val="0"/>
                <w:numId w:val="6"/>
              </w:num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项目占地范围、项目周边声环境保护目标菜园村、祭祀坛声环境功能区划为2类区，执行《声环境质量标准》（GB3096-2008）2类标准；</w:t>
            </w:r>
          </w:p>
          <w:p w14:paraId="2D74BEBC">
            <w:pPr>
              <w:pStyle w:val="10"/>
              <w:numPr>
                <w:ilvl w:val="0"/>
                <w:numId w:val="6"/>
              </w:num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项目周边声环境保护目标甸尾村、城关1队声环境功能区划为1类区，执行《声环境质量标准》（GB3096-2008）1类标准；</w:t>
            </w:r>
          </w:p>
          <w:p w14:paraId="735C43F7">
            <w:pPr>
              <w:pStyle w:val="10"/>
              <w:numPr>
                <w:ilvl w:val="0"/>
                <w:numId w:val="6"/>
              </w:num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项目区东侧紧邻东风路、北侧紧邻松山路，临路一侧1类区15m</w:t>
            </w:r>
            <w:r>
              <w:rPr>
                <w:rFonts w:hint="default" w:ascii="Times New Roman" w:hAnsi="Times New Roman" w:cs="Times New Roman"/>
                <w:color w:val="auto"/>
                <w:highlight w:val="none"/>
              </w:rPr>
              <w:t>±5m、2类区30±5m范围内执行</w:t>
            </w:r>
            <w:r>
              <w:rPr>
                <w:rFonts w:hint="default" w:ascii="Times New Roman" w:hAnsi="Times New Roman" w:cs="Times New Roman"/>
                <w:color w:val="auto"/>
                <w:szCs w:val="24"/>
                <w:highlight w:val="none"/>
              </w:rPr>
              <w:t>《声环境质量标准》（GB3096-2008）的4a类标准，如临街第一排建筑物高于3层，则临街第一排建筑物执行《声环境质量标准》（GB3096-2008）的4a类标准。</w:t>
            </w:r>
          </w:p>
          <w:p w14:paraId="35A85CA8">
            <w:pPr>
              <w:spacing w:line="360" w:lineRule="auto"/>
              <w:ind w:firstLine="482" w:firstLineChars="200"/>
              <w:rPr>
                <w:rFonts w:hint="default" w:ascii="Times New Roman" w:hAnsi="Times New Roman" w:cs="Times New Roman"/>
                <w:color w:val="auto"/>
                <w:sz w:val="24"/>
                <w:highlight w:val="none"/>
                <w:lang w:bidi="ar"/>
              </w:rPr>
            </w:pPr>
            <w:r>
              <w:rPr>
                <w:rFonts w:hint="default" w:ascii="Times New Roman" w:hAnsi="Times New Roman" w:cs="Times New Roman"/>
                <w:b/>
                <w:bCs/>
                <w:color w:val="auto"/>
                <w:sz w:val="24"/>
                <w:highlight w:val="none"/>
              </w:rPr>
              <w:t>2、声环境质量现状</w:t>
            </w:r>
          </w:p>
          <w:p w14:paraId="26CDF15E">
            <w:p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lang w:bidi="ar"/>
              </w:rPr>
              <w:t>为了解项目区域的声环境质量现状，建设单位委托云南厚望环保科技有限公司于2025年01月13日对项目区西北面和西南面的声保护目标开展现状监测，</w:t>
            </w:r>
            <w:r>
              <w:rPr>
                <w:rFonts w:hint="default" w:ascii="Times New Roman" w:hAnsi="Times New Roman" w:cs="Times New Roman"/>
                <w:color w:val="auto"/>
                <w:sz w:val="24"/>
                <w:highlight w:val="none"/>
              </w:rPr>
              <w:t>监测结果和噪声监测布点图如下：</w:t>
            </w:r>
            <w:r>
              <w:rPr>
                <w:rFonts w:hint="default" w:ascii="Times New Roman" w:hAnsi="Times New Roman" w:cs="Times New Roman"/>
                <w:color w:val="auto"/>
                <w:szCs w:val="21"/>
                <w:highlight w:val="none"/>
              </w:rPr>
              <w:t xml:space="preserve">         </w:t>
            </w:r>
          </w:p>
          <w:p w14:paraId="45B16755">
            <w:pPr>
              <w:pStyle w:val="103"/>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4086860" cy="3331845"/>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086860" cy="3331845"/>
                          </a:xfrm>
                          <a:prstGeom prst="rect">
                            <a:avLst/>
                          </a:prstGeom>
                          <a:noFill/>
                          <a:ln>
                            <a:noFill/>
                          </a:ln>
                          <a:effectLst/>
                        </pic:spPr>
                      </pic:pic>
                    </a:graphicData>
                  </a:graphic>
                </wp:inline>
              </w:drawing>
            </w:r>
          </w:p>
          <w:p w14:paraId="41D60CF5">
            <w:pPr>
              <w:pStyle w:val="103"/>
              <w:spacing w:after="120" w:afterLines="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图3-6 环境噪声监测布点图</w:t>
            </w:r>
          </w:p>
          <w:p w14:paraId="21237BDD">
            <w:pPr>
              <w:pStyle w:val="103"/>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表3-5  环境噪声现状监测结果   单位：dB（A）</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5"/>
              <w:gridCol w:w="1253"/>
              <w:gridCol w:w="1031"/>
              <w:gridCol w:w="1091"/>
              <w:gridCol w:w="1149"/>
              <w:gridCol w:w="1839"/>
            </w:tblGrid>
            <w:tr w14:paraId="55F1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8" w:type="pct"/>
                  <w:vAlign w:val="center"/>
                </w:tcPr>
                <w:p w14:paraId="5BA514C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检测日期</w:t>
                  </w:r>
                </w:p>
              </w:tc>
              <w:tc>
                <w:tcPr>
                  <w:tcW w:w="714" w:type="pct"/>
                  <w:vAlign w:val="center"/>
                </w:tcPr>
                <w:p w14:paraId="75D68197">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检测点位</w:t>
                  </w:r>
                </w:p>
              </w:tc>
              <w:tc>
                <w:tcPr>
                  <w:tcW w:w="831" w:type="pct"/>
                  <w:vAlign w:val="center"/>
                </w:tcPr>
                <w:p w14:paraId="1ED6340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监测时段</w:t>
                  </w:r>
                </w:p>
              </w:tc>
              <w:tc>
                <w:tcPr>
                  <w:tcW w:w="700" w:type="pct"/>
                  <w:vAlign w:val="center"/>
                </w:tcPr>
                <w:p w14:paraId="534406D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监测值</w:t>
                  </w:r>
                </w:p>
              </w:tc>
              <w:tc>
                <w:tcPr>
                  <w:tcW w:w="735" w:type="pct"/>
                  <w:vAlign w:val="center"/>
                </w:tcPr>
                <w:p w14:paraId="264E7FDA">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标准值</w:t>
                  </w:r>
                </w:p>
              </w:tc>
              <w:tc>
                <w:tcPr>
                  <w:tcW w:w="769" w:type="pct"/>
                  <w:vAlign w:val="center"/>
                </w:tcPr>
                <w:p w14:paraId="291A333F">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达标情况</w:t>
                  </w:r>
                </w:p>
              </w:tc>
              <w:tc>
                <w:tcPr>
                  <w:tcW w:w="740" w:type="pct"/>
                  <w:vAlign w:val="center"/>
                </w:tcPr>
                <w:p w14:paraId="1AEE594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执行</w:t>
                  </w:r>
                </w:p>
                <w:p w14:paraId="1372F9CD">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标准</w:t>
                  </w:r>
                </w:p>
              </w:tc>
            </w:tr>
            <w:tr w14:paraId="1A39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8" w:type="pct"/>
                  <w:vMerge w:val="restart"/>
                  <w:vAlign w:val="center"/>
                </w:tcPr>
                <w:p w14:paraId="40A675E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2025.1.13</w:t>
                  </w:r>
                </w:p>
              </w:tc>
              <w:tc>
                <w:tcPr>
                  <w:tcW w:w="714" w:type="pct"/>
                  <w:vMerge w:val="restart"/>
                  <w:vAlign w:val="center"/>
                </w:tcPr>
                <w:p w14:paraId="2FEA937A">
                  <w:pPr>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N1城关1队</w:t>
                  </w:r>
                </w:p>
              </w:tc>
              <w:tc>
                <w:tcPr>
                  <w:tcW w:w="831" w:type="pct"/>
                  <w:vAlign w:val="center"/>
                </w:tcPr>
                <w:p w14:paraId="558E07A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昼间</w:t>
                  </w:r>
                </w:p>
              </w:tc>
              <w:tc>
                <w:tcPr>
                  <w:tcW w:w="700" w:type="pct"/>
                  <w:vAlign w:val="center"/>
                </w:tcPr>
                <w:p w14:paraId="3254AE6F">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w:t>
                  </w:r>
                </w:p>
              </w:tc>
              <w:tc>
                <w:tcPr>
                  <w:tcW w:w="735" w:type="pct"/>
                  <w:vAlign w:val="center"/>
                </w:tcPr>
                <w:p w14:paraId="2CA95B9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w:t>
                  </w:r>
                </w:p>
              </w:tc>
              <w:tc>
                <w:tcPr>
                  <w:tcW w:w="769" w:type="pct"/>
                  <w:vAlign w:val="center"/>
                </w:tcPr>
                <w:p w14:paraId="06BC7FAE">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c>
                <w:tcPr>
                  <w:tcW w:w="740" w:type="pct"/>
                  <w:vMerge w:val="restart"/>
                  <w:vAlign w:val="center"/>
                </w:tcPr>
                <w:p w14:paraId="7B022AFB">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《声环境质量标准》（GB3096-2008）1类标准</w:t>
                  </w:r>
                </w:p>
              </w:tc>
            </w:tr>
            <w:tr w14:paraId="46B8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508" w:type="pct"/>
                  <w:vMerge w:val="continue"/>
                  <w:vAlign w:val="center"/>
                </w:tcPr>
                <w:p w14:paraId="5E781A57">
                  <w:pPr>
                    <w:jc w:val="center"/>
                    <w:rPr>
                      <w:rFonts w:hint="default" w:ascii="Times New Roman" w:hAnsi="Times New Roman" w:cs="Times New Roman"/>
                      <w:bCs/>
                      <w:color w:val="auto"/>
                      <w:szCs w:val="21"/>
                      <w:highlight w:val="none"/>
                    </w:rPr>
                  </w:pPr>
                </w:p>
              </w:tc>
              <w:tc>
                <w:tcPr>
                  <w:tcW w:w="714" w:type="pct"/>
                  <w:vMerge w:val="continue"/>
                  <w:vAlign w:val="center"/>
                </w:tcPr>
                <w:p w14:paraId="07004267">
                  <w:pPr>
                    <w:jc w:val="center"/>
                    <w:rPr>
                      <w:rFonts w:hint="default" w:ascii="Times New Roman" w:hAnsi="Times New Roman" w:cs="Times New Roman"/>
                      <w:bCs/>
                      <w:color w:val="auto"/>
                      <w:szCs w:val="21"/>
                      <w:highlight w:val="none"/>
                    </w:rPr>
                  </w:pPr>
                </w:p>
              </w:tc>
              <w:tc>
                <w:tcPr>
                  <w:tcW w:w="831" w:type="pct"/>
                  <w:vAlign w:val="center"/>
                </w:tcPr>
                <w:p w14:paraId="422A16A8">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夜间</w:t>
                  </w:r>
                </w:p>
              </w:tc>
              <w:tc>
                <w:tcPr>
                  <w:tcW w:w="700" w:type="pct"/>
                  <w:vAlign w:val="center"/>
                </w:tcPr>
                <w:p w14:paraId="4FD6DBD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44</w:t>
                  </w:r>
                </w:p>
              </w:tc>
              <w:tc>
                <w:tcPr>
                  <w:tcW w:w="735" w:type="pct"/>
                  <w:vAlign w:val="center"/>
                </w:tcPr>
                <w:p w14:paraId="1E333F0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45</w:t>
                  </w:r>
                </w:p>
              </w:tc>
              <w:tc>
                <w:tcPr>
                  <w:tcW w:w="769" w:type="pct"/>
                  <w:vAlign w:val="center"/>
                </w:tcPr>
                <w:p w14:paraId="791FFA3A">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c>
                <w:tcPr>
                  <w:tcW w:w="740" w:type="pct"/>
                  <w:vMerge w:val="continue"/>
                  <w:vAlign w:val="center"/>
                </w:tcPr>
                <w:p w14:paraId="4517A84F">
                  <w:pPr>
                    <w:jc w:val="center"/>
                    <w:rPr>
                      <w:rFonts w:hint="default" w:ascii="Times New Roman" w:hAnsi="Times New Roman" w:cs="Times New Roman"/>
                      <w:bCs/>
                      <w:color w:val="auto"/>
                      <w:szCs w:val="21"/>
                      <w:highlight w:val="none"/>
                    </w:rPr>
                  </w:pPr>
                </w:p>
              </w:tc>
            </w:tr>
            <w:tr w14:paraId="60EC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508" w:type="pct"/>
                  <w:vMerge w:val="continue"/>
                  <w:vAlign w:val="center"/>
                </w:tcPr>
                <w:p w14:paraId="3E443602">
                  <w:pPr>
                    <w:jc w:val="center"/>
                    <w:rPr>
                      <w:rFonts w:hint="default" w:ascii="Times New Roman" w:hAnsi="Times New Roman" w:cs="Times New Roman"/>
                      <w:bCs/>
                      <w:color w:val="auto"/>
                      <w:szCs w:val="21"/>
                      <w:highlight w:val="none"/>
                    </w:rPr>
                  </w:pPr>
                </w:p>
              </w:tc>
              <w:tc>
                <w:tcPr>
                  <w:tcW w:w="714" w:type="pct"/>
                  <w:vMerge w:val="restart"/>
                  <w:vAlign w:val="center"/>
                </w:tcPr>
                <w:p w14:paraId="697CA36D">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N2花蕾幼儿园</w:t>
                  </w:r>
                </w:p>
              </w:tc>
              <w:tc>
                <w:tcPr>
                  <w:tcW w:w="831" w:type="pct"/>
                  <w:vAlign w:val="center"/>
                </w:tcPr>
                <w:p w14:paraId="76592548">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昼间</w:t>
                  </w:r>
                </w:p>
              </w:tc>
              <w:tc>
                <w:tcPr>
                  <w:tcW w:w="700" w:type="pct"/>
                  <w:vAlign w:val="center"/>
                </w:tcPr>
                <w:p w14:paraId="2C4ACE2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w:t>
                  </w:r>
                </w:p>
              </w:tc>
              <w:tc>
                <w:tcPr>
                  <w:tcW w:w="735" w:type="pct"/>
                  <w:vAlign w:val="center"/>
                </w:tcPr>
                <w:p w14:paraId="63FE7D0E">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w:t>
                  </w:r>
                </w:p>
              </w:tc>
              <w:tc>
                <w:tcPr>
                  <w:tcW w:w="769" w:type="pct"/>
                  <w:vAlign w:val="center"/>
                </w:tcPr>
                <w:p w14:paraId="661681A7">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c>
                <w:tcPr>
                  <w:tcW w:w="740" w:type="pct"/>
                  <w:vMerge w:val="continue"/>
                  <w:vAlign w:val="center"/>
                </w:tcPr>
                <w:p w14:paraId="391571F6">
                  <w:pPr>
                    <w:jc w:val="center"/>
                    <w:rPr>
                      <w:rFonts w:hint="default" w:ascii="Times New Roman" w:hAnsi="Times New Roman" w:cs="Times New Roman"/>
                      <w:bCs/>
                      <w:color w:val="auto"/>
                      <w:szCs w:val="21"/>
                      <w:highlight w:val="none"/>
                    </w:rPr>
                  </w:pPr>
                </w:p>
              </w:tc>
            </w:tr>
            <w:tr w14:paraId="01F3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508" w:type="pct"/>
                  <w:vMerge w:val="continue"/>
                  <w:vAlign w:val="center"/>
                </w:tcPr>
                <w:p w14:paraId="5CD07401">
                  <w:pPr>
                    <w:jc w:val="center"/>
                    <w:rPr>
                      <w:rFonts w:hint="default" w:ascii="Times New Roman" w:hAnsi="Times New Roman" w:cs="Times New Roman"/>
                      <w:bCs/>
                      <w:color w:val="auto"/>
                      <w:szCs w:val="21"/>
                      <w:highlight w:val="none"/>
                    </w:rPr>
                  </w:pPr>
                </w:p>
              </w:tc>
              <w:tc>
                <w:tcPr>
                  <w:tcW w:w="714" w:type="pct"/>
                  <w:vMerge w:val="continue"/>
                  <w:vAlign w:val="center"/>
                </w:tcPr>
                <w:p w14:paraId="602D91C6">
                  <w:pPr>
                    <w:jc w:val="center"/>
                    <w:rPr>
                      <w:rFonts w:hint="default" w:ascii="Times New Roman" w:hAnsi="Times New Roman" w:cs="Times New Roman"/>
                      <w:bCs/>
                      <w:color w:val="auto"/>
                      <w:szCs w:val="21"/>
                      <w:highlight w:val="none"/>
                    </w:rPr>
                  </w:pPr>
                </w:p>
              </w:tc>
              <w:tc>
                <w:tcPr>
                  <w:tcW w:w="831" w:type="pct"/>
                  <w:vAlign w:val="center"/>
                </w:tcPr>
                <w:p w14:paraId="6CDE081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夜间</w:t>
                  </w:r>
                </w:p>
              </w:tc>
              <w:tc>
                <w:tcPr>
                  <w:tcW w:w="700" w:type="pct"/>
                  <w:vAlign w:val="center"/>
                </w:tcPr>
                <w:p w14:paraId="4D9FFBA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45</w:t>
                  </w:r>
                </w:p>
              </w:tc>
              <w:tc>
                <w:tcPr>
                  <w:tcW w:w="735" w:type="pct"/>
                  <w:vAlign w:val="center"/>
                </w:tcPr>
                <w:p w14:paraId="31DEDFB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45</w:t>
                  </w:r>
                </w:p>
              </w:tc>
              <w:tc>
                <w:tcPr>
                  <w:tcW w:w="769" w:type="pct"/>
                  <w:vAlign w:val="center"/>
                </w:tcPr>
                <w:p w14:paraId="3439474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c>
                <w:tcPr>
                  <w:tcW w:w="740" w:type="pct"/>
                  <w:vMerge w:val="continue"/>
                  <w:vAlign w:val="center"/>
                </w:tcPr>
                <w:p w14:paraId="2CBAAB36">
                  <w:pPr>
                    <w:jc w:val="center"/>
                    <w:rPr>
                      <w:rFonts w:hint="default" w:ascii="Times New Roman" w:hAnsi="Times New Roman" w:cs="Times New Roman"/>
                      <w:bCs/>
                      <w:color w:val="auto"/>
                      <w:szCs w:val="21"/>
                      <w:highlight w:val="none"/>
                    </w:rPr>
                  </w:pPr>
                </w:p>
              </w:tc>
            </w:tr>
            <w:tr w14:paraId="78AD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508" w:type="pct"/>
                  <w:vMerge w:val="continue"/>
                  <w:vAlign w:val="center"/>
                </w:tcPr>
                <w:p w14:paraId="0DB44552">
                  <w:pPr>
                    <w:jc w:val="center"/>
                    <w:rPr>
                      <w:rFonts w:hint="default" w:ascii="Times New Roman" w:hAnsi="Times New Roman" w:cs="Times New Roman"/>
                      <w:bCs/>
                      <w:color w:val="auto"/>
                      <w:szCs w:val="21"/>
                      <w:highlight w:val="none"/>
                    </w:rPr>
                  </w:pPr>
                </w:p>
              </w:tc>
              <w:tc>
                <w:tcPr>
                  <w:tcW w:w="714" w:type="pct"/>
                  <w:vMerge w:val="restart"/>
                  <w:vAlign w:val="center"/>
                </w:tcPr>
                <w:p w14:paraId="2EED5E98">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N3菜园村</w:t>
                  </w:r>
                </w:p>
              </w:tc>
              <w:tc>
                <w:tcPr>
                  <w:tcW w:w="831" w:type="pct"/>
                  <w:vAlign w:val="center"/>
                </w:tcPr>
                <w:p w14:paraId="3F8C383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昼间</w:t>
                  </w:r>
                </w:p>
              </w:tc>
              <w:tc>
                <w:tcPr>
                  <w:tcW w:w="700" w:type="pct"/>
                  <w:vAlign w:val="center"/>
                </w:tcPr>
                <w:p w14:paraId="5DD95C5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52</w:t>
                  </w:r>
                </w:p>
              </w:tc>
              <w:tc>
                <w:tcPr>
                  <w:tcW w:w="735" w:type="pct"/>
                  <w:vAlign w:val="center"/>
                </w:tcPr>
                <w:p w14:paraId="007E406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769" w:type="pct"/>
                  <w:vAlign w:val="center"/>
                </w:tcPr>
                <w:p w14:paraId="5DD6C9A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c>
                <w:tcPr>
                  <w:tcW w:w="740" w:type="pct"/>
                  <w:vMerge w:val="restart"/>
                  <w:vAlign w:val="center"/>
                </w:tcPr>
                <w:p w14:paraId="2E9C0E7F">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《声环境质量标准》（GB3096-2008）2类标准</w:t>
                  </w:r>
                </w:p>
              </w:tc>
            </w:tr>
            <w:tr w14:paraId="788E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508" w:type="pct"/>
                  <w:vMerge w:val="continue"/>
                  <w:vAlign w:val="center"/>
                </w:tcPr>
                <w:p w14:paraId="517588C8">
                  <w:pPr>
                    <w:jc w:val="center"/>
                    <w:rPr>
                      <w:rFonts w:hint="default" w:ascii="Times New Roman" w:hAnsi="Times New Roman" w:cs="Times New Roman"/>
                      <w:bCs/>
                      <w:color w:val="auto"/>
                      <w:szCs w:val="21"/>
                      <w:highlight w:val="none"/>
                    </w:rPr>
                  </w:pPr>
                </w:p>
              </w:tc>
              <w:tc>
                <w:tcPr>
                  <w:tcW w:w="714" w:type="pct"/>
                  <w:vMerge w:val="continue"/>
                  <w:vAlign w:val="center"/>
                </w:tcPr>
                <w:p w14:paraId="5284D2BF">
                  <w:pPr>
                    <w:jc w:val="center"/>
                    <w:rPr>
                      <w:rFonts w:hint="default" w:ascii="Times New Roman" w:hAnsi="Times New Roman" w:cs="Times New Roman"/>
                      <w:bCs/>
                      <w:color w:val="auto"/>
                      <w:szCs w:val="21"/>
                      <w:highlight w:val="none"/>
                    </w:rPr>
                  </w:pPr>
                </w:p>
              </w:tc>
              <w:tc>
                <w:tcPr>
                  <w:tcW w:w="831" w:type="pct"/>
                  <w:vAlign w:val="center"/>
                </w:tcPr>
                <w:p w14:paraId="0844DD3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夜间</w:t>
                  </w:r>
                </w:p>
              </w:tc>
              <w:tc>
                <w:tcPr>
                  <w:tcW w:w="700" w:type="pct"/>
                  <w:vAlign w:val="center"/>
                </w:tcPr>
                <w:p w14:paraId="0A3BD0C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42</w:t>
                  </w:r>
                </w:p>
              </w:tc>
              <w:tc>
                <w:tcPr>
                  <w:tcW w:w="735" w:type="pct"/>
                  <w:vAlign w:val="center"/>
                </w:tcPr>
                <w:p w14:paraId="2CA596C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50</w:t>
                  </w:r>
                </w:p>
              </w:tc>
              <w:tc>
                <w:tcPr>
                  <w:tcW w:w="769" w:type="pct"/>
                  <w:vAlign w:val="center"/>
                </w:tcPr>
                <w:p w14:paraId="347EF94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c>
                <w:tcPr>
                  <w:tcW w:w="740" w:type="pct"/>
                  <w:vMerge w:val="continue"/>
                  <w:vAlign w:val="center"/>
                </w:tcPr>
                <w:p w14:paraId="10A39100">
                  <w:pPr>
                    <w:jc w:val="center"/>
                    <w:rPr>
                      <w:rFonts w:hint="default" w:ascii="Times New Roman" w:hAnsi="Times New Roman" w:cs="Times New Roman"/>
                      <w:bCs/>
                      <w:color w:val="auto"/>
                      <w:szCs w:val="21"/>
                      <w:highlight w:val="none"/>
                    </w:rPr>
                  </w:pPr>
                </w:p>
              </w:tc>
            </w:tr>
          </w:tbl>
          <w:p w14:paraId="4BBBEE1E">
            <w:pPr>
              <w:pStyle w:val="10"/>
              <w:ind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highlight w:val="none"/>
              </w:rPr>
              <w:t>根据上表可知，项目声环境保护目标声环境质量能够满足《声环境质量标准》（GB3096-2008</w:t>
            </w:r>
            <w:r>
              <w:rPr>
                <w:rFonts w:hint="default" w:ascii="Times New Roman" w:hAnsi="Times New Roman" w:cs="Times New Roman"/>
                <w:color w:val="auto"/>
                <w:sz w:val="24"/>
                <w:szCs w:val="24"/>
                <w:highlight w:val="none"/>
              </w:rPr>
              <w:t>）1类、2类标准要求。</w:t>
            </w:r>
          </w:p>
          <w:p w14:paraId="03AAC9F2">
            <w:pPr>
              <w:pStyle w:val="10"/>
              <w:ind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3.1.4 生态环境现状</w:t>
            </w:r>
          </w:p>
          <w:p w14:paraId="4A12029C">
            <w:pPr>
              <w:adjustRightInd w:val="0"/>
              <w:snapToGrid w:val="0"/>
              <w:spacing w:line="360" w:lineRule="auto"/>
              <w:ind w:firstLine="48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sz w:val="24"/>
                <w:szCs w:val="24"/>
                <w:highlight w:val="none"/>
              </w:rPr>
              <w:t>项目所在区域为城市建成区</w:t>
            </w:r>
            <w:r>
              <w:rPr>
                <w:rFonts w:hint="default" w:ascii="Times New Roman" w:hAnsi="Times New Roman" w:cs="Times New Roman"/>
                <w:color w:val="auto"/>
                <w:sz w:val="24"/>
                <w:highlight w:val="none"/>
              </w:rPr>
              <w:t>，随着城市建设的发展及人类生产、生活的影响，目前项目所在区域内已无天然植被分布，评价区域地表主要为人工建设的建筑物及水泥道路，区域地表植被主要为人工种植的绿化树种、景观树种及绿化草皮，植物种类不多，地表植被覆盖率较低，生物多样性差。项目用地范围内无国家规定保护的珍稀濒危野生动植物。</w:t>
            </w:r>
          </w:p>
        </w:tc>
      </w:tr>
      <w:tr w14:paraId="3D847B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0" w:type="pct"/>
            <w:vAlign w:val="center"/>
          </w:tcPr>
          <w:p w14:paraId="5D9C976F">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环境</w:t>
            </w:r>
          </w:p>
          <w:p w14:paraId="5B6A7702">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保护</w:t>
            </w:r>
          </w:p>
          <w:p w14:paraId="1E6460F8">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目标</w:t>
            </w:r>
          </w:p>
        </w:tc>
        <w:tc>
          <w:tcPr>
            <w:tcW w:w="4629" w:type="pct"/>
            <w:vAlign w:val="center"/>
          </w:tcPr>
          <w:p w14:paraId="0BE8CA63">
            <w:pPr>
              <w:spacing w:line="360" w:lineRule="auto"/>
              <w:ind w:firstLine="480" w:firstLineChars="200"/>
              <w:jc w:val="left"/>
              <w:rPr>
                <w:rFonts w:hint="default" w:ascii="Times New Roman" w:hAnsi="Times New Roman" w:cs="Times New Roman"/>
                <w:color w:val="auto"/>
                <w:sz w:val="24"/>
                <w:highlight w:val="none"/>
                <w:lang w:val="zh-CN"/>
              </w:rPr>
            </w:pPr>
            <w:r>
              <w:rPr>
                <w:rFonts w:hint="default" w:ascii="Times New Roman" w:hAnsi="Times New Roman" w:cs="Times New Roman"/>
                <w:color w:val="auto"/>
                <w:sz w:val="24"/>
                <w:highlight w:val="none"/>
                <w:lang w:val="zh-CN"/>
              </w:rPr>
              <w:t>根据《建设项目环境影响报告表编制技术指南（污染影响类）（试行）》（后文简称“指南”），确定本次项目主要环境保护目标如下：</w:t>
            </w:r>
          </w:p>
          <w:p w14:paraId="7CA8E598">
            <w:pPr>
              <w:pStyle w:val="2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1、环境空气保护目标</w:t>
            </w:r>
          </w:p>
          <w:p w14:paraId="767CE9CF">
            <w:pPr>
              <w:pStyle w:val="78"/>
              <w:rPr>
                <w:rFonts w:hint="default" w:ascii="Times New Roman" w:hAnsi="Times New Roman" w:cs="Times New Roman"/>
                <w:color w:val="auto"/>
                <w:highlight w:val="none"/>
              </w:rPr>
            </w:pPr>
            <w:r>
              <w:rPr>
                <w:rStyle w:val="110"/>
                <w:rFonts w:hint="default" w:ascii="Times New Roman" w:hAnsi="Times New Roman" w:cs="Times New Roman"/>
                <w:color w:val="auto"/>
                <w:highlight w:val="none"/>
              </w:rPr>
              <w:t>根据项目周边环境情况，项目厂界外500m范围内不涉及自然保护区、风景名胜区，项目大气环境保护目标主要为项目厂界外围500m范围内的居住区、文化区和农村地区等人群较集中的区域。环境空气保护目标按照《环境空气质量标准》（GB3095-20</w:t>
            </w:r>
            <w:r>
              <w:rPr>
                <w:rStyle w:val="110"/>
                <w:rFonts w:hint="default" w:ascii="Times New Roman" w:hAnsi="Times New Roman" w:cs="Times New Roman"/>
                <w:color w:val="auto"/>
                <w:highlight w:val="none"/>
                <w:lang w:val="en-US" w:eastAsia="zh-CN"/>
              </w:rPr>
              <w:t>26</w:t>
            </w:r>
            <w:r>
              <w:rPr>
                <w:rStyle w:val="110"/>
                <w:rFonts w:hint="default" w:ascii="Times New Roman" w:hAnsi="Times New Roman" w:cs="Times New Roman"/>
                <w:color w:val="auto"/>
                <w:highlight w:val="none"/>
              </w:rPr>
              <w:t>）二级标准进行保护</w:t>
            </w:r>
            <w:r>
              <w:rPr>
                <w:rFonts w:hint="default" w:ascii="Times New Roman" w:hAnsi="Times New Roman" w:cs="Times New Roman"/>
                <w:color w:val="auto"/>
                <w:highlight w:val="none"/>
              </w:rPr>
              <w:t>。</w:t>
            </w:r>
          </w:p>
          <w:p w14:paraId="31229220">
            <w:pPr>
              <w:pStyle w:val="2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2、声环境保护目标</w:t>
            </w:r>
          </w:p>
          <w:p w14:paraId="164CAD12">
            <w:pPr>
              <w:pStyle w:val="2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w:t>
            </w:r>
            <w:r>
              <w:rPr>
                <w:rFonts w:hint="default" w:ascii="Times New Roman" w:hAnsi="Times New Roman" w:cs="Times New Roman"/>
                <w:color w:val="auto"/>
                <w:sz w:val="24"/>
                <w:highlight w:val="none"/>
                <w:lang w:val="zh-CN"/>
              </w:rPr>
              <w:t>现场踏勘</w:t>
            </w:r>
            <w:r>
              <w:rPr>
                <w:rFonts w:hint="default" w:ascii="Times New Roman" w:hAnsi="Times New Roman" w:cs="Times New Roman"/>
                <w:color w:val="auto"/>
                <w:sz w:val="24"/>
                <w:highlight w:val="none"/>
              </w:rPr>
              <w:t>，项目声环境保护目标为项目厂界外50m范围内的居民区，声环境保护按照《声环境质量标准》（GB3096-2008）中1类及2类区标准进行保护。</w:t>
            </w:r>
          </w:p>
          <w:p w14:paraId="16983E0B">
            <w:pPr>
              <w:pStyle w:val="2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3、生态环境保护目标</w:t>
            </w:r>
          </w:p>
          <w:p w14:paraId="6990EFCE">
            <w:pPr>
              <w:pStyle w:val="2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本项目用地范围内不涉及自然保护区、风景名胜区及古树名木，也未发现国家、省重点保护的野生动物等种类分布。没有生态环境保护目标。</w:t>
            </w:r>
          </w:p>
          <w:p w14:paraId="784C9A6F">
            <w:pPr>
              <w:pStyle w:val="2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项目环境保护目标见下表：</w:t>
            </w:r>
          </w:p>
          <w:p w14:paraId="2DCD840B">
            <w:pPr>
              <w:spacing w:before="120" w:beforeLines="5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表3-7 环境空气保护目标</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934"/>
              <w:gridCol w:w="966"/>
              <w:gridCol w:w="987"/>
              <w:gridCol w:w="1287"/>
              <w:gridCol w:w="1838"/>
              <w:gridCol w:w="763"/>
              <w:gridCol w:w="771"/>
            </w:tblGrid>
            <w:tr w14:paraId="5D1B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2" w:type="pct"/>
                  <w:vMerge w:val="restart"/>
                  <w:vAlign w:val="center"/>
                </w:tcPr>
                <w:p w14:paraId="404F6D3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名称</w:t>
                  </w:r>
                </w:p>
              </w:tc>
              <w:tc>
                <w:tcPr>
                  <w:tcW w:w="1185" w:type="pct"/>
                  <w:gridSpan w:val="2"/>
                  <w:vAlign w:val="center"/>
                </w:tcPr>
                <w:p w14:paraId="421EB5C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坐标/m（以扩建后疾控中心南角为坐标原点）</w:t>
                  </w:r>
                </w:p>
              </w:tc>
              <w:tc>
                <w:tcPr>
                  <w:tcW w:w="614" w:type="pct"/>
                  <w:vMerge w:val="restart"/>
                  <w:vAlign w:val="center"/>
                </w:tcPr>
                <w:p w14:paraId="2F31178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保护</w:t>
                  </w:r>
                </w:p>
                <w:p w14:paraId="09601CF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对象</w:t>
                  </w:r>
                </w:p>
              </w:tc>
              <w:tc>
                <w:tcPr>
                  <w:tcW w:w="791" w:type="pct"/>
                  <w:vMerge w:val="restart"/>
                  <w:vAlign w:val="center"/>
                </w:tcPr>
                <w:p w14:paraId="4742F1F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保护</w:t>
                  </w:r>
                </w:p>
                <w:p w14:paraId="6E485A5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内容</w:t>
                  </w:r>
                </w:p>
              </w:tc>
              <w:tc>
                <w:tcPr>
                  <w:tcW w:w="856" w:type="pct"/>
                  <w:vMerge w:val="restart"/>
                  <w:vAlign w:val="center"/>
                </w:tcPr>
                <w:p w14:paraId="68BF2A8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环境功能区</w:t>
                  </w:r>
                </w:p>
              </w:tc>
              <w:tc>
                <w:tcPr>
                  <w:tcW w:w="482" w:type="pct"/>
                  <w:vMerge w:val="restart"/>
                  <w:vAlign w:val="center"/>
                </w:tcPr>
                <w:p w14:paraId="08D046C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相对厂址方位</w:t>
                  </w:r>
                </w:p>
              </w:tc>
              <w:tc>
                <w:tcPr>
                  <w:tcW w:w="487" w:type="pct"/>
                  <w:vMerge w:val="restart"/>
                  <w:vAlign w:val="center"/>
                </w:tcPr>
                <w:p w14:paraId="39390FA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相对厂界距离/m</w:t>
                  </w:r>
                </w:p>
              </w:tc>
            </w:tr>
            <w:tr w14:paraId="0B90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82" w:type="pct"/>
                  <w:vMerge w:val="continue"/>
                  <w:vAlign w:val="center"/>
                </w:tcPr>
                <w:p w14:paraId="72E3A745">
                  <w:pPr>
                    <w:jc w:val="center"/>
                    <w:rPr>
                      <w:rFonts w:hint="default" w:ascii="Times New Roman" w:hAnsi="Times New Roman" w:cs="Times New Roman"/>
                      <w:b/>
                      <w:bCs/>
                      <w:color w:val="auto"/>
                      <w:szCs w:val="21"/>
                      <w:highlight w:val="none"/>
                    </w:rPr>
                  </w:pPr>
                </w:p>
              </w:tc>
              <w:tc>
                <w:tcPr>
                  <w:tcW w:w="583" w:type="pct"/>
                  <w:vAlign w:val="center"/>
                </w:tcPr>
                <w:p w14:paraId="2294F6B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X</w:t>
                  </w:r>
                </w:p>
              </w:tc>
              <w:tc>
                <w:tcPr>
                  <w:tcW w:w="601" w:type="pct"/>
                  <w:vAlign w:val="center"/>
                </w:tcPr>
                <w:p w14:paraId="47CA36B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Y</w:t>
                  </w:r>
                </w:p>
              </w:tc>
              <w:tc>
                <w:tcPr>
                  <w:tcW w:w="614" w:type="pct"/>
                  <w:vMerge w:val="continue"/>
                  <w:vAlign w:val="center"/>
                </w:tcPr>
                <w:p w14:paraId="33A272C2">
                  <w:pPr>
                    <w:jc w:val="center"/>
                    <w:rPr>
                      <w:rFonts w:hint="default" w:ascii="Times New Roman" w:hAnsi="Times New Roman" w:cs="Times New Roman"/>
                      <w:b/>
                      <w:bCs/>
                      <w:color w:val="auto"/>
                      <w:szCs w:val="21"/>
                      <w:highlight w:val="none"/>
                    </w:rPr>
                  </w:pPr>
                </w:p>
              </w:tc>
              <w:tc>
                <w:tcPr>
                  <w:tcW w:w="791" w:type="pct"/>
                  <w:vMerge w:val="continue"/>
                  <w:vAlign w:val="center"/>
                </w:tcPr>
                <w:p w14:paraId="7A19599C">
                  <w:pPr>
                    <w:jc w:val="center"/>
                    <w:rPr>
                      <w:rFonts w:hint="default" w:ascii="Times New Roman" w:hAnsi="Times New Roman" w:cs="Times New Roman"/>
                      <w:b/>
                      <w:bCs/>
                      <w:color w:val="auto"/>
                      <w:szCs w:val="21"/>
                      <w:highlight w:val="none"/>
                    </w:rPr>
                  </w:pPr>
                </w:p>
              </w:tc>
              <w:tc>
                <w:tcPr>
                  <w:tcW w:w="856" w:type="pct"/>
                  <w:vMerge w:val="continue"/>
                  <w:vAlign w:val="center"/>
                </w:tcPr>
                <w:p w14:paraId="398FAD68">
                  <w:pPr>
                    <w:jc w:val="center"/>
                    <w:rPr>
                      <w:rFonts w:hint="default" w:ascii="Times New Roman" w:hAnsi="Times New Roman" w:cs="Times New Roman"/>
                      <w:b/>
                      <w:bCs/>
                      <w:color w:val="auto"/>
                      <w:szCs w:val="21"/>
                      <w:highlight w:val="none"/>
                    </w:rPr>
                  </w:pPr>
                </w:p>
              </w:tc>
              <w:tc>
                <w:tcPr>
                  <w:tcW w:w="482" w:type="pct"/>
                  <w:vMerge w:val="continue"/>
                  <w:vAlign w:val="center"/>
                </w:tcPr>
                <w:p w14:paraId="57FC52CF">
                  <w:pPr>
                    <w:jc w:val="center"/>
                    <w:rPr>
                      <w:rFonts w:hint="default" w:ascii="Times New Roman" w:hAnsi="Times New Roman" w:cs="Times New Roman"/>
                      <w:b/>
                      <w:bCs/>
                      <w:color w:val="auto"/>
                      <w:szCs w:val="21"/>
                      <w:highlight w:val="none"/>
                    </w:rPr>
                  </w:pPr>
                </w:p>
              </w:tc>
              <w:tc>
                <w:tcPr>
                  <w:tcW w:w="487" w:type="pct"/>
                  <w:vMerge w:val="continue"/>
                  <w:vAlign w:val="center"/>
                </w:tcPr>
                <w:p w14:paraId="0601BBD9">
                  <w:pPr>
                    <w:jc w:val="center"/>
                    <w:rPr>
                      <w:rFonts w:hint="default" w:ascii="Times New Roman" w:hAnsi="Times New Roman" w:cs="Times New Roman"/>
                      <w:b/>
                      <w:bCs/>
                      <w:color w:val="auto"/>
                      <w:szCs w:val="21"/>
                      <w:highlight w:val="none"/>
                    </w:rPr>
                  </w:pPr>
                </w:p>
              </w:tc>
            </w:tr>
            <w:tr w14:paraId="5A0E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366E7A4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菜园村</w:t>
                  </w:r>
                </w:p>
              </w:tc>
              <w:tc>
                <w:tcPr>
                  <w:tcW w:w="583" w:type="pct"/>
                  <w:vAlign w:val="center"/>
                </w:tcPr>
                <w:p w14:paraId="4755FBB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-26.28</w:t>
                  </w:r>
                </w:p>
              </w:tc>
              <w:tc>
                <w:tcPr>
                  <w:tcW w:w="601" w:type="pct"/>
                  <w:vAlign w:val="center"/>
                </w:tcPr>
                <w:p w14:paraId="48A57F7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82.27</w:t>
                  </w:r>
                </w:p>
              </w:tc>
              <w:tc>
                <w:tcPr>
                  <w:tcW w:w="614" w:type="pct"/>
                  <w:vAlign w:val="center"/>
                </w:tcPr>
                <w:p w14:paraId="101864C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居民区</w:t>
                  </w:r>
                </w:p>
              </w:tc>
              <w:tc>
                <w:tcPr>
                  <w:tcW w:w="791" w:type="pct"/>
                  <w:vAlign w:val="center"/>
                </w:tcPr>
                <w:p w14:paraId="12DF10F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约108人</w:t>
                  </w:r>
                </w:p>
              </w:tc>
              <w:tc>
                <w:tcPr>
                  <w:tcW w:w="856" w:type="pct"/>
                  <w:vMerge w:val="restart"/>
                  <w:vAlign w:val="center"/>
                </w:tcPr>
                <w:p w14:paraId="129BACEE">
                  <w:pPr>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《环境空气质量标准》（GB3095-20</w:t>
                  </w:r>
                  <w:r>
                    <w:rPr>
                      <w:rFonts w:hint="default" w:ascii="Times New Roman" w:hAnsi="Times New Roman" w:cs="Times New Roman"/>
                      <w:color w:val="auto"/>
                      <w:highlight w:val="none"/>
                      <w:lang w:val="en-US" w:eastAsia="zh-CN"/>
                    </w:rPr>
                    <w:t>26</w:t>
                  </w:r>
                  <w:r>
                    <w:rPr>
                      <w:rFonts w:hint="default" w:ascii="Times New Roman" w:hAnsi="Times New Roman" w:cs="Times New Roman"/>
                      <w:color w:val="auto"/>
                      <w:highlight w:val="none"/>
                    </w:rPr>
                    <w:t>）二级</w:t>
                  </w:r>
                </w:p>
              </w:tc>
              <w:tc>
                <w:tcPr>
                  <w:tcW w:w="482" w:type="pct"/>
                  <w:vAlign w:val="center"/>
                </w:tcPr>
                <w:p w14:paraId="7945D2F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w:t>
                  </w:r>
                </w:p>
              </w:tc>
              <w:tc>
                <w:tcPr>
                  <w:tcW w:w="487" w:type="pct"/>
                  <w:vAlign w:val="center"/>
                </w:tcPr>
                <w:p w14:paraId="06BB49E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w:t>
                  </w:r>
                </w:p>
              </w:tc>
            </w:tr>
            <w:tr w14:paraId="2BDA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74E7BA4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祭祀坛</w:t>
                  </w:r>
                </w:p>
              </w:tc>
              <w:tc>
                <w:tcPr>
                  <w:tcW w:w="583" w:type="pct"/>
                  <w:vAlign w:val="center"/>
                </w:tcPr>
                <w:p w14:paraId="78E2F83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-100.63</w:t>
                  </w:r>
                </w:p>
              </w:tc>
              <w:tc>
                <w:tcPr>
                  <w:tcW w:w="601" w:type="pct"/>
                  <w:vAlign w:val="center"/>
                </w:tcPr>
                <w:p w14:paraId="3658FA2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79.1</w:t>
                  </w:r>
                </w:p>
              </w:tc>
              <w:tc>
                <w:tcPr>
                  <w:tcW w:w="614" w:type="pct"/>
                  <w:vAlign w:val="center"/>
                </w:tcPr>
                <w:p w14:paraId="0E8239A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居民区</w:t>
                  </w:r>
                </w:p>
              </w:tc>
              <w:tc>
                <w:tcPr>
                  <w:tcW w:w="791" w:type="pct"/>
                  <w:vAlign w:val="center"/>
                </w:tcPr>
                <w:p w14:paraId="34E9D8E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约386人</w:t>
                  </w:r>
                </w:p>
              </w:tc>
              <w:tc>
                <w:tcPr>
                  <w:tcW w:w="856" w:type="pct"/>
                  <w:vMerge w:val="continue"/>
                  <w:vAlign w:val="center"/>
                </w:tcPr>
                <w:p w14:paraId="0A33536A">
                  <w:pPr>
                    <w:jc w:val="center"/>
                    <w:rPr>
                      <w:rFonts w:hint="default" w:ascii="Times New Roman" w:hAnsi="Times New Roman" w:cs="Times New Roman"/>
                      <w:color w:val="auto"/>
                      <w:szCs w:val="21"/>
                      <w:highlight w:val="none"/>
                    </w:rPr>
                  </w:pPr>
                </w:p>
              </w:tc>
              <w:tc>
                <w:tcPr>
                  <w:tcW w:w="482" w:type="pct"/>
                  <w:vAlign w:val="center"/>
                </w:tcPr>
                <w:p w14:paraId="6E13CB2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w:t>
                  </w:r>
                </w:p>
              </w:tc>
              <w:tc>
                <w:tcPr>
                  <w:tcW w:w="487" w:type="pct"/>
                  <w:vAlign w:val="center"/>
                </w:tcPr>
                <w:p w14:paraId="086528C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r>
            <w:tr w14:paraId="4170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6B42E2B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甸尾村</w:t>
                  </w:r>
                </w:p>
              </w:tc>
              <w:tc>
                <w:tcPr>
                  <w:tcW w:w="583" w:type="pct"/>
                  <w:vAlign w:val="center"/>
                </w:tcPr>
                <w:p w14:paraId="0000671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-50.25</w:t>
                  </w:r>
                </w:p>
              </w:tc>
              <w:tc>
                <w:tcPr>
                  <w:tcW w:w="601" w:type="pct"/>
                  <w:vAlign w:val="center"/>
                </w:tcPr>
                <w:p w14:paraId="2A7EAFE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120.46</w:t>
                  </w:r>
                </w:p>
              </w:tc>
              <w:tc>
                <w:tcPr>
                  <w:tcW w:w="614" w:type="pct"/>
                  <w:vAlign w:val="center"/>
                </w:tcPr>
                <w:p w14:paraId="592ED14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居民区</w:t>
                  </w:r>
                </w:p>
              </w:tc>
              <w:tc>
                <w:tcPr>
                  <w:tcW w:w="791" w:type="pct"/>
                  <w:vAlign w:val="center"/>
                </w:tcPr>
                <w:p w14:paraId="741FD72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约300人</w:t>
                  </w:r>
                </w:p>
              </w:tc>
              <w:tc>
                <w:tcPr>
                  <w:tcW w:w="856" w:type="pct"/>
                  <w:vMerge w:val="continue"/>
                  <w:vAlign w:val="center"/>
                </w:tcPr>
                <w:p w14:paraId="048CDF43">
                  <w:pPr>
                    <w:jc w:val="center"/>
                    <w:rPr>
                      <w:rFonts w:hint="default" w:ascii="Times New Roman" w:hAnsi="Times New Roman" w:cs="Times New Roman"/>
                      <w:color w:val="auto"/>
                      <w:szCs w:val="21"/>
                      <w:highlight w:val="none"/>
                    </w:rPr>
                  </w:pPr>
                </w:p>
              </w:tc>
              <w:tc>
                <w:tcPr>
                  <w:tcW w:w="482" w:type="pct"/>
                  <w:vAlign w:val="center"/>
                </w:tcPr>
                <w:p w14:paraId="2B5DD1E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北</w:t>
                  </w:r>
                </w:p>
              </w:tc>
              <w:tc>
                <w:tcPr>
                  <w:tcW w:w="487" w:type="pct"/>
                  <w:vAlign w:val="center"/>
                </w:tcPr>
                <w:p w14:paraId="494A461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w:t>
                  </w:r>
                </w:p>
              </w:tc>
            </w:tr>
            <w:tr w14:paraId="4257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15DFB5E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城关</w:t>
                  </w:r>
                </w:p>
                <w:p w14:paraId="4252A07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1队</w:t>
                  </w:r>
                </w:p>
              </w:tc>
              <w:tc>
                <w:tcPr>
                  <w:tcW w:w="583" w:type="pct"/>
                  <w:vAlign w:val="center"/>
                </w:tcPr>
                <w:p w14:paraId="76E2892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-106.42</w:t>
                  </w:r>
                </w:p>
              </w:tc>
              <w:tc>
                <w:tcPr>
                  <w:tcW w:w="601" w:type="pct"/>
                  <w:vAlign w:val="center"/>
                </w:tcPr>
                <w:p w14:paraId="6BB4CFD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130.63</w:t>
                  </w:r>
                </w:p>
              </w:tc>
              <w:tc>
                <w:tcPr>
                  <w:tcW w:w="614" w:type="pct"/>
                  <w:vAlign w:val="center"/>
                </w:tcPr>
                <w:p w14:paraId="1297801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行政办公区</w:t>
                  </w:r>
                </w:p>
              </w:tc>
              <w:tc>
                <w:tcPr>
                  <w:tcW w:w="791" w:type="pct"/>
                  <w:vAlign w:val="center"/>
                </w:tcPr>
                <w:p w14:paraId="5919E9B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行政办公人员</w:t>
                  </w:r>
                </w:p>
              </w:tc>
              <w:tc>
                <w:tcPr>
                  <w:tcW w:w="856" w:type="pct"/>
                  <w:vMerge w:val="continue"/>
                  <w:vAlign w:val="center"/>
                </w:tcPr>
                <w:p w14:paraId="5227F8E1">
                  <w:pPr>
                    <w:jc w:val="center"/>
                    <w:rPr>
                      <w:rFonts w:hint="default" w:ascii="Times New Roman" w:hAnsi="Times New Roman" w:cs="Times New Roman"/>
                      <w:color w:val="auto"/>
                      <w:szCs w:val="21"/>
                      <w:highlight w:val="none"/>
                    </w:rPr>
                  </w:pPr>
                </w:p>
              </w:tc>
              <w:tc>
                <w:tcPr>
                  <w:tcW w:w="482" w:type="pct"/>
                  <w:vAlign w:val="center"/>
                </w:tcPr>
                <w:p w14:paraId="6283C30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西北</w:t>
                  </w:r>
                </w:p>
              </w:tc>
              <w:tc>
                <w:tcPr>
                  <w:tcW w:w="487" w:type="pct"/>
                  <w:vAlign w:val="center"/>
                </w:tcPr>
                <w:p w14:paraId="73DEB87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w:t>
                  </w:r>
                </w:p>
              </w:tc>
            </w:tr>
            <w:tr w14:paraId="170B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3591B08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花蕾幼儿园</w:t>
                  </w:r>
                </w:p>
              </w:tc>
              <w:tc>
                <w:tcPr>
                  <w:tcW w:w="583" w:type="pct"/>
                  <w:vAlign w:val="center"/>
                </w:tcPr>
                <w:p w14:paraId="312D35D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-156.85</w:t>
                  </w:r>
                </w:p>
              </w:tc>
              <w:tc>
                <w:tcPr>
                  <w:tcW w:w="601" w:type="pct"/>
                  <w:vAlign w:val="center"/>
                </w:tcPr>
                <w:p w14:paraId="2E77E91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127.09</w:t>
                  </w:r>
                </w:p>
              </w:tc>
              <w:tc>
                <w:tcPr>
                  <w:tcW w:w="614" w:type="pct"/>
                  <w:vAlign w:val="center"/>
                </w:tcPr>
                <w:p w14:paraId="49365C6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学校</w:t>
                  </w:r>
                </w:p>
              </w:tc>
              <w:tc>
                <w:tcPr>
                  <w:tcW w:w="791" w:type="pct"/>
                  <w:vAlign w:val="center"/>
                </w:tcPr>
                <w:p w14:paraId="458443C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学校学生</w:t>
                  </w:r>
                </w:p>
              </w:tc>
              <w:tc>
                <w:tcPr>
                  <w:tcW w:w="856" w:type="pct"/>
                  <w:vMerge w:val="continue"/>
                  <w:vAlign w:val="center"/>
                </w:tcPr>
                <w:p w14:paraId="7E28C0AB">
                  <w:pPr>
                    <w:jc w:val="center"/>
                    <w:rPr>
                      <w:rFonts w:hint="default" w:ascii="Times New Roman" w:hAnsi="Times New Roman" w:cs="Times New Roman"/>
                      <w:color w:val="auto"/>
                      <w:szCs w:val="21"/>
                      <w:highlight w:val="none"/>
                    </w:rPr>
                  </w:pPr>
                </w:p>
              </w:tc>
              <w:tc>
                <w:tcPr>
                  <w:tcW w:w="482" w:type="pct"/>
                  <w:vAlign w:val="center"/>
                </w:tcPr>
                <w:p w14:paraId="7C7453B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西北</w:t>
                  </w:r>
                </w:p>
              </w:tc>
              <w:tc>
                <w:tcPr>
                  <w:tcW w:w="487" w:type="pct"/>
                  <w:vAlign w:val="center"/>
                </w:tcPr>
                <w:p w14:paraId="15BD37A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w:t>
                  </w:r>
                </w:p>
              </w:tc>
            </w:tr>
            <w:tr w14:paraId="2D11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3C519CE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爱心幼儿园</w:t>
                  </w:r>
                </w:p>
              </w:tc>
              <w:tc>
                <w:tcPr>
                  <w:tcW w:w="583" w:type="pct"/>
                  <w:vAlign w:val="center"/>
                </w:tcPr>
                <w:p w14:paraId="21FDBB9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361.03</w:t>
                  </w:r>
                </w:p>
              </w:tc>
              <w:tc>
                <w:tcPr>
                  <w:tcW w:w="601" w:type="pct"/>
                  <w:vAlign w:val="center"/>
                </w:tcPr>
                <w:p w14:paraId="1E11552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-25.19</w:t>
                  </w:r>
                </w:p>
              </w:tc>
              <w:tc>
                <w:tcPr>
                  <w:tcW w:w="614" w:type="pct"/>
                  <w:vAlign w:val="center"/>
                </w:tcPr>
                <w:p w14:paraId="19FBE0A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学校</w:t>
                  </w:r>
                </w:p>
              </w:tc>
              <w:tc>
                <w:tcPr>
                  <w:tcW w:w="791" w:type="pct"/>
                  <w:vAlign w:val="center"/>
                </w:tcPr>
                <w:p w14:paraId="6EE7393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学校学生</w:t>
                  </w:r>
                </w:p>
              </w:tc>
              <w:tc>
                <w:tcPr>
                  <w:tcW w:w="856" w:type="pct"/>
                  <w:vMerge w:val="continue"/>
                  <w:vAlign w:val="center"/>
                </w:tcPr>
                <w:p w14:paraId="3789FFAB">
                  <w:pPr>
                    <w:jc w:val="center"/>
                    <w:rPr>
                      <w:rFonts w:hint="default" w:ascii="Times New Roman" w:hAnsi="Times New Roman" w:cs="Times New Roman"/>
                      <w:color w:val="auto"/>
                      <w:szCs w:val="21"/>
                      <w:highlight w:val="none"/>
                    </w:rPr>
                  </w:pPr>
                </w:p>
              </w:tc>
              <w:tc>
                <w:tcPr>
                  <w:tcW w:w="482" w:type="pct"/>
                  <w:vAlign w:val="center"/>
                </w:tcPr>
                <w:p w14:paraId="4422082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w:t>
                  </w:r>
                </w:p>
              </w:tc>
              <w:tc>
                <w:tcPr>
                  <w:tcW w:w="487" w:type="pct"/>
                  <w:vAlign w:val="center"/>
                </w:tcPr>
                <w:p w14:paraId="689EBEF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353</w:t>
                  </w:r>
                </w:p>
              </w:tc>
            </w:tr>
            <w:tr w14:paraId="13CE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235AE40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小燕子艺术幼儿园</w:t>
                  </w:r>
                </w:p>
              </w:tc>
              <w:tc>
                <w:tcPr>
                  <w:tcW w:w="583" w:type="pct"/>
                  <w:vAlign w:val="center"/>
                </w:tcPr>
                <w:p w14:paraId="70EB0CF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149.14</w:t>
                  </w:r>
                </w:p>
              </w:tc>
              <w:tc>
                <w:tcPr>
                  <w:tcW w:w="601" w:type="pct"/>
                  <w:vAlign w:val="center"/>
                </w:tcPr>
                <w:p w14:paraId="045CC4C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-148.92</w:t>
                  </w:r>
                </w:p>
              </w:tc>
              <w:tc>
                <w:tcPr>
                  <w:tcW w:w="614" w:type="pct"/>
                  <w:vAlign w:val="center"/>
                </w:tcPr>
                <w:p w14:paraId="75F5115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学校</w:t>
                  </w:r>
                </w:p>
              </w:tc>
              <w:tc>
                <w:tcPr>
                  <w:tcW w:w="791" w:type="pct"/>
                  <w:vAlign w:val="center"/>
                </w:tcPr>
                <w:p w14:paraId="55A6AEF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学校学生</w:t>
                  </w:r>
                </w:p>
              </w:tc>
              <w:tc>
                <w:tcPr>
                  <w:tcW w:w="856" w:type="pct"/>
                  <w:vMerge w:val="continue"/>
                  <w:vAlign w:val="center"/>
                </w:tcPr>
                <w:p w14:paraId="7692FF7C">
                  <w:pPr>
                    <w:jc w:val="center"/>
                    <w:rPr>
                      <w:rFonts w:hint="default" w:ascii="Times New Roman" w:hAnsi="Times New Roman" w:cs="Times New Roman"/>
                      <w:color w:val="auto"/>
                      <w:szCs w:val="21"/>
                      <w:highlight w:val="none"/>
                    </w:rPr>
                  </w:pPr>
                </w:p>
              </w:tc>
              <w:tc>
                <w:tcPr>
                  <w:tcW w:w="482" w:type="pct"/>
                  <w:vAlign w:val="center"/>
                </w:tcPr>
                <w:p w14:paraId="00603C6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东南</w:t>
                  </w:r>
                </w:p>
              </w:tc>
              <w:tc>
                <w:tcPr>
                  <w:tcW w:w="487" w:type="pct"/>
                  <w:vAlign w:val="center"/>
                </w:tcPr>
                <w:p w14:paraId="06F8D9F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190</w:t>
                  </w:r>
                </w:p>
              </w:tc>
            </w:tr>
            <w:tr w14:paraId="4DC5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72B2722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水阁</w:t>
                  </w:r>
                </w:p>
                <w:p w14:paraId="42D26BD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小区</w:t>
                  </w:r>
                </w:p>
              </w:tc>
              <w:tc>
                <w:tcPr>
                  <w:tcW w:w="583" w:type="pct"/>
                  <w:vAlign w:val="center"/>
                </w:tcPr>
                <w:p w14:paraId="1D8010B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99.81</w:t>
                  </w:r>
                </w:p>
              </w:tc>
              <w:tc>
                <w:tcPr>
                  <w:tcW w:w="601" w:type="pct"/>
                  <w:vAlign w:val="center"/>
                </w:tcPr>
                <w:p w14:paraId="550E0EC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-166.92</w:t>
                  </w:r>
                </w:p>
              </w:tc>
              <w:tc>
                <w:tcPr>
                  <w:tcW w:w="614" w:type="pct"/>
                  <w:vAlign w:val="center"/>
                </w:tcPr>
                <w:p w14:paraId="1758C68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居民</w:t>
                  </w:r>
                </w:p>
              </w:tc>
              <w:tc>
                <w:tcPr>
                  <w:tcW w:w="791" w:type="pct"/>
                  <w:vAlign w:val="center"/>
                </w:tcPr>
                <w:p w14:paraId="43C4D64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约500人</w:t>
                  </w:r>
                </w:p>
              </w:tc>
              <w:tc>
                <w:tcPr>
                  <w:tcW w:w="856" w:type="pct"/>
                  <w:vMerge w:val="continue"/>
                  <w:vAlign w:val="center"/>
                </w:tcPr>
                <w:p w14:paraId="715E16B8">
                  <w:pPr>
                    <w:jc w:val="center"/>
                    <w:rPr>
                      <w:rFonts w:hint="default" w:ascii="Times New Roman" w:hAnsi="Times New Roman" w:cs="Times New Roman"/>
                      <w:color w:val="auto"/>
                      <w:szCs w:val="21"/>
                      <w:highlight w:val="none"/>
                    </w:rPr>
                  </w:pPr>
                </w:p>
              </w:tc>
              <w:tc>
                <w:tcPr>
                  <w:tcW w:w="482" w:type="pct"/>
                  <w:vAlign w:val="center"/>
                </w:tcPr>
                <w:p w14:paraId="419A8D6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东南</w:t>
                  </w:r>
                </w:p>
              </w:tc>
              <w:tc>
                <w:tcPr>
                  <w:tcW w:w="487" w:type="pct"/>
                  <w:vAlign w:val="center"/>
                </w:tcPr>
                <w:p w14:paraId="612E718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167</w:t>
                  </w:r>
                </w:p>
              </w:tc>
            </w:tr>
            <w:tr w14:paraId="5EA9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3758EAA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华宁县教师进修学校</w:t>
                  </w:r>
                </w:p>
              </w:tc>
              <w:tc>
                <w:tcPr>
                  <w:tcW w:w="583" w:type="pct"/>
                  <w:vAlign w:val="center"/>
                </w:tcPr>
                <w:p w14:paraId="692FF4D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-12.96</w:t>
                  </w:r>
                </w:p>
              </w:tc>
              <w:tc>
                <w:tcPr>
                  <w:tcW w:w="601" w:type="pct"/>
                  <w:vAlign w:val="center"/>
                </w:tcPr>
                <w:p w14:paraId="6FCFED6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233.82</w:t>
                  </w:r>
                </w:p>
              </w:tc>
              <w:tc>
                <w:tcPr>
                  <w:tcW w:w="614" w:type="pct"/>
                  <w:vAlign w:val="center"/>
                </w:tcPr>
                <w:p w14:paraId="16D4B0A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学校</w:t>
                  </w:r>
                </w:p>
              </w:tc>
              <w:tc>
                <w:tcPr>
                  <w:tcW w:w="791" w:type="pct"/>
                  <w:vAlign w:val="center"/>
                </w:tcPr>
                <w:p w14:paraId="788A2E9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学校学生</w:t>
                  </w:r>
                </w:p>
              </w:tc>
              <w:tc>
                <w:tcPr>
                  <w:tcW w:w="856" w:type="pct"/>
                  <w:vMerge w:val="continue"/>
                  <w:vAlign w:val="center"/>
                </w:tcPr>
                <w:p w14:paraId="682B3A77">
                  <w:pPr>
                    <w:jc w:val="center"/>
                    <w:rPr>
                      <w:rFonts w:hint="default" w:ascii="Times New Roman" w:hAnsi="Times New Roman" w:cs="Times New Roman"/>
                      <w:color w:val="auto"/>
                      <w:szCs w:val="21"/>
                      <w:highlight w:val="none"/>
                    </w:rPr>
                  </w:pPr>
                </w:p>
              </w:tc>
              <w:tc>
                <w:tcPr>
                  <w:tcW w:w="482" w:type="pct"/>
                  <w:vAlign w:val="center"/>
                </w:tcPr>
                <w:p w14:paraId="5D6EC3C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北</w:t>
                  </w:r>
                </w:p>
              </w:tc>
              <w:tc>
                <w:tcPr>
                  <w:tcW w:w="487" w:type="pct"/>
                  <w:vAlign w:val="center"/>
                </w:tcPr>
                <w:p w14:paraId="7D591C8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125</w:t>
                  </w:r>
                </w:p>
              </w:tc>
            </w:tr>
            <w:tr w14:paraId="79A2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6A95DE6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宁州镇社区卫生服务中心</w:t>
                  </w:r>
                </w:p>
              </w:tc>
              <w:tc>
                <w:tcPr>
                  <w:tcW w:w="583" w:type="pct"/>
                  <w:vAlign w:val="center"/>
                </w:tcPr>
                <w:p w14:paraId="1281D5C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-209.45</w:t>
                  </w:r>
                </w:p>
              </w:tc>
              <w:tc>
                <w:tcPr>
                  <w:tcW w:w="601" w:type="pct"/>
                  <w:vAlign w:val="center"/>
                </w:tcPr>
                <w:p w14:paraId="19F3349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127.32</w:t>
                  </w:r>
                </w:p>
              </w:tc>
              <w:tc>
                <w:tcPr>
                  <w:tcW w:w="614" w:type="pct"/>
                  <w:vAlign w:val="center"/>
                </w:tcPr>
                <w:p w14:paraId="22367ED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医院</w:t>
                  </w:r>
                </w:p>
              </w:tc>
              <w:tc>
                <w:tcPr>
                  <w:tcW w:w="791" w:type="pct"/>
                  <w:vAlign w:val="center"/>
                </w:tcPr>
                <w:p w14:paraId="1FADF2F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医院环境</w:t>
                  </w:r>
                </w:p>
              </w:tc>
              <w:tc>
                <w:tcPr>
                  <w:tcW w:w="856" w:type="pct"/>
                  <w:vMerge w:val="continue"/>
                  <w:vAlign w:val="center"/>
                </w:tcPr>
                <w:p w14:paraId="6F4E281F">
                  <w:pPr>
                    <w:jc w:val="center"/>
                    <w:rPr>
                      <w:rFonts w:hint="default" w:ascii="Times New Roman" w:hAnsi="Times New Roman" w:cs="Times New Roman"/>
                      <w:color w:val="auto"/>
                      <w:szCs w:val="21"/>
                      <w:highlight w:val="none"/>
                    </w:rPr>
                  </w:pPr>
                </w:p>
              </w:tc>
              <w:tc>
                <w:tcPr>
                  <w:tcW w:w="482" w:type="pct"/>
                  <w:vAlign w:val="center"/>
                </w:tcPr>
                <w:p w14:paraId="246610E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西北</w:t>
                  </w:r>
                </w:p>
              </w:tc>
              <w:tc>
                <w:tcPr>
                  <w:tcW w:w="487" w:type="pct"/>
                  <w:vAlign w:val="center"/>
                </w:tcPr>
                <w:p w14:paraId="7AA3D15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135</w:t>
                  </w:r>
                </w:p>
              </w:tc>
            </w:tr>
            <w:tr w14:paraId="7E3B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60BF8D9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华宁县政府</w:t>
                  </w:r>
                </w:p>
              </w:tc>
              <w:tc>
                <w:tcPr>
                  <w:tcW w:w="583" w:type="pct"/>
                  <w:vAlign w:val="center"/>
                </w:tcPr>
                <w:p w14:paraId="2FA8267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-433.63</w:t>
                  </w:r>
                </w:p>
              </w:tc>
              <w:tc>
                <w:tcPr>
                  <w:tcW w:w="601" w:type="pct"/>
                  <w:vAlign w:val="center"/>
                </w:tcPr>
                <w:p w14:paraId="60D93F3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212.28</w:t>
                  </w:r>
                </w:p>
              </w:tc>
              <w:tc>
                <w:tcPr>
                  <w:tcW w:w="614" w:type="pct"/>
                  <w:vAlign w:val="center"/>
                </w:tcPr>
                <w:p w14:paraId="5326BCD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w:t>
                  </w:r>
                </w:p>
                <w:p w14:paraId="095ABE2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w:t>
                  </w:r>
                </w:p>
              </w:tc>
              <w:tc>
                <w:tcPr>
                  <w:tcW w:w="791" w:type="pct"/>
                  <w:vAlign w:val="center"/>
                </w:tcPr>
                <w:p w14:paraId="03A8757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行政办公人员</w:t>
                  </w:r>
                </w:p>
              </w:tc>
              <w:tc>
                <w:tcPr>
                  <w:tcW w:w="856" w:type="pct"/>
                  <w:vMerge w:val="continue"/>
                  <w:vAlign w:val="center"/>
                </w:tcPr>
                <w:p w14:paraId="2B537A52">
                  <w:pPr>
                    <w:jc w:val="center"/>
                    <w:rPr>
                      <w:rFonts w:hint="default" w:ascii="Times New Roman" w:hAnsi="Times New Roman" w:cs="Times New Roman"/>
                      <w:color w:val="auto"/>
                      <w:szCs w:val="21"/>
                      <w:highlight w:val="none"/>
                    </w:rPr>
                  </w:pPr>
                </w:p>
              </w:tc>
              <w:tc>
                <w:tcPr>
                  <w:tcW w:w="482" w:type="pct"/>
                  <w:vAlign w:val="center"/>
                </w:tcPr>
                <w:p w14:paraId="3C886D8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西北</w:t>
                  </w:r>
                </w:p>
              </w:tc>
              <w:tc>
                <w:tcPr>
                  <w:tcW w:w="487" w:type="pct"/>
                  <w:vAlign w:val="center"/>
                </w:tcPr>
                <w:p w14:paraId="58DF012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360</w:t>
                  </w:r>
                </w:p>
              </w:tc>
            </w:tr>
            <w:tr w14:paraId="1B0D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3C3E79D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华宁县文化馆</w:t>
                  </w:r>
                </w:p>
              </w:tc>
              <w:tc>
                <w:tcPr>
                  <w:tcW w:w="583" w:type="pct"/>
                  <w:vAlign w:val="center"/>
                </w:tcPr>
                <w:p w14:paraId="43D5424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-448.37</w:t>
                  </w:r>
                </w:p>
              </w:tc>
              <w:tc>
                <w:tcPr>
                  <w:tcW w:w="601" w:type="pct"/>
                  <w:vAlign w:val="center"/>
                </w:tcPr>
                <w:p w14:paraId="675CDD2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90.96</w:t>
                  </w:r>
                </w:p>
              </w:tc>
              <w:tc>
                <w:tcPr>
                  <w:tcW w:w="614" w:type="pct"/>
                  <w:vAlign w:val="center"/>
                </w:tcPr>
                <w:p w14:paraId="4F9A4AE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w:t>
                  </w:r>
                </w:p>
                <w:p w14:paraId="709D444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w:t>
                  </w:r>
                </w:p>
              </w:tc>
              <w:tc>
                <w:tcPr>
                  <w:tcW w:w="791" w:type="pct"/>
                  <w:vAlign w:val="center"/>
                </w:tcPr>
                <w:p w14:paraId="6EA80FA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行政办公人员</w:t>
                  </w:r>
                </w:p>
              </w:tc>
              <w:tc>
                <w:tcPr>
                  <w:tcW w:w="856" w:type="pct"/>
                  <w:vMerge w:val="continue"/>
                  <w:vAlign w:val="center"/>
                </w:tcPr>
                <w:p w14:paraId="3FE4A483">
                  <w:pPr>
                    <w:jc w:val="center"/>
                    <w:rPr>
                      <w:rFonts w:hint="default" w:ascii="Times New Roman" w:hAnsi="Times New Roman" w:cs="Times New Roman"/>
                      <w:color w:val="auto"/>
                      <w:szCs w:val="21"/>
                      <w:highlight w:val="none"/>
                    </w:rPr>
                  </w:pPr>
                </w:p>
              </w:tc>
              <w:tc>
                <w:tcPr>
                  <w:tcW w:w="482" w:type="pct"/>
                  <w:vAlign w:val="center"/>
                </w:tcPr>
                <w:p w14:paraId="418818F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w:t>
                  </w:r>
                </w:p>
              </w:tc>
              <w:tc>
                <w:tcPr>
                  <w:tcW w:w="487" w:type="pct"/>
                  <w:vAlign w:val="center"/>
                </w:tcPr>
                <w:p w14:paraId="1D31D03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358</w:t>
                  </w:r>
                </w:p>
              </w:tc>
            </w:tr>
            <w:tr w14:paraId="26E3E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6C69427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华宁县住房和城乡建设局</w:t>
                  </w:r>
                </w:p>
              </w:tc>
              <w:tc>
                <w:tcPr>
                  <w:tcW w:w="583" w:type="pct"/>
                  <w:vAlign w:val="center"/>
                </w:tcPr>
                <w:p w14:paraId="1D29015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-303.42</w:t>
                  </w:r>
                </w:p>
              </w:tc>
              <w:tc>
                <w:tcPr>
                  <w:tcW w:w="601" w:type="pct"/>
                  <w:vAlign w:val="center"/>
                </w:tcPr>
                <w:p w14:paraId="4926371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-148.78</w:t>
                  </w:r>
                </w:p>
              </w:tc>
              <w:tc>
                <w:tcPr>
                  <w:tcW w:w="614" w:type="pct"/>
                  <w:vAlign w:val="center"/>
                </w:tcPr>
                <w:p w14:paraId="06348B9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w:t>
                  </w:r>
                </w:p>
                <w:p w14:paraId="5A1CFD5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w:t>
                  </w:r>
                </w:p>
              </w:tc>
              <w:tc>
                <w:tcPr>
                  <w:tcW w:w="791" w:type="pct"/>
                  <w:vAlign w:val="center"/>
                </w:tcPr>
                <w:p w14:paraId="723AEBD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行政办公人员</w:t>
                  </w:r>
                </w:p>
              </w:tc>
              <w:tc>
                <w:tcPr>
                  <w:tcW w:w="856" w:type="pct"/>
                  <w:vMerge w:val="continue"/>
                  <w:vAlign w:val="center"/>
                </w:tcPr>
                <w:p w14:paraId="3D8DE956">
                  <w:pPr>
                    <w:jc w:val="center"/>
                    <w:rPr>
                      <w:rFonts w:hint="default" w:ascii="Times New Roman" w:hAnsi="Times New Roman" w:cs="Times New Roman"/>
                      <w:color w:val="auto"/>
                      <w:szCs w:val="21"/>
                      <w:highlight w:val="none"/>
                    </w:rPr>
                  </w:pPr>
                </w:p>
              </w:tc>
              <w:tc>
                <w:tcPr>
                  <w:tcW w:w="482" w:type="pct"/>
                  <w:vAlign w:val="center"/>
                </w:tcPr>
                <w:p w14:paraId="083D4C8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西南</w:t>
                  </w:r>
                </w:p>
              </w:tc>
              <w:tc>
                <w:tcPr>
                  <w:tcW w:w="487" w:type="pct"/>
                  <w:vAlign w:val="center"/>
                </w:tcPr>
                <w:p w14:paraId="32ACB68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315</w:t>
                  </w:r>
                </w:p>
              </w:tc>
            </w:tr>
            <w:tr w14:paraId="6E1D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1175539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城关社区居民监督委员会</w:t>
                  </w:r>
                </w:p>
              </w:tc>
              <w:tc>
                <w:tcPr>
                  <w:tcW w:w="583" w:type="pct"/>
                  <w:vAlign w:val="center"/>
                </w:tcPr>
                <w:p w14:paraId="5D158A9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-296.62</w:t>
                  </w:r>
                </w:p>
              </w:tc>
              <w:tc>
                <w:tcPr>
                  <w:tcW w:w="601" w:type="pct"/>
                  <w:vAlign w:val="center"/>
                </w:tcPr>
                <w:p w14:paraId="1E71E96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-179.54</w:t>
                  </w:r>
                </w:p>
              </w:tc>
              <w:tc>
                <w:tcPr>
                  <w:tcW w:w="614" w:type="pct"/>
                  <w:vAlign w:val="center"/>
                </w:tcPr>
                <w:p w14:paraId="780B87C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w:t>
                  </w:r>
                </w:p>
                <w:p w14:paraId="13137FD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w:t>
                  </w:r>
                </w:p>
              </w:tc>
              <w:tc>
                <w:tcPr>
                  <w:tcW w:w="791" w:type="pct"/>
                  <w:vAlign w:val="center"/>
                </w:tcPr>
                <w:p w14:paraId="56ED5BC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行政办公人员</w:t>
                  </w:r>
                </w:p>
              </w:tc>
              <w:tc>
                <w:tcPr>
                  <w:tcW w:w="856" w:type="pct"/>
                  <w:vMerge w:val="continue"/>
                  <w:vAlign w:val="center"/>
                </w:tcPr>
                <w:p w14:paraId="2331A5DC">
                  <w:pPr>
                    <w:jc w:val="center"/>
                    <w:rPr>
                      <w:rFonts w:hint="default" w:ascii="Times New Roman" w:hAnsi="Times New Roman" w:cs="Times New Roman"/>
                      <w:color w:val="auto"/>
                      <w:szCs w:val="21"/>
                      <w:highlight w:val="none"/>
                    </w:rPr>
                  </w:pPr>
                </w:p>
              </w:tc>
              <w:tc>
                <w:tcPr>
                  <w:tcW w:w="482" w:type="pct"/>
                  <w:vAlign w:val="center"/>
                </w:tcPr>
                <w:p w14:paraId="42B4A81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西南</w:t>
                  </w:r>
                </w:p>
              </w:tc>
              <w:tc>
                <w:tcPr>
                  <w:tcW w:w="487" w:type="pct"/>
                  <w:vAlign w:val="center"/>
                </w:tcPr>
                <w:p w14:paraId="27A1328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333</w:t>
                  </w:r>
                </w:p>
              </w:tc>
            </w:tr>
            <w:tr w14:paraId="39BC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7076D93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华宁县医疗保障局</w:t>
                  </w:r>
                </w:p>
              </w:tc>
              <w:tc>
                <w:tcPr>
                  <w:tcW w:w="583" w:type="pct"/>
                  <w:vAlign w:val="center"/>
                </w:tcPr>
                <w:p w14:paraId="1A78458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-157.01</w:t>
                  </w:r>
                </w:p>
              </w:tc>
              <w:tc>
                <w:tcPr>
                  <w:tcW w:w="601" w:type="pct"/>
                  <w:vAlign w:val="center"/>
                </w:tcPr>
                <w:p w14:paraId="13106CE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-180.95</w:t>
                  </w:r>
                </w:p>
              </w:tc>
              <w:tc>
                <w:tcPr>
                  <w:tcW w:w="614" w:type="pct"/>
                  <w:vAlign w:val="center"/>
                </w:tcPr>
                <w:p w14:paraId="053180B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w:t>
                  </w:r>
                </w:p>
                <w:p w14:paraId="782F262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w:t>
                  </w:r>
                </w:p>
              </w:tc>
              <w:tc>
                <w:tcPr>
                  <w:tcW w:w="791" w:type="pct"/>
                  <w:vAlign w:val="center"/>
                </w:tcPr>
                <w:p w14:paraId="39F44B7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行政办公人员</w:t>
                  </w:r>
                </w:p>
              </w:tc>
              <w:tc>
                <w:tcPr>
                  <w:tcW w:w="856" w:type="pct"/>
                  <w:vMerge w:val="continue"/>
                  <w:vAlign w:val="center"/>
                </w:tcPr>
                <w:p w14:paraId="5AF5894F">
                  <w:pPr>
                    <w:jc w:val="center"/>
                    <w:rPr>
                      <w:rFonts w:hint="default" w:ascii="Times New Roman" w:hAnsi="Times New Roman" w:cs="Times New Roman"/>
                      <w:color w:val="auto"/>
                      <w:szCs w:val="21"/>
                      <w:highlight w:val="none"/>
                    </w:rPr>
                  </w:pPr>
                </w:p>
              </w:tc>
              <w:tc>
                <w:tcPr>
                  <w:tcW w:w="482" w:type="pct"/>
                  <w:vAlign w:val="center"/>
                </w:tcPr>
                <w:p w14:paraId="18A193E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西南</w:t>
                  </w:r>
                </w:p>
              </w:tc>
              <w:tc>
                <w:tcPr>
                  <w:tcW w:w="487" w:type="pct"/>
                  <w:vAlign w:val="center"/>
                </w:tcPr>
                <w:p w14:paraId="09B32C6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240</w:t>
                  </w:r>
                </w:p>
              </w:tc>
            </w:tr>
            <w:tr w14:paraId="13AC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pct"/>
                  <w:vAlign w:val="center"/>
                </w:tcPr>
                <w:p w14:paraId="05A1396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宁州街道林业工作站</w:t>
                  </w:r>
                </w:p>
              </w:tc>
              <w:tc>
                <w:tcPr>
                  <w:tcW w:w="583" w:type="pct"/>
                  <w:vAlign w:val="center"/>
                </w:tcPr>
                <w:p w14:paraId="152482C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-163.39</w:t>
                  </w:r>
                </w:p>
              </w:tc>
              <w:tc>
                <w:tcPr>
                  <w:tcW w:w="601" w:type="pct"/>
                  <w:vAlign w:val="center"/>
                </w:tcPr>
                <w:p w14:paraId="34BAF6D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-160.4</w:t>
                  </w:r>
                </w:p>
              </w:tc>
              <w:tc>
                <w:tcPr>
                  <w:tcW w:w="614" w:type="pct"/>
                  <w:vAlign w:val="center"/>
                </w:tcPr>
                <w:p w14:paraId="6E62869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w:t>
                  </w:r>
                </w:p>
                <w:p w14:paraId="039DA14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办公</w:t>
                  </w:r>
                </w:p>
              </w:tc>
              <w:tc>
                <w:tcPr>
                  <w:tcW w:w="791" w:type="pct"/>
                  <w:vAlign w:val="center"/>
                </w:tcPr>
                <w:p w14:paraId="289BCC8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行政办公人员</w:t>
                  </w:r>
                </w:p>
              </w:tc>
              <w:tc>
                <w:tcPr>
                  <w:tcW w:w="856" w:type="pct"/>
                  <w:vMerge w:val="continue"/>
                  <w:vAlign w:val="center"/>
                </w:tcPr>
                <w:p w14:paraId="44B3AC56">
                  <w:pPr>
                    <w:jc w:val="center"/>
                    <w:rPr>
                      <w:rFonts w:hint="default" w:ascii="Times New Roman" w:hAnsi="Times New Roman" w:cs="Times New Roman"/>
                      <w:color w:val="auto"/>
                      <w:szCs w:val="21"/>
                      <w:highlight w:val="none"/>
                    </w:rPr>
                  </w:pPr>
                </w:p>
              </w:tc>
              <w:tc>
                <w:tcPr>
                  <w:tcW w:w="482" w:type="pct"/>
                  <w:vAlign w:val="center"/>
                </w:tcPr>
                <w:p w14:paraId="3BE7259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西南</w:t>
                  </w:r>
                </w:p>
              </w:tc>
              <w:tc>
                <w:tcPr>
                  <w:tcW w:w="487" w:type="pct"/>
                  <w:vAlign w:val="center"/>
                </w:tcPr>
                <w:p w14:paraId="2D9A4DE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225</w:t>
                  </w:r>
                </w:p>
              </w:tc>
            </w:tr>
          </w:tbl>
          <w:p w14:paraId="55174C4A">
            <w:pPr>
              <w:spacing w:before="120" w:beforeLines="5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表3-8 声环境保护目标调查表</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055"/>
              <w:gridCol w:w="995"/>
              <w:gridCol w:w="995"/>
              <w:gridCol w:w="806"/>
              <w:gridCol w:w="829"/>
              <w:gridCol w:w="821"/>
              <w:gridCol w:w="2307"/>
            </w:tblGrid>
            <w:tr w14:paraId="3B15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vMerge w:val="restart"/>
                  <w:vAlign w:val="center"/>
                </w:tcPr>
                <w:p w14:paraId="79D69FE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622" w:type="pct"/>
                  <w:vMerge w:val="restart"/>
                  <w:vAlign w:val="center"/>
                </w:tcPr>
                <w:p w14:paraId="39C145C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声环境保护目标名称</w:t>
                  </w:r>
                </w:p>
              </w:tc>
              <w:tc>
                <w:tcPr>
                  <w:tcW w:w="1649" w:type="pct"/>
                  <w:gridSpan w:val="3"/>
                  <w:vAlign w:val="center"/>
                </w:tcPr>
                <w:p w14:paraId="469E834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空间相对位置/m</w:t>
                  </w:r>
                </w:p>
                <w:p w14:paraId="4A1F76D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（以扩建后疾控中心南角为坐标原点）</w:t>
                  </w:r>
                </w:p>
              </w:tc>
              <w:tc>
                <w:tcPr>
                  <w:tcW w:w="489" w:type="pct"/>
                  <w:vMerge w:val="restart"/>
                  <w:vAlign w:val="center"/>
                </w:tcPr>
                <w:p w14:paraId="341FD2F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距厂界最近距离/m</w:t>
                  </w:r>
                </w:p>
              </w:tc>
              <w:tc>
                <w:tcPr>
                  <w:tcW w:w="484" w:type="pct"/>
                  <w:vMerge w:val="restart"/>
                  <w:vAlign w:val="center"/>
                </w:tcPr>
                <w:p w14:paraId="43EDA0B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方位</w:t>
                  </w:r>
                </w:p>
              </w:tc>
              <w:tc>
                <w:tcPr>
                  <w:tcW w:w="1360" w:type="pct"/>
                  <w:vMerge w:val="restart"/>
                  <w:vAlign w:val="center"/>
                </w:tcPr>
                <w:p w14:paraId="0E3BEC9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执行标准</w:t>
                  </w:r>
                </w:p>
              </w:tc>
            </w:tr>
            <w:tr w14:paraId="70D5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vMerge w:val="continue"/>
                  <w:vAlign w:val="center"/>
                </w:tcPr>
                <w:p w14:paraId="490DB68F">
                  <w:pPr>
                    <w:jc w:val="center"/>
                    <w:rPr>
                      <w:rFonts w:hint="default" w:ascii="Times New Roman" w:hAnsi="Times New Roman" w:cs="Times New Roman"/>
                      <w:b/>
                      <w:bCs/>
                      <w:color w:val="auto"/>
                      <w:szCs w:val="21"/>
                      <w:highlight w:val="none"/>
                    </w:rPr>
                  </w:pPr>
                </w:p>
              </w:tc>
              <w:tc>
                <w:tcPr>
                  <w:tcW w:w="622" w:type="pct"/>
                  <w:vMerge w:val="continue"/>
                  <w:vAlign w:val="center"/>
                </w:tcPr>
                <w:p w14:paraId="2E216AE3">
                  <w:pPr>
                    <w:jc w:val="center"/>
                    <w:rPr>
                      <w:rFonts w:hint="default" w:ascii="Times New Roman" w:hAnsi="Times New Roman" w:cs="Times New Roman"/>
                      <w:b/>
                      <w:bCs/>
                      <w:color w:val="auto"/>
                      <w:szCs w:val="21"/>
                      <w:highlight w:val="none"/>
                    </w:rPr>
                  </w:pPr>
                </w:p>
              </w:tc>
              <w:tc>
                <w:tcPr>
                  <w:tcW w:w="587" w:type="pct"/>
                  <w:vAlign w:val="center"/>
                </w:tcPr>
                <w:p w14:paraId="530E3F42">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X</w:t>
                  </w:r>
                </w:p>
              </w:tc>
              <w:tc>
                <w:tcPr>
                  <w:tcW w:w="587" w:type="pct"/>
                  <w:vAlign w:val="center"/>
                </w:tcPr>
                <w:p w14:paraId="649DBB0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Y</w:t>
                  </w:r>
                </w:p>
              </w:tc>
              <w:tc>
                <w:tcPr>
                  <w:tcW w:w="475" w:type="pct"/>
                  <w:vAlign w:val="center"/>
                </w:tcPr>
                <w:p w14:paraId="121D565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Z</w:t>
                  </w:r>
                </w:p>
              </w:tc>
              <w:tc>
                <w:tcPr>
                  <w:tcW w:w="489" w:type="pct"/>
                  <w:vMerge w:val="continue"/>
                  <w:vAlign w:val="center"/>
                </w:tcPr>
                <w:p w14:paraId="0A85E3B5">
                  <w:pPr>
                    <w:jc w:val="center"/>
                    <w:rPr>
                      <w:rFonts w:hint="default" w:ascii="Times New Roman" w:hAnsi="Times New Roman" w:cs="Times New Roman"/>
                      <w:b/>
                      <w:bCs/>
                      <w:color w:val="auto"/>
                      <w:szCs w:val="21"/>
                      <w:highlight w:val="none"/>
                    </w:rPr>
                  </w:pPr>
                </w:p>
              </w:tc>
              <w:tc>
                <w:tcPr>
                  <w:tcW w:w="484" w:type="pct"/>
                  <w:vMerge w:val="continue"/>
                  <w:vAlign w:val="center"/>
                </w:tcPr>
                <w:p w14:paraId="4D7D4EA6">
                  <w:pPr>
                    <w:jc w:val="center"/>
                    <w:rPr>
                      <w:rFonts w:hint="default" w:ascii="Times New Roman" w:hAnsi="Times New Roman" w:cs="Times New Roman"/>
                      <w:b/>
                      <w:bCs/>
                      <w:color w:val="auto"/>
                      <w:szCs w:val="21"/>
                      <w:highlight w:val="none"/>
                    </w:rPr>
                  </w:pPr>
                </w:p>
              </w:tc>
              <w:tc>
                <w:tcPr>
                  <w:tcW w:w="1360" w:type="pct"/>
                  <w:vMerge w:val="continue"/>
                  <w:vAlign w:val="center"/>
                </w:tcPr>
                <w:p w14:paraId="5B3F2379">
                  <w:pPr>
                    <w:jc w:val="center"/>
                    <w:rPr>
                      <w:rFonts w:hint="default" w:ascii="Times New Roman" w:hAnsi="Times New Roman" w:cs="Times New Roman"/>
                      <w:b/>
                      <w:bCs/>
                      <w:color w:val="auto"/>
                      <w:szCs w:val="21"/>
                      <w:highlight w:val="none"/>
                    </w:rPr>
                  </w:pPr>
                </w:p>
              </w:tc>
            </w:tr>
            <w:tr w14:paraId="4A1B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vAlign w:val="center"/>
                </w:tcPr>
                <w:p w14:paraId="406D48A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622" w:type="pct"/>
                  <w:vAlign w:val="center"/>
                </w:tcPr>
                <w:p w14:paraId="3B886D4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菜园村</w:t>
                  </w:r>
                </w:p>
              </w:tc>
              <w:tc>
                <w:tcPr>
                  <w:tcW w:w="587" w:type="pct"/>
                  <w:vAlign w:val="center"/>
                </w:tcPr>
                <w:p w14:paraId="7BD440D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-26.28</w:t>
                  </w:r>
                </w:p>
              </w:tc>
              <w:tc>
                <w:tcPr>
                  <w:tcW w:w="587" w:type="pct"/>
                  <w:vAlign w:val="center"/>
                </w:tcPr>
                <w:p w14:paraId="18C9277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82.27</w:t>
                  </w:r>
                </w:p>
              </w:tc>
              <w:tc>
                <w:tcPr>
                  <w:tcW w:w="475" w:type="pct"/>
                  <w:vAlign w:val="center"/>
                </w:tcPr>
                <w:p w14:paraId="77FCD21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489" w:type="pct"/>
                  <w:vAlign w:val="center"/>
                </w:tcPr>
                <w:p w14:paraId="39144A2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w:t>
                  </w:r>
                </w:p>
              </w:tc>
              <w:tc>
                <w:tcPr>
                  <w:tcW w:w="484" w:type="pct"/>
                  <w:vAlign w:val="center"/>
                </w:tcPr>
                <w:p w14:paraId="5A6D311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w:t>
                  </w:r>
                </w:p>
              </w:tc>
              <w:tc>
                <w:tcPr>
                  <w:tcW w:w="1360" w:type="pct"/>
                  <w:vMerge w:val="restart"/>
                  <w:vAlign w:val="center"/>
                </w:tcPr>
                <w:p w14:paraId="2A018D1C">
                  <w:pPr>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《声环境质量标准》（GB3096-2008）2类</w:t>
                  </w:r>
                </w:p>
              </w:tc>
            </w:tr>
            <w:tr w14:paraId="00E0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vAlign w:val="center"/>
                </w:tcPr>
                <w:p w14:paraId="0E40734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622" w:type="pct"/>
                  <w:vAlign w:val="center"/>
                </w:tcPr>
                <w:p w14:paraId="00D56E5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祭祀</w:t>
                  </w:r>
                </w:p>
                <w:p w14:paraId="5992765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坛村</w:t>
                  </w:r>
                </w:p>
              </w:tc>
              <w:tc>
                <w:tcPr>
                  <w:tcW w:w="587" w:type="pct"/>
                  <w:vAlign w:val="center"/>
                </w:tcPr>
                <w:p w14:paraId="62D3508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-100.63</w:t>
                  </w:r>
                </w:p>
              </w:tc>
              <w:tc>
                <w:tcPr>
                  <w:tcW w:w="587" w:type="pct"/>
                  <w:vAlign w:val="center"/>
                </w:tcPr>
                <w:p w14:paraId="5FC64D1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79.1</w:t>
                  </w:r>
                </w:p>
              </w:tc>
              <w:tc>
                <w:tcPr>
                  <w:tcW w:w="475" w:type="pct"/>
                  <w:vAlign w:val="center"/>
                </w:tcPr>
                <w:p w14:paraId="5587A48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489" w:type="pct"/>
                  <w:vAlign w:val="center"/>
                </w:tcPr>
                <w:p w14:paraId="4FC0761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484" w:type="pct"/>
                  <w:vAlign w:val="center"/>
                </w:tcPr>
                <w:p w14:paraId="257FF58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w:t>
                  </w:r>
                </w:p>
              </w:tc>
              <w:tc>
                <w:tcPr>
                  <w:tcW w:w="1360" w:type="pct"/>
                  <w:vMerge w:val="continue"/>
                  <w:vAlign w:val="center"/>
                </w:tcPr>
                <w:p w14:paraId="38FBF2D9">
                  <w:pPr>
                    <w:jc w:val="center"/>
                    <w:rPr>
                      <w:rFonts w:hint="default" w:ascii="Times New Roman" w:hAnsi="Times New Roman" w:cs="Times New Roman"/>
                      <w:color w:val="auto"/>
                      <w:szCs w:val="21"/>
                      <w:highlight w:val="none"/>
                    </w:rPr>
                  </w:pPr>
                </w:p>
              </w:tc>
            </w:tr>
            <w:tr w14:paraId="61A8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vAlign w:val="center"/>
                </w:tcPr>
                <w:p w14:paraId="3B8B1EF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622" w:type="pct"/>
                  <w:vAlign w:val="center"/>
                </w:tcPr>
                <w:p w14:paraId="63300D6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甸尾村</w:t>
                  </w:r>
                </w:p>
              </w:tc>
              <w:tc>
                <w:tcPr>
                  <w:tcW w:w="587" w:type="pct"/>
                  <w:vAlign w:val="center"/>
                </w:tcPr>
                <w:p w14:paraId="457DF5C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-50.25</w:t>
                  </w:r>
                </w:p>
              </w:tc>
              <w:tc>
                <w:tcPr>
                  <w:tcW w:w="587" w:type="pct"/>
                  <w:vAlign w:val="center"/>
                </w:tcPr>
                <w:p w14:paraId="0C4B1F0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120.46</w:t>
                  </w:r>
                </w:p>
              </w:tc>
              <w:tc>
                <w:tcPr>
                  <w:tcW w:w="475" w:type="pct"/>
                  <w:vAlign w:val="center"/>
                </w:tcPr>
                <w:p w14:paraId="38F1FE7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489" w:type="pct"/>
                  <w:vAlign w:val="center"/>
                </w:tcPr>
                <w:p w14:paraId="36BB506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w:t>
                  </w:r>
                </w:p>
              </w:tc>
              <w:tc>
                <w:tcPr>
                  <w:tcW w:w="484" w:type="pct"/>
                  <w:vAlign w:val="center"/>
                </w:tcPr>
                <w:p w14:paraId="4B07617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北</w:t>
                  </w:r>
                </w:p>
              </w:tc>
              <w:tc>
                <w:tcPr>
                  <w:tcW w:w="1360" w:type="pct"/>
                  <w:vMerge w:val="continue"/>
                  <w:vAlign w:val="center"/>
                </w:tcPr>
                <w:p w14:paraId="75331653">
                  <w:pPr>
                    <w:jc w:val="center"/>
                    <w:rPr>
                      <w:rFonts w:hint="default" w:ascii="Times New Roman" w:hAnsi="Times New Roman" w:cs="Times New Roman"/>
                      <w:color w:val="auto"/>
                      <w:szCs w:val="21"/>
                      <w:highlight w:val="none"/>
                    </w:rPr>
                  </w:pPr>
                </w:p>
              </w:tc>
            </w:tr>
            <w:tr w14:paraId="0C9F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 w:type="pct"/>
                  <w:vAlign w:val="center"/>
                </w:tcPr>
                <w:p w14:paraId="17965A0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622" w:type="pct"/>
                  <w:vAlign w:val="center"/>
                </w:tcPr>
                <w:p w14:paraId="277690F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城关</w:t>
                  </w:r>
                </w:p>
                <w:p w14:paraId="7E09974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1队</w:t>
                  </w:r>
                </w:p>
              </w:tc>
              <w:tc>
                <w:tcPr>
                  <w:tcW w:w="587" w:type="pct"/>
                  <w:vAlign w:val="center"/>
                </w:tcPr>
                <w:p w14:paraId="50FDC14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-106.42</w:t>
                  </w:r>
                </w:p>
              </w:tc>
              <w:tc>
                <w:tcPr>
                  <w:tcW w:w="587" w:type="pct"/>
                  <w:vAlign w:val="center"/>
                </w:tcPr>
                <w:p w14:paraId="31EDBBD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130.63</w:t>
                  </w:r>
                </w:p>
              </w:tc>
              <w:tc>
                <w:tcPr>
                  <w:tcW w:w="475" w:type="pct"/>
                  <w:vAlign w:val="center"/>
                </w:tcPr>
                <w:p w14:paraId="084C975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489" w:type="pct"/>
                  <w:vAlign w:val="center"/>
                </w:tcPr>
                <w:p w14:paraId="7D56320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w:t>
                  </w:r>
                </w:p>
              </w:tc>
              <w:tc>
                <w:tcPr>
                  <w:tcW w:w="484" w:type="pct"/>
                  <w:vAlign w:val="center"/>
                </w:tcPr>
                <w:p w14:paraId="6ECA1F7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西北</w:t>
                  </w:r>
                </w:p>
              </w:tc>
              <w:tc>
                <w:tcPr>
                  <w:tcW w:w="1360" w:type="pct"/>
                  <w:vMerge w:val="continue"/>
                  <w:vAlign w:val="center"/>
                </w:tcPr>
                <w:p w14:paraId="5B251747">
                  <w:pPr>
                    <w:jc w:val="center"/>
                    <w:rPr>
                      <w:rFonts w:hint="default" w:ascii="Times New Roman" w:hAnsi="Times New Roman" w:cs="Times New Roman"/>
                      <w:color w:val="auto"/>
                      <w:szCs w:val="21"/>
                      <w:highlight w:val="none"/>
                    </w:rPr>
                  </w:pPr>
                </w:p>
              </w:tc>
            </w:tr>
          </w:tbl>
          <w:p w14:paraId="32A7F021">
            <w:pPr>
              <w:spacing w:before="120" w:beforeLines="5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表3-9 地表水环境保护目标</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1090"/>
              <w:gridCol w:w="965"/>
              <w:gridCol w:w="1080"/>
              <w:gridCol w:w="1246"/>
              <w:gridCol w:w="2596"/>
            </w:tblGrid>
            <w:tr w14:paraId="5DB4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83" w:type="pct"/>
                  <w:vAlign w:val="center"/>
                </w:tcPr>
                <w:p w14:paraId="205F604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保护目标</w:t>
                  </w:r>
                </w:p>
              </w:tc>
              <w:tc>
                <w:tcPr>
                  <w:tcW w:w="643" w:type="pct"/>
                  <w:vAlign w:val="center"/>
                </w:tcPr>
                <w:p w14:paraId="1DC20D19">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名称</w:t>
                  </w:r>
                </w:p>
              </w:tc>
              <w:tc>
                <w:tcPr>
                  <w:tcW w:w="569" w:type="pct"/>
                  <w:vAlign w:val="center"/>
                </w:tcPr>
                <w:p w14:paraId="4EA87D5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保护</w:t>
                  </w:r>
                </w:p>
                <w:p w14:paraId="0BDE67C4">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对象</w:t>
                  </w:r>
                </w:p>
              </w:tc>
              <w:tc>
                <w:tcPr>
                  <w:tcW w:w="637" w:type="pct"/>
                  <w:vAlign w:val="center"/>
                </w:tcPr>
                <w:p w14:paraId="3A1D374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相对厂址方位</w:t>
                  </w:r>
                </w:p>
              </w:tc>
              <w:tc>
                <w:tcPr>
                  <w:tcW w:w="735" w:type="pct"/>
                  <w:vAlign w:val="center"/>
                </w:tcPr>
                <w:p w14:paraId="60544DE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相对厂界距离/m</w:t>
                  </w:r>
                </w:p>
              </w:tc>
              <w:tc>
                <w:tcPr>
                  <w:tcW w:w="1530" w:type="pct"/>
                  <w:vAlign w:val="center"/>
                </w:tcPr>
                <w:p w14:paraId="025D1EF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功能区标准</w:t>
                  </w:r>
                </w:p>
              </w:tc>
            </w:tr>
            <w:tr w14:paraId="65AA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883" w:type="pct"/>
                  <w:vMerge w:val="restart"/>
                  <w:vAlign w:val="center"/>
                </w:tcPr>
                <w:p w14:paraId="1FED02C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地表水环境</w:t>
                  </w:r>
                </w:p>
              </w:tc>
              <w:tc>
                <w:tcPr>
                  <w:tcW w:w="643" w:type="pct"/>
                  <w:vAlign w:val="center"/>
                </w:tcPr>
                <w:p w14:paraId="11E08EA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白龙河</w:t>
                  </w:r>
                </w:p>
              </w:tc>
              <w:tc>
                <w:tcPr>
                  <w:tcW w:w="569" w:type="pct"/>
                  <w:vMerge w:val="restart"/>
                  <w:vAlign w:val="center"/>
                </w:tcPr>
                <w:p w14:paraId="700DA7B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w:t>
                  </w:r>
                </w:p>
              </w:tc>
              <w:tc>
                <w:tcPr>
                  <w:tcW w:w="637" w:type="pct"/>
                  <w:vAlign w:val="center"/>
                </w:tcPr>
                <w:p w14:paraId="44DCFE4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西北</w:t>
                  </w:r>
                </w:p>
              </w:tc>
              <w:tc>
                <w:tcPr>
                  <w:tcW w:w="735" w:type="pct"/>
                  <w:vAlign w:val="center"/>
                </w:tcPr>
                <w:p w14:paraId="0592D0C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643</w:t>
                  </w:r>
                </w:p>
              </w:tc>
              <w:tc>
                <w:tcPr>
                  <w:tcW w:w="1530" w:type="pct"/>
                  <w:vMerge w:val="restart"/>
                  <w:vAlign w:val="center"/>
                </w:tcPr>
                <w:p w14:paraId="738C463B">
                  <w:p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highlight w:val="none"/>
                    </w:rPr>
                    <w:t>《地表水环境质量标准》（GB3838-2002）</w:t>
                  </w:r>
                  <w:r>
                    <w:rPr>
                      <w:rFonts w:hint="default" w:ascii="Times New Roman" w:hAnsi="Times New Roman" w:cs="Times New Roman"/>
                      <w:color w:val="auto"/>
                      <w:highlight w:val="none"/>
                      <w:lang w:val="zh-CN"/>
                    </w:rPr>
                    <w:t>Ⅲ类</w:t>
                  </w:r>
                  <w:r>
                    <w:rPr>
                      <w:rFonts w:hint="default" w:ascii="Times New Roman" w:hAnsi="Times New Roman" w:cs="Times New Roman"/>
                      <w:color w:val="auto"/>
                      <w:highlight w:val="none"/>
                    </w:rPr>
                    <w:t>标准</w:t>
                  </w:r>
                </w:p>
              </w:tc>
            </w:tr>
            <w:tr w14:paraId="1259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pct"/>
                  <w:vMerge w:val="continue"/>
                  <w:vAlign w:val="center"/>
                </w:tcPr>
                <w:p w14:paraId="5BBD065B">
                  <w:pPr>
                    <w:jc w:val="center"/>
                    <w:rPr>
                      <w:rFonts w:hint="default" w:ascii="Times New Roman" w:hAnsi="Times New Roman" w:cs="Times New Roman"/>
                      <w:color w:val="auto"/>
                      <w:szCs w:val="21"/>
                      <w:highlight w:val="none"/>
                    </w:rPr>
                  </w:pPr>
                </w:p>
              </w:tc>
              <w:tc>
                <w:tcPr>
                  <w:tcW w:w="643" w:type="pct"/>
                  <w:vAlign w:val="center"/>
                </w:tcPr>
                <w:p w14:paraId="55E3FBF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龙洞河</w:t>
                  </w:r>
                </w:p>
              </w:tc>
              <w:tc>
                <w:tcPr>
                  <w:tcW w:w="569" w:type="pct"/>
                  <w:vMerge w:val="continue"/>
                  <w:vAlign w:val="center"/>
                </w:tcPr>
                <w:p w14:paraId="606AA51D">
                  <w:pPr>
                    <w:jc w:val="center"/>
                    <w:rPr>
                      <w:rFonts w:hint="default" w:ascii="Times New Roman" w:hAnsi="Times New Roman" w:cs="Times New Roman"/>
                      <w:color w:val="auto"/>
                      <w:szCs w:val="21"/>
                      <w:highlight w:val="none"/>
                    </w:rPr>
                  </w:pPr>
                </w:p>
              </w:tc>
              <w:tc>
                <w:tcPr>
                  <w:tcW w:w="637" w:type="pct"/>
                  <w:vAlign w:val="center"/>
                </w:tcPr>
                <w:p w14:paraId="57E8EA2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东南</w:t>
                  </w:r>
                </w:p>
              </w:tc>
              <w:tc>
                <w:tcPr>
                  <w:tcW w:w="735" w:type="pct"/>
                  <w:vAlign w:val="center"/>
                </w:tcPr>
                <w:p w14:paraId="6981F34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890</w:t>
                  </w:r>
                </w:p>
              </w:tc>
              <w:tc>
                <w:tcPr>
                  <w:tcW w:w="1530" w:type="pct"/>
                  <w:vMerge w:val="continue"/>
                  <w:vAlign w:val="center"/>
                </w:tcPr>
                <w:p w14:paraId="44E6289F">
                  <w:pPr>
                    <w:jc w:val="center"/>
                    <w:rPr>
                      <w:rFonts w:hint="default" w:ascii="Times New Roman" w:hAnsi="Times New Roman" w:cs="Times New Roman"/>
                      <w:b/>
                      <w:bCs/>
                      <w:color w:val="auto"/>
                      <w:szCs w:val="21"/>
                      <w:highlight w:val="none"/>
                    </w:rPr>
                  </w:pPr>
                </w:p>
              </w:tc>
            </w:tr>
          </w:tbl>
          <w:p w14:paraId="1D7A5D7A">
            <w:pPr>
              <w:adjustRightInd w:val="0"/>
              <w:snapToGrid w:val="0"/>
              <w:rPr>
                <w:rFonts w:hint="default" w:ascii="Times New Roman" w:hAnsi="Times New Roman" w:cs="Times New Roman"/>
                <w:color w:val="auto"/>
                <w:kern w:val="0"/>
                <w:szCs w:val="21"/>
                <w:highlight w:val="none"/>
              </w:rPr>
            </w:pPr>
          </w:p>
          <w:p w14:paraId="068E95B6">
            <w:pPr>
              <w:adjustRightInd w:val="0"/>
              <w:snapToGrid w:val="0"/>
              <w:rPr>
                <w:rFonts w:hint="default" w:ascii="Times New Roman" w:hAnsi="Times New Roman" w:cs="Times New Roman"/>
                <w:color w:val="auto"/>
                <w:kern w:val="0"/>
                <w:szCs w:val="21"/>
                <w:highlight w:val="none"/>
              </w:rPr>
            </w:pPr>
          </w:p>
        </w:tc>
      </w:tr>
      <w:tr w14:paraId="5329CF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0" w:type="pct"/>
            <w:tcMar>
              <w:left w:w="28" w:type="dxa"/>
              <w:right w:w="28" w:type="dxa"/>
            </w:tcMar>
            <w:vAlign w:val="center"/>
          </w:tcPr>
          <w:p w14:paraId="1E8F63BC">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污染</w:t>
            </w:r>
          </w:p>
          <w:p w14:paraId="7DF1F677">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物排</w:t>
            </w:r>
          </w:p>
          <w:p w14:paraId="468924E6">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放控</w:t>
            </w:r>
          </w:p>
          <w:p w14:paraId="1659542A">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制标</w:t>
            </w:r>
          </w:p>
          <w:p w14:paraId="7BFE831B">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准</w:t>
            </w:r>
          </w:p>
        </w:tc>
        <w:tc>
          <w:tcPr>
            <w:tcW w:w="4629" w:type="pct"/>
            <w:vAlign w:val="center"/>
          </w:tcPr>
          <w:p w14:paraId="6DF89752">
            <w:pPr>
              <w:pStyle w:val="10"/>
              <w:ind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3.2.1废气</w:t>
            </w:r>
          </w:p>
          <w:p w14:paraId="74D21002">
            <w:pPr>
              <w:pStyle w:val="7"/>
              <w:spacing w:line="360" w:lineRule="auto"/>
              <w:ind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rPr>
              <w:t>1、施工期</w:t>
            </w:r>
          </w:p>
          <w:p w14:paraId="39BD1A3B">
            <w:pPr>
              <w:tabs>
                <w:tab w:val="left" w:pos="4404"/>
              </w:tabs>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color w:val="auto"/>
                <w:sz w:val="24"/>
                <w:szCs w:val="24"/>
                <w:highlight w:val="none"/>
              </w:rPr>
              <w:t>本项目建设施</w:t>
            </w:r>
            <w:r>
              <w:rPr>
                <w:rFonts w:hint="default" w:ascii="Times New Roman" w:hAnsi="Times New Roman" w:cs="Times New Roman"/>
                <w:color w:val="auto"/>
                <w:sz w:val="24"/>
                <w:highlight w:val="none"/>
              </w:rPr>
              <w:t>工期大气污染物排放执行《大气污染物综合排放标准》（GB16297-1996）表2中无组织排放监控浓度限值。</w:t>
            </w:r>
          </w:p>
          <w:p w14:paraId="26A42CDE">
            <w:pPr>
              <w:adjustRightInd w:val="0"/>
              <w:snapToGrid w:val="0"/>
              <w:ind w:firstLine="422" w:firstLineChars="20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表3-10 施工期大气污染物排放限值</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287"/>
              <w:gridCol w:w="3450"/>
              <w:gridCol w:w="2738"/>
            </w:tblGrid>
            <w:tr w14:paraId="53CA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49" w:type="pct"/>
                  <w:vMerge w:val="restart"/>
                  <w:tcBorders>
                    <w:top w:val="single" w:color="auto" w:sz="4" w:space="0"/>
                    <w:left w:val="single" w:color="auto" w:sz="4" w:space="0"/>
                    <w:bottom w:val="single" w:color="auto" w:sz="4" w:space="0"/>
                    <w:right w:val="single" w:color="auto" w:sz="4" w:space="0"/>
                  </w:tcBorders>
                  <w:vAlign w:val="center"/>
                </w:tcPr>
                <w:p w14:paraId="0359F58D">
                  <w:pPr>
                    <w:pStyle w:val="80"/>
                    <w:spacing w:line="240" w:lineRule="auto"/>
                    <w:ind w:firstLine="0" w:firstLineChars="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3650" w:type="pct"/>
                  <w:gridSpan w:val="2"/>
                  <w:tcBorders>
                    <w:top w:val="single" w:color="auto" w:sz="4" w:space="0"/>
                    <w:left w:val="nil"/>
                    <w:bottom w:val="single" w:color="auto" w:sz="4" w:space="0"/>
                    <w:right w:val="single" w:color="auto" w:sz="4" w:space="0"/>
                  </w:tcBorders>
                  <w:vAlign w:val="center"/>
                </w:tcPr>
                <w:p w14:paraId="2D2DDED7">
                  <w:pPr>
                    <w:pStyle w:val="80"/>
                    <w:spacing w:line="240" w:lineRule="auto"/>
                    <w:ind w:firstLine="0" w:firstLineChars="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无组织排放监控浓度限值</w:t>
                  </w:r>
                </w:p>
              </w:tc>
            </w:tr>
            <w:tr w14:paraId="0D20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49" w:type="pct"/>
                  <w:vMerge w:val="continue"/>
                  <w:tcBorders>
                    <w:top w:val="single" w:color="auto" w:sz="4" w:space="0"/>
                    <w:left w:val="single" w:color="auto" w:sz="4" w:space="0"/>
                    <w:bottom w:val="single" w:color="auto" w:sz="4" w:space="0"/>
                    <w:right w:val="single" w:color="auto" w:sz="4" w:space="0"/>
                  </w:tcBorders>
                  <w:vAlign w:val="center"/>
                </w:tcPr>
                <w:p w14:paraId="22B1F414">
                  <w:pPr>
                    <w:widowControl/>
                    <w:jc w:val="left"/>
                    <w:rPr>
                      <w:rFonts w:hint="default" w:ascii="Times New Roman" w:hAnsi="Times New Roman" w:cs="Times New Roman"/>
                      <w:b/>
                      <w:bCs/>
                      <w:color w:val="auto"/>
                      <w:spacing w:val="10"/>
                      <w:szCs w:val="21"/>
                      <w:highlight w:val="none"/>
                    </w:rPr>
                  </w:pPr>
                </w:p>
              </w:tc>
              <w:tc>
                <w:tcPr>
                  <w:tcW w:w="2035" w:type="pct"/>
                  <w:tcBorders>
                    <w:top w:val="single" w:color="auto" w:sz="4" w:space="0"/>
                    <w:left w:val="nil"/>
                    <w:bottom w:val="single" w:color="auto" w:sz="4" w:space="0"/>
                    <w:right w:val="single" w:color="auto" w:sz="4" w:space="0"/>
                  </w:tcBorders>
                  <w:vAlign w:val="center"/>
                </w:tcPr>
                <w:p w14:paraId="1FED78D6">
                  <w:pPr>
                    <w:pStyle w:val="80"/>
                    <w:spacing w:line="240" w:lineRule="auto"/>
                    <w:ind w:firstLine="0" w:firstLineChars="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监控点</w:t>
                  </w:r>
                </w:p>
              </w:tc>
              <w:tc>
                <w:tcPr>
                  <w:tcW w:w="1615" w:type="pct"/>
                  <w:tcBorders>
                    <w:top w:val="single" w:color="auto" w:sz="4" w:space="0"/>
                    <w:left w:val="nil"/>
                    <w:bottom w:val="single" w:color="auto" w:sz="4" w:space="0"/>
                    <w:right w:val="single" w:color="auto" w:sz="4" w:space="0"/>
                  </w:tcBorders>
                  <w:vAlign w:val="center"/>
                </w:tcPr>
                <w:p w14:paraId="74416DD9">
                  <w:pPr>
                    <w:pStyle w:val="80"/>
                    <w:spacing w:line="240" w:lineRule="auto"/>
                    <w:ind w:firstLine="0" w:firstLineChars="0"/>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浓度(mg/m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r>
            <w:tr w14:paraId="5B12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349" w:type="pct"/>
                  <w:tcBorders>
                    <w:top w:val="single" w:color="auto" w:sz="4" w:space="0"/>
                    <w:left w:val="single" w:color="auto" w:sz="4" w:space="0"/>
                    <w:bottom w:val="single" w:color="auto" w:sz="4" w:space="0"/>
                    <w:right w:val="single" w:color="auto" w:sz="4" w:space="0"/>
                  </w:tcBorders>
                  <w:vAlign w:val="center"/>
                </w:tcPr>
                <w:p w14:paraId="24D0E992">
                  <w:pPr>
                    <w:pStyle w:val="8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035" w:type="pct"/>
                  <w:tcBorders>
                    <w:top w:val="nil"/>
                    <w:left w:val="nil"/>
                    <w:bottom w:val="single" w:color="auto" w:sz="4" w:space="0"/>
                    <w:right w:val="single" w:color="auto" w:sz="4" w:space="0"/>
                  </w:tcBorders>
                  <w:vAlign w:val="center"/>
                </w:tcPr>
                <w:p w14:paraId="7D9D5AB4">
                  <w:pPr>
                    <w:pStyle w:val="8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周界外浓度最高点</w:t>
                  </w:r>
                </w:p>
              </w:tc>
              <w:tc>
                <w:tcPr>
                  <w:tcW w:w="1615" w:type="pct"/>
                  <w:tcBorders>
                    <w:top w:val="single" w:color="auto" w:sz="4" w:space="0"/>
                    <w:left w:val="nil"/>
                    <w:bottom w:val="single" w:color="auto" w:sz="4" w:space="0"/>
                    <w:right w:val="single" w:color="auto" w:sz="4" w:space="0"/>
                  </w:tcBorders>
                  <w:vAlign w:val="center"/>
                </w:tcPr>
                <w:p w14:paraId="18ADB556">
                  <w:pPr>
                    <w:pStyle w:val="8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bl>
          <w:p w14:paraId="6C0C24DF">
            <w:pPr>
              <w:adjustRightInd w:val="0"/>
              <w:snapToGrid w:val="0"/>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2、运营期</w:t>
            </w:r>
          </w:p>
          <w:p w14:paraId="28EF79D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（1）DA001排气筒执行标准</w:t>
            </w:r>
          </w:p>
          <w:p w14:paraId="06213C0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DA001排气筒排出的二氧化氮、硫酸雾、氯化氢及有机废气（以非甲烷总烃计）执行《大气污染物综合排放标准》（GB16297-1996）表2中二级标准，氨气及臭气浓度执行《恶臭污染物排放标准》（GB14554-93）表2标准。</w:t>
            </w:r>
          </w:p>
          <w:p w14:paraId="440921CD">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表3-11  大气污染物综合排放标准</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0"/>
              <w:gridCol w:w="2017"/>
              <w:gridCol w:w="1822"/>
              <w:gridCol w:w="913"/>
              <w:gridCol w:w="1392"/>
            </w:tblGrid>
            <w:tr w14:paraId="58B6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5" w:type="pct"/>
                  <w:vMerge w:val="restart"/>
                  <w:vAlign w:val="center"/>
                </w:tcPr>
                <w:p w14:paraId="2D628AF8">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tc>
              <w:tc>
                <w:tcPr>
                  <w:tcW w:w="1190" w:type="pct"/>
                  <w:vMerge w:val="restart"/>
                  <w:vAlign w:val="center"/>
                </w:tcPr>
                <w:p w14:paraId="387A093C">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最高允许排放浓度mg/m</w:t>
                  </w:r>
                  <w:r>
                    <w:rPr>
                      <w:rFonts w:hint="default" w:ascii="Times New Roman" w:hAnsi="Times New Roman" w:cs="Times New Roman"/>
                      <w:b/>
                      <w:bCs/>
                      <w:color w:val="auto"/>
                      <w:szCs w:val="21"/>
                      <w:highlight w:val="none"/>
                      <w:vertAlign w:val="superscript"/>
                    </w:rPr>
                    <w:t>3</w:t>
                  </w:r>
                </w:p>
              </w:tc>
              <w:tc>
                <w:tcPr>
                  <w:tcW w:w="2434" w:type="pct"/>
                  <w:gridSpan w:val="3"/>
                  <w:vAlign w:val="center"/>
                </w:tcPr>
                <w:p w14:paraId="3CC12507">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最高允许排放速率kg/h</w:t>
                  </w:r>
                </w:p>
              </w:tc>
            </w:tr>
            <w:tr w14:paraId="30F9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5" w:type="pct"/>
                  <w:vMerge w:val="continue"/>
                </w:tcPr>
                <w:p w14:paraId="6703B39B">
                  <w:pPr>
                    <w:jc w:val="center"/>
                    <w:rPr>
                      <w:rFonts w:hint="default" w:ascii="Times New Roman" w:hAnsi="Times New Roman" w:cs="Times New Roman"/>
                      <w:b/>
                      <w:color w:val="auto"/>
                      <w:szCs w:val="21"/>
                      <w:highlight w:val="none"/>
                    </w:rPr>
                  </w:pPr>
                </w:p>
              </w:tc>
              <w:tc>
                <w:tcPr>
                  <w:tcW w:w="1190" w:type="pct"/>
                  <w:vMerge w:val="continue"/>
                </w:tcPr>
                <w:p w14:paraId="140E397F">
                  <w:pPr>
                    <w:jc w:val="center"/>
                    <w:rPr>
                      <w:rFonts w:hint="default" w:ascii="Times New Roman" w:hAnsi="Times New Roman" w:cs="Times New Roman"/>
                      <w:b/>
                      <w:color w:val="auto"/>
                      <w:szCs w:val="21"/>
                      <w:highlight w:val="none"/>
                    </w:rPr>
                  </w:pPr>
                </w:p>
              </w:tc>
              <w:tc>
                <w:tcPr>
                  <w:tcW w:w="1075" w:type="pct"/>
                  <w:vAlign w:val="center"/>
                </w:tcPr>
                <w:p w14:paraId="00C07E1B">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排气筒高度m</w:t>
                  </w:r>
                </w:p>
              </w:tc>
              <w:tc>
                <w:tcPr>
                  <w:tcW w:w="539" w:type="pct"/>
                  <w:vAlign w:val="center"/>
                </w:tcPr>
                <w:p w14:paraId="73B2716D">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二级</w:t>
                  </w:r>
                </w:p>
              </w:tc>
              <w:tc>
                <w:tcPr>
                  <w:tcW w:w="819" w:type="pct"/>
                  <w:vAlign w:val="center"/>
                </w:tcPr>
                <w:p w14:paraId="1FB65577">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严格50%</w:t>
                  </w:r>
                </w:p>
              </w:tc>
            </w:tr>
            <w:tr w14:paraId="3E20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5" w:type="pct"/>
                  <w:vAlign w:val="center"/>
                </w:tcPr>
                <w:p w14:paraId="6FB4643F">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氮氧化物（本项目污染物为NO</w:t>
                  </w:r>
                  <w:r>
                    <w:rPr>
                      <w:rFonts w:hint="default" w:ascii="Times New Roman" w:hAnsi="Times New Roman" w:cs="Times New Roman"/>
                      <w:bCs/>
                      <w:color w:val="auto"/>
                      <w:szCs w:val="21"/>
                      <w:highlight w:val="none"/>
                      <w:vertAlign w:val="subscript"/>
                    </w:rPr>
                    <w:t>2</w:t>
                  </w:r>
                  <w:r>
                    <w:rPr>
                      <w:rFonts w:hint="default" w:ascii="Times New Roman" w:hAnsi="Times New Roman" w:cs="Times New Roman"/>
                      <w:bCs/>
                      <w:color w:val="auto"/>
                      <w:szCs w:val="21"/>
                      <w:highlight w:val="none"/>
                    </w:rPr>
                    <w:t>）</w:t>
                  </w:r>
                </w:p>
              </w:tc>
              <w:tc>
                <w:tcPr>
                  <w:tcW w:w="1190" w:type="pct"/>
                  <w:vAlign w:val="center"/>
                </w:tcPr>
                <w:p w14:paraId="7676AA9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240</w:t>
                  </w:r>
                </w:p>
              </w:tc>
              <w:tc>
                <w:tcPr>
                  <w:tcW w:w="1075" w:type="pct"/>
                  <w:vAlign w:val="center"/>
                </w:tcPr>
                <w:p w14:paraId="417A42E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23</w:t>
                  </w:r>
                </w:p>
              </w:tc>
              <w:tc>
                <w:tcPr>
                  <w:tcW w:w="539" w:type="pct"/>
                  <w:vAlign w:val="center"/>
                </w:tcPr>
                <w:p w14:paraId="0A64B99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2.23</w:t>
                  </w:r>
                </w:p>
              </w:tc>
              <w:tc>
                <w:tcPr>
                  <w:tcW w:w="819" w:type="pct"/>
                  <w:vAlign w:val="center"/>
                </w:tcPr>
                <w:p w14:paraId="55306F08">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1.115</w:t>
                  </w:r>
                </w:p>
              </w:tc>
            </w:tr>
            <w:tr w14:paraId="319A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5" w:type="pct"/>
                  <w:vAlign w:val="center"/>
                </w:tcPr>
                <w:p w14:paraId="7B33F1FC">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氯化氢</w:t>
                  </w:r>
                </w:p>
              </w:tc>
              <w:tc>
                <w:tcPr>
                  <w:tcW w:w="1190" w:type="pct"/>
                  <w:vAlign w:val="center"/>
                </w:tcPr>
                <w:p w14:paraId="12D75B18">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100</w:t>
                  </w:r>
                </w:p>
              </w:tc>
              <w:tc>
                <w:tcPr>
                  <w:tcW w:w="1075" w:type="pct"/>
                  <w:vAlign w:val="center"/>
                </w:tcPr>
                <w:p w14:paraId="6ACE55A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23</w:t>
                  </w:r>
                </w:p>
              </w:tc>
              <w:tc>
                <w:tcPr>
                  <w:tcW w:w="539" w:type="pct"/>
                  <w:vAlign w:val="center"/>
                </w:tcPr>
                <w:p w14:paraId="08B8A86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0.721</w:t>
                  </w:r>
                </w:p>
              </w:tc>
              <w:tc>
                <w:tcPr>
                  <w:tcW w:w="819" w:type="pct"/>
                  <w:vAlign w:val="center"/>
                </w:tcPr>
                <w:p w14:paraId="2F21753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0.3605</w:t>
                  </w:r>
                </w:p>
              </w:tc>
            </w:tr>
            <w:tr w14:paraId="7023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5" w:type="pct"/>
                  <w:vAlign w:val="center"/>
                </w:tcPr>
                <w:p w14:paraId="1E3F9F37">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硫酸雾</w:t>
                  </w:r>
                </w:p>
              </w:tc>
              <w:tc>
                <w:tcPr>
                  <w:tcW w:w="1190" w:type="pct"/>
                  <w:vAlign w:val="center"/>
                </w:tcPr>
                <w:p w14:paraId="09CBC33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45</w:t>
                  </w:r>
                </w:p>
              </w:tc>
              <w:tc>
                <w:tcPr>
                  <w:tcW w:w="1075" w:type="pct"/>
                  <w:vAlign w:val="center"/>
                </w:tcPr>
                <w:p w14:paraId="690D04B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23</w:t>
                  </w:r>
                </w:p>
              </w:tc>
              <w:tc>
                <w:tcPr>
                  <w:tcW w:w="539" w:type="pct"/>
                  <w:vAlign w:val="center"/>
                </w:tcPr>
                <w:p w14:paraId="337A1A3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4.46</w:t>
                  </w:r>
                </w:p>
              </w:tc>
              <w:tc>
                <w:tcPr>
                  <w:tcW w:w="819" w:type="pct"/>
                  <w:vAlign w:val="center"/>
                </w:tcPr>
                <w:p w14:paraId="6E4BE1D4">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2.23</w:t>
                  </w:r>
                </w:p>
              </w:tc>
            </w:tr>
            <w:tr w14:paraId="3717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75" w:type="pct"/>
                  <w:vAlign w:val="center"/>
                </w:tcPr>
                <w:p w14:paraId="1AAF6DE4">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非甲烷总烃</w:t>
                  </w:r>
                </w:p>
              </w:tc>
              <w:tc>
                <w:tcPr>
                  <w:tcW w:w="1190" w:type="pct"/>
                  <w:vAlign w:val="center"/>
                </w:tcPr>
                <w:p w14:paraId="5717962C">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120</w:t>
                  </w:r>
                </w:p>
              </w:tc>
              <w:tc>
                <w:tcPr>
                  <w:tcW w:w="1075" w:type="pct"/>
                  <w:vAlign w:val="center"/>
                </w:tcPr>
                <w:p w14:paraId="3EE907BA">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23</w:t>
                  </w:r>
                </w:p>
              </w:tc>
              <w:tc>
                <w:tcPr>
                  <w:tcW w:w="539" w:type="pct"/>
                  <w:vAlign w:val="center"/>
                </w:tcPr>
                <w:p w14:paraId="0CDA3A1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27.8</w:t>
                  </w:r>
                </w:p>
              </w:tc>
              <w:tc>
                <w:tcPr>
                  <w:tcW w:w="819" w:type="pct"/>
                  <w:vAlign w:val="center"/>
                </w:tcPr>
                <w:p w14:paraId="2AF293AA">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13.9</w:t>
                  </w:r>
                </w:p>
              </w:tc>
            </w:tr>
            <w:tr w14:paraId="76F8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Pr>
                <w:p w14:paraId="234A5DAC">
                  <w:pP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注：根据《大气污染物综合排放标准》（GB16297-1996）第7.4条“新污染源的排气筒一般不应低于15m”和第7.1条“排气筒高度除须遵守表列排放速率标准值外，还应高出周围200m半径范围的建筑物5m以上，不能达到该要求的排气筒，应按其高度对应的表列排放速率标准值严格50%执行”。本项目设置1根排气筒，排气筒高度为23m，由内插法计算得各污染物在23m高的最高允许排放速率。</w:t>
                  </w:r>
                  <w:r>
                    <w:rPr>
                      <w:rStyle w:val="39"/>
                      <w:rFonts w:hint="default" w:ascii="Times New Roman" w:hAnsi="Times New Roman" w:cs="Times New Roman"/>
                      <w:color w:val="auto"/>
                      <w:szCs w:val="21"/>
                      <w:highlight w:val="none"/>
                    </w:rPr>
                    <w:t>对照现场情况，本项目排气筒高度不能达到</w:t>
                  </w:r>
                  <w:r>
                    <w:rPr>
                      <w:rFonts w:hint="default" w:ascii="Times New Roman" w:hAnsi="Times New Roman" w:cs="Times New Roman"/>
                      <w:color w:val="auto"/>
                      <w:szCs w:val="21"/>
                      <w:highlight w:val="none"/>
                    </w:rPr>
                    <w:t>高出周围200m半径范围的建筑物5m以上，因此排放速率标准值严格50%执行。</w:t>
                  </w:r>
                </w:p>
              </w:tc>
            </w:tr>
          </w:tbl>
          <w:p w14:paraId="2EE85520">
            <w:pPr>
              <w:spacing w:before="120" w:beforeLine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表3-12 恶臭污染物排放标准</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3"/>
              <w:gridCol w:w="2824"/>
              <w:gridCol w:w="2827"/>
            </w:tblGrid>
            <w:tr w14:paraId="5916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666" w:type="pct"/>
                  <w:vAlign w:val="center"/>
                </w:tcPr>
                <w:p w14:paraId="22167130">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控制项目</w:t>
                  </w:r>
                </w:p>
              </w:tc>
              <w:tc>
                <w:tcPr>
                  <w:tcW w:w="1666" w:type="pct"/>
                  <w:vAlign w:val="center"/>
                </w:tcPr>
                <w:p w14:paraId="5200F9A1">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排气筒高度/m</w:t>
                  </w:r>
                </w:p>
              </w:tc>
              <w:tc>
                <w:tcPr>
                  <w:tcW w:w="1667" w:type="pct"/>
                  <w:vAlign w:val="center"/>
                </w:tcPr>
                <w:p w14:paraId="0A75825D">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排放量kg/h</w:t>
                  </w:r>
                </w:p>
              </w:tc>
            </w:tr>
            <w:tr w14:paraId="1E64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5CC30A0E">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氨</w:t>
                  </w:r>
                </w:p>
              </w:tc>
              <w:tc>
                <w:tcPr>
                  <w:tcW w:w="1666" w:type="pct"/>
                </w:tcPr>
                <w:p w14:paraId="41659BBE">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23</w:t>
                  </w:r>
                </w:p>
              </w:tc>
              <w:tc>
                <w:tcPr>
                  <w:tcW w:w="1667" w:type="pct"/>
                  <w:vAlign w:val="center"/>
                </w:tcPr>
                <w:p w14:paraId="7214AE0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14</w:t>
                  </w:r>
                </w:p>
              </w:tc>
            </w:tr>
            <w:tr w14:paraId="1340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00F9CEAF">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臭气浓度</w:t>
                  </w:r>
                </w:p>
              </w:tc>
              <w:tc>
                <w:tcPr>
                  <w:tcW w:w="1666" w:type="pct"/>
                </w:tcPr>
                <w:p w14:paraId="0A7ACDC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23</w:t>
                  </w:r>
                </w:p>
              </w:tc>
              <w:tc>
                <w:tcPr>
                  <w:tcW w:w="1667" w:type="pct"/>
                </w:tcPr>
                <w:p w14:paraId="2434A8E7">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6000（无量纲）</w:t>
                  </w:r>
                </w:p>
              </w:tc>
            </w:tr>
            <w:tr w14:paraId="0638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Pr>
                <w:p w14:paraId="2C063C00">
                  <w:pPr>
                    <w:rPr>
                      <w:rFonts w:hint="default" w:ascii="Times New Roman" w:hAnsi="Times New Roman" w:cs="Times New Roman"/>
                      <w:b/>
                      <w:color w:val="auto"/>
                      <w:szCs w:val="21"/>
                      <w:highlight w:val="none"/>
                    </w:rPr>
                  </w:pPr>
                  <w:r>
                    <w:rPr>
                      <w:rFonts w:hint="default" w:ascii="Times New Roman" w:hAnsi="Times New Roman" w:cs="Times New Roman"/>
                      <w:bCs/>
                      <w:color w:val="auto"/>
                      <w:szCs w:val="21"/>
                      <w:highlight w:val="none"/>
                    </w:rPr>
                    <w:t>注：根据《恶臭污染物排放标准》（GB14554-93）第6.1.2条“凡在表2所列两种高度之间的排气简，采用四舍五入方法计算其排气筒的高度。”本项目排气筒高度23m，采用四舍五入方法，其排放量按25m排气筒高度计。</w:t>
                  </w:r>
                </w:p>
              </w:tc>
            </w:tr>
          </w:tbl>
          <w:p w14:paraId="43778AC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（2）微生物实验室废气颗粒物（含细菌气溶胶团）执行《大气污染物综合排放标准》（GB16297-1996）表2无组织排放监控浓度限值≤1.0mg/m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p>
          <w:p w14:paraId="5C141DB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（3）污水处理站产生的无组织氨、硫化氢、臭气浓度等污染因子执行《恶臭污染物排放标准》（GB14554-93）表1中二级标准要求。</w:t>
            </w:r>
          </w:p>
          <w:p w14:paraId="3F8F0833">
            <w:pPr>
              <w:adjustRightInd w:val="0"/>
              <w:snapToGrid w:val="0"/>
              <w:spacing w:line="360" w:lineRule="auto"/>
              <w:ind w:firstLine="480" w:firstLineChars="200"/>
              <w:rPr>
                <w:rFonts w:hint="default" w:ascii="Times New Roman" w:hAnsi="Times New Roman" w:cs="Times New Roman"/>
                <w:color w:val="auto"/>
                <w:sz w:val="24"/>
                <w:highlight w:val="none"/>
              </w:rPr>
            </w:pPr>
          </w:p>
          <w:p w14:paraId="0AC5E695">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表3-13 恶臭污染物排放标准</w:t>
            </w:r>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0"/>
              <w:gridCol w:w="4428"/>
              <w:gridCol w:w="2176"/>
            </w:tblGrid>
            <w:tr w14:paraId="5D4B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3" w:type="pct"/>
                  <w:vAlign w:val="center"/>
                </w:tcPr>
                <w:p w14:paraId="652B8C76">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2612" w:type="pct"/>
                  <w:vAlign w:val="center"/>
                </w:tcPr>
                <w:p w14:paraId="52B87CC2">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控制项目</w:t>
                  </w:r>
                </w:p>
              </w:tc>
              <w:tc>
                <w:tcPr>
                  <w:tcW w:w="1283" w:type="pct"/>
                  <w:vAlign w:val="center"/>
                </w:tcPr>
                <w:p w14:paraId="0A96FBEA">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标准值</w:t>
                  </w:r>
                </w:p>
              </w:tc>
            </w:tr>
            <w:tr w14:paraId="74B5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3" w:type="pct"/>
                </w:tcPr>
                <w:p w14:paraId="22542C3A">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w:t>
                  </w:r>
                </w:p>
              </w:tc>
              <w:tc>
                <w:tcPr>
                  <w:tcW w:w="2612" w:type="pct"/>
                </w:tcPr>
                <w:p w14:paraId="123166E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氨（mg/m</w:t>
                  </w:r>
                  <w:r>
                    <w:rPr>
                      <w:rFonts w:hint="default" w:ascii="Times New Roman" w:hAnsi="Times New Roman" w:cs="Times New Roman"/>
                      <w:bCs/>
                      <w:color w:val="auto"/>
                      <w:szCs w:val="21"/>
                      <w:highlight w:val="none"/>
                      <w:vertAlign w:val="superscript"/>
                    </w:rPr>
                    <w:t>3</w:t>
                  </w:r>
                  <w:r>
                    <w:rPr>
                      <w:rFonts w:hint="default" w:ascii="Times New Roman" w:hAnsi="Times New Roman" w:cs="Times New Roman"/>
                      <w:bCs/>
                      <w:color w:val="auto"/>
                      <w:szCs w:val="21"/>
                      <w:highlight w:val="none"/>
                    </w:rPr>
                    <w:t>）</w:t>
                  </w:r>
                </w:p>
              </w:tc>
              <w:tc>
                <w:tcPr>
                  <w:tcW w:w="1283" w:type="pct"/>
                </w:tcPr>
                <w:p w14:paraId="0C46018B">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1.5</w:t>
                  </w:r>
                </w:p>
              </w:tc>
            </w:tr>
            <w:tr w14:paraId="15FD7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3" w:type="pct"/>
                </w:tcPr>
                <w:p w14:paraId="004C1F9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w:t>
                  </w:r>
                </w:p>
              </w:tc>
              <w:tc>
                <w:tcPr>
                  <w:tcW w:w="2612" w:type="pct"/>
                </w:tcPr>
                <w:p w14:paraId="0363F77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硫化氢（mg/m</w:t>
                  </w:r>
                  <w:r>
                    <w:rPr>
                      <w:rFonts w:hint="default" w:ascii="Times New Roman" w:hAnsi="Times New Roman" w:cs="Times New Roman"/>
                      <w:bCs/>
                      <w:color w:val="auto"/>
                      <w:szCs w:val="21"/>
                      <w:highlight w:val="none"/>
                      <w:vertAlign w:val="superscript"/>
                    </w:rPr>
                    <w:t>3</w:t>
                  </w:r>
                  <w:r>
                    <w:rPr>
                      <w:rFonts w:hint="default" w:ascii="Times New Roman" w:hAnsi="Times New Roman" w:cs="Times New Roman"/>
                      <w:bCs/>
                      <w:color w:val="auto"/>
                      <w:szCs w:val="21"/>
                      <w:highlight w:val="none"/>
                    </w:rPr>
                    <w:t>）</w:t>
                  </w:r>
                </w:p>
              </w:tc>
              <w:tc>
                <w:tcPr>
                  <w:tcW w:w="1283" w:type="pct"/>
                </w:tcPr>
                <w:p w14:paraId="2D183D8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0.06</w:t>
                  </w:r>
                </w:p>
              </w:tc>
            </w:tr>
            <w:tr w14:paraId="16F7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3" w:type="pct"/>
                </w:tcPr>
                <w:p w14:paraId="387064BF">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w:t>
                  </w:r>
                </w:p>
              </w:tc>
              <w:tc>
                <w:tcPr>
                  <w:tcW w:w="2612" w:type="pct"/>
                </w:tcPr>
                <w:p w14:paraId="4AD5C9D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臭气浓度（无量纲）</w:t>
                  </w:r>
                </w:p>
              </w:tc>
              <w:tc>
                <w:tcPr>
                  <w:tcW w:w="1283" w:type="pct"/>
                </w:tcPr>
                <w:p w14:paraId="06AC3198">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20</w:t>
                  </w:r>
                </w:p>
              </w:tc>
            </w:tr>
          </w:tbl>
          <w:p w14:paraId="264A1790">
            <w:pPr>
              <w:pStyle w:val="10"/>
              <w:ind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3.2.2 废水</w:t>
            </w:r>
          </w:p>
          <w:p w14:paraId="0376C1AA">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本项目为疾控中心实验室，产生的废水污染物与医疗机构类似，废水排放标准参照《医疗机构水污染物排放标准》（GB18466-2005</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含2026年第1号修改单）执行。</w:t>
            </w:r>
          </w:p>
          <w:p w14:paraId="5A5B22E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实验室废水预处理</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1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①</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酸碱废水经1m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的实验室废水预处理系统中和预处理；</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②</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含重金属废水经1m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的化学沉淀池预处理，预处理设施排放口达到《医疗机构水污染物排放标准》</w:t>
            </w:r>
            <w:r>
              <w:rPr>
                <w:rFonts w:hint="eastAsia" w:ascii="Times New Roman" w:hAnsi="Times New Roman" w:cs="Times New Roman"/>
                <w:color w:val="auto"/>
                <w:sz w:val="24"/>
                <w:highlight w:val="none"/>
                <w:lang w:eastAsia="zh-CN"/>
              </w:rPr>
              <w:t>（GB18466-2005，含2026年第1号修改单）</w:t>
            </w:r>
            <w:r>
              <w:rPr>
                <w:rFonts w:hint="default" w:ascii="Times New Roman" w:hAnsi="Times New Roman" w:cs="Times New Roman"/>
                <w:color w:val="auto"/>
                <w:sz w:val="24"/>
                <w:highlight w:val="none"/>
              </w:rPr>
              <w:t>中重金属等第一类水污染物排放标准限值要求；</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3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③</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含氰废水经1m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的碱性氯化法破氰槽预处理；</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4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④</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微生物实验室废水经1m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次氯酸钠消毒池预处理。</w:t>
            </w:r>
          </w:p>
          <w:p w14:paraId="7DF03BC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预处理后的各类废水最终汇入现有10m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/d废水处理站处理达《医疗机构水污染物排放标准》</w:t>
            </w:r>
            <w:r>
              <w:rPr>
                <w:rFonts w:hint="eastAsia" w:ascii="Times New Roman" w:hAnsi="Times New Roman" w:cs="Times New Roman"/>
                <w:color w:val="auto"/>
                <w:sz w:val="24"/>
                <w:highlight w:val="none"/>
                <w:lang w:eastAsia="zh-CN"/>
              </w:rPr>
              <w:t>（GB18466-2005，含2026年第1号修改单）</w:t>
            </w:r>
            <w:r>
              <w:rPr>
                <w:rFonts w:hint="default" w:ascii="Times New Roman" w:hAnsi="Times New Roman" w:cs="Times New Roman"/>
                <w:color w:val="auto"/>
                <w:sz w:val="24"/>
                <w:highlight w:val="none"/>
              </w:rPr>
              <w:t>中表2综合医疗机构和其他医疗机构水污染物排放限值预处理标准后，排入市政污水管网，最终进入华宁县污水处理厂处理。</w:t>
            </w:r>
          </w:p>
          <w:p w14:paraId="0431EA6F">
            <w:pPr>
              <w:pStyle w:val="19"/>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表3-14  综合医疗机构和其他医疗机构水污染物排放限值（日均值）</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4769"/>
              <w:gridCol w:w="2547"/>
            </w:tblGrid>
            <w:tr w14:paraId="0A50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3" w:type="pct"/>
                  <w:vAlign w:val="center"/>
                </w:tcPr>
                <w:p w14:paraId="09FB4D2A">
                  <w:pPr>
                    <w:pStyle w:val="10"/>
                    <w:spacing w:line="240" w:lineRule="auto"/>
                    <w:ind w:firstLine="0" w:firstLineChars="0"/>
                    <w:jc w:val="center"/>
                    <w:rPr>
                      <w:rFonts w:hint="default" w:ascii="Times New Roman" w:hAnsi="Times New Roman" w:cs="Times New Roman"/>
                      <w:b/>
                      <w:bCs/>
                      <w:color w:val="auto"/>
                      <w:sz w:val="21"/>
                      <w:szCs w:val="21"/>
                      <w:highlight w:val="none"/>
                      <w:lang w:val="zh-CN"/>
                    </w:rPr>
                  </w:pPr>
                  <w:r>
                    <w:rPr>
                      <w:rFonts w:hint="default" w:ascii="Times New Roman" w:hAnsi="Times New Roman" w:cs="Times New Roman"/>
                      <w:b/>
                      <w:bCs/>
                      <w:color w:val="auto"/>
                      <w:sz w:val="21"/>
                      <w:szCs w:val="21"/>
                      <w:highlight w:val="none"/>
                      <w:lang w:val="zh-CN"/>
                    </w:rPr>
                    <w:t>序号</w:t>
                  </w:r>
                </w:p>
              </w:tc>
              <w:tc>
                <w:tcPr>
                  <w:tcW w:w="2814" w:type="pct"/>
                  <w:vAlign w:val="center"/>
                </w:tcPr>
                <w:p w14:paraId="08CBF783">
                  <w:pPr>
                    <w:pStyle w:val="10"/>
                    <w:spacing w:line="240" w:lineRule="auto"/>
                    <w:ind w:firstLine="0" w:firstLineChars="0"/>
                    <w:jc w:val="center"/>
                    <w:rPr>
                      <w:rFonts w:hint="default" w:ascii="Times New Roman" w:hAnsi="Times New Roman" w:cs="Times New Roman"/>
                      <w:b/>
                      <w:bCs/>
                      <w:color w:val="auto"/>
                      <w:sz w:val="21"/>
                      <w:szCs w:val="21"/>
                      <w:highlight w:val="none"/>
                      <w:lang w:val="zh-CN"/>
                    </w:rPr>
                  </w:pPr>
                  <w:r>
                    <w:rPr>
                      <w:rFonts w:hint="default" w:ascii="Times New Roman" w:hAnsi="Times New Roman" w:cs="Times New Roman"/>
                      <w:b/>
                      <w:bCs/>
                      <w:color w:val="auto"/>
                      <w:sz w:val="21"/>
                      <w:szCs w:val="21"/>
                      <w:highlight w:val="none"/>
                      <w:lang w:val="zh-CN"/>
                    </w:rPr>
                    <w:t>控制项目</w:t>
                  </w:r>
                </w:p>
              </w:tc>
              <w:tc>
                <w:tcPr>
                  <w:tcW w:w="1501" w:type="pct"/>
                  <w:vAlign w:val="center"/>
                </w:tcPr>
                <w:p w14:paraId="13E3195C">
                  <w:pPr>
                    <w:pStyle w:val="10"/>
                    <w:spacing w:line="240" w:lineRule="auto"/>
                    <w:ind w:firstLine="0" w:firstLineChars="0"/>
                    <w:jc w:val="center"/>
                    <w:rPr>
                      <w:rFonts w:hint="default" w:ascii="Times New Roman" w:hAnsi="Times New Roman" w:cs="Times New Roman"/>
                      <w:b/>
                      <w:bCs/>
                      <w:color w:val="auto"/>
                      <w:sz w:val="21"/>
                      <w:szCs w:val="21"/>
                      <w:highlight w:val="none"/>
                      <w:lang w:val="zh-CN"/>
                    </w:rPr>
                  </w:pPr>
                  <w:r>
                    <w:rPr>
                      <w:rFonts w:hint="default" w:ascii="Times New Roman" w:hAnsi="Times New Roman" w:cs="Times New Roman"/>
                      <w:b/>
                      <w:bCs/>
                      <w:color w:val="auto"/>
                      <w:sz w:val="21"/>
                      <w:szCs w:val="21"/>
                      <w:highlight w:val="none"/>
                      <w:lang w:val="zh-CN"/>
                    </w:rPr>
                    <w:t>预处理标准</w:t>
                  </w:r>
                </w:p>
              </w:tc>
            </w:tr>
            <w:tr w14:paraId="5474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51C301A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2814" w:type="pct"/>
                  <w:vAlign w:val="center"/>
                </w:tcPr>
                <w:p w14:paraId="4123AD13">
                  <w:pPr>
                    <w:pStyle w:val="87"/>
                    <w:ind w:left="0" w:leftChars="0" w:firstLine="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粪大肠菌群数（MPN/L）</w:t>
                  </w:r>
                </w:p>
              </w:tc>
              <w:tc>
                <w:tcPr>
                  <w:tcW w:w="1501" w:type="pct"/>
                  <w:vAlign w:val="center"/>
                </w:tcPr>
                <w:p w14:paraId="10B39556">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5000</w:t>
                  </w:r>
                </w:p>
              </w:tc>
            </w:tr>
            <w:tr w14:paraId="1A79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1CEF7D1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2814" w:type="pct"/>
                  <w:vAlign w:val="center"/>
                </w:tcPr>
                <w:p w14:paraId="2A9D8044">
                  <w:pPr>
                    <w:pStyle w:val="87"/>
                    <w:ind w:left="0" w:leftChars="0" w:firstLine="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肠道致病菌</w:t>
                  </w:r>
                </w:p>
              </w:tc>
              <w:tc>
                <w:tcPr>
                  <w:tcW w:w="1501" w:type="pct"/>
                  <w:vAlign w:val="center"/>
                </w:tcPr>
                <w:p w14:paraId="774E860B">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02EB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683" w:type="pct"/>
                  <w:vAlign w:val="center"/>
                </w:tcPr>
                <w:p w14:paraId="3AFC21B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2814" w:type="pct"/>
                  <w:vAlign w:val="center"/>
                </w:tcPr>
                <w:p w14:paraId="75A67BE3">
                  <w:pPr>
                    <w:pStyle w:val="87"/>
                    <w:ind w:left="0" w:leftChars="0" w:firstLine="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肠道病毒</w:t>
                  </w:r>
                </w:p>
              </w:tc>
              <w:tc>
                <w:tcPr>
                  <w:tcW w:w="1501" w:type="pct"/>
                  <w:vAlign w:val="center"/>
                </w:tcPr>
                <w:p w14:paraId="0EEBB0D3">
                  <w:pPr>
                    <w:pStyle w:val="87"/>
                    <w:ind w:left="0" w:leftChars="0" w:firstLine="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r>
            <w:tr w14:paraId="19A23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15AE052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2814" w:type="pct"/>
                  <w:vAlign w:val="center"/>
                </w:tcPr>
                <w:p w14:paraId="5008D821">
                  <w:pPr>
                    <w:pStyle w:val="87"/>
                    <w:ind w:left="0" w:leftChars="0" w:firstLine="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pH</w:t>
                  </w:r>
                </w:p>
              </w:tc>
              <w:tc>
                <w:tcPr>
                  <w:tcW w:w="1501" w:type="pct"/>
                  <w:vAlign w:val="center"/>
                </w:tcPr>
                <w:p w14:paraId="7E58397C">
                  <w:pPr>
                    <w:pStyle w:val="87"/>
                    <w:ind w:left="0" w:leftChars="0" w:firstLine="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6~9</w:t>
                  </w:r>
                </w:p>
              </w:tc>
            </w:tr>
            <w:tr w14:paraId="0DDA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006C3D6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2814" w:type="pct"/>
                  <w:vAlign w:val="center"/>
                </w:tcPr>
                <w:p w14:paraId="537CF2C2">
                  <w:pPr>
                    <w:pStyle w:val="87"/>
                    <w:ind w:left="0" w:leftChars="0" w:firstLine="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COD（mg/L）</w:t>
                  </w:r>
                </w:p>
              </w:tc>
              <w:tc>
                <w:tcPr>
                  <w:tcW w:w="1501" w:type="pct"/>
                  <w:vAlign w:val="center"/>
                </w:tcPr>
                <w:p w14:paraId="7B79E1DA">
                  <w:pPr>
                    <w:pStyle w:val="87"/>
                    <w:ind w:left="0" w:leftChars="0" w:firstLine="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250</w:t>
                  </w:r>
                </w:p>
              </w:tc>
            </w:tr>
            <w:tr w14:paraId="698A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0F3A1EE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2814" w:type="pct"/>
                  <w:vAlign w:val="center"/>
                </w:tcPr>
                <w:p w14:paraId="43C11B8D">
                  <w:pPr>
                    <w:pStyle w:val="87"/>
                    <w:ind w:left="0" w:leftChars="0" w:firstLine="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BOD（mg/L）</w:t>
                  </w:r>
                </w:p>
              </w:tc>
              <w:tc>
                <w:tcPr>
                  <w:tcW w:w="1501" w:type="pct"/>
                  <w:vAlign w:val="center"/>
                </w:tcPr>
                <w:p w14:paraId="624AC590">
                  <w:pPr>
                    <w:pStyle w:val="87"/>
                    <w:ind w:left="0" w:leftChars="0" w:firstLine="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100</w:t>
                  </w:r>
                </w:p>
              </w:tc>
            </w:tr>
            <w:tr w14:paraId="37E5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732A31F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tc>
              <w:tc>
                <w:tcPr>
                  <w:tcW w:w="2814" w:type="pct"/>
                  <w:vAlign w:val="center"/>
                </w:tcPr>
                <w:p w14:paraId="34CCE1BF">
                  <w:pPr>
                    <w:pStyle w:val="87"/>
                    <w:ind w:left="0" w:leftChars="0" w:firstLine="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SS（mg/L）</w:t>
                  </w:r>
                </w:p>
              </w:tc>
              <w:tc>
                <w:tcPr>
                  <w:tcW w:w="1501" w:type="pct"/>
                  <w:vAlign w:val="center"/>
                </w:tcPr>
                <w:p w14:paraId="32FD3B9F">
                  <w:pPr>
                    <w:pStyle w:val="87"/>
                    <w:ind w:left="0" w:leftChars="0" w:firstLine="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w:t>
                  </w:r>
                </w:p>
              </w:tc>
            </w:tr>
            <w:tr w14:paraId="77C8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6AC0BA8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2814" w:type="pct"/>
                  <w:vAlign w:val="center"/>
                </w:tcPr>
                <w:p w14:paraId="7EC12954">
                  <w:pPr>
                    <w:pStyle w:val="87"/>
                    <w:ind w:left="0" w:leftChars="0" w:firstLine="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氨氮（mg/L）</w:t>
                  </w:r>
                </w:p>
              </w:tc>
              <w:tc>
                <w:tcPr>
                  <w:tcW w:w="1501" w:type="pct"/>
                  <w:vAlign w:val="center"/>
                </w:tcPr>
                <w:p w14:paraId="535B7C9E">
                  <w:pPr>
                    <w:pStyle w:val="87"/>
                    <w:ind w:left="0" w:leftChars="0" w:firstLine="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r>
            <w:tr w14:paraId="4EF1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64975EE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2814" w:type="pct"/>
                  <w:vAlign w:val="center"/>
                </w:tcPr>
                <w:p w14:paraId="1E2092AC">
                  <w:pPr>
                    <w:pStyle w:val="87"/>
                    <w:ind w:left="0" w:leftChars="0" w:firstLine="0"/>
                    <w:jc w:val="both"/>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动植物油</w:t>
                  </w:r>
                  <w:r>
                    <w:rPr>
                      <w:rFonts w:hint="default" w:ascii="Times New Roman" w:hAnsi="Times New Roman" w:cs="Times New Roman"/>
                      <w:color w:val="auto"/>
                      <w:szCs w:val="21"/>
                      <w:highlight w:val="none"/>
                    </w:rPr>
                    <w:t>（mg/L）</w:t>
                  </w:r>
                </w:p>
              </w:tc>
              <w:tc>
                <w:tcPr>
                  <w:tcW w:w="1501" w:type="pct"/>
                  <w:vAlign w:val="center"/>
                </w:tcPr>
                <w:p w14:paraId="62A78049">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w:t>
                  </w:r>
                </w:p>
              </w:tc>
            </w:tr>
            <w:tr w14:paraId="02FA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1ED7826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2814" w:type="pct"/>
                  <w:vAlign w:val="center"/>
                </w:tcPr>
                <w:p w14:paraId="4CB1A578">
                  <w:pPr>
                    <w:pStyle w:val="87"/>
                    <w:ind w:left="0" w:leftChars="0" w:firstLine="0"/>
                    <w:jc w:val="both"/>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石油类</w:t>
                  </w:r>
                  <w:r>
                    <w:rPr>
                      <w:rFonts w:hint="default" w:ascii="Times New Roman" w:hAnsi="Times New Roman" w:cs="Times New Roman"/>
                      <w:color w:val="auto"/>
                      <w:szCs w:val="21"/>
                      <w:highlight w:val="none"/>
                    </w:rPr>
                    <w:t>（mg/L）</w:t>
                  </w:r>
                </w:p>
              </w:tc>
              <w:tc>
                <w:tcPr>
                  <w:tcW w:w="1501" w:type="pct"/>
                  <w:vAlign w:val="center"/>
                </w:tcPr>
                <w:p w14:paraId="5625CB74">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w:t>
                  </w:r>
                </w:p>
              </w:tc>
            </w:tr>
            <w:tr w14:paraId="60B6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713C03B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w:t>
                  </w:r>
                </w:p>
              </w:tc>
              <w:tc>
                <w:tcPr>
                  <w:tcW w:w="2814" w:type="pct"/>
                  <w:vAlign w:val="center"/>
                </w:tcPr>
                <w:p w14:paraId="2666D15C">
                  <w:pPr>
                    <w:pStyle w:val="87"/>
                    <w:ind w:left="0" w:leftChars="0" w:firstLine="0"/>
                    <w:jc w:val="both"/>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阴离子表面活性剂</w:t>
                  </w:r>
                  <w:r>
                    <w:rPr>
                      <w:rFonts w:hint="default" w:ascii="Times New Roman" w:hAnsi="Times New Roman" w:cs="Times New Roman"/>
                      <w:color w:val="auto"/>
                      <w:szCs w:val="21"/>
                      <w:highlight w:val="none"/>
                    </w:rPr>
                    <w:t>（mg/L）</w:t>
                  </w:r>
                </w:p>
              </w:tc>
              <w:tc>
                <w:tcPr>
                  <w:tcW w:w="1501" w:type="pct"/>
                  <w:vAlign w:val="center"/>
                </w:tcPr>
                <w:p w14:paraId="517A6D0B">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r>
            <w:tr w14:paraId="728F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4747DFD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w:t>
                  </w:r>
                </w:p>
              </w:tc>
              <w:tc>
                <w:tcPr>
                  <w:tcW w:w="2814" w:type="pct"/>
                  <w:vAlign w:val="center"/>
                </w:tcPr>
                <w:p w14:paraId="2B64259C">
                  <w:pPr>
                    <w:pStyle w:val="87"/>
                    <w:ind w:left="0" w:leftChars="0" w:firstLine="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色度（稀释倍数）</w:t>
                  </w:r>
                </w:p>
              </w:tc>
              <w:tc>
                <w:tcPr>
                  <w:tcW w:w="1501" w:type="pct"/>
                  <w:vAlign w:val="center"/>
                </w:tcPr>
                <w:p w14:paraId="3C03A2F8">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57C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14B7C63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w:t>
                  </w:r>
                </w:p>
              </w:tc>
              <w:tc>
                <w:tcPr>
                  <w:tcW w:w="2814" w:type="pct"/>
                  <w:vAlign w:val="center"/>
                </w:tcPr>
                <w:p w14:paraId="693B361E">
                  <w:pPr>
                    <w:pStyle w:val="87"/>
                    <w:ind w:left="0" w:leftChars="0" w:firstLine="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挥发酚</w:t>
                  </w:r>
                  <w:r>
                    <w:rPr>
                      <w:rFonts w:hint="default" w:ascii="Times New Roman" w:hAnsi="Times New Roman" w:cs="Times New Roman"/>
                      <w:color w:val="auto"/>
                      <w:szCs w:val="21"/>
                      <w:highlight w:val="none"/>
                    </w:rPr>
                    <w:t>（mg/L）</w:t>
                  </w:r>
                </w:p>
              </w:tc>
              <w:tc>
                <w:tcPr>
                  <w:tcW w:w="1501" w:type="pct"/>
                  <w:vAlign w:val="center"/>
                </w:tcPr>
                <w:p w14:paraId="1F980174">
                  <w:pPr>
                    <w:pStyle w:val="87"/>
                    <w:ind w:left="0" w:leftChars="0" w:firstLine="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1.0</w:t>
                  </w:r>
                </w:p>
              </w:tc>
            </w:tr>
            <w:tr w14:paraId="58D3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36A6F6A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w:t>
                  </w:r>
                </w:p>
              </w:tc>
              <w:tc>
                <w:tcPr>
                  <w:tcW w:w="2814" w:type="pct"/>
                  <w:vAlign w:val="center"/>
                </w:tcPr>
                <w:p w14:paraId="3E50824A">
                  <w:pPr>
                    <w:pStyle w:val="87"/>
                    <w:ind w:left="0" w:leftChars="0" w:firstLine="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总氰化物</w:t>
                  </w:r>
                  <w:r>
                    <w:rPr>
                      <w:rFonts w:hint="default" w:ascii="Times New Roman" w:hAnsi="Times New Roman" w:cs="Times New Roman"/>
                      <w:color w:val="auto"/>
                      <w:szCs w:val="21"/>
                      <w:highlight w:val="none"/>
                    </w:rPr>
                    <w:t>（mg/L）</w:t>
                  </w:r>
                </w:p>
              </w:tc>
              <w:tc>
                <w:tcPr>
                  <w:tcW w:w="1501" w:type="pct"/>
                  <w:vAlign w:val="center"/>
                </w:tcPr>
                <w:p w14:paraId="31A317C4">
                  <w:pPr>
                    <w:pStyle w:val="87"/>
                    <w:ind w:left="0" w:leftChars="0" w:firstLine="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0.5</w:t>
                  </w:r>
                </w:p>
              </w:tc>
            </w:tr>
            <w:tr w14:paraId="1A78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46EC06C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c>
                <w:tcPr>
                  <w:tcW w:w="2814" w:type="pct"/>
                  <w:vAlign w:val="center"/>
                </w:tcPr>
                <w:p w14:paraId="67CD55E9">
                  <w:pPr>
                    <w:pStyle w:val="87"/>
                    <w:ind w:left="0" w:leftChars="0" w:firstLine="0"/>
                    <w:jc w:val="both"/>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总汞（mg/L）</w:t>
                  </w:r>
                </w:p>
              </w:tc>
              <w:tc>
                <w:tcPr>
                  <w:tcW w:w="1501" w:type="pct"/>
                  <w:vAlign w:val="center"/>
                </w:tcPr>
                <w:p w14:paraId="4B65C660">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0.05</w:t>
                  </w:r>
                </w:p>
              </w:tc>
            </w:tr>
            <w:tr w14:paraId="6DA1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12139D3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w:t>
                  </w:r>
                </w:p>
              </w:tc>
              <w:tc>
                <w:tcPr>
                  <w:tcW w:w="2814" w:type="pct"/>
                  <w:vAlign w:val="center"/>
                </w:tcPr>
                <w:p w14:paraId="1583E00A">
                  <w:pPr>
                    <w:pStyle w:val="87"/>
                    <w:ind w:left="0" w:leftChars="0" w:firstLine="0"/>
                    <w:jc w:val="both"/>
                    <w:rPr>
                      <w:rFonts w:hint="default" w:ascii="Times New Roman" w:hAnsi="Times New Roman" w:cs="Times New Roman"/>
                      <w:color w:val="auto"/>
                      <w:szCs w:val="21"/>
                      <w:highlight w:val="none"/>
                      <w:lang w:val="zh-CN"/>
                    </w:rPr>
                  </w:pPr>
                  <w:r>
                    <w:rPr>
                      <w:rFonts w:hint="default" w:ascii="Times New Roman" w:hAnsi="Times New Roman" w:cs="Times New Roman"/>
                      <w:color w:val="auto"/>
                      <w:highlight w:val="none"/>
                    </w:rPr>
                    <w:t>总镉</w:t>
                  </w:r>
                  <w:r>
                    <w:rPr>
                      <w:rFonts w:hint="default" w:ascii="Times New Roman" w:hAnsi="Times New Roman" w:cs="Times New Roman"/>
                      <w:color w:val="auto"/>
                      <w:szCs w:val="21"/>
                      <w:highlight w:val="none"/>
                    </w:rPr>
                    <w:t>（mg/L）</w:t>
                  </w:r>
                </w:p>
              </w:tc>
              <w:tc>
                <w:tcPr>
                  <w:tcW w:w="1501" w:type="pct"/>
                  <w:vAlign w:val="center"/>
                </w:tcPr>
                <w:p w14:paraId="7F369FEB">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w:t>
                  </w:r>
                </w:p>
              </w:tc>
            </w:tr>
            <w:tr w14:paraId="1DD7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7936753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17</w:t>
                  </w:r>
                </w:p>
              </w:tc>
              <w:tc>
                <w:tcPr>
                  <w:tcW w:w="2814" w:type="pct"/>
                  <w:vAlign w:val="center"/>
                </w:tcPr>
                <w:p w14:paraId="393C6DC4">
                  <w:pPr>
                    <w:pStyle w:val="87"/>
                    <w:ind w:left="0" w:leftChars="0" w:firstLine="0"/>
                    <w:jc w:val="both"/>
                    <w:rPr>
                      <w:rFonts w:hint="default" w:ascii="Times New Roman" w:hAnsi="Times New Roman" w:cs="Times New Roman"/>
                      <w:color w:val="auto"/>
                      <w:szCs w:val="21"/>
                      <w:highlight w:val="none"/>
                      <w:lang w:val="zh-CN"/>
                    </w:rPr>
                  </w:pPr>
                  <w:r>
                    <w:rPr>
                      <w:rFonts w:hint="default" w:ascii="Times New Roman" w:hAnsi="Times New Roman" w:cs="Times New Roman"/>
                      <w:color w:val="auto"/>
                      <w:highlight w:val="none"/>
                    </w:rPr>
                    <w:t>总铬</w:t>
                  </w:r>
                  <w:r>
                    <w:rPr>
                      <w:rFonts w:hint="default" w:ascii="Times New Roman" w:hAnsi="Times New Roman" w:cs="Times New Roman"/>
                      <w:color w:val="auto"/>
                      <w:szCs w:val="21"/>
                      <w:highlight w:val="none"/>
                    </w:rPr>
                    <w:t>（mg/L）</w:t>
                  </w:r>
                </w:p>
              </w:tc>
              <w:tc>
                <w:tcPr>
                  <w:tcW w:w="1501" w:type="pct"/>
                  <w:vAlign w:val="center"/>
                </w:tcPr>
                <w:p w14:paraId="5E4BD27D">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w:t>
                  </w:r>
                </w:p>
              </w:tc>
            </w:tr>
            <w:tr w14:paraId="18A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5C4A11D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18</w:t>
                  </w:r>
                </w:p>
              </w:tc>
              <w:tc>
                <w:tcPr>
                  <w:tcW w:w="2814" w:type="pct"/>
                  <w:vAlign w:val="center"/>
                </w:tcPr>
                <w:p w14:paraId="209BCF09">
                  <w:pPr>
                    <w:pStyle w:val="87"/>
                    <w:ind w:left="0" w:leftChars="0" w:firstLine="0"/>
                    <w:jc w:val="both"/>
                    <w:rPr>
                      <w:rFonts w:hint="default" w:ascii="Times New Roman" w:hAnsi="Times New Roman" w:cs="Times New Roman"/>
                      <w:color w:val="auto"/>
                      <w:szCs w:val="21"/>
                      <w:highlight w:val="none"/>
                      <w:lang w:val="zh-CN"/>
                    </w:rPr>
                  </w:pPr>
                  <w:r>
                    <w:rPr>
                      <w:rFonts w:hint="default" w:ascii="Times New Roman" w:hAnsi="Times New Roman" w:cs="Times New Roman"/>
                      <w:color w:val="auto"/>
                      <w:highlight w:val="none"/>
                    </w:rPr>
                    <w:t>六价铬</w:t>
                  </w:r>
                  <w:r>
                    <w:rPr>
                      <w:rFonts w:hint="default" w:ascii="Times New Roman" w:hAnsi="Times New Roman" w:cs="Times New Roman"/>
                      <w:color w:val="auto"/>
                      <w:szCs w:val="21"/>
                      <w:highlight w:val="none"/>
                    </w:rPr>
                    <w:t>（mg/L）</w:t>
                  </w:r>
                </w:p>
              </w:tc>
              <w:tc>
                <w:tcPr>
                  <w:tcW w:w="1501" w:type="pct"/>
                  <w:vAlign w:val="center"/>
                </w:tcPr>
                <w:p w14:paraId="146242E5">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w:t>
                  </w:r>
                </w:p>
              </w:tc>
            </w:tr>
            <w:tr w14:paraId="16BA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4216FC3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19</w:t>
                  </w:r>
                </w:p>
              </w:tc>
              <w:tc>
                <w:tcPr>
                  <w:tcW w:w="2814" w:type="pct"/>
                  <w:vAlign w:val="center"/>
                </w:tcPr>
                <w:p w14:paraId="06D7DADA">
                  <w:pPr>
                    <w:pStyle w:val="87"/>
                    <w:ind w:left="0" w:leftChars="0" w:firstLine="0"/>
                    <w:jc w:val="both"/>
                    <w:rPr>
                      <w:rFonts w:hint="default" w:ascii="Times New Roman" w:hAnsi="Times New Roman" w:cs="Times New Roman"/>
                      <w:color w:val="auto"/>
                      <w:szCs w:val="21"/>
                      <w:highlight w:val="none"/>
                      <w:lang w:val="zh-CN"/>
                    </w:rPr>
                  </w:pPr>
                  <w:r>
                    <w:rPr>
                      <w:rFonts w:hint="default" w:ascii="Times New Roman" w:hAnsi="Times New Roman" w:cs="Times New Roman"/>
                      <w:color w:val="auto"/>
                      <w:highlight w:val="none"/>
                    </w:rPr>
                    <w:t>总砷</w:t>
                  </w:r>
                  <w:r>
                    <w:rPr>
                      <w:rFonts w:hint="default" w:ascii="Times New Roman" w:hAnsi="Times New Roman" w:cs="Times New Roman"/>
                      <w:color w:val="auto"/>
                      <w:szCs w:val="21"/>
                      <w:highlight w:val="none"/>
                    </w:rPr>
                    <w:t>（mg/L）</w:t>
                  </w:r>
                </w:p>
              </w:tc>
              <w:tc>
                <w:tcPr>
                  <w:tcW w:w="1501" w:type="pct"/>
                  <w:vAlign w:val="center"/>
                </w:tcPr>
                <w:p w14:paraId="21F38822">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w:t>
                  </w:r>
                </w:p>
              </w:tc>
            </w:tr>
            <w:tr w14:paraId="6D75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00D8F86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2814" w:type="pct"/>
                  <w:vAlign w:val="center"/>
                </w:tcPr>
                <w:p w14:paraId="1EBDB7D9">
                  <w:pPr>
                    <w:pStyle w:val="87"/>
                    <w:ind w:left="0" w:leftChars="0" w:firstLine="0"/>
                    <w:jc w:val="both"/>
                    <w:rPr>
                      <w:rFonts w:hint="default" w:ascii="Times New Roman" w:hAnsi="Times New Roman" w:cs="Times New Roman"/>
                      <w:color w:val="auto"/>
                      <w:szCs w:val="21"/>
                      <w:highlight w:val="none"/>
                      <w:lang w:val="zh-CN"/>
                    </w:rPr>
                  </w:pPr>
                  <w:r>
                    <w:rPr>
                      <w:rFonts w:hint="default" w:ascii="Times New Roman" w:hAnsi="Times New Roman" w:cs="Times New Roman"/>
                      <w:color w:val="auto"/>
                      <w:highlight w:val="none"/>
                    </w:rPr>
                    <w:t>总铅</w:t>
                  </w:r>
                  <w:r>
                    <w:rPr>
                      <w:rFonts w:hint="default" w:ascii="Times New Roman" w:hAnsi="Times New Roman" w:cs="Times New Roman"/>
                      <w:color w:val="auto"/>
                      <w:szCs w:val="21"/>
                      <w:highlight w:val="none"/>
                    </w:rPr>
                    <w:t>（mg/L）</w:t>
                  </w:r>
                </w:p>
              </w:tc>
              <w:tc>
                <w:tcPr>
                  <w:tcW w:w="1501" w:type="pct"/>
                  <w:vAlign w:val="center"/>
                </w:tcPr>
                <w:p w14:paraId="6F42B70E">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r>
            <w:tr w14:paraId="15D2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4DFF939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w:t>
                  </w:r>
                </w:p>
              </w:tc>
              <w:tc>
                <w:tcPr>
                  <w:tcW w:w="2814" w:type="pct"/>
                  <w:vAlign w:val="center"/>
                </w:tcPr>
                <w:p w14:paraId="60CF0C82">
                  <w:pPr>
                    <w:pStyle w:val="87"/>
                    <w:ind w:left="0" w:leftChars="0" w:firstLine="0"/>
                    <w:jc w:val="both"/>
                    <w:rPr>
                      <w:rFonts w:hint="default" w:ascii="Times New Roman" w:hAnsi="Times New Roman" w:cs="Times New Roman"/>
                      <w:color w:val="auto"/>
                      <w:szCs w:val="21"/>
                      <w:highlight w:val="none"/>
                      <w:lang w:val="zh-CN"/>
                    </w:rPr>
                  </w:pPr>
                  <w:r>
                    <w:rPr>
                      <w:rFonts w:hint="default" w:ascii="Times New Roman" w:hAnsi="Times New Roman" w:cs="Times New Roman"/>
                      <w:color w:val="auto"/>
                      <w:highlight w:val="none"/>
                    </w:rPr>
                    <w:t>总银</w:t>
                  </w:r>
                  <w:r>
                    <w:rPr>
                      <w:rFonts w:hint="default" w:ascii="Times New Roman" w:hAnsi="Times New Roman" w:cs="Times New Roman"/>
                      <w:color w:val="auto"/>
                      <w:szCs w:val="21"/>
                      <w:highlight w:val="none"/>
                    </w:rPr>
                    <w:t>（mg/L）</w:t>
                  </w:r>
                </w:p>
              </w:tc>
              <w:tc>
                <w:tcPr>
                  <w:tcW w:w="1501" w:type="pct"/>
                  <w:vAlign w:val="center"/>
                </w:tcPr>
                <w:p w14:paraId="021FB797">
                  <w:pPr>
                    <w:pStyle w:val="87"/>
                    <w:ind w:left="0" w:leftChars="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w:t>
                  </w:r>
                </w:p>
              </w:tc>
            </w:tr>
            <w:tr w14:paraId="1E7B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3" w:type="pct"/>
                  <w:vAlign w:val="center"/>
                </w:tcPr>
                <w:p w14:paraId="510D1CB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w:t>
                  </w:r>
                </w:p>
              </w:tc>
              <w:tc>
                <w:tcPr>
                  <w:tcW w:w="2814" w:type="pct"/>
                  <w:vAlign w:val="center"/>
                </w:tcPr>
                <w:p w14:paraId="7F135193">
                  <w:pPr>
                    <w:pStyle w:val="87"/>
                    <w:ind w:left="0" w:leftChars="0" w:firstLine="0"/>
                    <w:jc w:val="both"/>
                    <w:rPr>
                      <w:rFonts w:hint="default" w:ascii="Times New Roman" w:hAnsi="Times New Roman" w:cs="Times New Roman"/>
                      <w:color w:val="auto"/>
                      <w:highlight w:val="none"/>
                      <w:lang w:val="zh-CN"/>
                    </w:rPr>
                  </w:pPr>
                  <w:r>
                    <w:rPr>
                      <w:rFonts w:hint="default" w:ascii="Times New Roman" w:hAnsi="Times New Roman" w:cs="Times New Roman"/>
                      <w:color w:val="auto"/>
                      <w:highlight w:val="none"/>
                    </w:rPr>
                    <w:t>总余氯</w:t>
                  </w:r>
                  <w:r>
                    <w:rPr>
                      <w:rFonts w:hint="default" w:ascii="Times New Roman" w:hAnsi="Times New Roman" w:cs="Times New Roman"/>
                      <w:color w:val="auto"/>
                      <w:highlight w:val="none"/>
                      <w:vertAlign w:val="superscript"/>
                    </w:rPr>
                    <w:t>（1）（2）</w:t>
                  </w:r>
                  <w:r>
                    <w:rPr>
                      <w:rFonts w:hint="default" w:ascii="Times New Roman" w:hAnsi="Times New Roman" w:cs="Times New Roman"/>
                      <w:color w:val="auto"/>
                      <w:szCs w:val="21"/>
                      <w:highlight w:val="none"/>
                    </w:rPr>
                    <w:t>（mg/L）</w:t>
                  </w:r>
                </w:p>
              </w:tc>
              <w:tc>
                <w:tcPr>
                  <w:tcW w:w="1501" w:type="pct"/>
                  <w:vAlign w:val="center"/>
                </w:tcPr>
                <w:p w14:paraId="232D5DFA">
                  <w:pPr>
                    <w:pStyle w:val="87"/>
                    <w:ind w:left="0" w:leftChars="0" w:firstLine="0"/>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r w14:paraId="4450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vAlign w:val="center"/>
                </w:tcPr>
                <w:p w14:paraId="73327E76">
                  <w:pPr>
                    <w:pStyle w:val="87"/>
                    <w:ind w:left="0" w:leftChars="0" w:firstLine="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注：（1）采用含氯消毒剂消毒的工艺控制要求为：</w:t>
                  </w:r>
                </w:p>
                <w:p w14:paraId="732A6748">
                  <w:pPr>
                    <w:pStyle w:val="87"/>
                    <w:ind w:left="0" w:leftChars="0" w:firstLine="42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排放标准：消毒接触池接触时间≥1h，接触池出口总余氯3~10mg/L。</w:t>
                  </w:r>
                </w:p>
                <w:p w14:paraId="3CC91D15">
                  <w:pPr>
                    <w:pStyle w:val="87"/>
                    <w:ind w:left="0" w:leftChars="0" w:firstLine="42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预处理标准：消毒接触池接触时间≥1h，接触池出口总余氯2~8mgL。</w:t>
                  </w:r>
                </w:p>
                <w:p w14:paraId="0A6D8613">
                  <w:pPr>
                    <w:pStyle w:val="87"/>
                    <w:ind w:left="0" w:leftChars="0" w:firstLine="42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（2）采用其他消毒剂对总余氯不做要求。</w:t>
                  </w:r>
                </w:p>
                <w:p w14:paraId="26BD3968">
                  <w:pPr>
                    <w:pStyle w:val="87"/>
                    <w:ind w:left="0" w:leftChars="0" w:firstLine="420" w:firstLineChars="200"/>
                    <w:jc w:val="both"/>
                    <w:rPr>
                      <w:rFonts w:hint="default" w:ascii="Times New Roman" w:hAnsi="Times New Roman" w:cs="Times New Roman"/>
                      <w:b/>
                      <w:bCs/>
                      <w:color w:val="auto"/>
                      <w:highlight w:val="none"/>
                    </w:rPr>
                  </w:pPr>
                  <w:r>
                    <w:rPr>
                      <w:rFonts w:hint="default" w:ascii="Times New Roman" w:hAnsi="Times New Roman" w:cs="Times New Roman"/>
                      <w:color w:val="auto"/>
                      <w:highlight w:val="none"/>
                    </w:rPr>
                    <w:t>（3）本项目无放射性废水，故对</w:t>
                  </w:r>
                  <w:r>
                    <w:rPr>
                      <w:rFonts w:hint="default" w:ascii="Times New Roman" w:hAnsi="Times New Roman" w:cs="Times New Roman"/>
                      <w:color w:val="auto"/>
                      <w:szCs w:val="21"/>
                      <w:highlight w:val="none"/>
                      <w:lang w:val="zh-CN"/>
                    </w:rPr>
                    <w:t>总α、</w:t>
                  </w:r>
                  <w:r>
                    <w:rPr>
                      <w:rFonts w:hint="default" w:ascii="Times New Roman" w:hAnsi="Times New Roman" w:cs="Times New Roman"/>
                      <w:color w:val="auto"/>
                      <w:highlight w:val="none"/>
                    </w:rPr>
                    <w:t>总β不做要求。</w:t>
                  </w:r>
                </w:p>
              </w:tc>
            </w:tr>
          </w:tbl>
          <w:p w14:paraId="4E4C9F74">
            <w:pPr>
              <w:pStyle w:val="10"/>
              <w:ind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3.2.3 噪声</w:t>
            </w:r>
          </w:p>
          <w:p w14:paraId="6C8E14DB">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1、施工期</w:t>
            </w:r>
          </w:p>
          <w:p w14:paraId="21C30F1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项目施工期噪声</w:t>
            </w:r>
            <w:r>
              <w:rPr>
                <w:rFonts w:hint="default" w:ascii="Times New Roman" w:hAnsi="Times New Roman" w:cs="Times New Roman"/>
                <w:color w:val="auto"/>
                <w:sz w:val="24"/>
                <w:highlight w:val="none"/>
              </w:rPr>
              <w:t>执行《建筑施工噪声排放标准》（GB12523-2025）标准限值，具体见下表。</w:t>
            </w:r>
          </w:p>
          <w:p w14:paraId="5326D72C">
            <w:pPr>
              <w:spacing w:line="400" w:lineRule="exact"/>
              <w:ind w:firstLine="482"/>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表3-15 建筑施工噪声排放标准   单位：dB(A)</w:t>
            </w:r>
          </w:p>
          <w:tbl>
            <w:tblPr>
              <w:tblStyle w:val="33"/>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35"/>
              <w:gridCol w:w="4240"/>
            </w:tblGrid>
            <w:tr w14:paraId="48E848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jc w:val="center"/>
              </w:trPr>
              <w:tc>
                <w:tcPr>
                  <w:tcW w:w="2498" w:type="pct"/>
                  <w:tcBorders>
                    <w:top w:val="single" w:color="000000" w:sz="4" w:space="0"/>
                    <w:left w:val="single" w:color="000000" w:sz="4" w:space="0"/>
                    <w:bottom w:val="single" w:color="000000" w:sz="4" w:space="0"/>
                    <w:right w:val="single" w:color="000000" w:sz="4" w:space="0"/>
                  </w:tcBorders>
                  <w:vAlign w:val="center"/>
                </w:tcPr>
                <w:p w14:paraId="14198974">
                  <w:pPr>
                    <w:snapToGrid w:val="0"/>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昼间</w:t>
                  </w:r>
                </w:p>
              </w:tc>
              <w:tc>
                <w:tcPr>
                  <w:tcW w:w="2501" w:type="pct"/>
                  <w:tcBorders>
                    <w:top w:val="single" w:color="000000" w:sz="4" w:space="0"/>
                    <w:left w:val="single" w:color="000000" w:sz="4" w:space="0"/>
                    <w:bottom w:val="single" w:color="000000" w:sz="4" w:space="0"/>
                    <w:right w:val="single" w:color="000000" w:sz="4" w:space="0"/>
                  </w:tcBorders>
                  <w:vAlign w:val="center"/>
                </w:tcPr>
                <w:p w14:paraId="32BAF225">
                  <w:pPr>
                    <w:snapToGrid w:val="0"/>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夜间</w:t>
                  </w:r>
                </w:p>
              </w:tc>
            </w:tr>
            <w:tr w14:paraId="4CDE8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 w:hRule="atLeast"/>
                <w:jc w:val="center"/>
              </w:trPr>
              <w:tc>
                <w:tcPr>
                  <w:tcW w:w="2498" w:type="pct"/>
                  <w:tcBorders>
                    <w:top w:val="single" w:color="000000" w:sz="4" w:space="0"/>
                    <w:left w:val="single" w:color="000000" w:sz="4" w:space="0"/>
                    <w:bottom w:val="single" w:color="000000" w:sz="4" w:space="0"/>
                    <w:right w:val="single" w:color="000000" w:sz="4" w:space="0"/>
                  </w:tcBorders>
                  <w:vAlign w:val="center"/>
                </w:tcPr>
                <w:p w14:paraId="1230BA9A">
                  <w:pPr>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w:t>
                  </w:r>
                </w:p>
              </w:tc>
              <w:tc>
                <w:tcPr>
                  <w:tcW w:w="2501" w:type="pct"/>
                  <w:tcBorders>
                    <w:top w:val="single" w:color="000000" w:sz="4" w:space="0"/>
                    <w:left w:val="single" w:color="000000" w:sz="4" w:space="0"/>
                    <w:bottom w:val="single" w:color="000000" w:sz="4" w:space="0"/>
                    <w:right w:val="single" w:color="000000" w:sz="4" w:space="0"/>
                  </w:tcBorders>
                  <w:vAlign w:val="center"/>
                </w:tcPr>
                <w:p w14:paraId="7273505A">
                  <w:pPr>
                    <w:snapToGrid w:val="0"/>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55</w:t>
                  </w:r>
                </w:p>
              </w:tc>
            </w:tr>
          </w:tbl>
          <w:p w14:paraId="0FB671F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2、运营期</w:t>
            </w:r>
          </w:p>
          <w:p w14:paraId="653F520B">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项目夜间不运营，项目运营期厂界西侧、南侧昼间噪声执</w:t>
            </w:r>
            <w:r>
              <w:rPr>
                <w:rFonts w:hint="default" w:ascii="Times New Roman" w:hAnsi="Times New Roman" w:cs="Times New Roman"/>
                <w:color w:val="auto"/>
                <w:szCs w:val="24"/>
                <w:highlight w:val="none"/>
              </w:rPr>
              <w:t>行《工业企业厂界环境噪声排放标准》（GB12348-2008）</w:t>
            </w:r>
            <w:r>
              <w:rPr>
                <w:rFonts w:hint="default" w:ascii="Times New Roman" w:hAnsi="Times New Roman" w:cs="Times New Roman"/>
                <w:color w:val="auto"/>
                <w:highlight w:val="none"/>
              </w:rPr>
              <w:t>表1中的2类标准，厂界东侧、北侧昼间噪声执</w:t>
            </w:r>
            <w:r>
              <w:rPr>
                <w:rFonts w:hint="default" w:ascii="Times New Roman" w:hAnsi="Times New Roman" w:cs="Times New Roman"/>
                <w:color w:val="auto"/>
                <w:szCs w:val="24"/>
                <w:highlight w:val="none"/>
              </w:rPr>
              <w:t>行《工业企业厂界环境噪声排放标准》（GB12348-2008）</w:t>
            </w:r>
            <w:r>
              <w:rPr>
                <w:rFonts w:hint="default" w:ascii="Times New Roman" w:hAnsi="Times New Roman" w:cs="Times New Roman"/>
                <w:color w:val="auto"/>
                <w:highlight w:val="none"/>
              </w:rPr>
              <w:t>表2中的4类标准，具体标准限值见下表。</w:t>
            </w:r>
          </w:p>
          <w:p w14:paraId="493B621D">
            <w:pPr>
              <w:spacing w:line="400" w:lineRule="exact"/>
              <w:ind w:firstLine="482"/>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表3-16  工业企业厂界环境噪声排放标准   单位：dB(A)</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5"/>
              <w:gridCol w:w="2826"/>
              <w:gridCol w:w="2826"/>
            </w:tblGrid>
            <w:tr w14:paraId="7CB8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666" w:type="pct"/>
                  <w:vAlign w:val="center"/>
                </w:tcPr>
                <w:p w14:paraId="566666B6">
                  <w:pPr>
                    <w:spacing w:line="40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厂界外声环境功能区类别</w:t>
                  </w:r>
                </w:p>
              </w:tc>
              <w:tc>
                <w:tcPr>
                  <w:tcW w:w="1666" w:type="pct"/>
                  <w:vAlign w:val="center"/>
                </w:tcPr>
                <w:p w14:paraId="317F3DD8">
                  <w:pPr>
                    <w:spacing w:line="40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时段（昼间）</w:t>
                  </w:r>
                </w:p>
              </w:tc>
              <w:tc>
                <w:tcPr>
                  <w:tcW w:w="1666" w:type="pct"/>
                  <w:vAlign w:val="center"/>
                </w:tcPr>
                <w:p w14:paraId="79744641">
                  <w:pPr>
                    <w:spacing w:line="40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监测点位</w:t>
                  </w:r>
                </w:p>
              </w:tc>
            </w:tr>
            <w:tr w14:paraId="51A0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41B1F472">
                  <w:pPr>
                    <w:spacing w:line="400" w:lineRule="exac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2类</w:t>
                  </w:r>
                </w:p>
              </w:tc>
              <w:tc>
                <w:tcPr>
                  <w:tcW w:w="1666" w:type="pct"/>
                  <w:vAlign w:val="center"/>
                </w:tcPr>
                <w:p w14:paraId="62FBA0E3">
                  <w:pPr>
                    <w:spacing w:line="400" w:lineRule="exac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1666" w:type="pct"/>
                  <w:vAlign w:val="center"/>
                </w:tcPr>
                <w:p w14:paraId="6A581EBF">
                  <w:pPr>
                    <w:spacing w:line="400" w:lineRule="exac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厂界西侧、南侧</w:t>
                  </w:r>
                </w:p>
              </w:tc>
            </w:tr>
            <w:tr w14:paraId="0B8E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14:paraId="12F5E8C7">
                  <w:pPr>
                    <w:spacing w:line="400" w:lineRule="exac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4类</w:t>
                  </w:r>
                </w:p>
              </w:tc>
              <w:tc>
                <w:tcPr>
                  <w:tcW w:w="1666" w:type="pct"/>
                  <w:vAlign w:val="center"/>
                </w:tcPr>
                <w:p w14:paraId="7EEFCAEB">
                  <w:pPr>
                    <w:spacing w:line="400" w:lineRule="exac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70</w:t>
                  </w:r>
                </w:p>
              </w:tc>
              <w:tc>
                <w:tcPr>
                  <w:tcW w:w="1666" w:type="pct"/>
                  <w:vAlign w:val="center"/>
                </w:tcPr>
                <w:p w14:paraId="50489527">
                  <w:pPr>
                    <w:spacing w:line="400" w:lineRule="exac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厂界东侧、北侧</w:t>
                  </w:r>
                </w:p>
              </w:tc>
            </w:tr>
          </w:tbl>
          <w:p w14:paraId="0EF74D51">
            <w:pPr>
              <w:pStyle w:val="10"/>
              <w:ind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3.2.4 固废</w:t>
            </w:r>
          </w:p>
          <w:p w14:paraId="405DCE7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1、医疗废物按</w:t>
            </w:r>
            <w:r>
              <w:rPr>
                <w:rFonts w:hint="default" w:ascii="Times New Roman" w:hAnsi="Times New Roman" w:cs="Times New Roman"/>
                <w:color w:val="auto"/>
                <w:sz w:val="24"/>
                <w:highlight w:val="none"/>
              </w:rPr>
              <w:t>照《危险废物贮存污染控制标准》（GB 18597-2023）、《医疗废物转运车技术要求》（GB19217-2003）及《医疗废物专用包装袋、容器和警示标志标准》（HJ421-2008）的相关要求执行。</w:t>
            </w:r>
          </w:p>
          <w:p w14:paraId="69C7050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2、危险废物执行《危险废物贮存污染控制标准》（GB 18597-2023）、《危险废物转移管理办法》（2022年版）和《危险废物识别标志设置技术规范》（HJ 1276-2022）中的有关要求。</w:t>
            </w:r>
          </w:p>
          <w:p w14:paraId="320895C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3、医疗废物贮存、转运执行《医疗废物处理处置污染控制标准》（GB39707-2020）和《医疗废物转运车技术要求（试行）》（GB19217-2003）及其修改单。</w:t>
            </w:r>
          </w:p>
          <w:p w14:paraId="13197853">
            <w:pPr>
              <w:spacing w:line="360" w:lineRule="auto"/>
              <w:ind w:firstLine="48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sz w:val="24"/>
                <w:highlight w:val="none"/>
              </w:rPr>
              <w:t>4、一般固体废物执行《一般工业固体废物贮存和填埋污染控制标准》（GB18599-2020）中的有关规定。</w:t>
            </w:r>
          </w:p>
        </w:tc>
      </w:tr>
      <w:tr w14:paraId="21C735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370" w:type="pct"/>
            <w:tcMar>
              <w:left w:w="28" w:type="dxa"/>
              <w:right w:w="28" w:type="dxa"/>
            </w:tcMar>
            <w:vAlign w:val="center"/>
          </w:tcPr>
          <w:p w14:paraId="0600FF48">
            <w:pPr>
              <w:adjustRightInd w:val="0"/>
              <w:snapToGrid w:val="0"/>
              <w:jc w:val="center"/>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总量控制指标</w:t>
            </w:r>
          </w:p>
        </w:tc>
        <w:tc>
          <w:tcPr>
            <w:tcW w:w="4629" w:type="pct"/>
            <w:vAlign w:val="center"/>
          </w:tcPr>
          <w:p w14:paraId="6F4E1AA3">
            <w:pPr>
              <w:numPr>
                <w:ilvl w:val="0"/>
                <w:numId w:val="7"/>
              </w:num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废气</w:t>
            </w:r>
          </w:p>
          <w:p w14:paraId="2260C2D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VOCs（以非甲烷总烃计）：0.0552kg/a。</w:t>
            </w:r>
          </w:p>
          <w:p w14:paraId="7520AEF7">
            <w:pPr>
              <w:numPr>
                <w:ilvl w:val="0"/>
                <w:numId w:val="7"/>
              </w:num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废水</w:t>
            </w:r>
          </w:p>
          <w:p w14:paraId="01E51E4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项目各类废水分类收集，分质预处理使重金属等第一类水污染物达标后，进入1座处理规模为10m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/d“缺氧+接触氧化+MBR+次氯酸钠消毒”工艺的污水处理站处理达《医疗机构水污染物排放标准》</w:t>
            </w:r>
            <w:r>
              <w:rPr>
                <w:rFonts w:hint="eastAsia" w:ascii="Times New Roman" w:hAnsi="Times New Roman" w:cs="Times New Roman"/>
                <w:color w:val="auto"/>
                <w:sz w:val="24"/>
                <w:highlight w:val="none"/>
                <w:lang w:eastAsia="zh-CN"/>
              </w:rPr>
              <w:t>（GB18466-2005，含2026年第1号修改单）</w:t>
            </w:r>
            <w:r>
              <w:rPr>
                <w:rFonts w:hint="default" w:ascii="Times New Roman" w:hAnsi="Times New Roman" w:cs="Times New Roman"/>
                <w:color w:val="auto"/>
                <w:sz w:val="24"/>
                <w:highlight w:val="none"/>
              </w:rPr>
              <w:t>中表2综合医疗机构和其他医疗机构水污染物排放限值预处理标准后，排入市政污水管网，最终进入华宁县污水处理厂。废水纳入华宁县污水处理厂</w:t>
            </w:r>
            <w:r>
              <w:rPr>
                <w:rFonts w:hint="default" w:ascii="Times New Roman" w:hAnsi="Times New Roman" w:cs="Times New Roman"/>
                <w:color w:val="auto"/>
                <w:kern w:val="0"/>
                <w:sz w:val="24"/>
                <w:highlight w:val="none"/>
              </w:rPr>
              <w:t>总量控制指标，</w:t>
            </w:r>
            <w:r>
              <w:rPr>
                <w:rFonts w:hint="default" w:ascii="Times New Roman" w:hAnsi="Times New Roman" w:cs="Times New Roman"/>
                <w:color w:val="auto"/>
                <w:sz w:val="24"/>
                <w:highlight w:val="none"/>
              </w:rPr>
              <w:t>故本项目不设废水</w:t>
            </w:r>
            <w:r>
              <w:rPr>
                <w:rFonts w:hint="default" w:ascii="Times New Roman" w:hAnsi="Times New Roman" w:cs="Times New Roman"/>
                <w:color w:val="auto"/>
                <w:kern w:val="0"/>
                <w:sz w:val="24"/>
                <w:highlight w:val="none"/>
              </w:rPr>
              <w:t>总量控制指标。</w:t>
            </w:r>
          </w:p>
          <w:p w14:paraId="4DC7A75E">
            <w:pPr>
              <w:numPr>
                <w:ilvl w:val="0"/>
                <w:numId w:val="7"/>
              </w:num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固废</w:t>
            </w:r>
          </w:p>
          <w:p w14:paraId="7F6C9A9D">
            <w:pPr>
              <w:adjustRightInd w:val="0"/>
              <w:snapToGrid w:val="0"/>
              <w:spacing w:line="360" w:lineRule="auto"/>
              <w:ind w:left="420" w:left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处置率100%。</w:t>
            </w:r>
          </w:p>
          <w:p w14:paraId="7F7A936D">
            <w:pPr>
              <w:adjustRightInd w:val="0"/>
              <w:snapToGrid w:val="0"/>
              <w:spacing w:line="360" w:lineRule="auto"/>
              <w:ind w:left="420" w:leftChars="200"/>
              <w:rPr>
                <w:rFonts w:hint="default" w:ascii="Times New Roman" w:hAnsi="Times New Roman" w:cs="Times New Roman"/>
                <w:color w:val="auto"/>
                <w:sz w:val="24"/>
                <w:highlight w:val="none"/>
              </w:rPr>
            </w:pPr>
          </w:p>
          <w:p w14:paraId="5A8FD64D">
            <w:pPr>
              <w:adjustRightInd w:val="0"/>
              <w:snapToGrid w:val="0"/>
              <w:spacing w:line="360" w:lineRule="auto"/>
              <w:ind w:left="420" w:leftChars="200"/>
              <w:rPr>
                <w:rFonts w:hint="default" w:ascii="Times New Roman" w:hAnsi="Times New Roman" w:cs="Times New Roman"/>
                <w:color w:val="auto"/>
                <w:sz w:val="24"/>
                <w:highlight w:val="none"/>
              </w:rPr>
            </w:pPr>
          </w:p>
          <w:p w14:paraId="34387ED6">
            <w:pPr>
              <w:adjustRightInd w:val="0"/>
              <w:snapToGrid w:val="0"/>
              <w:spacing w:line="360" w:lineRule="auto"/>
              <w:ind w:left="420" w:leftChars="200"/>
              <w:rPr>
                <w:rFonts w:hint="default" w:ascii="Times New Roman" w:hAnsi="Times New Roman" w:cs="Times New Roman"/>
                <w:color w:val="auto"/>
                <w:sz w:val="24"/>
                <w:highlight w:val="none"/>
              </w:rPr>
            </w:pPr>
          </w:p>
          <w:p w14:paraId="26577470">
            <w:pPr>
              <w:adjustRightInd w:val="0"/>
              <w:snapToGrid w:val="0"/>
              <w:spacing w:line="360" w:lineRule="auto"/>
              <w:ind w:left="420" w:leftChars="200"/>
              <w:rPr>
                <w:rFonts w:hint="default" w:ascii="Times New Roman" w:hAnsi="Times New Roman" w:cs="Times New Roman"/>
                <w:color w:val="auto"/>
                <w:sz w:val="24"/>
                <w:highlight w:val="none"/>
              </w:rPr>
            </w:pPr>
          </w:p>
          <w:p w14:paraId="750724D4">
            <w:pPr>
              <w:adjustRightInd w:val="0"/>
              <w:snapToGrid w:val="0"/>
              <w:spacing w:line="360" w:lineRule="auto"/>
              <w:ind w:left="420" w:leftChars="200"/>
              <w:rPr>
                <w:rFonts w:hint="default" w:ascii="Times New Roman" w:hAnsi="Times New Roman" w:cs="Times New Roman"/>
                <w:color w:val="auto"/>
                <w:sz w:val="24"/>
                <w:highlight w:val="none"/>
              </w:rPr>
            </w:pPr>
          </w:p>
          <w:p w14:paraId="6B512CBB">
            <w:pPr>
              <w:adjustRightInd w:val="0"/>
              <w:snapToGrid w:val="0"/>
              <w:spacing w:line="360" w:lineRule="auto"/>
              <w:ind w:left="420" w:leftChars="200"/>
              <w:rPr>
                <w:rFonts w:hint="default" w:ascii="Times New Roman" w:hAnsi="Times New Roman" w:cs="Times New Roman"/>
                <w:color w:val="auto"/>
                <w:sz w:val="24"/>
                <w:highlight w:val="none"/>
              </w:rPr>
            </w:pPr>
          </w:p>
          <w:p w14:paraId="297E8250">
            <w:pPr>
              <w:adjustRightInd w:val="0"/>
              <w:snapToGrid w:val="0"/>
              <w:spacing w:line="360" w:lineRule="auto"/>
              <w:ind w:left="420" w:leftChars="200"/>
              <w:rPr>
                <w:rFonts w:hint="default" w:ascii="Times New Roman" w:hAnsi="Times New Roman" w:cs="Times New Roman"/>
                <w:color w:val="auto"/>
                <w:sz w:val="24"/>
                <w:highlight w:val="none"/>
              </w:rPr>
            </w:pPr>
          </w:p>
          <w:p w14:paraId="20515B04">
            <w:pPr>
              <w:adjustRightInd w:val="0"/>
              <w:snapToGrid w:val="0"/>
              <w:spacing w:line="360" w:lineRule="auto"/>
              <w:ind w:left="420" w:leftChars="200"/>
              <w:rPr>
                <w:rFonts w:hint="default" w:ascii="Times New Roman" w:hAnsi="Times New Roman" w:cs="Times New Roman"/>
                <w:color w:val="auto"/>
                <w:sz w:val="24"/>
                <w:highlight w:val="none"/>
              </w:rPr>
            </w:pPr>
          </w:p>
          <w:p w14:paraId="329ECCA1">
            <w:pPr>
              <w:adjustRightInd w:val="0"/>
              <w:snapToGrid w:val="0"/>
              <w:spacing w:line="360" w:lineRule="auto"/>
              <w:ind w:left="420" w:leftChars="200"/>
              <w:rPr>
                <w:rFonts w:hint="default" w:ascii="Times New Roman" w:hAnsi="Times New Roman" w:cs="Times New Roman"/>
                <w:color w:val="auto"/>
                <w:sz w:val="24"/>
                <w:highlight w:val="none"/>
              </w:rPr>
            </w:pPr>
          </w:p>
          <w:p w14:paraId="053D41CE">
            <w:pPr>
              <w:adjustRightInd w:val="0"/>
              <w:snapToGrid w:val="0"/>
              <w:spacing w:line="360" w:lineRule="auto"/>
              <w:ind w:left="420" w:leftChars="200"/>
              <w:rPr>
                <w:rFonts w:hint="default" w:ascii="Times New Roman" w:hAnsi="Times New Roman" w:cs="Times New Roman"/>
                <w:color w:val="auto"/>
                <w:sz w:val="24"/>
                <w:highlight w:val="none"/>
              </w:rPr>
            </w:pPr>
          </w:p>
          <w:p w14:paraId="5620D790">
            <w:pPr>
              <w:adjustRightInd w:val="0"/>
              <w:snapToGrid w:val="0"/>
              <w:spacing w:line="360" w:lineRule="auto"/>
              <w:ind w:left="420" w:leftChars="200"/>
              <w:rPr>
                <w:rFonts w:hint="default" w:ascii="Times New Roman" w:hAnsi="Times New Roman" w:cs="Times New Roman"/>
                <w:color w:val="auto"/>
                <w:sz w:val="24"/>
                <w:highlight w:val="none"/>
              </w:rPr>
            </w:pPr>
          </w:p>
          <w:p w14:paraId="063C81D8">
            <w:pPr>
              <w:adjustRightInd w:val="0"/>
              <w:snapToGrid w:val="0"/>
              <w:spacing w:line="360" w:lineRule="auto"/>
              <w:ind w:left="420" w:leftChars="200"/>
              <w:rPr>
                <w:rFonts w:hint="default" w:ascii="Times New Roman" w:hAnsi="Times New Roman" w:cs="Times New Roman"/>
                <w:color w:val="auto"/>
                <w:sz w:val="24"/>
                <w:highlight w:val="none"/>
              </w:rPr>
            </w:pPr>
          </w:p>
          <w:p w14:paraId="61303535">
            <w:pPr>
              <w:adjustRightInd w:val="0"/>
              <w:snapToGrid w:val="0"/>
              <w:spacing w:line="360" w:lineRule="auto"/>
              <w:ind w:left="420" w:leftChars="200"/>
              <w:rPr>
                <w:rFonts w:hint="default" w:ascii="Times New Roman" w:hAnsi="Times New Roman" w:cs="Times New Roman"/>
                <w:color w:val="auto"/>
                <w:sz w:val="24"/>
                <w:highlight w:val="none"/>
              </w:rPr>
            </w:pPr>
          </w:p>
          <w:p w14:paraId="217662D1">
            <w:pPr>
              <w:adjustRightInd w:val="0"/>
              <w:snapToGrid w:val="0"/>
              <w:spacing w:line="360" w:lineRule="auto"/>
              <w:ind w:left="420" w:leftChars="200"/>
              <w:rPr>
                <w:rFonts w:hint="default" w:ascii="Times New Roman" w:hAnsi="Times New Roman" w:cs="Times New Roman"/>
                <w:color w:val="auto"/>
                <w:sz w:val="24"/>
                <w:highlight w:val="none"/>
              </w:rPr>
            </w:pPr>
          </w:p>
          <w:p w14:paraId="20866098">
            <w:pPr>
              <w:adjustRightInd w:val="0"/>
              <w:snapToGrid w:val="0"/>
              <w:spacing w:line="360" w:lineRule="auto"/>
              <w:ind w:left="420" w:leftChars="200"/>
              <w:rPr>
                <w:rFonts w:hint="default" w:ascii="Times New Roman" w:hAnsi="Times New Roman" w:cs="Times New Roman"/>
                <w:color w:val="auto"/>
                <w:sz w:val="24"/>
                <w:highlight w:val="none"/>
              </w:rPr>
            </w:pPr>
          </w:p>
          <w:p w14:paraId="04DEC8FE">
            <w:pPr>
              <w:adjustRightInd w:val="0"/>
              <w:snapToGrid w:val="0"/>
              <w:spacing w:line="360" w:lineRule="auto"/>
              <w:ind w:left="420" w:leftChars="200"/>
              <w:rPr>
                <w:rFonts w:hint="default" w:ascii="Times New Roman" w:hAnsi="Times New Roman" w:cs="Times New Roman"/>
                <w:color w:val="auto"/>
                <w:sz w:val="24"/>
                <w:highlight w:val="none"/>
              </w:rPr>
            </w:pPr>
          </w:p>
          <w:p w14:paraId="5E7827D4">
            <w:pPr>
              <w:adjustRightInd w:val="0"/>
              <w:snapToGrid w:val="0"/>
              <w:spacing w:line="360" w:lineRule="auto"/>
              <w:ind w:left="420" w:leftChars="200"/>
              <w:rPr>
                <w:rFonts w:hint="default" w:ascii="Times New Roman" w:hAnsi="Times New Roman" w:cs="Times New Roman"/>
                <w:color w:val="auto"/>
                <w:sz w:val="24"/>
                <w:highlight w:val="none"/>
              </w:rPr>
            </w:pPr>
          </w:p>
          <w:p w14:paraId="613434CD">
            <w:pPr>
              <w:adjustRightInd w:val="0"/>
              <w:snapToGrid w:val="0"/>
              <w:spacing w:line="360" w:lineRule="auto"/>
              <w:ind w:left="420" w:leftChars="200"/>
              <w:rPr>
                <w:rFonts w:hint="default" w:ascii="Times New Roman" w:hAnsi="Times New Roman" w:cs="Times New Roman"/>
                <w:color w:val="auto"/>
                <w:sz w:val="24"/>
                <w:highlight w:val="none"/>
              </w:rPr>
            </w:pPr>
          </w:p>
          <w:p w14:paraId="3207E214">
            <w:pPr>
              <w:adjustRightInd w:val="0"/>
              <w:snapToGrid w:val="0"/>
              <w:spacing w:line="360" w:lineRule="auto"/>
              <w:ind w:left="420" w:leftChars="200"/>
              <w:rPr>
                <w:rFonts w:hint="default" w:ascii="Times New Roman" w:hAnsi="Times New Roman" w:cs="Times New Roman"/>
                <w:color w:val="auto"/>
                <w:sz w:val="24"/>
                <w:highlight w:val="none"/>
              </w:rPr>
            </w:pPr>
          </w:p>
          <w:p w14:paraId="6FD11FB5">
            <w:pPr>
              <w:adjustRightInd w:val="0"/>
              <w:snapToGrid w:val="0"/>
              <w:spacing w:line="360" w:lineRule="auto"/>
              <w:ind w:left="420" w:leftChars="200"/>
              <w:rPr>
                <w:rFonts w:hint="default" w:ascii="Times New Roman" w:hAnsi="Times New Roman" w:cs="Times New Roman"/>
                <w:color w:val="auto"/>
                <w:sz w:val="24"/>
                <w:highlight w:val="none"/>
              </w:rPr>
            </w:pPr>
          </w:p>
          <w:p w14:paraId="0E3BA8CB">
            <w:pPr>
              <w:adjustRightInd w:val="0"/>
              <w:snapToGrid w:val="0"/>
              <w:spacing w:line="360" w:lineRule="auto"/>
              <w:rPr>
                <w:rFonts w:hint="default" w:ascii="Times New Roman" w:hAnsi="Times New Roman" w:cs="Times New Roman"/>
                <w:color w:val="auto"/>
                <w:sz w:val="24"/>
                <w:highlight w:val="none"/>
              </w:rPr>
            </w:pPr>
          </w:p>
        </w:tc>
      </w:tr>
    </w:tbl>
    <w:p w14:paraId="725D8EAD">
      <w:pPr>
        <w:pStyle w:val="28"/>
        <w:numPr>
          <w:ilvl w:val="0"/>
          <w:numId w:val="8"/>
        </w:numPr>
        <w:jc w:val="center"/>
        <w:outlineLvl w:val="0"/>
        <w:rPr>
          <w:rFonts w:hint="default" w:ascii="Times New Roman" w:hAnsi="Times New Roman" w:cs="Times New Roman"/>
          <w:b/>
          <w:bCs/>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bookmarkStart w:id="10" w:name="_Toc221181287"/>
      <w:r>
        <w:rPr>
          <w:rFonts w:hint="default" w:ascii="Times New Roman" w:hAnsi="Times New Roman" w:cs="Times New Roman"/>
          <w:b/>
          <w:bCs/>
          <w:snapToGrid w:val="0"/>
          <w:color w:val="auto"/>
          <w:sz w:val="30"/>
          <w:szCs w:val="30"/>
          <w:highlight w:val="none"/>
        </w:rPr>
        <w:t>主要</w:t>
      </w:r>
      <w:r>
        <w:rPr>
          <w:rFonts w:hint="eastAsia" w:ascii="Times New Roman" w:hAnsi="Times New Roman" w:cs="Times New Roman"/>
          <w:b/>
          <w:bCs/>
          <w:snapToGrid w:val="0"/>
          <w:color w:val="auto"/>
          <w:sz w:val="30"/>
          <w:szCs w:val="30"/>
          <w:highlight w:val="none"/>
          <w:lang w:val="en-US" w:eastAsia="zh-CN"/>
        </w:rPr>
        <w:t>生态</w:t>
      </w:r>
      <w:r>
        <w:rPr>
          <w:rFonts w:hint="default" w:ascii="Times New Roman" w:hAnsi="Times New Roman" w:cs="Times New Roman"/>
          <w:b/>
          <w:bCs/>
          <w:snapToGrid w:val="0"/>
          <w:color w:val="auto"/>
          <w:sz w:val="30"/>
          <w:szCs w:val="30"/>
          <w:highlight w:val="none"/>
        </w:rPr>
        <w:t>环境影响和保护措施</w:t>
      </w:r>
      <w:bookmarkEnd w:id="10"/>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8664"/>
      </w:tblGrid>
      <w:tr w14:paraId="05AE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1" w:type="dxa"/>
            <w:vAlign w:val="center"/>
          </w:tcPr>
          <w:p w14:paraId="58AC5345">
            <w:pPr>
              <w:pStyle w:val="28"/>
              <w:adjustRightInd w:val="0"/>
              <w:snapToGrid w:val="0"/>
              <w:spacing w:before="0" w:beforeAutospacing="0" w:after="0" w:afterAutospacing="0"/>
              <w:jc w:val="center"/>
              <w:rPr>
                <w:rFonts w:hint="default" w:ascii="Times New Roman" w:hAnsi="Times New Roman" w:cs="Times New Roman"/>
                <w:b/>
                <w:bCs/>
                <w:color w:val="auto"/>
                <w:kern w:val="2"/>
                <w:sz w:val="24"/>
                <w:szCs w:val="24"/>
                <w:highlight w:val="none"/>
              </w:rPr>
            </w:pPr>
            <w:r>
              <w:rPr>
                <w:rFonts w:hint="default" w:ascii="Times New Roman" w:hAnsi="Times New Roman" w:cs="Times New Roman"/>
                <w:b/>
                <w:bCs/>
                <w:color w:val="auto"/>
                <w:kern w:val="2"/>
                <w:sz w:val="24"/>
                <w:szCs w:val="24"/>
                <w:highlight w:val="none"/>
              </w:rPr>
              <w:t>施工</w:t>
            </w:r>
          </w:p>
          <w:p w14:paraId="49C0964E">
            <w:pPr>
              <w:pStyle w:val="28"/>
              <w:adjustRightInd w:val="0"/>
              <w:snapToGrid w:val="0"/>
              <w:spacing w:before="0" w:beforeAutospacing="0" w:after="0" w:afterAutospacing="0"/>
              <w:jc w:val="center"/>
              <w:rPr>
                <w:rFonts w:hint="default" w:ascii="Times New Roman" w:hAnsi="Times New Roman" w:cs="Times New Roman"/>
                <w:b/>
                <w:bCs/>
                <w:color w:val="auto"/>
                <w:kern w:val="2"/>
                <w:sz w:val="24"/>
                <w:szCs w:val="24"/>
                <w:highlight w:val="none"/>
              </w:rPr>
            </w:pPr>
            <w:r>
              <w:rPr>
                <w:rFonts w:hint="default" w:ascii="Times New Roman" w:hAnsi="Times New Roman" w:cs="Times New Roman"/>
                <w:b/>
                <w:bCs/>
                <w:color w:val="auto"/>
                <w:kern w:val="2"/>
                <w:sz w:val="24"/>
                <w:szCs w:val="24"/>
                <w:highlight w:val="none"/>
              </w:rPr>
              <w:t>期环</w:t>
            </w:r>
          </w:p>
          <w:p w14:paraId="4FBF0981">
            <w:pPr>
              <w:pStyle w:val="28"/>
              <w:adjustRightInd w:val="0"/>
              <w:snapToGrid w:val="0"/>
              <w:spacing w:before="0" w:beforeAutospacing="0" w:after="0" w:afterAutospacing="0"/>
              <w:jc w:val="center"/>
              <w:rPr>
                <w:rFonts w:hint="default" w:ascii="Times New Roman" w:hAnsi="Times New Roman" w:cs="Times New Roman"/>
                <w:b/>
                <w:bCs/>
                <w:color w:val="auto"/>
                <w:kern w:val="2"/>
                <w:sz w:val="24"/>
                <w:szCs w:val="24"/>
                <w:highlight w:val="none"/>
              </w:rPr>
            </w:pPr>
            <w:r>
              <w:rPr>
                <w:rFonts w:hint="default" w:ascii="Times New Roman" w:hAnsi="Times New Roman" w:cs="Times New Roman"/>
                <w:b/>
                <w:bCs/>
                <w:color w:val="auto"/>
                <w:kern w:val="2"/>
                <w:sz w:val="24"/>
                <w:szCs w:val="24"/>
                <w:highlight w:val="none"/>
              </w:rPr>
              <w:t>境保</w:t>
            </w:r>
          </w:p>
          <w:p w14:paraId="7737A7DA">
            <w:pPr>
              <w:pStyle w:val="28"/>
              <w:adjustRightInd w:val="0"/>
              <w:snapToGrid w:val="0"/>
              <w:spacing w:before="0" w:beforeAutospacing="0" w:after="0" w:afterAutospacing="0"/>
              <w:jc w:val="center"/>
              <w:rPr>
                <w:rFonts w:hint="default" w:ascii="Times New Roman" w:hAnsi="Times New Roman" w:cs="Times New Roman"/>
                <w:b/>
                <w:bCs/>
                <w:snapToGrid w:val="0"/>
                <w:color w:val="auto"/>
                <w:sz w:val="30"/>
                <w:szCs w:val="30"/>
                <w:highlight w:val="none"/>
                <w:vertAlign w:val="baseline"/>
              </w:rPr>
            </w:pPr>
            <w:r>
              <w:rPr>
                <w:rFonts w:hint="default" w:ascii="Times New Roman" w:hAnsi="Times New Roman" w:cs="Times New Roman"/>
                <w:b/>
                <w:bCs/>
                <w:color w:val="auto"/>
                <w:kern w:val="2"/>
                <w:sz w:val="24"/>
                <w:szCs w:val="24"/>
                <w:highlight w:val="none"/>
              </w:rPr>
              <w:t>护措施</w:t>
            </w:r>
          </w:p>
        </w:tc>
        <w:tc>
          <w:tcPr>
            <w:tcW w:w="8664" w:type="dxa"/>
          </w:tcPr>
          <w:p w14:paraId="65611B87">
            <w:pPr>
              <w:pStyle w:val="32"/>
              <w:spacing w:line="360" w:lineRule="auto"/>
              <w:ind w:left="0" w:leftChars="0" w:firstLine="0" w:firstLineChars="0"/>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4.1 施工期环境保护措施</w:t>
            </w:r>
          </w:p>
          <w:p w14:paraId="638FB3E2">
            <w:pPr>
              <w:pStyle w:val="31"/>
              <w:ind w:firstLine="0" w:firstLineChars="0"/>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4.1.1 大气环境保护措施</w:t>
            </w:r>
          </w:p>
          <w:p w14:paraId="2160408E">
            <w:pPr>
              <w:spacing w:line="360" w:lineRule="auto"/>
              <w:ind w:firstLine="480" w:firstLineChars="200"/>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本项目在基础施工和</w:t>
            </w:r>
            <w:r>
              <w:rPr>
                <w:rFonts w:hint="default" w:ascii="Times New Roman" w:hAnsi="Times New Roman" w:cs="Times New Roman"/>
                <w:color w:val="auto"/>
                <w:sz w:val="24"/>
                <w:highlight w:val="none"/>
              </w:rPr>
              <w:t>主体工程过程中</w:t>
            </w:r>
            <w:r>
              <w:rPr>
                <w:rFonts w:hint="default" w:ascii="Times New Roman" w:hAnsi="Times New Roman" w:cs="Times New Roman"/>
                <w:bCs/>
                <w:color w:val="auto"/>
                <w:kern w:val="0"/>
                <w:sz w:val="24"/>
                <w:highlight w:val="none"/>
                <w:lang w:bidi="ar"/>
              </w:rPr>
              <w:t>将产生一定量的扬尘，装饰工程会挥发出对环境产生污染的有机气体。</w:t>
            </w:r>
            <w:r>
              <w:rPr>
                <w:rFonts w:hint="default" w:ascii="Times New Roman" w:hAnsi="Times New Roman" w:cs="Times New Roman"/>
                <w:color w:val="auto"/>
                <w:sz w:val="24"/>
                <w:highlight w:val="none"/>
              </w:rPr>
              <w:t>建议施工期采取以下措施：</w:t>
            </w:r>
          </w:p>
          <w:p w14:paraId="0C259476">
            <w:pPr>
              <w:spacing w:line="360" w:lineRule="auto"/>
              <w:ind w:firstLine="480" w:firstLineChars="200"/>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1、对施工场地、入场道路进行定期洒水降尘；一天洒水不少于两次，大风天气加大频次；</w:t>
            </w:r>
          </w:p>
          <w:p w14:paraId="797FFB6B">
            <w:pPr>
              <w:spacing w:line="360" w:lineRule="auto"/>
              <w:ind w:firstLine="480" w:firstLineChars="200"/>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2、设置施工围挡，施工公示牌，并在施工围挡上设施喷淋降尘措施；</w:t>
            </w:r>
          </w:p>
          <w:p w14:paraId="66A04586">
            <w:pPr>
              <w:spacing w:line="360" w:lineRule="auto"/>
              <w:ind w:firstLine="480" w:firstLineChars="200"/>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3、车辆进行篷布遮盖、控制车速等措施后，能够减少施工期产生的废气对周围大气环境的影响；</w:t>
            </w:r>
          </w:p>
          <w:p w14:paraId="4FAED99C">
            <w:pPr>
              <w:spacing w:line="360" w:lineRule="auto"/>
              <w:ind w:firstLine="480" w:firstLineChars="200"/>
              <w:rPr>
                <w:rFonts w:hint="default" w:ascii="Times New Roman" w:hAnsi="Times New Roman" w:cs="Times New Roman"/>
                <w:bCs/>
                <w:color w:val="auto"/>
                <w:kern w:val="0"/>
                <w:sz w:val="24"/>
                <w:highlight w:val="none"/>
                <w:lang w:bidi="ar"/>
              </w:rPr>
            </w:pPr>
            <w:r>
              <w:rPr>
                <w:rFonts w:hint="default" w:ascii="Times New Roman" w:hAnsi="Times New Roman" w:cs="Times New Roman"/>
                <w:bCs/>
                <w:color w:val="auto"/>
                <w:kern w:val="0"/>
                <w:sz w:val="24"/>
                <w:highlight w:val="none"/>
                <w:lang w:bidi="ar"/>
              </w:rPr>
              <w:t>4、加强室内通风换气，油漆作业结束后，应每天进行通风换气一至二个月后使用。</w:t>
            </w:r>
          </w:p>
          <w:p w14:paraId="4105C073">
            <w:pPr>
              <w:pStyle w:val="31"/>
              <w:ind w:firstLine="0" w:firstLineChars="0"/>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4.1.2 水环境保护措施</w:t>
            </w:r>
          </w:p>
          <w:p w14:paraId="49AEE867">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施工期废水主要为施工人员生活污水和施工废水。施工人员高峰期为10人/d，产生生活污水量约为0.16m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d，生活污水排入现有化粪池和污水处理站处理后排入市政污水管网，最终进入华宁县污水处理厂处理。施工废水主要来源于基础施工时地基的开挖产生基坑涌水、建筑时砂石料冲洗及混凝土养护、进出场车辆设备清洗废水等施工过程，项目施工产生的污水中不含有毒物质，主要是泥沙悬浮物含量较大，因此修建临时沉砂池，施工废水经1个5m³的临时沉砂池沉淀后回用于施工。</w:t>
            </w:r>
          </w:p>
          <w:p w14:paraId="43800A67">
            <w:pPr>
              <w:pStyle w:val="31"/>
              <w:ind w:firstLine="0" w:firstLineChars="0"/>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4.1.3 声环境保护措施</w:t>
            </w:r>
          </w:p>
          <w:p w14:paraId="2AF656FD">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施工期噪声强度低，具有时效性，对环境存在一定的影响。为降低施工期间的噪声影响，建议施工期采取以下措施：</w:t>
            </w:r>
          </w:p>
          <w:p w14:paraId="679C7EC9">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1、施工场地合理布局，高噪声作业点布置在靠道路一侧，远离现有项目，设置施工围墙，有效利用噪声传播过程中的衰减作用；</w:t>
            </w:r>
          </w:p>
          <w:p w14:paraId="0733D204">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2、合理安排施工时间，禁止夜间施工；</w:t>
            </w:r>
          </w:p>
          <w:p w14:paraId="507EE613">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3、施工器械选用低噪声设备，并做好设备的保养、维护工作等措施降低施工噪声对周围环境的影响。</w:t>
            </w:r>
          </w:p>
          <w:p w14:paraId="2749597E">
            <w:pPr>
              <w:pStyle w:val="31"/>
              <w:ind w:firstLine="0" w:firstLineChars="0"/>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4.1.4 固体废物处置措施</w:t>
            </w:r>
          </w:p>
          <w:p w14:paraId="36017E9E">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highlight w:val="none"/>
              </w:rPr>
              <w:t>施工期固体废弃物主要为建筑垃圾、装修垃圾、废弃包装和施工人员产生的生活垃圾。</w:t>
            </w:r>
            <w:r>
              <w:rPr>
                <w:rFonts w:hint="default" w:ascii="Times New Roman" w:hAnsi="Times New Roman" w:cs="Times New Roman"/>
                <w:color w:val="auto"/>
                <w:szCs w:val="24"/>
                <w:highlight w:val="none"/>
              </w:rPr>
              <w:t>建议采取以下措施：</w:t>
            </w:r>
          </w:p>
          <w:p w14:paraId="18B13F4C">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1、产生的土石方、废混凝土块等建筑垃圾用于项目区内土石方平衡资源利用，利用不了的建筑垃圾、装修垃圾和废弃包装分类收集后，能回收的回收利用，不能回收的运至城建部门指定地点堆放；</w:t>
            </w:r>
          </w:p>
          <w:p w14:paraId="7CDF2125">
            <w:pPr>
              <w:pStyle w:val="10"/>
              <w:ind w:firstLine="480"/>
              <w:rPr>
                <w:rFonts w:hint="default" w:ascii="Times New Roman" w:hAnsi="Times New Roman" w:cs="Times New Roman"/>
              </w:rPr>
            </w:pPr>
            <w:r>
              <w:rPr>
                <w:rFonts w:hint="default" w:ascii="Times New Roman" w:hAnsi="Times New Roman" w:cs="Times New Roman"/>
                <w:color w:val="auto"/>
                <w:highlight w:val="none"/>
              </w:rPr>
              <w:t>2、生活垃圾集中收集后交由华宁县环卫部门统一清运处置。</w:t>
            </w:r>
          </w:p>
        </w:tc>
      </w:tr>
      <w:tr w14:paraId="55D2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1" w:type="dxa"/>
            <w:vAlign w:val="center"/>
          </w:tcPr>
          <w:p w14:paraId="1302972E">
            <w:pPr>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运营</w:t>
            </w:r>
          </w:p>
          <w:p w14:paraId="4B94B46A">
            <w:pPr>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期环</w:t>
            </w:r>
          </w:p>
          <w:p w14:paraId="4044FEFD">
            <w:pPr>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境影</w:t>
            </w:r>
          </w:p>
          <w:p w14:paraId="7F8CED2A">
            <w:pPr>
              <w:adjustRightInd w:val="0"/>
              <w:snapToGrid w:val="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响和</w:t>
            </w:r>
          </w:p>
          <w:p w14:paraId="7D524BFA">
            <w:pPr>
              <w:adjustRightInd w:val="0"/>
              <w:snapToGrid w:val="0"/>
              <w:jc w:val="center"/>
              <w:rPr>
                <w:rFonts w:hint="default" w:ascii="Times New Roman" w:hAnsi="Times New Roman" w:cs="Times New Roman"/>
                <w:b/>
                <w:bCs/>
                <w:snapToGrid w:val="0"/>
                <w:color w:val="auto"/>
                <w:sz w:val="30"/>
                <w:szCs w:val="30"/>
                <w:highlight w:val="none"/>
                <w:vertAlign w:val="baseline"/>
              </w:rPr>
            </w:pPr>
            <w:r>
              <w:rPr>
                <w:rFonts w:hint="default" w:ascii="Times New Roman" w:hAnsi="Times New Roman" w:cs="Times New Roman"/>
                <w:b/>
                <w:bCs/>
                <w:color w:val="auto"/>
                <w:sz w:val="24"/>
                <w:szCs w:val="24"/>
                <w:highlight w:val="none"/>
              </w:rPr>
              <w:t>保护措施</w:t>
            </w:r>
          </w:p>
        </w:tc>
        <w:tc>
          <w:tcPr>
            <w:tcW w:w="8664" w:type="dxa"/>
          </w:tcPr>
          <w:p w14:paraId="6CDDA4B3">
            <w:pPr>
              <w:spacing w:line="360" w:lineRule="auto"/>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4.2 运营期环境保护措施</w:t>
            </w:r>
          </w:p>
          <w:p w14:paraId="0F994475">
            <w:pPr>
              <w:spacing w:line="360" w:lineRule="auto"/>
              <w:rPr>
                <w:rFonts w:hint="default" w:ascii="Times New Roman" w:hAnsi="Times New Roman" w:cs="Times New Roman"/>
                <w:b/>
                <w:bCs/>
                <w:color w:val="auto"/>
                <w:spacing w:val="-10"/>
                <w:sz w:val="24"/>
                <w:highlight w:val="none"/>
              </w:rPr>
            </w:pPr>
            <w:r>
              <w:rPr>
                <w:rFonts w:hint="default" w:ascii="Times New Roman" w:hAnsi="Times New Roman" w:cs="Times New Roman"/>
                <w:b/>
                <w:bCs/>
                <w:color w:val="auto"/>
                <w:sz w:val="28"/>
                <w:szCs w:val="28"/>
                <w:highlight w:val="none"/>
              </w:rPr>
              <w:t>4.2.1 大气环境影响和保护措施</w:t>
            </w:r>
          </w:p>
          <w:p w14:paraId="631A1F24">
            <w:pPr>
              <w:pStyle w:val="32"/>
              <w:spacing w:after="0" w:line="360" w:lineRule="auto"/>
              <w:ind w:left="0" w:leftChars="0" w:firstLine="442"/>
              <w:rPr>
                <w:rFonts w:hint="default" w:ascii="Times New Roman" w:hAnsi="Times New Roman" w:cs="Times New Roman"/>
                <w:b/>
                <w:bCs/>
                <w:color w:val="auto"/>
                <w:spacing w:val="-10"/>
                <w:highlight w:val="none"/>
              </w:rPr>
            </w:pPr>
            <w:r>
              <w:rPr>
                <w:rFonts w:hint="default" w:ascii="Times New Roman" w:hAnsi="Times New Roman" w:cs="Times New Roman"/>
                <w:b/>
                <w:bCs/>
                <w:color w:val="auto"/>
                <w:spacing w:val="-10"/>
                <w:highlight w:val="none"/>
              </w:rPr>
              <w:t>1、废气产排情况核算</w:t>
            </w:r>
          </w:p>
          <w:p w14:paraId="51ACC5D5">
            <w:pPr>
              <w:spacing w:line="360" w:lineRule="auto"/>
              <w:ind w:firstLine="480" w:firstLineChars="200"/>
              <w:rPr>
                <w:rFonts w:hint="default" w:ascii="Times New Roman" w:hAnsi="Times New Roman" w:cs="Times New Roman"/>
                <w:b/>
                <w:bCs/>
                <w:color w:val="auto"/>
                <w:kern w:val="0"/>
                <w:szCs w:val="21"/>
                <w:highlight w:val="none"/>
                <w:lang w:bidi="ar"/>
              </w:rPr>
            </w:pPr>
            <w:r>
              <w:rPr>
                <w:rFonts w:hint="default" w:ascii="Times New Roman" w:hAnsi="Times New Roman" w:cs="Times New Roman"/>
                <w:color w:val="auto"/>
                <w:sz w:val="24"/>
                <w:highlight w:val="none"/>
              </w:rPr>
              <w:t>根据项目运营期产污环节分析，运营大气污染物产生及排放情况详见下表：</w:t>
            </w:r>
          </w:p>
          <w:p w14:paraId="7AE34C0C">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kern w:val="0"/>
                <w:szCs w:val="21"/>
                <w:highlight w:val="none"/>
                <w:lang w:bidi="ar"/>
              </w:rPr>
              <w:t>表4-1 本项目废气产排情况一览表</w:t>
            </w:r>
          </w:p>
          <w:tbl>
            <w:tblPr>
              <w:tblStyle w:val="3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
              <w:gridCol w:w="702"/>
              <w:gridCol w:w="694"/>
              <w:gridCol w:w="604"/>
              <w:gridCol w:w="846"/>
              <w:gridCol w:w="414"/>
              <w:gridCol w:w="1352"/>
              <w:gridCol w:w="930"/>
              <w:gridCol w:w="890"/>
              <w:gridCol w:w="863"/>
              <w:gridCol w:w="773"/>
            </w:tblGrid>
            <w:tr w14:paraId="05CF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2" w:type="pct"/>
                  <w:gridSpan w:val="2"/>
                  <w:vAlign w:val="center"/>
                </w:tcPr>
                <w:p w14:paraId="170CC869">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p w14:paraId="3B54E0CD">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种类</w:t>
                  </w:r>
                </w:p>
              </w:tc>
              <w:tc>
                <w:tcPr>
                  <w:tcW w:w="411" w:type="pct"/>
                  <w:vAlign w:val="center"/>
                </w:tcPr>
                <w:p w14:paraId="581FFA8E">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原料年使用量kg/a</w:t>
                  </w:r>
                </w:p>
              </w:tc>
              <w:tc>
                <w:tcPr>
                  <w:tcW w:w="358" w:type="pct"/>
                  <w:vAlign w:val="center"/>
                </w:tcPr>
                <w:p w14:paraId="61F21365">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产污系数</w:t>
                  </w:r>
                </w:p>
              </w:tc>
              <w:tc>
                <w:tcPr>
                  <w:tcW w:w="501" w:type="pct"/>
                  <w:vAlign w:val="center"/>
                </w:tcPr>
                <w:p w14:paraId="442B36F2">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污染物产生量kg/a</w:t>
                  </w:r>
                </w:p>
              </w:tc>
              <w:tc>
                <w:tcPr>
                  <w:tcW w:w="245" w:type="pct"/>
                  <w:vAlign w:val="center"/>
                </w:tcPr>
                <w:p w14:paraId="0913D55D">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w:t>
                  </w:r>
                </w:p>
                <w:p w14:paraId="5815176B">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放</w:t>
                  </w:r>
                </w:p>
                <w:p w14:paraId="7CC8530E">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形</w:t>
                  </w:r>
                </w:p>
                <w:p w14:paraId="3A6A8B51">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式</w:t>
                  </w:r>
                </w:p>
              </w:tc>
              <w:tc>
                <w:tcPr>
                  <w:tcW w:w="801" w:type="pct"/>
                  <w:vAlign w:val="center"/>
                </w:tcPr>
                <w:p w14:paraId="4417CBA4">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治理</w:t>
                  </w:r>
                </w:p>
                <w:p w14:paraId="23F1154D">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设施</w:t>
                  </w:r>
                </w:p>
              </w:tc>
              <w:tc>
                <w:tcPr>
                  <w:tcW w:w="551" w:type="pct"/>
                  <w:vAlign w:val="center"/>
                </w:tcPr>
                <w:p w14:paraId="60A6053B">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处理</w:t>
                  </w:r>
                </w:p>
                <w:p w14:paraId="7BD74D25">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效率</w:t>
                  </w:r>
                </w:p>
                <w:p w14:paraId="62E4A245">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w:t>
                  </w:r>
                </w:p>
              </w:tc>
              <w:tc>
                <w:tcPr>
                  <w:tcW w:w="527" w:type="pct"/>
                  <w:vAlign w:val="center"/>
                </w:tcPr>
                <w:p w14:paraId="11FA2E01">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p w14:paraId="4EA1D151">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排放量</w:t>
                  </w:r>
                </w:p>
                <w:p w14:paraId="26430692">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kg/a</w:t>
                  </w:r>
                </w:p>
              </w:tc>
              <w:tc>
                <w:tcPr>
                  <w:tcW w:w="511" w:type="pct"/>
                  <w:vAlign w:val="center"/>
                </w:tcPr>
                <w:p w14:paraId="41BD7D68">
                  <w:pPr>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w:t>
                  </w:r>
                </w:p>
                <w:p w14:paraId="200B6830">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排放速率kg/h</w:t>
                  </w:r>
                </w:p>
              </w:tc>
              <w:tc>
                <w:tcPr>
                  <w:tcW w:w="458" w:type="pct"/>
                  <w:vAlign w:val="center"/>
                </w:tcPr>
                <w:p w14:paraId="64A34EAF">
                  <w:pPr>
                    <w:adjustRightInd w:val="0"/>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排放浓度mg/m</w:t>
                  </w:r>
                  <w:r>
                    <w:rPr>
                      <w:rFonts w:hint="default" w:ascii="Times New Roman" w:hAnsi="Times New Roman" w:cs="Times New Roman"/>
                      <w:b/>
                      <w:bCs/>
                      <w:color w:val="auto"/>
                      <w:szCs w:val="21"/>
                      <w:highlight w:val="none"/>
                      <w:vertAlign w:val="superscript"/>
                    </w:rPr>
                    <w:t>3</w:t>
                  </w:r>
                </w:p>
              </w:tc>
            </w:tr>
            <w:tr w14:paraId="6A5C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16" w:type="pct"/>
                  <w:vMerge w:val="restart"/>
                  <w:vAlign w:val="center"/>
                </w:tcPr>
                <w:p w14:paraId="3F467FB3">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无机废气</w:t>
                  </w:r>
                </w:p>
              </w:tc>
              <w:tc>
                <w:tcPr>
                  <w:tcW w:w="415" w:type="pct"/>
                  <w:vAlign w:val="center"/>
                </w:tcPr>
                <w:p w14:paraId="667E6F8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氨气(G</w:t>
                  </w:r>
                  <w:r>
                    <w:rPr>
                      <w:rFonts w:hint="default" w:ascii="Times New Roman" w:hAnsi="Times New Roman" w:cs="Times New Roman"/>
                      <w:color w:val="auto"/>
                      <w:sz w:val="21"/>
                      <w:szCs w:val="21"/>
                      <w:highlight w:val="none"/>
                      <w:vertAlign w:val="subscript"/>
                    </w:rPr>
                    <w:t>1</w:t>
                  </w:r>
                  <w:r>
                    <w:rPr>
                      <w:rFonts w:hint="default" w:ascii="Times New Roman" w:hAnsi="Times New Roman" w:cs="Times New Roman"/>
                      <w:color w:val="auto"/>
                      <w:sz w:val="21"/>
                      <w:szCs w:val="21"/>
                      <w:highlight w:val="none"/>
                    </w:rPr>
                    <w:t>)</w:t>
                  </w:r>
                </w:p>
              </w:tc>
              <w:tc>
                <w:tcPr>
                  <w:tcW w:w="411" w:type="pct"/>
                  <w:vAlign w:val="center"/>
                </w:tcPr>
                <w:p w14:paraId="574450BB">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0.391</w:t>
                  </w:r>
                </w:p>
              </w:tc>
              <w:tc>
                <w:tcPr>
                  <w:tcW w:w="358" w:type="pct"/>
                  <w:vAlign w:val="center"/>
                </w:tcPr>
                <w:p w14:paraId="1F7ADEB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501" w:type="pct"/>
                  <w:vAlign w:val="center"/>
                </w:tcPr>
                <w:p w14:paraId="106D5E7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0.0196</w:t>
                  </w:r>
                </w:p>
              </w:tc>
              <w:tc>
                <w:tcPr>
                  <w:tcW w:w="245" w:type="pct"/>
                  <w:vMerge w:val="restart"/>
                  <w:vAlign w:val="center"/>
                </w:tcPr>
                <w:p w14:paraId="62D1CF22">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w:t>
                  </w:r>
                </w:p>
                <w:p w14:paraId="0A478CB4">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组</w:t>
                  </w:r>
                </w:p>
                <w:p w14:paraId="0F33D440">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织</w:t>
                  </w:r>
                </w:p>
              </w:tc>
              <w:tc>
                <w:tcPr>
                  <w:tcW w:w="801" w:type="pct"/>
                  <w:vAlign w:val="center"/>
                </w:tcPr>
                <w:p w14:paraId="764DC54B">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实验室通风柜密封收集+二级活性炭吸附+1根23m高排气筒排放（DA001）</w:t>
                  </w:r>
                </w:p>
              </w:tc>
              <w:tc>
                <w:tcPr>
                  <w:tcW w:w="551" w:type="pct"/>
                  <w:vAlign w:val="center"/>
                </w:tcPr>
                <w:p w14:paraId="6AB6CA35">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二级活性炭吸附处理效率27.75%</w:t>
                  </w:r>
                </w:p>
              </w:tc>
              <w:tc>
                <w:tcPr>
                  <w:tcW w:w="527" w:type="pct"/>
                  <w:vAlign w:val="center"/>
                </w:tcPr>
                <w:p w14:paraId="0D6DF87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0.0142</w:t>
                  </w:r>
                </w:p>
              </w:tc>
              <w:tc>
                <w:tcPr>
                  <w:tcW w:w="511" w:type="pct"/>
                  <w:vAlign w:val="center"/>
                </w:tcPr>
                <w:p w14:paraId="1A48ED3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0.0000284</w:t>
                  </w:r>
                </w:p>
              </w:tc>
              <w:tc>
                <w:tcPr>
                  <w:tcW w:w="458" w:type="pct"/>
                  <w:vAlign w:val="center"/>
                </w:tcPr>
                <w:p w14:paraId="2DE729B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0.003787</w:t>
                  </w:r>
                </w:p>
              </w:tc>
            </w:tr>
            <w:tr w14:paraId="7436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16" w:type="pct"/>
                  <w:vMerge w:val="continue"/>
                  <w:vAlign w:val="center"/>
                </w:tcPr>
                <w:p w14:paraId="2903BC8F">
                  <w:pPr>
                    <w:pStyle w:val="5"/>
                    <w:ind w:left="0" w:firstLine="0"/>
                    <w:jc w:val="center"/>
                    <w:rPr>
                      <w:rFonts w:hint="default" w:ascii="Times New Roman" w:hAnsi="Times New Roman" w:cs="Times New Roman"/>
                      <w:color w:val="auto"/>
                      <w:szCs w:val="21"/>
                      <w:highlight w:val="none"/>
                    </w:rPr>
                  </w:pPr>
                </w:p>
              </w:tc>
              <w:tc>
                <w:tcPr>
                  <w:tcW w:w="415" w:type="pct"/>
                  <w:vAlign w:val="center"/>
                </w:tcPr>
                <w:p w14:paraId="6E18F136">
                  <w:pPr>
                    <w:pStyle w:val="10"/>
                    <w:spacing w:line="240" w:lineRule="auto"/>
                    <w:ind w:firstLine="0" w:firstLineChars="0"/>
                    <w:jc w:val="center"/>
                    <w:rPr>
                      <w:rFonts w:hint="default" w:ascii="Times New Roman" w:hAnsi="Times New Roman" w:cs="Times New Roman"/>
                      <w:color w:val="auto"/>
                      <w:sz w:val="21"/>
                      <w:szCs w:val="21"/>
                      <w:highlight w:val="none"/>
                      <w:vertAlign w:val="subscript"/>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p w14:paraId="5AFD5B8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w:t>
                  </w:r>
                  <w:r>
                    <w:rPr>
                      <w:rFonts w:hint="default" w:ascii="Times New Roman" w:hAnsi="Times New Roman" w:cs="Times New Roman"/>
                      <w:color w:val="auto"/>
                      <w:sz w:val="21"/>
                      <w:szCs w:val="21"/>
                      <w:highlight w:val="none"/>
                      <w:vertAlign w:val="subscript"/>
                    </w:rPr>
                    <w:t>2</w:t>
                  </w:r>
                  <w:r>
                    <w:rPr>
                      <w:rFonts w:hint="default" w:ascii="Times New Roman" w:hAnsi="Times New Roman" w:cs="Times New Roman"/>
                      <w:color w:val="auto"/>
                      <w:sz w:val="21"/>
                      <w:szCs w:val="21"/>
                      <w:highlight w:val="none"/>
                    </w:rPr>
                    <w:t>)</w:t>
                  </w:r>
                </w:p>
              </w:tc>
              <w:tc>
                <w:tcPr>
                  <w:tcW w:w="411" w:type="pct"/>
                  <w:vAlign w:val="center"/>
                </w:tcPr>
                <w:p w14:paraId="4C9CD8CC">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6.345</w:t>
                  </w:r>
                </w:p>
              </w:tc>
              <w:tc>
                <w:tcPr>
                  <w:tcW w:w="358" w:type="pct"/>
                  <w:vAlign w:val="center"/>
                </w:tcPr>
                <w:p w14:paraId="2E30DD6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501" w:type="pct"/>
                  <w:vAlign w:val="center"/>
                </w:tcPr>
                <w:p w14:paraId="48C43DD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0.3173</w:t>
                  </w:r>
                </w:p>
              </w:tc>
              <w:tc>
                <w:tcPr>
                  <w:tcW w:w="245" w:type="pct"/>
                  <w:vMerge w:val="continue"/>
                  <w:vAlign w:val="center"/>
                </w:tcPr>
                <w:p w14:paraId="338037F9">
                  <w:pPr>
                    <w:pStyle w:val="5"/>
                    <w:ind w:left="0" w:firstLine="0"/>
                    <w:jc w:val="center"/>
                    <w:rPr>
                      <w:rFonts w:hint="default" w:ascii="Times New Roman" w:hAnsi="Times New Roman" w:cs="Times New Roman"/>
                      <w:color w:val="auto"/>
                      <w:szCs w:val="21"/>
                      <w:highlight w:val="none"/>
                    </w:rPr>
                  </w:pPr>
                </w:p>
              </w:tc>
              <w:tc>
                <w:tcPr>
                  <w:tcW w:w="801" w:type="pct"/>
                  <w:vMerge w:val="restart"/>
                  <w:vAlign w:val="center"/>
                </w:tcPr>
                <w:p w14:paraId="2F717342">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实验室通风柜密封收集+碱液吸收+烟气干燥+二级活性炭吸附+1根23m高排气筒排放（DA001）</w:t>
                  </w:r>
                </w:p>
              </w:tc>
              <w:tc>
                <w:tcPr>
                  <w:tcW w:w="551" w:type="pct"/>
                  <w:vMerge w:val="restart"/>
                  <w:vAlign w:val="center"/>
                </w:tcPr>
                <w:p w14:paraId="5385BA30">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碱液吸收处理效率88.3%、</w:t>
                  </w:r>
                  <w:r>
                    <w:rPr>
                      <w:rFonts w:hint="default" w:ascii="Times New Roman" w:hAnsi="Times New Roman" w:cs="Times New Roman"/>
                      <w:color w:val="auto"/>
                      <w:highlight w:val="none"/>
                    </w:rPr>
                    <w:t>二级</w:t>
                  </w:r>
                  <w:r>
                    <w:rPr>
                      <w:rFonts w:hint="default" w:ascii="Times New Roman" w:hAnsi="Times New Roman" w:cs="Times New Roman"/>
                      <w:color w:val="auto"/>
                      <w:szCs w:val="21"/>
                      <w:highlight w:val="none"/>
                    </w:rPr>
                    <w:t>活性炭吸附处理效率27.75%</w:t>
                  </w:r>
                </w:p>
              </w:tc>
              <w:tc>
                <w:tcPr>
                  <w:tcW w:w="527" w:type="pct"/>
                  <w:vAlign w:val="center"/>
                </w:tcPr>
                <w:p w14:paraId="2132625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0.0268</w:t>
                  </w:r>
                </w:p>
              </w:tc>
              <w:tc>
                <w:tcPr>
                  <w:tcW w:w="511" w:type="pct"/>
                  <w:vAlign w:val="center"/>
                </w:tcPr>
                <w:p w14:paraId="77589C7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0.0000536</w:t>
                  </w:r>
                </w:p>
              </w:tc>
              <w:tc>
                <w:tcPr>
                  <w:tcW w:w="458" w:type="pct"/>
                  <w:vAlign w:val="center"/>
                </w:tcPr>
                <w:p w14:paraId="317E17C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0.007147</w:t>
                  </w:r>
                </w:p>
              </w:tc>
            </w:tr>
            <w:tr w14:paraId="34369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16" w:type="pct"/>
                  <w:vMerge w:val="continue"/>
                  <w:vAlign w:val="center"/>
                </w:tcPr>
                <w:p w14:paraId="7C59D83B">
                  <w:pPr>
                    <w:pStyle w:val="5"/>
                    <w:ind w:left="0" w:firstLine="0"/>
                    <w:jc w:val="center"/>
                    <w:rPr>
                      <w:rFonts w:hint="default" w:ascii="Times New Roman" w:hAnsi="Times New Roman" w:cs="Times New Roman"/>
                      <w:color w:val="auto"/>
                      <w:szCs w:val="21"/>
                      <w:highlight w:val="none"/>
                    </w:rPr>
                  </w:pPr>
                </w:p>
              </w:tc>
              <w:tc>
                <w:tcPr>
                  <w:tcW w:w="415" w:type="pct"/>
                  <w:vAlign w:val="center"/>
                </w:tcPr>
                <w:p w14:paraId="63DE203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硫酸雾(G</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w:t>
                  </w:r>
                </w:p>
              </w:tc>
              <w:tc>
                <w:tcPr>
                  <w:tcW w:w="411" w:type="pct"/>
                  <w:vAlign w:val="center"/>
                </w:tcPr>
                <w:p w14:paraId="606313B7">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0.758</w:t>
                  </w:r>
                </w:p>
              </w:tc>
              <w:tc>
                <w:tcPr>
                  <w:tcW w:w="358" w:type="pct"/>
                  <w:vAlign w:val="center"/>
                </w:tcPr>
                <w:p w14:paraId="243AB51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w:t>
                  </w:r>
                </w:p>
              </w:tc>
              <w:tc>
                <w:tcPr>
                  <w:tcW w:w="501" w:type="pct"/>
                  <w:vAlign w:val="center"/>
                </w:tcPr>
                <w:p w14:paraId="106B1D4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0.0008</w:t>
                  </w:r>
                </w:p>
              </w:tc>
              <w:tc>
                <w:tcPr>
                  <w:tcW w:w="245" w:type="pct"/>
                  <w:vMerge w:val="continue"/>
                  <w:vAlign w:val="center"/>
                </w:tcPr>
                <w:p w14:paraId="5F8F896D">
                  <w:pPr>
                    <w:pStyle w:val="5"/>
                    <w:ind w:left="0" w:firstLine="0"/>
                    <w:jc w:val="center"/>
                    <w:rPr>
                      <w:rFonts w:hint="default" w:ascii="Times New Roman" w:hAnsi="Times New Roman" w:cs="Times New Roman"/>
                      <w:color w:val="auto"/>
                      <w:szCs w:val="21"/>
                      <w:highlight w:val="none"/>
                    </w:rPr>
                  </w:pPr>
                </w:p>
              </w:tc>
              <w:tc>
                <w:tcPr>
                  <w:tcW w:w="801" w:type="pct"/>
                  <w:vMerge w:val="continue"/>
                  <w:vAlign w:val="center"/>
                </w:tcPr>
                <w:p w14:paraId="7369A0E7">
                  <w:pPr>
                    <w:pStyle w:val="5"/>
                    <w:ind w:left="0" w:firstLine="0"/>
                    <w:jc w:val="center"/>
                    <w:rPr>
                      <w:rFonts w:hint="default" w:ascii="Times New Roman" w:hAnsi="Times New Roman" w:cs="Times New Roman"/>
                      <w:color w:val="auto"/>
                      <w:szCs w:val="21"/>
                      <w:highlight w:val="none"/>
                    </w:rPr>
                  </w:pPr>
                </w:p>
              </w:tc>
              <w:tc>
                <w:tcPr>
                  <w:tcW w:w="551" w:type="pct"/>
                  <w:vMerge w:val="continue"/>
                  <w:vAlign w:val="center"/>
                </w:tcPr>
                <w:p w14:paraId="4D952DEC">
                  <w:pPr>
                    <w:pStyle w:val="5"/>
                    <w:ind w:left="0" w:firstLine="0"/>
                    <w:jc w:val="center"/>
                    <w:rPr>
                      <w:rFonts w:hint="default" w:ascii="Times New Roman" w:hAnsi="Times New Roman" w:cs="Times New Roman"/>
                      <w:color w:val="auto"/>
                      <w:szCs w:val="21"/>
                      <w:highlight w:val="none"/>
                    </w:rPr>
                  </w:pPr>
                </w:p>
              </w:tc>
              <w:tc>
                <w:tcPr>
                  <w:tcW w:w="527" w:type="pct"/>
                  <w:vAlign w:val="center"/>
                </w:tcPr>
                <w:p w14:paraId="398C390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0.00007</w:t>
                  </w:r>
                </w:p>
              </w:tc>
              <w:tc>
                <w:tcPr>
                  <w:tcW w:w="511" w:type="pct"/>
                  <w:vAlign w:val="center"/>
                </w:tcPr>
                <w:p w14:paraId="42DF1EB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0.00000014</w:t>
                  </w:r>
                </w:p>
              </w:tc>
              <w:tc>
                <w:tcPr>
                  <w:tcW w:w="458" w:type="pct"/>
                  <w:vAlign w:val="center"/>
                </w:tcPr>
                <w:p w14:paraId="0E780DB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0.004027</w:t>
                  </w:r>
                </w:p>
              </w:tc>
            </w:tr>
            <w:tr w14:paraId="2DEE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216" w:type="pct"/>
                  <w:vMerge w:val="continue"/>
                  <w:vAlign w:val="center"/>
                </w:tcPr>
                <w:p w14:paraId="3836440E">
                  <w:pPr>
                    <w:pStyle w:val="5"/>
                    <w:ind w:left="0" w:firstLine="0"/>
                    <w:jc w:val="center"/>
                    <w:rPr>
                      <w:rFonts w:hint="default" w:ascii="Times New Roman" w:hAnsi="Times New Roman" w:cs="Times New Roman"/>
                      <w:color w:val="auto"/>
                      <w:szCs w:val="21"/>
                      <w:highlight w:val="none"/>
                    </w:rPr>
                  </w:pPr>
                </w:p>
              </w:tc>
              <w:tc>
                <w:tcPr>
                  <w:tcW w:w="415" w:type="pct"/>
                  <w:vAlign w:val="center"/>
                </w:tcPr>
                <w:p w14:paraId="3AFDCA7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HCl</w:t>
                  </w:r>
                </w:p>
                <w:p w14:paraId="5313D62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w:t>
                  </w:r>
                  <w:r>
                    <w:rPr>
                      <w:rFonts w:hint="default" w:ascii="Times New Roman" w:hAnsi="Times New Roman" w:cs="Times New Roman"/>
                      <w:color w:val="auto"/>
                      <w:sz w:val="21"/>
                      <w:szCs w:val="21"/>
                      <w:highlight w:val="none"/>
                      <w:vertAlign w:val="subscript"/>
                    </w:rPr>
                    <w:t>4</w:t>
                  </w:r>
                  <w:r>
                    <w:rPr>
                      <w:rFonts w:hint="default" w:ascii="Times New Roman" w:hAnsi="Times New Roman" w:cs="Times New Roman"/>
                      <w:color w:val="auto"/>
                      <w:sz w:val="21"/>
                      <w:szCs w:val="21"/>
                      <w:highlight w:val="none"/>
                    </w:rPr>
                    <w:t>)</w:t>
                  </w:r>
                </w:p>
              </w:tc>
              <w:tc>
                <w:tcPr>
                  <w:tcW w:w="411" w:type="pct"/>
                  <w:vAlign w:val="center"/>
                </w:tcPr>
                <w:p w14:paraId="5F82B27D">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1.782</w:t>
                  </w:r>
                </w:p>
              </w:tc>
              <w:tc>
                <w:tcPr>
                  <w:tcW w:w="358" w:type="pct"/>
                  <w:vAlign w:val="center"/>
                </w:tcPr>
                <w:p w14:paraId="1F9AB8A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501" w:type="pct"/>
                  <w:vAlign w:val="center"/>
                </w:tcPr>
                <w:p w14:paraId="3CCBE48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0.1782</w:t>
                  </w:r>
                </w:p>
              </w:tc>
              <w:tc>
                <w:tcPr>
                  <w:tcW w:w="245" w:type="pct"/>
                  <w:vMerge w:val="continue"/>
                  <w:vAlign w:val="center"/>
                </w:tcPr>
                <w:p w14:paraId="629782BA">
                  <w:pPr>
                    <w:pStyle w:val="5"/>
                    <w:ind w:left="0" w:firstLine="0"/>
                    <w:jc w:val="center"/>
                    <w:rPr>
                      <w:rFonts w:hint="default" w:ascii="Times New Roman" w:hAnsi="Times New Roman" w:cs="Times New Roman"/>
                      <w:color w:val="auto"/>
                      <w:szCs w:val="21"/>
                      <w:highlight w:val="none"/>
                    </w:rPr>
                  </w:pPr>
                </w:p>
              </w:tc>
              <w:tc>
                <w:tcPr>
                  <w:tcW w:w="801" w:type="pct"/>
                  <w:vMerge w:val="continue"/>
                  <w:vAlign w:val="center"/>
                </w:tcPr>
                <w:p w14:paraId="6C6AE62D">
                  <w:pPr>
                    <w:pStyle w:val="5"/>
                    <w:ind w:left="0" w:firstLine="0"/>
                    <w:jc w:val="center"/>
                    <w:rPr>
                      <w:rFonts w:hint="default" w:ascii="Times New Roman" w:hAnsi="Times New Roman" w:cs="Times New Roman"/>
                      <w:color w:val="auto"/>
                      <w:szCs w:val="21"/>
                      <w:highlight w:val="none"/>
                    </w:rPr>
                  </w:pPr>
                </w:p>
              </w:tc>
              <w:tc>
                <w:tcPr>
                  <w:tcW w:w="551" w:type="pct"/>
                  <w:vMerge w:val="continue"/>
                  <w:vAlign w:val="center"/>
                </w:tcPr>
                <w:p w14:paraId="74FEEC3C">
                  <w:pPr>
                    <w:pStyle w:val="5"/>
                    <w:ind w:left="0" w:firstLine="0"/>
                    <w:jc w:val="center"/>
                    <w:rPr>
                      <w:rFonts w:hint="default" w:ascii="Times New Roman" w:hAnsi="Times New Roman" w:cs="Times New Roman"/>
                      <w:color w:val="auto"/>
                      <w:szCs w:val="21"/>
                      <w:highlight w:val="none"/>
                    </w:rPr>
                  </w:pPr>
                </w:p>
              </w:tc>
              <w:tc>
                <w:tcPr>
                  <w:tcW w:w="527" w:type="pct"/>
                  <w:vAlign w:val="center"/>
                </w:tcPr>
                <w:p w14:paraId="40843FC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0.0151</w:t>
                  </w:r>
                </w:p>
              </w:tc>
              <w:tc>
                <w:tcPr>
                  <w:tcW w:w="511" w:type="pct"/>
                  <w:vAlign w:val="center"/>
                </w:tcPr>
                <w:p w14:paraId="30225C2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0.0000302</w:t>
                  </w:r>
                </w:p>
              </w:tc>
              <w:tc>
                <w:tcPr>
                  <w:tcW w:w="458" w:type="pct"/>
                  <w:vAlign w:val="center"/>
                </w:tcPr>
                <w:p w14:paraId="1228255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0.004027</w:t>
                  </w:r>
                </w:p>
              </w:tc>
            </w:tr>
            <w:tr w14:paraId="0F02B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632" w:type="pct"/>
                  <w:gridSpan w:val="2"/>
                  <w:vAlign w:val="center"/>
                </w:tcPr>
                <w:p w14:paraId="1800CCBE">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有机废气（以非甲烷总烃计）(G</w:t>
                  </w:r>
                  <w:r>
                    <w:rPr>
                      <w:rFonts w:hint="default" w:ascii="Times New Roman" w:hAnsi="Times New Roman" w:cs="Times New Roman"/>
                      <w:color w:val="auto"/>
                      <w:szCs w:val="21"/>
                      <w:highlight w:val="none"/>
                      <w:vertAlign w:val="subscript"/>
                    </w:rPr>
                    <w:t>5</w:t>
                  </w:r>
                  <w:r>
                    <w:rPr>
                      <w:rFonts w:hint="default" w:ascii="Times New Roman" w:hAnsi="Times New Roman" w:cs="Times New Roman"/>
                      <w:color w:val="auto"/>
                      <w:szCs w:val="21"/>
                      <w:highlight w:val="none"/>
                    </w:rPr>
                    <w:t>)</w:t>
                  </w:r>
                </w:p>
              </w:tc>
              <w:tc>
                <w:tcPr>
                  <w:tcW w:w="411" w:type="pct"/>
                  <w:vAlign w:val="center"/>
                </w:tcPr>
                <w:p w14:paraId="340151D8">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1.528</w:t>
                  </w:r>
                </w:p>
              </w:tc>
              <w:tc>
                <w:tcPr>
                  <w:tcW w:w="358" w:type="pct"/>
                  <w:vAlign w:val="center"/>
                </w:tcPr>
                <w:p w14:paraId="47523E1D">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501" w:type="pct"/>
                  <w:vAlign w:val="center"/>
                </w:tcPr>
                <w:p w14:paraId="21AA5813">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0.0764</w:t>
                  </w:r>
                </w:p>
              </w:tc>
              <w:tc>
                <w:tcPr>
                  <w:tcW w:w="245" w:type="pct"/>
                  <w:vMerge w:val="continue"/>
                  <w:vAlign w:val="center"/>
                </w:tcPr>
                <w:p w14:paraId="1CBE1F51">
                  <w:pPr>
                    <w:pStyle w:val="5"/>
                    <w:ind w:left="0" w:firstLine="0"/>
                    <w:jc w:val="center"/>
                    <w:rPr>
                      <w:rFonts w:hint="default" w:ascii="Times New Roman" w:hAnsi="Times New Roman" w:cs="Times New Roman"/>
                      <w:color w:val="auto"/>
                      <w:szCs w:val="21"/>
                      <w:highlight w:val="none"/>
                    </w:rPr>
                  </w:pPr>
                </w:p>
              </w:tc>
              <w:tc>
                <w:tcPr>
                  <w:tcW w:w="801" w:type="pct"/>
                  <w:vAlign w:val="center"/>
                </w:tcPr>
                <w:p w14:paraId="431783B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实验室通风柜密封收集+二级活性炭吸附+1根23m高排气筒排放（DA001）</w:t>
                  </w:r>
                </w:p>
              </w:tc>
              <w:tc>
                <w:tcPr>
                  <w:tcW w:w="551" w:type="pct"/>
                  <w:vAlign w:val="center"/>
                </w:tcPr>
                <w:p w14:paraId="2A3871CD">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二级活性炭吸附处理效率27.75%</w:t>
                  </w:r>
                </w:p>
              </w:tc>
              <w:tc>
                <w:tcPr>
                  <w:tcW w:w="527" w:type="pct"/>
                  <w:vAlign w:val="center"/>
                </w:tcPr>
                <w:p w14:paraId="23605C6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0.0552</w:t>
                  </w:r>
                </w:p>
              </w:tc>
              <w:tc>
                <w:tcPr>
                  <w:tcW w:w="511" w:type="pct"/>
                  <w:vAlign w:val="center"/>
                </w:tcPr>
                <w:p w14:paraId="4738174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0.00011</w:t>
                  </w:r>
                </w:p>
              </w:tc>
              <w:tc>
                <w:tcPr>
                  <w:tcW w:w="458" w:type="pct"/>
                  <w:vAlign w:val="center"/>
                </w:tcPr>
                <w:p w14:paraId="50A6827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0.0244</w:t>
                  </w:r>
                </w:p>
              </w:tc>
            </w:tr>
            <w:tr w14:paraId="5C18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632" w:type="pct"/>
                  <w:gridSpan w:val="2"/>
                  <w:vAlign w:val="center"/>
                </w:tcPr>
                <w:p w14:paraId="0B4D412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微生物实验室废气(G</w:t>
                  </w:r>
                  <w:r>
                    <w:rPr>
                      <w:rFonts w:hint="default" w:ascii="Times New Roman" w:hAnsi="Times New Roman" w:cs="Times New Roman"/>
                      <w:color w:val="auto"/>
                      <w:szCs w:val="21"/>
                      <w:highlight w:val="none"/>
                      <w:vertAlign w:val="subscript"/>
                    </w:rPr>
                    <w:t>6</w:t>
                  </w:r>
                  <w:r>
                    <w:rPr>
                      <w:rFonts w:hint="default" w:ascii="Times New Roman" w:hAnsi="Times New Roman" w:cs="Times New Roman"/>
                      <w:color w:val="auto"/>
                      <w:szCs w:val="21"/>
                      <w:highlight w:val="none"/>
                    </w:rPr>
                    <w:t>)</w:t>
                  </w:r>
                </w:p>
              </w:tc>
              <w:tc>
                <w:tcPr>
                  <w:tcW w:w="411" w:type="pct"/>
                  <w:vAlign w:val="center"/>
                </w:tcPr>
                <w:p w14:paraId="51297E1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颗粒物（含细菌气溶胶团）</w:t>
                  </w:r>
                </w:p>
              </w:tc>
              <w:tc>
                <w:tcPr>
                  <w:tcW w:w="358" w:type="pct"/>
                  <w:vAlign w:val="center"/>
                </w:tcPr>
                <w:p w14:paraId="163F46B7">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01" w:type="pct"/>
                  <w:vAlign w:val="center"/>
                </w:tcPr>
                <w:p w14:paraId="747AF9CE">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45" w:type="pct"/>
                  <w:vMerge w:val="restart"/>
                  <w:vAlign w:val="center"/>
                </w:tcPr>
                <w:p w14:paraId="2BD7310E">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无组织</w:t>
                  </w:r>
                </w:p>
              </w:tc>
              <w:tc>
                <w:tcPr>
                  <w:tcW w:w="801" w:type="pct"/>
                  <w:vAlign w:val="center"/>
                </w:tcPr>
                <w:p w14:paraId="436F1B3D">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生物安全柜（含高效过滤器）+紫外消毒装置</w:t>
                  </w:r>
                </w:p>
              </w:tc>
              <w:tc>
                <w:tcPr>
                  <w:tcW w:w="551" w:type="pct"/>
                  <w:vAlign w:val="center"/>
                </w:tcPr>
                <w:p w14:paraId="11F9B31C">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99.99%</w:t>
                  </w:r>
                </w:p>
              </w:tc>
              <w:tc>
                <w:tcPr>
                  <w:tcW w:w="527" w:type="pct"/>
                  <w:vAlign w:val="center"/>
                </w:tcPr>
                <w:p w14:paraId="05587E0A">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不得</w:t>
                  </w:r>
                </w:p>
                <w:p w14:paraId="34EE95C4">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检出</w:t>
                  </w:r>
                </w:p>
              </w:tc>
              <w:tc>
                <w:tcPr>
                  <w:tcW w:w="511" w:type="pct"/>
                  <w:vAlign w:val="center"/>
                </w:tcPr>
                <w:p w14:paraId="1ACD49F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58" w:type="pct"/>
                  <w:vAlign w:val="center"/>
                </w:tcPr>
                <w:p w14:paraId="072316D1">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23A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632" w:type="pct"/>
                  <w:gridSpan w:val="2"/>
                  <w:vAlign w:val="center"/>
                </w:tcPr>
                <w:p w14:paraId="53FAC9A2">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药物及试剂异味(G</w:t>
                  </w:r>
                  <w:r>
                    <w:rPr>
                      <w:rFonts w:hint="default" w:ascii="Times New Roman" w:hAnsi="Times New Roman" w:cs="Times New Roman"/>
                      <w:color w:val="auto"/>
                      <w:szCs w:val="21"/>
                      <w:highlight w:val="none"/>
                      <w:vertAlign w:val="subscript"/>
                    </w:rPr>
                    <w:t>7</w:t>
                  </w:r>
                  <w:r>
                    <w:rPr>
                      <w:rFonts w:hint="default" w:ascii="Times New Roman" w:hAnsi="Times New Roman" w:cs="Times New Roman"/>
                      <w:color w:val="auto"/>
                      <w:szCs w:val="21"/>
                      <w:highlight w:val="none"/>
                    </w:rPr>
                    <w:t>)</w:t>
                  </w:r>
                </w:p>
              </w:tc>
              <w:tc>
                <w:tcPr>
                  <w:tcW w:w="411" w:type="pct"/>
                  <w:vAlign w:val="center"/>
                </w:tcPr>
                <w:p w14:paraId="09ADA4CC">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58" w:type="pct"/>
                  <w:vAlign w:val="center"/>
                </w:tcPr>
                <w:p w14:paraId="52654FB7">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01" w:type="pct"/>
                  <w:vAlign w:val="center"/>
                </w:tcPr>
                <w:p w14:paraId="53E96AC8">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45" w:type="pct"/>
                  <w:vMerge w:val="continue"/>
                  <w:vAlign w:val="center"/>
                </w:tcPr>
                <w:p w14:paraId="13A94EE3">
                  <w:pPr>
                    <w:pStyle w:val="5"/>
                    <w:ind w:left="0" w:firstLine="0"/>
                    <w:jc w:val="center"/>
                    <w:rPr>
                      <w:rFonts w:hint="default" w:ascii="Times New Roman" w:hAnsi="Times New Roman" w:cs="Times New Roman"/>
                      <w:color w:val="auto"/>
                      <w:szCs w:val="21"/>
                      <w:highlight w:val="none"/>
                    </w:rPr>
                  </w:pPr>
                </w:p>
              </w:tc>
              <w:tc>
                <w:tcPr>
                  <w:tcW w:w="801" w:type="pct"/>
                  <w:vAlign w:val="center"/>
                </w:tcPr>
                <w:p w14:paraId="083C09E7">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加强室内通风换气</w:t>
                  </w:r>
                </w:p>
              </w:tc>
              <w:tc>
                <w:tcPr>
                  <w:tcW w:w="551" w:type="pct"/>
                  <w:vAlign w:val="center"/>
                </w:tcPr>
                <w:p w14:paraId="30A9D48C">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27" w:type="pct"/>
                  <w:vAlign w:val="center"/>
                </w:tcPr>
                <w:p w14:paraId="7C3815A1">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11" w:type="pct"/>
                  <w:vAlign w:val="center"/>
                </w:tcPr>
                <w:p w14:paraId="4F8DF9C5">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58" w:type="pct"/>
                  <w:vAlign w:val="center"/>
                </w:tcPr>
                <w:p w14:paraId="1B8220BF">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407B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16" w:type="pct"/>
                  <w:vMerge w:val="restart"/>
                  <w:vAlign w:val="center"/>
                </w:tcPr>
                <w:p w14:paraId="0331E98F">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污水处理站臭气</w:t>
                  </w:r>
                </w:p>
              </w:tc>
              <w:tc>
                <w:tcPr>
                  <w:tcW w:w="415" w:type="pct"/>
                  <w:vAlign w:val="center"/>
                </w:tcPr>
                <w:p w14:paraId="01421B91">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szCs w:val="21"/>
                      <w:highlight w:val="none"/>
                    </w:rPr>
                    <w:t>(G</w:t>
                  </w:r>
                  <w:r>
                    <w:rPr>
                      <w:rFonts w:hint="default" w:ascii="Times New Roman" w:hAnsi="Times New Roman" w:cs="Times New Roman"/>
                      <w:color w:val="auto"/>
                      <w:szCs w:val="21"/>
                      <w:highlight w:val="none"/>
                      <w:vertAlign w:val="subscript"/>
                    </w:rPr>
                    <w:t>8</w:t>
                  </w:r>
                  <w:r>
                    <w:rPr>
                      <w:rFonts w:hint="default" w:ascii="Times New Roman" w:hAnsi="Times New Roman" w:cs="Times New Roman"/>
                      <w:color w:val="auto"/>
                      <w:szCs w:val="21"/>
                      <w:highlight w:val="none"/>
                    </w:rPr>
                    <w:t>)</w:t>
                  </w:r>
                </w:p>
              </w:tc>
              <w:tc>
                <w:tcPr>
                  <w:tcW w:w="411" w:type="pct"/>
                  <w:vMerge w:val="restart"/>
                  <w:vAlign w:val="center"/>
                </w:tcPr>
                <w:p w14:paraId="4EDD34B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7.936</w:t>
                  </w:r>
                </w:p>
              </w:tc>
              <w:tc>
                <w:tcPr>
                  <w:tcW w:w="358" w:type="pct"/>
                  <w:vAlign w:val="center"/>
                </w:tcPr>
                <w:p w14:paraId="368D52E9">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01" w:type="pct"/>
                  <w:vAlign w:val="center"/>
                </w:tcPr>
                <w:p w14:paraId="7D1B9945">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0.0246</w:t>
                  </w:r>
                </w:p>
              </w:tc>
              <w:tc>
                <w:tcPr>
                  <w:tcW w:w="245" w:type="pct"/>
                  <w:vMerge w:val="continue"/>
                  <w:vAlign w:val="center"/>
                </w:tcPr>
                <w:p w14:paraId="3C75FFCC">
                  <w:pPr>
                    <w:pStyle w:val="5"/>
                    <w:ind w:left="0" w:firstLine="0"/>
                    <w:jc w:val="center"/>
                    <w:rPr>
                      <w:rFonts w:hint="default" w:ascii="Times New Roman" w:hAnsi="Times New Roman" w:cs="Times New Roman"/>
                      <w:color w:val="auto"/>
                      <w:szCs w:val="21"/>
                      <w:highlight w:val="none"/>
                    </w:rPr>
                  </w:pPr>
                </w:p>
              </w:tc>
              <w:tc>
                <w:tcPr>
                  <w:tcW w:w="801" w:type="pct"/>
                  <w:vMerge w:val="restart"/>
                  <w:vAlign w:val="center"/>
                </w:tcPr>
                <w:p w14:paraId="3917247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污水处理站设置于地下一层，各处理设施池体加盖，合理布置安放地点，采用密闭方式</w:t>
                  </w:r>
                </w:p>
              </w:tc>
              <w:tc>
                <w:tcPr>
                  <w:tcW w:w="551" w:type="pct"/>
                  <w:vAlign w:val="center"/>
                </w:tcPr>
                <w:p w14:paraId="3506799E">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27" w:type="pct"/>
                  <w:vAlign w:val="center"/>
                </w:tcPr>
                <w:p w14:paraId="5E2BEDDF">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0.0246</w:t>
                  </w:r>
                </w:p>
              </w:tc>
              <w:tc>
                <w:tcPr>
                  <w:tcW w:w="511" w:type="pct"/>
                  <w:vAlign w:val="center"/>
                </w:tcPr>
                <w:p w14:paraId="0CA109D9">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58" w:type="pct"/>
                  <w:vAlign w:val="center"/>
                </w:tcPr>
                <w:p w14:paraId="0794F479">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74BA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16" w:type="pct"/>
                  <w:vMerge w:val="continue"/>
                  <w:vAlign w:val="center"/>
                </w:tcPr>
                <w:p w14:paraId="7D17474C">
                  <w:pPr>
                    <w:pStyle w:val="5"/>
                    <w:ind w:left="0" w:firstLine="0"/>
                    <w:jc w:val="center"/>
                    <w:rPr>
                      <w:rFonts w:hint="default" w:ascii="Times New Roman" w:hAnsi="Times New Roman" w:cs="Times New Roman"/>
                      <w:color w:val="auto"/>
                      <w:szCs w:val="21"/>
                      <w:highlight w:val="none"/>
                    </w:rPr>
                  </w:pPr>
                </w:p>
              </w:tc>
              <w:tc>
                <w:tcPr>
                  <w:tcW w:w="415" w:type="pct"/>
                  <w:vAlign w:val="center"/>
                </w:tcPr>
                <w:p w14:paraId="5A33E694">
                  <w:pPr>
                    <w:pStyle w:val="5"/>
                    <w:ind w:left="0" w:firstLine="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H</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S</w:t>
                  </w:r>
                </w:p>
                <w:p w14:paraId="1505C619">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w:t>
                  </w:r>
                  <w:r>
                    <w:rPr>
                      <w:rFonts w:hint="default" w:ascii="Times New Roman" w:hAnsi="Times New Roman" w:cs="Times New Roman"/>
                      <w:color w:val="auto"/>
                      <w:szCs w:val="21"/>
                      <w:highlight w:val="none"/>
                      <w:vertAlign w:val="subscript"/>
                    </w:rPr>
                    <w:t>9</w:t>
                  </w:r>
                  <w:r>
                    <w:rPr>
                      <w:rFonts w:hint="default" w:ascii="Times New Roman" w:hAnsi="Times New Roman" w:cs="Times New Roman"/>
                      <w:color w:val="auto"/>
                      <w:szCs w:val="21"/>
                      <w:highlight w:val="none"/>
                    </w:rPr>
                    <w:t>)</w:t>
                  </w:r>
                </w:p>
              </w:tc>
              <w:tc>
                <w:tcPr>
                  <w:tcW w:w="411" w:type="pct"/>
                  <w:vMerge w:val="continue"/>
                  <w:vAlign w:val="center"/>
                </w:tcPr>
                <w:p w14:paraId="4F8CA05D">
                  <w:pPr>
                    <w:pStyle w:val="5"/>
                    <w:ind w:left="0" w:firstLine="0"/>
                    <w:jc w:val="center"/>
                    <w:rPr>
                      <w:rFonts w:hint="default" w:ascii="Times New Roman" w:hAnsi="Times New Roman" w:cs="Times New Roman"/>
                      <w:color w:val="auto"/>
                      <w:szCs w:val="21"/>
                      <w:highlight w:val="none"/>
                    </w:rPr>
                  </w:pPr>
                </w:p>
              </w:tc>
              <w:tc>
                <w:tcPr>
                  <w:tcW w:w="358" w:type="pct"/>
                  <w:vAlign w:val="center"/>
                </w:tcPr>
                <w:p w14:paraId="5415288A">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01" w:type="pct"/>
                  <w:vAlign w:val="center"/>
                </w:tcPr>
                <w:p w14:paraId="502D4AD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0.0009</w:t>
                  </w:r>
                </w:p>
              </w:tc>
              <w:tc>
                <w:tcPr>
                  <w:tcW w:w="245" w:type="pct"/>
                  <w:vMerge w:val="continue"/>
                  <w:vAlign w:val="center"/>
                </w:tcPr>
                <w:p w14:paraId="053541D9">
                  <w:pPr>
                    <w:pStyle w:val="5"/>
                    <w:ind w:left="0" w:firstLine="0"/>
                    <w:jc w:val="center"/>
                    <w:rPr>
                      <w:rFonts w:hint="default" w:ascii="Times New Roman" w:hAnsi="Times New Roman" w:cs="Times New Roman"/>
                      <w:color w:val="auto"/>
                      <w:szCs w:val="21"/>
                      <w:highlight w:val="none"/>
                    </w:rPr>
                  </w:pPr>
                </w:p>
              </w:tc>
              <w:tc>
                <w:tcPr>
                  <w:tcW w:w="801" w:type="pct"/>
                  <w:vMerge w:val="continue"/>
                  <w:vAlign w:val="center"/>
                </w:tcPr>
                <w:p w14:paraId="5E9AFA37">
                  <w:pPr>
                    <w:pStyle w:val="5"/>
                    <w:ind w:left="0" w:firstLine="0"/>
                    <w:jc w:val="center"/>
                    <w:rPr>
                      <w:rFonts w:hint="default" w:ascii="Times New Roman" w:hAnsi="Times New Roman" w:cs="Times New Roman"/>
                      <w:color w:val="auto"/>
                      <w:szCs w:val="21"/>
                      <w:highlight w:val="none"/>
                    </w:rPr>
                  </w:pPr>
                </w:p>
              </w:tc>
              <w:tc>
                <w:tcPr>
                  <w:tcW w:w="551" w:type="pct"/>
                  <w:vAlign w:val="center"/>
                </w:tcPr>
                <w:p w14:paraId="21844D0B">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27" w:type="pct"/>
                  <w:vAlign w:val="center"/>
                </w:tcPr>
                <w:p w14:paraId="43270442">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0.0009</w:t>
                  </w:r>
                </w:p>
              </w:tc>
              <w:tc>
                <w:tcPr>
                  <w:tcW w:w="511" w:type="pct"/>
                  <w:vAlign w:val="center"/>
                </w:tcPr>
                <w:p w14:paraId="50610D23">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58" w:type="pct"/>
                  <w:vAlign w:val="center"/>
                </w:tcPr>
                <w:p w14:paraId="3FB4CEA8">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500F9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16" w:type="pct"/>
                  <w:vMerge w:val="continue"/>
                  <w:vAlign w:val="center"/>
                </w:tcPr>
                <w:p w14:paraId="170533CE">
                  <w:pPr>
                    <w:pStyle w:val="5"/>
                    <w:ind w:left="0" w:firstLine="0"/>
                    <w:jc w:val="center"/>
                    <w:rPr>
                      <w:rFonts w:hint="default" w:ascii="Times New Roman" w:hAnsi="Times New Roman" w:cs="Times New Roman"/>
                      <w:color w:val="auto"/>
                      <w:szCs w:val="21"/>
                      <w:highlight w:val="none"/>
                    </w:rPr>
                  </w:pPr>
                </w:p>
              </w:tc>
              <w:tc>
                <w:tcPr>
                  <w:tcW w:w="415" w:type="pct"/>
                  <w:vAlign w:val="center"/>
                </w:tcPr>
                <w:p w14:paraId="61BDB7D9">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臭气浓度(G</w:t>
                  </w:r>
                  <w:r>
                    <w:rPr>
                      <w:rFonts w:hint="default" w:ascii="Times New Roman" w:hAnsi="Times New Roman" w:cs="Times New Roman"/>
                      <w:color w:val="auto"/>
                      <w:szCs w:val="21"/>
                      <w:highlight w:val="none"/>
                      <w:vertAlign w:val="subscript"/>
                    </w:rPr>
                    <w:t>10</w:t>
                  </w:r>
                  <w:r>
                    <w:rPr>
                      <w:rFonts w:hint="default" w:ascii="Times New Roman" w:hAnsi="Times New Roman" w:cs="Times New Roman"/>
                      <w:color w:val="auto"/>
                      <w:szCs w:val="21"/>
                      <w:highlight w:val="none"/>
                    </w:rPr>
                    <w:t>)</w:t>
                  </w:r>
                </w:p>
              </w:tc>
              <w:tc>
                <w:tcPr>
                  <w:tcW w:w="411" w:type="pct"/>
                  <w:vMerge w:val="continue"/>
                  <w:vAlign w:val="center"/>
                </w:tcPr>
                <w:p w14:paraId="790DB253">
                  <w:pPr>
                    <w:pStyle w:val="5"/>
                    <w:ind w:left="0" w:firstLine="0"/>
                    <w:jc w:val="center"/>
                    <w:rPr>
                      <w:rFonts w:hint="default" w:ascii="Times New Roman" w:hAnsi="Times New Roman" w:cs="Times New Roman"/>
                      <w:color w:val="auto"/>
                      <w:szCs w:val="21"/>
                      <w:highlight w:val="none"/>
                    </w:rPr>
                  </w:pPr>
                </w:p>
              </w:tc>
              <w:tc>
                <w:tcPr>
                  <w:tcW w:w="358" w:type="pct"/>
                  <w:vAlign w:val="center"/>
                </w:tcPr>
                <w:p w14:paraId="71254EE7">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01" w:type="pct"/>
                  <w:vAlign w:val="center"/>
                </w:tcPr>
                <w:p w14:paraId="48F775A8">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45" w:type="pct"/>
                  <w:vMerge w:val="continue"/>
                  <w:vAlign w:val="center"/>
                </w:tcPr>
                <w:p w14:paraId="6CD42AD3">
                  <w:pPr>
                    <w:pStyle w:val="5"/>
                    <w:ind w:left="0" w:firstLine="0"/>
                    <w:jc w:val="center"/>
                    <w:rPr>
                      <w:rFonts w:hint="default" w:ascii="Times New Roman" w:hAnsi="Times New Roman" w:cs="Times New Roman"/>
                      <w:color w:val="auto"/>
                      <w:szCs w:val="21"/>
                      <w:highlight w:val="none"/>
                    </w:rPr>
                  </w:pPr>
                </w:p>
              </w:tc>
              <w:tc>
                <w:tcPr>
                  <w:tcW w:w="801" w:type="pct"/>
                  <w:vMerge w:val="continue"/>
                  <w:vAlign w:val="center"/>
                </w:tcPr>
                <w:p w14:paraId="5C762B9C">
                  <w:pPr>
                    <w:pStyle w:val="5"/>
                    <w:ind w:left="0" w:firstLine="0"/>
                    <w:jc w:val="center"/>
                    <w:rPr>
                      <w:rFonts w:hint="default" w:ascii="Times New Roman" w:hAnsi="Times New Roman" w:cs="Times New Roman"/>
                      <w:color w:val="auto"/>
                      <w:szCs w:val="21"/>
                      <w:highlight w:val="none"/>
                    </w:rPr>
                  </w:pPr>
                </w:p>
              </w:tc>
              <w:tc>
                <w:tcPr>
                  <w:tcW w:w="551" w:type="pct"/>
                  <w:vAlign w:val="center"/>
                </w:tcPr>
                <w:p w14:paraId="702C2C15">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27" w:type="pct"/>
                  <w:vAlign w:val="center"/>
                </w:tcPr>
                <w:p w14:paraId="62AE61CC">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11" w:type="pct"/>
                  <w:vAlign w:val="center"/>
                </w:tcPr>
                <w:p w14:paraId="6CA4962A">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58" w:type="pct"/>
                  <w:vAlign w:val="center"/>
                </w:tcPr>
                <w:p w14:paraId="788F7969">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0560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32" w:type="pct"/>
                  <w:gridSpan w:val="2"/>
                  <w:vAlign w:val="center"/>
                </w:tcPr>
                <w:p w14:paraId="2ABF3E83">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柴油发电机废气（G</w:t>
                  </w:r>
                  <w:r>
                    <w:rPr>
                      <w:rFonts w:hint="default" w:ascii="Times New Roman" w:hAnsi="Times New Roman" w:cs="Times New Roman"/>
                      <w:color w:val="auto"/>
                      <w:szCs w:val="21"/>
                      <w:highlight w:val="none"/>
                      <w:vertAlign w:val="subscript"/>
                    </w:rPr>
                    <w:t>11</w:t>
                  </w:r>
                  <w:r>
                    <w:rPr>
                      <w:rFonts w:hint="default" w:ascii="Times New Roman" w:hAnsi="Times New Roman" w:cs="Times New Roman"/>
                      <w:color w:val="auto"/>
                      <w:szCs w:val="21"/>
                      <w:highlight w:val="none"/>
                    </w:rPr>
                    <w:t>）</w:t>
                  </w:r>
                </w:p>
              </w:tc>
              <w:tc>
                <w:tcPr>
                  <w:tcW w:w="411" w:type="pct"/>
                  <w:vAlign w:val="center"/>
                </w:tcPr>
                <w:p w14:paraId="546F6014">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358" w:type="pct"/>
                  <w:vAlign w:val="center"/>
                </w:tcPr>
                <w:p w14:paraId="11EF3C27">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01" w:type="pct"/>
                  <w:vAlign w:val="center"/>
                </w:tcPr>
                <w:p w14:paraId="04BF3A17">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45" w:type="pct"/>
                  <w:vMerge w:val="continue"/>
                  <w:vAlign w:val="center"/>
                </w:tcPr>
                <w:p w14:paraId="11707D53">
                  <w:pPr>
                    <w:pStyle w:val="5"/>
                    <w:ind w:left="0" w:firstLine="0"/>
                    <w:jc w:val="center"/>
                    <w:rPr>
                      <w:rFonts w:hint="default" w:ascii="Times New Roman" w:hAnsi="Times New Roman" w:cs="Times New Roman"/>
                      <w:color w:val="auto"/>
                      <w:szCs w:val="21"/>
                      <w:highlight w:val="none"/>
                    </w:rPr>
                  </w:pPr>
                </w:p>
              </w:tc>
              <w:tc>
                <w:tcPr>
                  <w:tcW w:w="801" w:type="pct"/>
                  <w:vAlign w:val="center"/>
                </w:tcPr>
                <w:p w14:paraId="75AA6C21">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设置于单独的发电机房内，设置机械排风系统，烟气经自带过滤棉处理后，经抽排风系统由专用排烟管道引至</w:t>
                  </w:r>
                  <w:r>
                    <w:rPr>
                      <w:rStyle w:val="115"/>
                      <w:rFonts w:hint="default" w:ascii="Times New Roman" w:hAnsi="Times New Roman" w:cs="Times New Roman"/>
                      <w:color w:val="auto"/>
                      <w:szCs w:val="21"/>
                      <w:highlight w:val="none"/>
                    </w:rPr>
                    <w:t>楼顶</w:t>
                  </w:r>
                  <w:r>
                    <w:rPr>
                      <w:rFonts w:hint="default" w:ascii="Times New Roman" w:hAnsi="Times New Roman" w:cs="Times New Roman"/>
                      <w:color w:val="auto"/>
                      <w:szCs w:val="21"/>
                      <w:highlight w:val="none"/>
                    </w:rPr>
                    <w:t>无组织排放</w:t>
                  </w:r>
                </w:p>
              </w:tc>
              <w:tc>
                <w:tcPr>
                  <w:tcW w:w="551" w:type="pct"/>
                  <w:vAlign w:val="center"/>
                </w:tcPr>
                <w:p w14:paraId="6049250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27" w:type="pct"/>
                  <w:vAlign w:val="center"/>
                </w:tcPr>
                <w:p w14:paraId="4FFEAFEC">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511" w:type="pct"/>
                  <w:vAlign w:val="center"/>
                </w:tcPr>
                <w:p w14:paraId="1FEFB1A9">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458" w:type="pct"/>
                  <w:vAlign w:val="center"/>
                </w:tcPr>
                <w:p w14:paraId="06F2B4D1">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43AC0E25">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2、计算过程简述</w:t>
            </w:r>
          </w:p>
          <w:p w14:paraId="43DD648E">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（1）实验室废气</w:t>
            </w:r>
          </w:p>
          <w:p w14:paraId="5A82EE66">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1）理化实验室废气</w:t>
            </w:r>
          </w:p>
          <w:p w14:paraId="5F9BEAF8">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理化实验室在检测化验、配制溶液时会产生少量的废气，主要污染物为氨气、酸雾及有机溶剂挥发性气体，酸雾主要为盐酸、硝酸、硫酸等易挥发性的酸试剂，有机溶剂挥发气体污染物主要为甲醇、三溴甲烷、二溴一氯甲烷、一溴二氯甲烷、三氯甲烷、四氯化碳、正己烷、丙酮、苯酚、无水乙醇、异丙醇、乙腈。</w:t>
            </w:r>
          </w:p>
          <w:p w14:paraId="2697E692">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实验室内设置通风柜，理化实验室产生氨气、酸雾和非甲烷总烃的操作将全部在通风柜内进行，产生的氨气和非甲烷总烃经实验室通风柜密封收集+二级活性炭吸附处理、产生的酸雾采用实验室通风柜密封收集+碱液吸收+烟气干燥+二级活性炭吸附处理达标后，通过机械强制抽风进入专用管道，引至楼顶排气筒（DA001）排放。</w:t>
            </w:r>
          </w:p>
          <w:p w14:paraId="500BAAB3">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①无机废气</w:t>
            </w:r>
          </w:p>
          <w:p w14:paraId="6F1A2BAD">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在理化实验过程中，会使用硝酸、盐酸、硫酸等易挥发性酸和氨水。对于上述挥发性物质，需在通风柜内进行，以便氨气和酸雾能够及时的排出实验室，避免对人体健康造成危害。实验产生的氨气采用二级活性炭吸附（根据《主要污染物总量减排核算计算指南（2022年）》中一次活性炭效率为15%，因此，本项目二级活性炭吸附效率为27.75%）、酸雾采用碱液吸收（根据《不同喷淋吸收液对分布式实验室预处理酸性废气脱除系统效果的影响与分析》中碱喷淋液脱除效率最低为88.3%，因此，本项目碱液吸收脱除效率取88.3%）+烟气干燥+二级活性炭吸附（处理效率27.75%）后，通过强制抽风进入专用管道，引至楼顶排气筒（DA001）排放。根据项目物料消耗情况，本项目氨水（密度0.91g/c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）、硝酸（密度1.41g/cm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）、硫酸（密度1.84g/cm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）、盐酸（密度1.18g/cm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）年使用量分别为430ml（0.391kg/a）、4500ml（6.345kg/a）、412ml（0.758kg/a）、1510ml（1.782kg/a）。实验室所用的器具瓶口面积比较小，挥发产生的无机废气以氨气、</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szCs w:val="24"/>
                <w:highlight w:val="none"/>
              </w:rPr>
              <w:t>、硫酸雾、HCl计，根据经验数据，在实验条件下，化学试剂的挥发量一般在0.1%~10%，本次评价氨气挥发量取试剂用量的5%、</w:t>
            </w: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szCs w:val="24"/>
                <w:highlight w:val="none"/>
              </w:rPr>
              <w:t>挥发量取试剂用量的5%、硫酸雾挥发量取试剂用量的0.1%、HCl挥发量取试剂用量的10%。根据建设单位提供的资料，实验室年工作50天，平均每天操作时间约10h，则实验室操作时间为500h。项目实验室产生氨气和酸雾的操作在固定的5台通风柜内进行，每台通风柜抽风量为1500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/h，则抽风总量为7500m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/h。本项目氨气和酸雾产生及排放情况见下表。</w:t>
            </w:r>
          </w:p>
          <w:p w14:paraId="096BB56F">
            <w:pPr>
              <w:pStyle w:val="10"/>
              <w:spacing w:line="240" w:lineRule="auto"/>
              <w:ind w:firstLine="0" w:firstLineChars="0"/>
              <w:jc w:val="center"/>
              <w:rPr>
                <w:rFonts w:hint="default" w:ascii="Times New Roman" w:hAnsi="Times New Roman" w:cs="Times New Roman"/>
                <w:color w:val="auto"/>
                <w:szCs w:val="24"/>
                <w:highlight w:val="none"/>
              </w:rPr>
            </w:pPr>
            <w:r>
              <w:rPr>
                <w:rFonts w:hint="default" w:ascii="Times New Roman" w:hAnsi="Times New Roman" w:cs="Times New Roman"/>
                <w:b/>
                <w:bCs/>
                <w:color w:val="auto"/>
                <w:sz w:val="21"/>
                <w:szCs w:val="21"/>
                <w:highlight w:val="none"/>
                <w:lang w:bidi="ar"/>
              </w:rPr>
              <w:t>表4-2 项目运营期无机废气产生及排放情况</w:t>
            </w:r>
          </w:p>
          <w:tbl>
            <w:tblPr>
              <w:tblStyle w:val="33"/>
              <w:tblW w:w="85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763"/>
              <w:gridCol w:w="687"/>
              <w:gridCol w:w="883"/>
              <w:gridCol w:w="1119"/>
              <w:gridCol w:w="1637"/>
              <w:gridCol w:w="859"/>
              <w:gridCol w:w="1104"/>
              <w:gridCol w:w="1074"/>
            </w:tblGrid>
            <w:tr w14:paraId="3C99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404" w:type="dxa"/>
                  <w:vMerge w:val="restart"/>
                  <w:vAlign w:val="center"/>
                </w:tcPr>
                <w:p w14:paraId="1F44F061">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废气</w:t>
                  </w:r>
                </w:p>
              </w:tc>
              <w:tc>
                <w:tcPr>
                  <w:tcW w:w="763" w:type="dxa"/>
                  <w:vMerge w:val="restart"/>
                  <w:vAlign w:val="center"/>
                </w:tcPr>
                <w:p w14:paraId="087B72C2">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污染因子</w:t>
                  </w:r>
                </w:p>
              </w:tc>
              <w:tc>
                <w:tcPr>
                  <w:tcW w:w="687" w:type="dxa"/>
                  <w:vMerge w:val="restart"/>
                  <w:vAlign w:val="center"/>
                </w:tcPr>
                <w:p w14:paraId="2268341E">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风量m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/h</w:t>
                  </w:r>
                </w:p>
              </w:tc>
              <w:tc>
                <w:tcPr>
                  <w:tcW w:w="2002" w:type="dxa"/>
                  <w:gridSpan w:val="2"/>
                  <w:vMerge w:val="restart"/>
                  <w:vAlign w:val="center"/>
                </w:tcPr>
                <w:p w14:paraId="0E629198">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产生情况</w:t>
                  </w:r>
                </w:p>
              </w:tc>
              <w:tc>
                <w:tcPr>
                  <w:tcW w:w="1637" w:type="dxa"/>
                  <w:vMerge w:val="restart"/>
                  <w:vAlign w:val="center"/>
                </w:tcPr>
                <w:p w14:paraId="6BB7E98C">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治理措施</w:t>
                  </w:r>
                </w:p>
              </w:tc>
              <w:tc>
                <w:tcPr>
                  <w:tcW w:w="3037" w:type="dxa"/>
                  <w:gridSpan w:val="3"/>
                  <w:vAlign w:val="center"/>
                </w:tcPr>
                <w:p w14:paraId="5E060202">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排放情况</w:t>
                  </w:r>
                </w:p>
              </w:tc>
            </w:tr>
            <w:tr w14:paraId="5D76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vMerge w:val="continue"/>
                  <w:vAlign w:val="center"/>
                </w:tcPr>
                <w:p w14:paraId="6C060A84">
                  <w:pPr>
                    <w:pStyle w:val="10"/>
                    <w:spacing w:line="240" w:lineRule="auto"/>
                    <w:ind w:firstLine="0" w:firstLineChars="0"/>
                    <w:jc w:val="center"/>
                    <w:rPr>
                      <w:rFonts w:hint="default" w:ascii="Times New Roman" w:hAnsi="Times New Roman" w:cs="Times New Roman"/>
                      <w:b/>
                      <w:bCs/>
                      <w:color w:val="auto"/>
                      <w:sz w:val="21"/>
                      <w:szCs w:val="21"/>
                      <w:highlight w:val="none"/>
                    </w:rPr>
                  </w:pPr>
                </w:p>
              </w:tc>
              <w:tc>
                <w:tcPr>
                  <w:tcW w:w="763" w:type="dxa"/>
                  <w:vMerge w:val="continue"/>
                  <w:vAlign w:val="center"/>
                </w:tcPr>
                <w:p w14:paraId="37BEFA0A">
                  <w:pPr>
                    <w:pStyle w:val="10"/>
                    <w:spacing w:line="240" w:lineRule="auto"/>
                    <w:ind w:firstLine="0" w:firstLineChars="0"/>
                    <w:jc w:val="center"/>
                    <w:rPr>
                      <w:rFonts w:hint="default" w:ascii="Times New Roman" w:hAnsi="Times New Roman" w:cs="Times New Roman"/>
                      <w:b/>
                      <w:bCs/>
                      <w:color w:val="auto"/>
                      <w:sz w:val="21"/>
                      <w:szCs w:val="21"/>
                      <w:highlight w:val="none"/>
                    </w:rPr>
                  </w:pPr>
                </w:p>
              </w:tc>
              <w:tc>
                <w:tcPr>
                  <w:tcW w:w="687" w:type="dxa"/>
                  <w:vMerge w:val="continue"/>
                  <w:vAlign w:val="center"/>
                </w:tcPr>
                <w:p w14:paraId="6676550D">
                  <w:pPr>
                    <w:pStyle w:val="10"/>
                    <w:spacing w:line="240" w:lineRule="auto"/>
                    <w:ind w:firstLine="0" w:firstLineChars="0"/>
                    <w:jc w:val="center"/>
                    <w:rPr>
                      <w:rFonts w:hint="default" w:ascii="Times New Roman" w:hAnsi="Times New Roman" w:cs="Times New Roman"/>
                      <w:b/>
                      <w:bCs/>
                      <w:color w:val="auto"/>
                      <w:sz w:val="21"/>
                      <w:szCs w:val="21"/>
                      <w:highlight w:val="none"/>
                    </w:rPr>
                  </w:pPr>
                </w:p>
              </w:tc>
              <w:tc>
                <w:tcPr>
                  <w:tcW w:w="2002" w:type="dxa"/>
                  <w:gridSpan w:val="2"/>
                  <w:vMerge w:val="continue"/>
                  <w:vAlign w:val="center"/>
                </w:tcPr>
                <w:p w14:paraId="4202404C">
                  <w:pPr>
                    <w:pStyle w:val="10"/>
                    <w:spacing w:line="240" w:lineRule="auto"/>
                    <w:ind w:firstLine="0" w:firstLineChars="0"/>
                    <w:jc w:val="center"/>
                    <w:rPr>
                      <w:rFonts w:hint="default" w:ascii="Times New Roman" w:hAnsi="Times New Roman" w:cs="Times New Roman"/>
                      <w:b/>
                      <w:bCs/>
                      <w:color w:val="auto"/>
                      <w:sz w:val="21"/>
                      <w:szCs w:val="21"/>
                      <w:highlight w:val="none"/>
                    </w:rPr>
                  </w:pPr>
                </w:p>
              </w:tc>
              <w:tc>
                <w:tcPr>
                  <w:tcW w:w="1637" w:type="dxa"/>
                  <w:vMerge w:val="continue"/>
                  <w:vAlign w:val="center"/>
                </w:tcPr>
                <w:p w14:paraId="4FCB0D0B">
                  <w:pPr>
                    <w:pStyle w:val="10"/>
                    <w:spacing w:line="240" w:lineRule="auto"/>
                    <w:ind w:firstLine="0" w:firstLineChars="0"/>
                    <w:jc w:val="center"/>
                    <w:rPr>
                      <w:rFonts w:hint="default" w:ascii="Times New Roman" w:hAnsi="Times New Roman" w:cs="Times New Roman"/>
                      <w:b/>
                      <w:bCs/>
                      <w:color w:val="auto"/>
                      <w:sz w:val="21"/>
                      <w:szCs w:val="21"/>
                      <w:highlight w:val="none"/>
                    </w:rPr>
                  </w:pPr>
                </w:p>
              </w:tc>
              <w:tc>
                <w:tcPr>
                  <w:tcW w:w="3037" w:type="dxa"/>
                  <w:gridSpan w:val="3"/>
                  <w:vAlign w:val="center"/>
                </w:tcPr>
                <w:p w14:paraId="43FE76FA">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有组织</w:t>
                  </w:r>
                </w:p>
              </w:tc>
            </w:tr>
            <w:tr w14:paraId="544C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vMerge w:val="continue"/>
                  <w:vAlign w:val="center"/>
                </w:tcPr>
                <w:p w14:paraId="7646F647">
                  <w:pPr>
                    <w:pStyle w:val="10"/>
                    <w:spacing w:line="240" w:lineRule="auto"/>
                    <w:ind w:firstLine="0" w:firstLineChars="0"/>
                    <w:jc w:val="center"/>
                    <w:rPr>
                      <w:rFonts w:hint="default" w:ascii="Times New Roman" w:hAnsi="Times New Roman" w:cs="Times New Roman"/>
                      <w:b/>
                      <w:bCs/>
                      <w:color w:val="auto"/>
                      <w:sz w:val="21"/>
                      <w:szCs w:val="21"/>
                      <w:highlight w:val="none"/>
                    </w:rPr>
                  </w:pPr>
                </w:p>
              </w:tc>
              <w:tc>
                <w:tcPr>
                  <w:tcW w:w="763" w:type="dxa"/>
                  <w:vMerge w:val="continue"/>
                  <w:vAlign w:val="center"/>
                </w:tcPr>
                <w:p w14:paraId="71FF7E69">
                  <w:pPr>
                    <w:pStyle w:val="10"/>
                    <w:spacing w:line="240" w:lineRule="auto"/>
                    <w:ind w:firstLine="0" w:firstLineChars="0"/>
                    <w:jc w:val="center"/>
                    <w:rPr>
                      <w:rFonts w:hint="default" w:ascii="Times New Roman" w:hAnsi="Times New Roman" w:cs="Times New Roman"/>
                      <w:b/>
                      <w:bCs/>
                      <w:color w:val="auto"/>
                      <w:sz w:val="21"/>
                      <w:szCs w:val="21"/>
                      <w:highlight w:val="none"/>
                    </w:rPr>
                  </w:pPr>
                </w:p>
              </w:tc>
              <w:tc>
                <w:tcPr>
                  <w:tcW w:w="687" w:type="dxa"/>
                  <w:vMerge w:val="continue"/>
                  <w:vAlign w:val="center"/>
                </w:tcPr>
                <w:p w14:paraId="02A459AE">
                  <w:pPr>
                    <w:pStyle w:val="10"/>
                    <w:spacing w:line="240" w:lineRule="auto"/>
                    <w:ind w:firstLine="0" w:firstLineChars="0"/>
                    <w:jc w:val="center"/>
                    <w:rPr>
                      <w:rFonts w:hint="default" w:ascii="Times New Roman" w:hAnsi="Times New Roman" w:cs="Times New Roman"/>
                      <w:b/>
                      <w:bCs/>
                      <w:color w:val="auto"/>
                      <w:sz w:val="21"/>
                      <w:szCs w:val="21"/>
                      <w:highlight w:val="none"/>
                    </w:rPr>
                  </w:pPr>
                </w:p>
              </w:tc>
              <w:tc>
                <w:tcPr>
                  <w:tcW w:w="883" w:type="dxa"/>
                  <w:vAlign w:val="center"/>
                </w:tcPr>
                <w:p w14:paraId="08CDAA28">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总产生量kg/a</w:t>
                  </w:r>
                </w:p>
              </w:tc>
              <w:tc>
                <w:tcPr>
                  <w:tcW w:w="1119" w:type="dxa"/>
                  <w:vAlign w:val="center"/>
                </w:tcPr>
                <w:p w14:paraId="29E1C18A">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总产生</w:t>
                  </w:r>
                </w:p>
                <w:p w14:paraId="3801123E">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速率kg/h</w:t>
                  </w:r>
                </w:p>
              </w:tc>
              <w:tc>
                <w:tcPr>
                  <w:tcW w:w="1637" w:type="dxa"/>
                  <w:vAlign w:val="center"/>
                </w:tcPr>
                <w:p w14:paraId="56F818C1">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处理效率%</w:t>
                  </w:r>
                </w:p>
              </w:tc>
              <w:tc>
                <w:tcPr>
                  <w:tcW w:w="859" w:type="dxa"/>
                  <w:vAlign w:val="center"/>
                </w:tcPr>
                <w:p w14:paraId="1C4ADF05">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排放量kg/a</w:t>
                  </w:r>
                </w:p>
              </w:tc>
              <w:tc>
                <w:tcPr>
                  <w:tcW w:w="1104" w:type="dxa"/>
                  <w:vAlign w:val="center"/>
                </w:tcPr>
                <w:p w14:paraId="10317533">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w:t>
                  </w:r>
                </w:p>
                <w:p w14:paraId="740E11AD">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速率kg/h</w:t>
                  </w:r>
                </w:p>
              </w:tc>
              <w:tc>
                <w:tcPr>
                  <w:tcW w:w="1074" w:type="dxa"/>
                  <w:vAlign w:val="center"/>
                </w:tcPr>
                <w:p w14:paraId="0B167480">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排放浓度</w:t>
                  </w:r>
                </w:p>
                <w:p w14:paraId="58F03B1B">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mg/m</w:t>
                  </w:r>
                  <w:r>
                    <w:rPr>
                      <w:rFonts w:hint="default" w:ascii="Times New Roman" w:hAnsi="Times New Roman" w:cs="Times New Roman"/>
                      <w:b/>
                      <w:bCs/>
                      <w:color w:val="auto"/>
                      <w:sz w:val="21"/>
                      <w:szCs w:val="21"/>
                      <w:highlight w:val="none"/>
                      <w:vertAlign w:val="superscript"/>
                    </w:rPr>
                    <w:t>3</w:t>
                  </w:r>
                </w:p>
              </w:tc>
            </w:tr>
            <w:tr w14:paraId="6373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vMerge w:val="restart"/>
                  <w:vAlign w:val="center"/>
                </w:tcPr>
                <w:p w14:paraId="1AAD13E4">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无机废气</w:t>
                  </w:r>
                </w:p>
              </w:tc>
              <w:tc>
                <w:tcPr>
                  <w:tcW w:w="763" w:type="dxa"/>
                  <w:vAlign w:val="center"/>
                </w:tcPr>
                <w:p w14:paraId="4F710829">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氨气</w:t>
                  </w:r>
                </w:p>
              </w:tc>
              <w:tc>
                <w:tcPr>
                  <w:tcW w:w="687" w:type="dxa"/>
                  <w:vMerge w:val="restart"/>
                  <w:vAlign w:val="center"/>
                </w:tcPr>
                <w:p w14:paraId="57EFC2B2">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7500</w:t>
                  </w:r>
                </w:p>
              </w:tc>
              <w:tc>
                <w:tcPr>
                  <w:tcW w:w="883" w:type="dxa"/>
                  <w:vAlign w:val="center"/>
                </w:tcPr>
                <w:p w14:paraId="796EDA07">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0.0196</w:t>
                  </w:r>
                </w:p>
              </w:tc>
              <w:tc>
                <w:tcPr>
                  <w:tcW w:w="1119" w:type="dxa"/>
                  <w:vAlign w:val="center"/>
                </w:tcPr>
                <w:p w14:paraId="5586C52D">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0.0000392</w:t>
                  </w:r>
                </w:p>
              </w:tc>
              <w:tc>
                <w:tcPr>
                  <w:tcW w:w="1637" w:type="dxa"/>
                  <w:vAlign w:val="center"/>
                </w:tcPr>
                <w:p w14:paraId="10363181">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二级活性炭吸附处理效率27.75%</w:t>
                  </w:r>
                </w:p>
              </w:tc>
              <w:tc>
                <w:tcPr>
                  <w:tcW w:w="859" w:type="dxa"/>
                  <w:vAlign w:val="center"/>
                </w:tcPr>
                <w:p w14:paraId="5366D107">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0.0142</w:t>
                  </w:r>
                </w:p>
              </w:tc>
              <w:tc>
                <w:tcPr>
                  <w:tcW w:w="1104" w:type="dxa"/>
                  <w:vAlign w:val="center"/>
                </w:tcPr>
                <w:p w14:paraId="306E2643">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0.0000284</w:t>
                  </w:r>
                </w:p>
              </w:tc>
              <w:tc>
                <w:tcPr>
                  <w:tcW w:w="1074" w:type="dxa"/>
                  <w:vAlign w:val="center"/>
                </w:tcPr>
                <w:p w14:paraId="5591BE39">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0.003787</w:t>
                  </w:r>
                </w:p>
              </w:tc>
            </w:tr>
            <w:tr w14:paraId="52D3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vMerge w:val="continue"/>
                  <w:vAlign w:val="center"/>
                </w:tcPr>
                <w:p w14:paraId="715E8F5E">
                  <w:pPr>
                    <w:pStyle w:val="10"/>
                    <w:spacing w:line="240" w:lineRule="auto"/>
                    <w:ind w:firstLine="0" w:firstLineChars="0"/>
                    <w:jc w:val="center"/>
                    <w:rPr>
                      <w:rFonts w:hint="default" w:ascii="Times New Roman" w:hAnsi="Times New Roman" w:cs="Times New Roman"/>
                      <w:color w:val="auto"/>
                      <w:sz w:val="18"/>
                      <w:szCs w:val="18"/>
                      <w:highlight w:val="none"/>
                    </w:rPr>
                  </w:pPr>
                </w:p>
              </w:tc>
              <w:tc>
                <w:tcPr>
                  <w:tcW w:w="763" w:type="dxa"/>
                  <w:vAlign w:val="center"/>
                </w:tcPr>
                <w:p w14:paraId="376C386C">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687" w:type="dxa"/>
                  <w:vMerge w:val="continue"/>
                  <w:vAlign w:val="center"/>
                </w:tcPr>
                <w:p w14:paraId="4565D3EC">
                  <w:pPr>
                    <w:pStyle w:val="10"/>
                    <w:spacing w:line="240" w:lineRule="auto"/>
                    <w:ind w:firstLine="0" w:firstLineChars="0"/>
                    <w:jc w:val="center"/>
                    <w:rPr>
                      <w:rFonts w:hint="default" w:ascii="Times New Roman" w:hAnsi="Times New Roman" w:cs="Times New Roman"/>
                      <w:color w:val="auto"/>
                      <w:sz w:val="18"/>
                      <w:szCs w:val="18"/>
                      <w:highlight w:val="none"/>
                    </w:rPr>
                  </w:pPr>
                </w:p>
              </w:tc>
              <w:tc>
                <w:tcPr>
                  <w:tcW w:w="883" w:type="dxa"/>
                  <w:vAlign w:val="center"/>
                </w:tcPr>
                <w:p w14:paraId="3D119746">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0.3173</w:t>
                  </w:r>
                </w:p>
              </w:tc>
              <w:tc>
                <w:tcPr>
                  <w:tcW w:w="1119" w:type="dxa"/>
                  <w:vAlign w:val="center"/>
                </w:tcPr>
                <w:p w14:paraId="36D5D882">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0.0006346</w:t>
                  </w:r>
                </w:p>
              </w:tc>
              <w:tc>
                <w:tcPr>
                  <w:tcW w:w="1637" w:type="dxa"/>
                  <w:vMerge w:val="restart"/>
                  <w:vAlign w:val="center"/>
                </w:tcPr>
                <w:p w14:paraId="64956305">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碱液吸收处理效率88.3%+二级活性炭吸附处理效率27.75%</w:t>
                  </w:r>
                </w:p>
              </w:tc>
              <w:tc>
                <w:tcPr>
                  <w:tcW w:w="859" w:type="dxa"/>
                  <w:vAlign w:val="center"/>
                </w:tcPr>
                <w:p w14:paraId="35B42EE5">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0.0268</w:t>
                  </w:r>
                </w:p>
              </w:tc>
              <w:tc>
                <w:tcPr>
                  <w:tcW w:w="1104" w:type="dxa"/>
                  <w:vAlign w:val="center"/>
                </w:tcPr>
                <w:p w14:paraId="460F33D8">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0.0000536</w:t>
                  </w:r>
                </w:p>
              </w:tc>
              <w:tc>
                <w:tcPr>
                  <w:tcW w:w="1074" w:type="dxa"/>
                  <w:vAlign w:val="center"/>
                </w:tcPr>
                <w:p w14:paraId="20B89434">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0.007147</w:t>
                  </w:r>
                </w:p>
              </w:tc>
            </w:tr>
            <w:tr w14:paraId="00C8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4" w:type="dxa"/>
                  <w:vMerge w:val="continue"/>
                  <w:vAlign w:val="center"/>
                </w:tcPr>
                <w:p w14:paraId="641BB0CD">
                  <w:pPr>
                    <w:pStyle w:val="10"/>
                    <w:spacing w:line="240" w:lineRule="auto"/>
                    <w:ind w:firstLine="0" w:firstLineChars="0"/>
                    <w:rPr>
                      <w:rFonts w:hint="default" w:ascii="Times New Roman" w:hAnsi="Times New Roman" w:cs="Times New Roman"/>
                      <w:color w:val="auto"/>
                      <w:sz w:val="18"/>
                      <w:szCs w:val="18"/>
                      <w:highlight w:val="none"/>
                    </w:rPr>
                  </w:pPr>
                </w:p>
              </w:tc>
              <w:tc>
                <w:tcPr>
                  <w:tcW w:w="763" w:type="dxa"/>
                  <w:vAlign w:val="center"/>
                </w:tcPr>
                <w:p w14:paraId="5316C48B">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硫酸雾</w:t>
                  </w:r>
                </w:p>
              </w:tc>
              <w:tc>
                <w:tcPr>
                  <w:tcW w:w="687" w:type="dxa"/>
                  <w:vMerge w:val="continue"/>
                  <w:vAlign w:val="center"/>
                </w:tcPr>
                <w:p w14:paraId="50E3BF33">
                  <w:pPr>
                    <w:pStyle w:val="10"/>
                    <w:spacing w:line="240" w:lineRule="auto"/>
                    <w:ind w:firstLine="0" w:firstLineChars="0"/>
                    <w:rPr>
                      <w:rFonts w:hint="default" w:ascii="Times New Roman" w:hAnsi="Times New Roman" w:cs="Times New Roman"/>
                      <w:color w:val="auto"/>
                      <w:sz w:val="18"/>
                      <w:szCs w:val="18"/>
                      <w:highlight w:val="none"/>
                    </w:rPr>
                  </w:pPr>
                </w:p>
              </w:tc>
              <w:tc>
                <w:tcPr>
                  <w:tcW w:w="883" w:type="dxa"/>
                  <w:vAlign w:val="center"/>
                </w:tcPr>
                <w:p w14:paraId="48024764">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0.0008</w:t>
                  </w:r>
                </w:p>
              </w:tc>
              <w:tc>
                <w:tcPr>
                  <w:tcW w:w="1119" w:type="dxa"/>
                  <w:vAlign w:val="center"/>
                </w:tcPr>
                <w:p w14:paraId="739CB073">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0.0000016</w:t>
                  </w:r>
                </w:p>
              </w:tc>
              <w:tc>
                <w:tcPr>
                  <w:tcW w:w="1637" w:type="dxa"/>
                  <w:vMerge w:val="continue"/>
                  <w:vAlign w:val="center"/>
                </w:tcPr>
                <w:p w14:paraId="5B665226">
                  <w:pPr>
                    <w:pStyle w:val="10"/>
                    <w:spacing w:line="240" w:lineRule="auto"/>
                    <w:ind w:firstLine="0" w:firstLineChars="0"/>
                    <w:jc w:val="center"/>
                    <w:rPr>
                      <w:rFonts w:hint="default" w:ascii="Times New Roman" w:hAnsi="Times New Roman" w:cs="Times New Roman"/>
                      <w:color w:val="auto"/>
                      <w:sz w:val="18"/>
                      <w:szCs w:val="18"/>
                      <w:highlight w:val="none"/>
                    </w:rPr>
                  </w:pPr>
                </w:p>
              </w:tc>
              <w:tc>
                <w:tcPr>
                  <w:tcW w:w="859" w:type="dxa"/>
                  <w:vAlign w:val="center"/>
                </w:tcPr>
                <w:p w14:paraId="729AE1B4">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0.00007</w:t>
                  </w:r>
                </w:p>
              </w:tc>
              <w:tc>
                <w:tcPr>
                  <w:tcW w:w="1104" w:type="dxa"/>
                  <w:vAlign w:val="center"/>
                </w:tcPr>
                <w:p w14:paraId="37FB3373">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0.00000014</w:t>
                  </w:r>
                </w:p>
              </w:tc>
              <w:tc>
                <w:tcPr>
                  <w:tcW w:w="1074" w:type="dxa"/>
                  <w:vAlign w:val="center"/>
                </w:tcPr>
                <w:p w14:paraId="35190CED">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0.004027</w:t>
                  </w:r>
                </w:p>
              </w:tc>
            </w:tr>
            <w:tr w14:paraId="3525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vMerge w:val="continue"/>
                  <w:vAlign w:val="center"/>
                </w:tcPr>
                <w:p w14:paraId="438DAB2C">
                  <w:pPr>
                    <w:pStyle w:val="10"/>
                    <w:spacing w:line="240" w:lineRule="auto"/>
                    <w:ind w:firstLine="0" w:firstLineChars="0"/>
                    <w:rPr>
                      <w:rFonts w:hint="default" w:ascii="Times New Roman" w:hAnsi="Times New Roman" w:cs="Times New Roman"/>
                      <w:color w:val="auto"/>
                      <w:sz w:val="18"/>
                      <w:szCs w:val="18"/>
                      <w:highlight w:val="none"/>
                    </w:rPr>
                  </w:pPr>
                </w:p>
              </w:tc>
              <w:tc>
                <w:tcPr>
                  <w:tcW w:w="763" w:type="dxa"/>
                  <w:vAlign w:val="center"/>
                </w:tcPr>
                <w:p w14:paraId="1000929E">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HCl</w:t>
                  </w:r>
                </w:p>
              </w:tc>
              <w:tc>
                <w:tcPr>
                  <w:tcW w:w="687" w:type="dxa"/>
                  <w:vMerge w:val="continue"/>
                  <w:vAlign w:val="center"/>
                </w:tcPr>
                <w:p w14:paraId="1C429836">
                  <w:pPr>
                    <w:pStyle w:val="10"/>
                    <w:spacing w:line="240" w:lineRule="auto"/>
                    <w:ind w:firstLine="0" w:firstLineChars="0"/>
                    <w:rPr>
                      <w:rFonts w:hint="default" w:ascii="Times New Roman" w:hAnsi="Times New Roman" w:cs="Times New Roman"/>
                      <w:color w:val="auto"/>
                      <w:sz w:val="18"/>
                      <w:szCs w:val="18"/>
                      <w:highlight w:val="none"/>
                    </w:rPr>
                  </w:pPr>
                </w:p>
              </w:tc>
              <w:tc>
                <w:tcPr>
                  <w:tcW w:w="883" w:type="dxa"/>
                  <w:vAlign w:val="center"/>
                </w:tcPr>
                <w:p w14:paraId="187F8914">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0.1782</w:t>
                  </w:r>
                </w:p>
              </w:tc>
              <w:tc>
                <w:tcPr>
                  <w:tcW w:w="1119" w:type="dxa"/>
                  <w:vAlign w:val="center"/>
                </w:tcPr>
                <w:p w14:paraId="391808DE">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0.0003564</w:t>
                  </w:r>
                </w:p>
              </w:tc>
              <w:tc>
                <w:tcPr>
                  <w:tcW w:w="1637" w:type="dxa"/>
                  <w:vMerge w:val="continue"/>
                  <w:vAlign w:val="center"/>
                </w:tcPr>
                <w:p w14:paraId="2517565B">
                  <w:pPr>
                    <w:pStyle w:val="10"/>
                    <w:spacing w:line="240" w:lineRule="auto"/>
                    <w:ind w:firstLine="0" w:firstLineChars="0"/>
                    <w:jc w:val="center"/>
                    <w:rPr>
                      <w:rFonts w:hint="default" w:ascii="Times New Roman" w:hAnsi="Times New Roman" w:cs="Times New Roman"/>
                      <w:color w:val="auto"/>
                      <w:sz w:val="18"/>
                      <w:szCs w:val="18"/>
                      <w:highlight w:val="none"/>
                    </w:rPr>
                  </w:pPr>
                </w:p>
              </w:tc>
              <w:tc>
                <w:tcPr>
                  <w:tcW w:w="859" w:type="dxa"/>
                  <w:vAlign w:val="center"/>
                </w:tcPr>
                <w:p w14:paraId="2ACBA14C">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0.0151</w:t>
                  </w:r>
                </w:p>
              </w:tc>
              <w:tc>
                <w:tcPr>
                  <w:tcW w:w="1104" w:type="dxa"/>
                  <w:vAlign w:val="center"/>
                </w:tcPr>
                <w:p w14:paraId="2A5BC406">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0.0000302</w:t>
                  </w:r>
                </w:p>
              </w:tc>
              <w:tc>
                <w:tcPr>
                  <w:tcW w:w="1074" w:type="dxa"/>
                  <w:vAlign w:val="center"/>
                </w:tcPr>
                <w:p w14:paraId="5AD6EE8B">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0.004027</w:t>
                  </w:r>
                </w:p>
              </w:tc>
            </w:tr>
          </w:tbl>
          <w:p w14:paraId="29916DB5">
            <w:pPr>
              <w:pStyle w:val="10"/>
              <w:ind w:firstLine="482"/>
              <w:rPr>
                <w:rFonts w:hint="default" w:ascii="Times New Roman" w:hAnsi="Times New Roman" w:cs="Times New Roman"/>
                <w:color w:val="auto"/>
                <w:szCs w:val="24"/>
                <w:highlight w:val="none"/>
              </w:rPr>
            </w:pPr>
            <w:r>
              <w:rPr>
                <w:rFonts w:hint="default" w:ascii="Times New Roman" w:hAnsi="Times New Roman" w:cs="Times New Roman"/>
                <w:b/>
                <w:bCs/>
                <w:color w:val="auto"/>
                <w:szCs w:val="24"/>
                <w:highlight w:val="none"/>
              </w:rPr>
              <w:t>②有机废气（以非甲烷总烃计）</w:t>
            </w:r>
          </w:p>
          <w:p w14:paraId="67654591">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设计的理化实验室使用化学试剂种类较多，但总体用量不大，其中具有挥发性的化学试剂有甲醇中三溴甲烷、甲醇中二溴一氯甲烷、甲醇中一溴二氯甲烷、甲醇中三氯甲烷、四氯化碳混标、正己烷中8种有机氯农药混标、丙酮、苯酚、无水乙醇、异丙醇、乙腈，以上有机溶剂一般是作为萃取液用于提纯，使用完毕后大部分作为废液经预处理后排入污水处理站处理，仅少部分以有机废气（以非甲烷总烃计）的形式挥发。</w:t>
            </w:r>
          </w:p>
          <w:p w14:paraId="476A08B1">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由于理化实验室所用器皿的敞口面积较小，根据实验室经验及有机试剂的理化性质，有机试剂的挥发量一般在1%~10%，本项目以5%计算，则有机试剂约95%进入废液，各有机试剂年使用量及挥发量如下表。</w:t>
            </w:r>
          </w:p>
          <w:p w14:paraId="28223CE7">
            <w:pPr>
              <w:pStyle w:val="10"/>
              <w:spacing w:line="240" w:lineRule="auto"/>
              <w:ind w:firstLine="0" w:firstLineChars="0"/>
              <w:jc w:val="center"/>
              <w:rPr>
                <w:rFonts w:hint="default" w:ascii="Times New Roman" w:hAnsi="Times New Roman" w:cs="Times New Roman"/>
                <w:color w:val="auto"/>
                <w:szCs w:val="24"/>
                <w:highlight w:val="none"/>
              </w:rPr>
            </w:pPr>
            <w:r>
              <w:rPr>
                <w:rFonts w:hint="default" w:ascii="Times New Roman" w:hAnsi="Times New Roman" w:cs="Times New Roman"/>
                <w:b/>
                <w:bCs/>
                <w:color w:val="auto"/>
                <w:sz w:val="21"/>
                <w:szCs w:val="21"/>
                <w:highlight w:val="none"/>
                <w:lang w:bidi="ar"/>
              </w:rPr>
              <w:t>表4-3 理化实验室有机试剂的物料平衡情况表</w:t>
            </w:r>
          </w:p>
          <w:tbl>
            <w:tblPr>
              <w:tblStyle w:val="33"/>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2247"/>
              <w:gridCol w:w="873"/>
              <w:gridCol w:w="1145"/>
              <w:gridCol w:w="1249"/>
              <w:gridCol w:w="1249"/>
              <w:gridCol w:w="1249"/>
            </w:tblGrid>
            <w:tr w14:paraId="74DEC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11B71F4C">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2247" w:type="dxa"/>
                  <w:vAlign w:val="center"/>
                </w:tcPr>
                <w:p w14:paraId="2B9A25B3">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有机试剂</w:t>
                  </w:r>
                </w:p>
              </w:tc>
              <w:tc>
                <w:tcPr>
                  <w:tcW w:w="873" w:type="dxa"/>
                  <w:vAlign w:val="center"/>
                </w:tcPr>
                <w:p w14:paraId="715205C8">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年用量</w:t>
                  </w:r>
                </w:p>
                <w:p w14:paraId="23E62082">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ml</w:t>
                  </w:r>
                </w:p>
              </w:tc>
              <w:tc>
                <w:tcPr>
                  <w:tcW w:w="1145" w:type="dxa"/>
                  <w:vAlign w:val="center"/>
                </w:tcPr>
                <w:p w14:paraId="3560805A">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相对密度g/cm</w:t>
                  </w:r>
                  <w:r>
                    <w:rPr>
                      <w:rFonts w:hint="default" w:ascii="Times New Roman" w:hAnsi="Times New Roman" w:cs="Times New Roman"/>
                      <w:b/>
                      <w:bCs/>
                      <w:color w:val="auto"/>
                      <w:sz w:val="21"/>
                      <w:szCs w:val="21"/>
                      <w:highlight w:val="none"/>
                      <w:vertAlign w:val="superscript"/>
                    </w:rPr>
                    <w:t>3</w:t>
                  </w:r>
                </w:p>
              </w:tc>
              <w:tc>
                <w:tcPr>
                  <w:tcW w:w="1249" w:type="dxa"/>
                  <w:vAlign w:val="center"/>
                </w:tcPr>
                <w:p w14:paraId="0276AD95">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年使用量kg/a</w:t>
                  </w:r>
                </w:p>
              </w:tc>
              <w:tc>
                <w:tcPr>
                  <w:tcW w:w="1249" w:type="dxa"/>
                  <w:vAlign w:val="center"/>
                </w:tcPr>
                <w:p w14:paraId="105226E0">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进入废液kg/a</w:t>
                  </w:r>
                </w:p>
              </w:tc>
              <w:tc>
                <w:tcPr>
                  <w:tcW w:w="1249" w:type="dxa"/>
                  <w:vAlign w:val="center"/>
                </w:tcPr>
                <w:p w14:paraId="4F170A47">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废气挥发量kg/a</w:t>
                  </w:r>
                </w:p>
              </w:tc>
            </w:tr>
            <w:tr w14:paraId="0F80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5428643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2247" w:type="dxa"/>
                  <w:vAlign w:val="center"/>
                </w:tcPr>
                <w:p w14:paraId="391F311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甲醇中三溴甲烷</w:t>
                  </w:r>
                </w:p>
              </w:tc>
              <w:tc>
                <w:tcPr>
                  <w:tcW w:w="873" w:type="dxa"/>
                  <w:vAlign w:val="center"/>
                </w:tcPr>
                <w:p w14:paraId="6A16262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1145" w:type="dxa"/>
                  <w:vAlign w:val="center"/>
                </w:tcPr>
                <w:p w14:paraId="313FBF6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0.791</w:t>
                  </w:r>
                </w:p>
              </w:tc>
              <w:tc>
                <w:tcPr>
                  <w:tcW w:w="1249" w:type="dxa"/>
                  <w:vAlign w:val="center"/>
                </w:tcPr>
                <w:p w14:paraId="2B55470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0.004746</w:t>
                  </w:r>
                </w:p>
              </w:tc>
              <w:tc>
                <w:tcPr>
                  <w:tcW w:w="1249" w:type="dxa"/>
                  <w:vAlign w:val="center"/>
                </w:tcPr>
                <w:p w14:paraId="4D81437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0.004509</w:t>
                  </w:r>
                </w:p>
              </w:tc>
              <w:tc>
                <w:tcPr>
                  <w:tcW w:w="1249" w:type="dxa"/>
                  <w:vAlign w:val="center"/>
                </w:tcPr>
                <w:p w14:paraId="19A536E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0.0002373</w:t>
                  </w:r>
                </w:p>
              </w:tc>
            </w:tr>
            <w:tr w14:paraId="0B4C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26A7CE2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2247" w:type="dxa"/>
                  <w:vAlign w:val="center"/>
                </w:tcPr>
                <w:p w14:paraId="33607AB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甲醇中二溴一氯甲烷</w:t>
                  </w:r>
                </w:p>
              </w:tc>
              <w:tc>
                <w:tcPr>
                  <w:tcW w:w="873" w:type="dxa"/>
                  <w:vAlign w:val="center"/>
                </w:tcPr>
                <w:p w14:paraId="6D7E66F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1145" w:type="dxa"/>
                  <w:vAlign w:val="center"/>
                </w:tcPr>
                <w:p w14:paraId="0ED56B4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0.791</w:t>
                  </w:r>
                </w:p>
              </w:tc>
              <w:tc>
                <w:tcPr>
                  <w:tcW w:w="1249" w:type="dxa"/>
                  <w:vAlign w:val="center"/>
                </w:tcPr>
                <w:p w14:paraId="26CFF7E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0.004746</w:t>
                  </w:r>
                </w:p>
              </w:tc>
              <w:tc>
                <w:tcPr>
                  <w:tcW w:w="1249" w:type="dxa"/>
                  <w:vAlign w:val="center"/>
                </w:tcPr>
                <w:p w14:paraId="75340F8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0.004509</w:t>
                  </w:r>
                </w:p>
              </w:tc>
              <w:tc>
                <w:tcPr>
                  <w:tcW w:w="1249" w:type="dxa"/>
                  <w:vAlign w:val="center"/>
                </w:tcPr>
                <w:p w14:paraId="465B7C8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0.0002373</w:t>
                  </w:r>
                </w:p>
              </w:tc>
            </w:tr>
            <w:tr w14:paraId="533A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452A62B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2247" w:type="dxa"/>
                  <w:vAlign w:val="center"/>
                </w:tcPr>
                <w:p w14:paraId="139F0EA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甲醇中一溴二氯甲烷</w:t>
                  </w:r>
                </w:p>
              </w:tc>
              <w:tc>
                <w:tcPr>
                  <w:tcW w:w="873" w:type="dxa"/>
                  <w:vAlign w:val="center"/>
                </w:tcPr>
                <w:p w14:paraId="2B0F8C2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1145" w:type="dxa"/>
                  <w:vAlign w:val="center"/>
                </w:tcPr>
                <w:p w14:paraId="4DD211E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0.792</w:t>
                  </w:r>
                </w:p>
              </w:tc>
              <w:tc>
                <w:tcPr>
                  <w:tcW w:w="1249" w:type="dxa"/>
                  <w:vAlign w:val="center"/>
                </w:tcPr>
                <w:p w14:paraId="05D03F3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0.004752</w:t>
                  </w:r>
                </w:p>
              </w:tc>
              <w:tc>
                <w:tcPr>
                  <w:tcW w:w="1249" w:type="dxa"/>
                  <w:vAlign w:val="center"/>
                </w:tcPr>
                <w:p w14:paraId="252BA55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0.004514</w:t>
                  </w:r>
                </w:p>
              </w:tc>
              <w:tc>
                <w:tcPr>
                  <w:tcW w:w="1249" w:type="dxa"/>
                  <w:vAlign w:val="center"/>
                </w:tcPr>
                <w:p w14:paraId="1893539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0.0002376</w:t>
                  </w:r>
                </w:p>
              </w:tc>
            </w:tr>
            <w:tr w14:paraId="5FD5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1BC9CC1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2247" w:type="dxa"/>
                  <w:vAlign w:val="center"/>
                </w:tcPr>
                <w:p w14:paraId="6ACD04F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甲醇中三氯甲烷、四氯化碳混标</w:t>
                  </w:r>
                </w:p>
              </w:tc>
              <w:tc>
                <w:tcPr>
                  <w:tcW w:w="873" w:type="dxa"/>
                  <w:vAlign w:val="center"/>
                </w:tcPr>
                <w:p w14:paraId="1A464F7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1145" w:type="dxa"/>
                  <w:vAlign w:val="center"/>
                </w:tcPr>
                <w:p w14:paraId="3BB008C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0.791</w:t>
                  </w:r>
                </w:p>
              </w:tc>
              <w:tc>
                <w:tcPr>
                  <w:tcW w:w="1249" w:type="dxa"/>
                  <w:vAlign w:val="center"/>
                </w:tcPr>
                <w:p w14:paraId="0A03752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0.003164</w:t>
                  </w:r>
                </w:p>
              </w:tc>
              <w:tc>
                <w:tcPr>
                  <w:tcW w:w="1249" w:type="dxa"/>
                  <w:vAlign w:val="center"/>
                </w:tcPr>
                <w:p w14:paraId="5AE9740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0.003006</w:t>
                  </w:r>
                </w:p>
              </w:tc>
              <w:tc>
                <w:tcPr>
                  <w:tcW w:w="1249" w:type="dxa"/>
                  <w:vAlign w:val="center"/>
                </w:tcPr>
                <w:p w14:paraId="34FB5DE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0.0001582</w:t>
                  </w:r>
                </w:p>
              </w:tc>
            </w:tr>
            <w:tr w14:paraId="691F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53A8880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2247" w:type="dxa"/>
                  <w:vAlign w:val="center"/>
                </w:tcPr>
                <w:p w14:paraId="2F6BB87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正己烷中8种有机氯农药混标</w:t>
                  </w:r>
                </w:p>
              </w:tc>
              <w:tc>
                <w:tcPr>
                  <w:tcW w:w="873" w:type="dxa"/>
                  <w:vAlign w:val="center"/>
                </w:tcPr>
                <w:p w14:paraId="35C1FF1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1145" w:type="dxa"/>
                  <w:vAlign w:val="center"/>
                </w:tcPr>
                <w:p w14:paraId="3D3589B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0.659</w:t>
                  </w:r>
                </w:p>
              </w:tc>
              <w:tc>
                <w:tcPr>
                  <w:tcW w:w="1249" w:type="dxa"/>
                  <w:vAlign w:val="center"/>
                </w:tcPr>
                <w:p w14:paraId="41A1297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0.001318</w:t>
                  </w:r>
                </w:p>
              </w:tc>
              <w:tc>
                <w:tcPr>
                  <w:tcW w:w="1249" w:type="dxa"/>
                  <w:vAlign w:val="center"/>
                </w:tcPr>
                <w:p w14:paraId="33314FB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0.001252</w:t>
                  </w:r>
                </w:p>
              </w:tc>
              <w:tc>
                <w:tcPr>
                  <w:tcW w:w="1249" w:type="dxa"/>
                  <w:vAlign w:val="center"/>
                </w:tcPr>
                <w:p w14:paraId="1B64DF8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0.0000659</w:t>
                  </w:r>
                </w:p>
              </w:tc>
            </w:tr>
            <w:tr w14:paraId="6E5B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6D33C43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2247" w:type="dxa"/>
                  <w:vAlign w:val="center"/>
                </w:tcPr>
                <w:p w14:paraId="127F318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丙酮</w:t>
                  </w:r>
                </w:p>
              </w:tc>
              <w:tc>
                <w:tcPr>
                  <w:tcW w:w="873" w:type="dxa"/>
                  <w:vAlign w:val="center"/>
                </w:tcPr>
                <w:p w14:paraId="3CE96F6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1145" w:type="dxa"/>
                  <w:vAlign w:val="center"/>
                </w:tcPr>
                <w:p w14:paraId="1B02725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0.8</w:t>
                  </w:r>
                </w:p>
              </w:tc>
              <w:tc>
                <w:tcPr>
                  <w:tcW w:w="1249" w:type="dxa"/>
                  <w:vAlign w:val="center"/>
                </w:tcPr>
                <w:p w14:paraId="1138CA0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0.24</w:t>
                  </w:r>
                </w:p>
              </w:tc>
              <w:tc>
                <w:tcPr>
                  <w:tcW w:w="1249" w:type="dxa"/>
                  <w:vAlign w:val="center"/>
                </w:tcPr>
                <w:p w14:paraId="777FDFC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0.228</w:t>
                  </w:r>
                </w:p>
              </w:tc>
              <w:tc>
                <w:tcPr>
                  <w:tcW w:w="1249" w:type="dxa"/>
                  <w:vAlign w:val="center"/>
                </w:tcPr>
                <w:p w14:paraId="304AC90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0.012</w:t>
                  </w:r>
                </w:p>
              </w:tc>
            </w:tr>
            <w:tr w14:paraId="7E91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7C49AB4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tc>
              <w:tc>
                <w:tcPr>
                  <w:tcW w:w="2247" w:type="dxa"/>
                  <w:vAlign w:val="center"/>
                </w:tcPr>
                <w:p w14:paraId="509D793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苯酚</w:t>
                  </w:r>
                </w:p>
              </w:tc>
              <w:tc>
                <w:tcPr>
                  <w:tcW w:w="873" w:type="dxa"/>
                  <w:vAlign w:val="center"/>
                </w:tcPr>
                <w:p w14:paraId="35A359D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1145" w:type="dxa"/>
                  <w:vAlign w:val="center"/>
                </w:tcPr>
                <w:p w14:paraId="58DE11C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1.07</w:t>
                  </w:r>
                </w:p>
              </w:tc>
              <w:tc>
                <w:tcPr>
                  <w:tcW w:w="1249" w:type="dxa"/>
                  <w:vAlign w:val="center"/>
                </w:tcPr>
                <w:p w14:paraId="077E792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0.0107</w:t>
                  </w:r>
                </w:p>
              </w:tc>
              <w:tc>
                <w:tcPr>
                  <w:tcW w:w="1249" w:type="dxa"/>
                  <w:vAlign w:val="center"/>
                </w:tcPr>
                <w:p w14:paraId="6816301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0.010165</w:t>
                  </w:r>
                </w:p>
              </w:tc>
              <w:tc>
                <w:tcPr>
                  <w:tcW w:w="1249" w:type="dxa"/>
                  <w:vAlign w:val="center"/>
                </w:tcPr>
                <w:p w14:paraId="514F43F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0.000535</w:t>
                  </w:r>
                </w:p>
              </w:tc>
            </w:tr>
            <w:tr w14:paraId="271F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5FF9BCB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2247" w:type="dxa"/>
                  <w:vAlign w:val="center"/>
                </w:tcPr>
                <w:p w14:paraId="635F7EB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无水乙醇</w:t>
                  </w:r>
                </w:p>
              </w:tc>
              <w:tc>
                <w:tcPr>
                  <w:tcW w:w="873" w:type="dxa"/>
                  <w:vAlign w:val="center"/>
                </w:tcPr>
                <w:p w14:paraId="39BB8CF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w:t>
                  </w:r>
                </w:p>
              </w:tc>
              <w:tc>
                <w:tcPr>
                  <w:tcW w:w="1145" w:type="dxa"/>
                  <w:vAlign w:val="center"/>
                </w:tcPr>
                <w:p w14:paraId="5C76131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0.789</w:t>
                  </w:r>
                </w:p>
              </w:tc>
              <w:tc>
                <w:tcPr>
                  <w:tcW w:w="1249" w:type="dxa"/>
                  <w:vAlign w:val="center"/>
                </w:tcPr>
                <w:p w14:paraId="2013729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0.3156</w:t>
                  </w:r>
                </w:p>
              </w:tc>
              <w:tc>
                <w:tcPr>
                  <w:tcW w:w="1249" w:type="dxa"/>
                  <w:vAlign w:val="center"/>
                </w:tcPr>
                <w:p w14:paraId="19BA481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0.29982</w:t>
                  </w:r>
                </w:p>
              </w:tc>
              <w:tc>
                <w:tcPr>
                  <w:tcW w:w="1249" w:type="dxa"/>
                  <w:vAlign w:val="center"/>
                </w:tcPr>
                <w:p w14:paraId="7641795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0.01578</w:t>
                  </w:r>
                </w:p>
              </w:tc>
            </w:tr>
            <w:tr w14:paraId="48AE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180CA80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2247" w:type="dxa"/>
                  <w:vAlign w:val="center"/>
                </w:tcPr>
                <w:p w14:paraId="7330DBE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异丙醇</w:t>
                  </w:r>
                </w:p>
              </w:tc>
              <w:tc>
                <w:tcPr>
                  <w:tcW w:w="873" w:type="dxa"/>
                  <w:vAlign w:val="center"/>
                </w:tcPr>
                <w:p w14:paraId="03EDCBA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200</w:t>
                  </w:r>
                </w:p>
              </w:tc>
              <w:tc>
                <w:tcPr>
                  <w:tcW w:w="1145" w:type="dxa"/>
                  <w:vAlign w:val="center"/>
                </w:tcPr>
                <w:p w14:paraId="3D46720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0.785</w:t>
                  </w:r>
                </w:p>
              </w:tc>
              <w:tc>
                <w:tcPr>
                  <w:tcW w:w="1249" w:type="dxa"/>
                  <w:vAlign w:val="center"/>
                </w:tcPr>
                <w:p w14:paraId="05478FD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0.157</w:t>
                  </w:r>
                </w:p>
              </w:tc>
              <w:tc>
                <w:tcPr>
                  <w:tcW w:w="1249" w:type="dxa"/>
                  <w:vAlign w:val="center"/>
                </w:tcPr>
                <w:p w14:paraId="74A3CEA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0.14915</w:t>
                  </w:r>
                </w:p>
              </w:tc>
              <w:tc>
                <w:tcPr>
                  <w:tcW w:w="1249" w:type="dxa"/>
                  <w:vAlign w:val="center"/>
                </w:tcPr>
                <w:p w14:paraId="11F25D5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0.00785</w:t>
                  </w:r>
                </w:p>
              </w:tc>
            </w:tr>
            <w:tr w14:paraId="4503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2A61A54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2247" w:type="dxa"/>
                  <w:vAlign w:val="center"/>
                </w:tcPr>
                <w:p w14:paraId="4C29517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乙腈</w:t>
                  </w:r>
                </w:p>
              </w:tc>
              <w:tc>
                <w:tcPr>
                  <w:tcW w:w="873" w:type="dxa"/>
                  <w:vAlign w:val="center"/>
                </w:tcPr>
                <w:p w14:paraId="2271A31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w:t>
                  </w:r>
                </w:p>
              </w:tc>
              <w:tc>
                <w:tcPr>
                  <w:tcW w:w="1145" w:type="dxa"/>
                  <w:vAlign w:val="center"/>
                </w:tcPr>
                <w:p w14:paraId="0894D08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0.786</w:t>
                  </w:r>
                </w:p>
              </w:tc>
              <w:tc>
                <w:tcPr>
                  <w:tcW w:w="1249" w:type="dxa"/>
                  <w:vAlign w:val="center"/>
                </w:tcPr>
                <w:p w14:paraId="72A9B81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0.786</w:t>
                  </w:r>
                </w:p>
              </w:tc>
              <w:tc>
                <w:tcPr>
                  <w:tcW w:w="1249" w:type="dxa"/>
                  <w:vAlign w:val="center"/>
                </w:tcPr>
                <w:p w14:paraId="67B0FA7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0.7467</w:t>
                  </w:r>
                </w:p>
              </w:tc>
              <w:tc>
                <w:tcPr>
                  <w:tcW w:w="1249" w:type="dxa"/>
                  <w:vAlign w:val="center"/>
                </w:tcPr>
                <w:p w14:paraId="1F6F5FB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0.0393</w:t>
                  </w:r>
                </w:p>
              </w:tc>
            </w:tr>
            <w:tr w14:paraId="5646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 w:type="dxa"/>
                  <w:vAlign w:val="center"/>
                </w:tcPr>
                <w:p w14:paraId="6A71AC7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w:t>
                  </w:r>
                </w:p>
              </w:tc>
              <w:tc>
                <w:tcPr>
                  <w:tcW w:w="2247" w:type="dxa"/>
                  <w:vAlign w:val="center"/>
                </w:tcPr>
                <w:p w14:paraId="5982940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873" w:type="dxa"/>
                  <w:vAlign w:val="center"/>
                </w:tcPr>
                <w:p w14:paraId="66065F5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1934</w:t>
                  </w:r>
                </w:p>
              </w:tc>
              <w:tc>
                <w:tcPr>
                  <w:tcW w:w="1145" w:type="dxa"/>
                  <w:vAlign w:val="center"/>
                </w:tcPr>
                <w:p w14:paraId="5B047F7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249" w:type="dxa"/>
                  <w:vAlign w:val="center"/>
                </w:tcPr>
                <w:p w14:paraId="322C114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1.528026</w:t>
                  </w:r>
                </w:p>
              </w:tc>
              <w:tc>
                <w:tcPr>
                  <w:tcW w:w="1249" w:type="dxa"/>
                  <w:vAlign w:val="center"/>
                </w:tcPr>
                <w:p w14:paraId="7A9A9E0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1.4516247</w:t>
                  </w:r>
                </w:p>
              </w:tc>
              <w:tc>
                <w:tcPr>
                  <w:tcW w:w="1249" w:type="dxa"/>
                  <w:vAlign w:val="center"/>
                </w:tcPr>
                <w:p w14:paraId="5048166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0.0764013</w:t>
                  </w:r>
                </w:p>
              </w:tc>
            </w:tr>
          </w:tbl>
          <w:p w14:paraId="168ECD63">
            <w:pPr>
              <w:pStyle w:val="10"/>
              <w:ind w:firstLine="480"/>
              <w:rPr>
                <w:rFonts w:hint="default" w:ascii="Times New Roman" w:hAnsi="Times New Roman" w:cs="Times New Roman"/>
                <w:color w:val="auto"/>
                <w:sz w:val="21"/>
                <w:szCs w:val="21"/>
                <w:highlight w:val="none"/>
              </w:rPr>
            </w:pPr>
            <w:r>
              <w:rPr>
                <w:rFonts w:hint="default" w:ascii="Times New Roman" w:hAnsi="Times New Roman" w:cs="Times New Roman"/>
                <w:color w:val="auto"/>
                <w:szCs w:val="24"/>
                <w:highlight w:val="none"/>
              </w:rPr>
              <w:t>综上，项目有机废气（以非甲烷总烃计）产生量为0.0764kg/a，经固定3台实验室通风柜密封收集，采用二级活性炭吸附（处理效率27.75%）后，通过强制抽风进入专用管道，引至楼顶排气筒（DA001）排放，则有组织废气排放量为0.0552kg/a，理化实验室有机废气（以非甲烷总烃计）排放情况见下表。</w:t>
            </w:r>
          </w:p>
          <w:p w14:paraId="3E6DB287">
            <w:pPr>
              <w:pStyle w:val="10"/>
              <w:spacing w:before="120" w:beforeLines="50" w:line="240" w:lineRule="auto"/>
              <w:ind w:firstLine="0" w:firstLineChars="0"/>
              <w:jc w:val="center"/>
              <w:rPr>
                <w:rFonts w:hint="default" w:ascii="Times New Roman" w:hAnsi="Times New Roman" w:cs="Times New Roman"/>
                <w:b/>
                <w:bCs/>
                <w:color w:val="auto"/>
                <w:sz w:val="21"/>
                <w:szCs w:val="21"/>
                <w:highlight w:val="none"/>
                <w:lang w:bidi="ar"/>
              </w:rPr>
            </w:pPr>
            <w:r>
              <w:rPr>
                <w:rFonts w:hint="default" w:ascii="Times New Roman" w:hAnsi="Times New Roman" w:cs="Times New Roman"/>
                <w:b/>
                <w:bCs/>
                <w:color w:val="auto"/>
                <w:sz w:val="21"/>
                <w:szCs w:val="21"/>
                <w:highlight w:val="none"/>
                <w:lang w:bidi="ar"/>
              </w:rPr>
              <w:t>表4-4 理化实验室有机试剂挥发量产排情况</w:t>
            </w:r>
          </w:p>
          <w:tbl>
            <w:tblPr>
              <w:tblStyle w:val="33"/>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200"/>
              <w:gridCol w:w="859"/>
              <w:gridCol w:w="855"/>
              <w:gridCol w:w="1832"/>
              <w:gridCol w:w="954"/>
              <w:gridCol w:w="941"/>
              <w:gridCol w:w="1047"/>
            </w:tblGrid>
            <w:tr w14:paraId="16AF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Align w:val="center"/>
                </w:tcPr>
                <w:p w14:paraId="634A5778">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1200" w:type="dxa"/>
                  <w:vAlign w:val="center"/>
                </w:tcPr>
                <w:p w14:paraId="207BC196">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排放方式</w:t>
                  </w:r>
                </w:p>
              </w:tc>
              <w:tc>
                <w:tcPr>
                  <w:tcW w:w="859" w:type="dxa"/>
                  <w:vAlign w:val="center"/>
                </w:tcPr>
                <w:p w14:paraId="44A0F777">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排气筒高度m</w:t>
                  </w:r>
                </w:p>
              </w:tc>
              <w:tc>
                <w:tcPr>
                  <w:tcW w:w="855" w:type="dxa"/>
                  <w:vAlign w:val="center"/>
                </w:tcPr>
                <w:p w14:paraId="2FC013A0">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产生量kg/a</w:t>
                  </w:r>
                </w:p>
              </w:tc>
              <w:tc>
                <w:tcPr>
                  <w:tcW w:w="1832" w:type="dxa"/>
                  <w:vAlign w:val="center"/>
                </w:tcPr>
                <w:p w14:paraId="632DD6FE">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处理措施</w:t>
                  </w:r>
                </w:p>
              </w:tc>
              <w:tc>
                <w:tcPr>
                  <w:tcW w:w="954" w:type="dxa"/>
                  <w:vAlign w:val="center"/>
                </w:tcPr>
                <w:p w14:paraId="08695DBE">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排放量kg/a</w:t>
                  </w:r>
                </w:p>
              </w:tc>
              <w:tc>
                <w:tcPr>
                  <w:tcW w:w="941" w:type="dxa"/>
                  <w:vAlign w:val="center"/>
                </w:tcPr>
                <w:p w14:paraId="6973A397">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排放速率kg/h</w:t>
                  </w:r>
                </w:p>
              </w:tc>
              <w:tc>
                <w:tcPr>
                  <w:tcW w:w="1047" w:type="dxa"/>
                  <w:vAlign w:val="center"/>
                </w:tcPr>
                <w:p w14:paraId="77EECB3C">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排放浓度mg/m</w:t>
                  </w:r>
                  <w:r>
                    <w:rPr>
                      <w:rFonts w:hint="default" w:ascii="Times New Roman" w:hAnsi="Times New Roman" w:cs="Times New Roman"/>
                      <w:b/>
                      <w:bCs/>
                      <w:color w:val="auto"/>
                      <w:sz w:val="21"/>
                      <w:szCs w:val="21"/>
                      <w:highlight w:val="none"/>
                      <w:vertAlign w:val="superscript"/>
                    </w:rPr>
                    <w:t>3</w:t>
                  </w:r>
                </w:p>
              </w:tc>
            </w:tr>
            <w:tr w14:paraId="4631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Align w:val="center"/>
                </w:tcPr>
                <w:p w14:paraId="3EFEE1A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非甲烷总烃</w:t>
                  </w:r>
                </w:p>
              </w:tc>
              <w:tc>
                <w:tcPr>
                  <w:tcW w:w="1200" w:type="dxa"/>
                  <w:vAlign w:val="center"/>
                </w:tcPr>
                <w:p w14:paraId="009B3C6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有组织（DA001）</w:t>
                  </w:r>
                </w:p>
              </w:tc>
              <w:tc>
                <w:tcPr>
                  <w:tcW w:w="859" w:type="dxa"/>
                  <w:vAlign w:val="center"/>
                </w:tcPr>
                <w:p w14:paraId="1A619E4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w:t>
                  </w:r>
                </w:p>
              </w:tc>
              <w:tc>
                <w:tcPr>
                  <w:tcW w:w="855" w:type="dxa"/>
                  <w:vAlign w:val="center"/>
                </w:tcPr>
                <w:p w14:paraId="15DC04E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0.0764</w:t>
                  </w:r>
                </w:p>
              </w:tc>
              <w:tc>
                <w:tcPr>
                  <w:tcW w:w="1832" w:type="dxa"/>
                  <w:vAlign w:val="center"/>
                </w:tcPr>
                <w:p w14:paraId="29FF9008">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经固定3台实验室通风柜密封收集（总风量4500m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/h），通过强制抽风进入专用管道，引至楼顶排气筒（DA001）排放</w:t>
                  </w:r>
                </w:p>
              </w:tc>
              <w:tc>
                <w:tcPr>
                  <w:tcW w:w="954" w:type="dxa"/>
                  <w:vAlign w:val="center"/>
                </w:tcPr>
                <w:p w14:paraId="4B6E6E1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0.0552</w:t>
                  </w:r>
                </w:p>
              </w:tc>
              <w:tc>
                <w:tcPr>
                  <w:tcW w:w="941" w:type="dxa"/>
                  <w:vAlign w:val="center"/>
                </w:tcPr>
                <w:p w14:paraId="66CD946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0.00011</w:t>
                  </w:r>
                </w:p>
              </w:tc>
              <w:tc>
                <w:tcPr>
                  <w:tcW w:w="1047" w:type="dxa"/>
                  <w:vAlign w:val="center"/>
                </w:tcPr>
                <w:p w14:paraId="298377C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0.0244</w:t>
                  </w:r>
                </w:p>
              </w:tc>
            </w:tr>
          </w:tbl>
          <w:p w14:paraId="5215CD1C">
            <w:pPr>
              <w:pStyle w:val="10"/>
              <w:ind w:firstLine="482"/>
              <w:rPr>
                <w:rFonts w:hint="default" w:ascii="Times New Roman" w:hAnsi="Times New Roman" w:cs="Times New Roman"/>
                <w:color w:val="auto"/>
                <w:szCs w:val="24"/>
                <w:highlight w:val="none"/>
              </w:rPr>
            </w:pPr>
            <w:r>
              <w:rPr>
                <w:rFonts w:hint="default" w:ascii="Times New Roman" w:hAnsi="Times New Roman" w:cs="Times New Roman"/>
                <w:b/>
                <w:bCs/>
                <w:color w:val="auto"/>
                <w:szCs w:val="24"/>
                <w:highlight w:val="none"/>
              </w:rPr>
              <w:t>2）微生物实验室废气</w:t>
            </w:r>
          </w:p>
          <w:p w14:paraId="68E0AFB0">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微生物实验室检测、实验过程中，废气颗粒物（含细菌气溶胶团）可能含传染性的细菌和病毒。考虑到实验室均为独立实验室，为避免空气交叉传染，微生物实验室独立设置新风空调系统，微生物实验室采用定风量送风和定风量排风。通过控制实验室不同区域送、排风风量，保持实验室各区域维持一定的压差，从而保证实验室内气流按照“清洁区→半污染区→污染区→高效过滤器→紫外消毒装置→排空”的方向流动。</w:t>
            </w:r>
          </w:p>
          <w:p w14:paraId="7CBCC050">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本次疾控中心微生物实验室级别为二级实验室，根据《生物安全实验室建筑技术规范》（GB50346-2011）表5.1.4生物安全实验室选用生物安全柜的原则，本次项目选用II级生物安全柜。</w:t>
            </w:r>
          </w:p>
          <w:p w14:paraId="13DA3471">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生物安全柜中空气压力低于实验室内的压力，以保证生物安全柜中的气体不会向实验室中泄露，生物安全柜中安装微压差传感器及高效空气过滤器，柜里的实验平台相对实验室内环境处于负压状态，气流在生物安全柜内得到有效控制，几乎杜绝实验过程中产生的气溶胶从操作窗口外逸，可能含有病原微生物的气溶胶只能经高效过滤器，安全柜内置的高效过滤器对粒径0.5µm以上的气溶胶去除效率达到99.99%，排气中几乎不含病原微生物气溶胶。废气经生物安全柜高效过滤器处理后，空气在生物实验室内循环，不外排。此外，实验室内部还设置了辅助消毒装置，紫外线消毒，切断病原微生物的传播途径，确保实验室环境的安全。</w:t>
            </w:r>
          </w:p>
          <w:p w14:paraId="6B038BC3">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（2）药物及试剂异味</w:t>
            </w:r>
          </w:p>
          <w:p w14:paraId="54ADF5F6">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各种药品及试剂气味散发量很小且分散于各楼层，通过加强室内通风换气，保持楼内药物及试剂储藏间良好的通风性，药物及试剂异味（臭气浓度）对项目区及周围环境影响不大。</w:t>
            </w:r>
          </w:p>
          <w:p w14:paraId="205D1B01">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（3）污水处理站臭气</w:t>
            </w:r>
          </w:p>
          <w:p w14:paraId="3481DDF7">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项目污水处理站在运行过程中会产生恶臭气体，恶臭来源于污水、污泥中有机物的分解、发酵过程中散发的化学物质。恶臭污染物根据国家标准，主要指一切刺激嗅觉器官引起人们不愉快及损害生活环境的气体物质。污水处理站产生的恶臭气体是多组分、低浓度化学物质形成的混合物，主要成份为氨气和硫化氢。根据美国EPA对城市污水处理厂恶臭污染物产生情况的研究，每处理1g的BOD</w:t>
            </w:r>
            <w:r>
              <w:rPr>
                <w:rFonts w:hint="default" w:ascii="Times New Roman" w:hAnsi="Times New Roman" w:cs="Times New Roman"/>
                <w:color w:val="auto"/>
                <w:szCs w:val="24"/>
                <w:highlight w:val="none"/>
                <w:vertAlign w:val="subscript"/>
              </w:rPr>
              <w:t>5</w:t>
            </w:r>
            <w:r>
              <w:rPr>
                <w:rFonts w:hint="default" w:ascii="Times New Roman" w:hAnsi="Times New Roman" w:cs="Times New Roman"/>
                <w:color w:val="auto"/>
                <w:szCs w:val="24"/>
                <w:highlight w:val="none"/>
              </w:rPr>
              <w:t>，约产生0.0031g的NH</w:t>
            </w:r>
            <w:r>
              <w:rPr>
                <w:rFonts w:hint="default" w:ascii="Times New Roman" w:hAnsi="Times New Roman" w:cs="Times New Roman"/>
                <w:color w:val="auto"/>
                <w:szCs w:val="24"/>
                <w:highlight w:val="none"/>
                <w:vertAlign w:val="subscript"/>
              </w:rPr>
              <w:t>3</w:t>
            </w:r>
            <w:r>
              <w:rPr>
                <w:rFonts w:hint="default" w:ascii="Times New Roman" w:hAnsi="Times New Roman" w:cs="Times New Roman"/>
                <w:color w:val="auto"/>
                <w:szCs w:val="24"/>
                <w:highlight w:val="none"/>
              </w:rPr>
              <w:t>和0.00012g的H</w:t>
            </w:r>
            <w:r>
              <w:rPr>
                <w:rFonts w:hint="default" w:ascii="Times New Roman" w:hAnsi="Times New Roman" w:cs="Times New Roman"/>
                <w:color w:val="auto"/>
                <w:szCs w:val="24"/>
                <w:highlight w:val="none"/>
                <w:vertAlign w:val="subscript"/>
              </w:rPr>
              <w:t>2</w:t>
            </w:r>
            <w:r>
              <w:rPr>
                <w:rFonts w:hint="default" w:ascii="Times New Roman" w:hAnsi="Times New Roman" w:cs="Times New Roman"/>
                <w:color w:val="auto"/>
                <w:szCs w:val="24"/>
                <w:highlight w:val="none"/>
              </w:rPr>
              <w:t>S。根据4.2.2地表水水环境影响和保护措施中“污染物源强核算”可知，本项目污水处理站削减BOD</w:t>
            </w:r>
            <w:r>
              <w:rPr>
                <w:rFonts w:hint="default" w:ascii="Times New Roman" w:hAnsi="Times New Roman" w:cs="Times New Roman"/>
                <w:color w:val="auto"/>
                <w:szCs w:val="24"/>
                <w:highlight w:val="none"/>
                <w:vertAlign w:val="subscript"/>
              </w:rPr>
              <w:t>5</w:t>
            </w:r>
            <w:r>
              <w:rPr>
                <w:rFonts w:hint="default" w:ascii="Times New Roman" w:hAnsi="Times New Roman" w:cs="Times New Roman"/>
                <w:color w:val="auto"/>
                <w:szCs w:val="24"/>
                <w:highlight w:val="none"/>
              </w:rPr>
              <w:t>的量为</w:t>
            </w:r>
            <w:r>
              <w:rPr>
                <w:rFonts w:hint="default" w:ascii="Times New Roman" w:hAnsi="Times New Roman" w:cs="Times New Roman"/>
                <w:color w:val="auto"/>
                <w:highlight w:val="none"/>
              </w:rPr>
              <w:t>0.007936</w:t>
            </w:r>
            <w:r>
              <w:rPr>
                <w:rFonts w:hint="default" w:ascii="Times New Roman" w:hAnsi="Times New Roman" w:cs="Times New Roman"/>
                <w:color w:val="auto"/>
                <w:szCs w:val="24"/>
                <w:highlight w:val="none"/>
              </w:rPr>
              <w:t>t/a，则NH</w:t>
            </w:r>
            <w:r>
              <w:rPr>
                <w:rFonts w:hint="default" w:ascii="Times New Roman" w:hAnsi="Times New Roman" w:cs="Times New Roman"/>
                <w:color w:val="auto"/>
                <w:szCs w:val="24"/>
                <w:highlight w:val="none"/>
                <w:vertAlign w:val="subscript"/>
              </w:rPr>
              <w:t>3</w:t>
            </w:r>
            <w:r>
              <w:rPr>
                <w:rFonts w:hint="default" w:ascii="Times New Roman" w:hAnsi="Times New Roman" w:cs="Times New Roman"/>
                <w:color w:val="auto"/>
                <w:szCs w:val="24"/>
                <w:highlight w:val="none"/>
              </w:rPr>
              <w:t>和H</w:t>
            </w:r>
            <w:r>
              <w:rPr>
                <w:rFonts w:hint="default" w:ascii="Times New Roman" w:hAnsi="Times New Roman" w:cs="Times New Roman"/>
                <w:color w:val="auto"/>
                <w:szCs w:val="24"/>
                <w:highlight w:val="none"/>
                <w:vertAlign w:val="subscript"/>
              </w:rPr>
              <w:t>2</w:t>
            </w:r>
            <w:r>
              <w:rPr>
                <w:rFonts w:hint="default" w:ascii="Times New Roman" w:hAnsi="Times New Roman" w:cs="Times New Roman"/>
                <w:color w:val="auto"/>
                <w:szCs w:val="24"/>
                <w:highlight w:val="none"/>
              </w:rPr>
              <w:t>S产生量分别为0.0000246t/a和0.0000009t/a。</w:t>
            </w:r>
          </w:p>
          <w:p w14:paraId="6B0F5F49">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本项目依托现有设置于地下一层的1个10m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/d</w:t>
            </w:r>
            <w:r>
              <w:rPr>
                <w:rFonts w:hint="default" w:ascii="Times New Roman" w:hAnsi="Times New Roman" w:cs="Times New Roman"/>
                <w:color w:val="auto"/>
                <w:szCs w:val="21"/>
                <w:highlight w:val="none"/>
              </w:rPr>
              <w:t>“缺氧+接触氧化+MBR+次氯酸钠消毒”工艺的</w:t>
            </w:r>
            <w:r>
              <w:rPr>
                <w:rFonts w:hint="default" w:ascii="Times New Roman" w:hAnsi="Times New Roman" w:cs="Times New Roman"/>
                <w:color w:val="auto"/>
                <w:szCs w:val="24"/>
                <w:highlight w:val="none"/>
              </w:rPr>
              <w:t>污水处理站，所有处理设备均加盖密闭，加强污水处理站的运行操作管理，污泥要及时外运，防止恶臭形成。</w:t>
            </w:r>
          </w:p>
          <w:p w14:paraId="3597050C">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项目针对污水处理站废气拟采取的措施有：</w:t>
            </w:r>
          </w:p>
          <w:p w14:paraId="7BAAC78E">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 1 \* GB3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①</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污水处理站各处理设施池体加盖，对产生臭气的设施合理布置安放地点，尽量采用密闭方式；</w:t>
            </w:r>
          </w:p>
          <w:p w14:paraId="1C7ECE97">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 2 \* GB3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②</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疾控中心的污水管设计流速应足够大，尽量避免产生死区，导致污染物淤积腐败产生臭气；</w:t>
            </w:r>
          </w:p>
          <w:p w14:paraId="212AD0F5">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 3 \* GB3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③</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可向污水处理站投加除臭剂。</w:t>
            </w:r>
          </w:p>
          <w:p w14:paraId="2E97AA58">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通过上述防治措施处理后，恶臭能得到有效控制，治理措施可行。</w:t>
            </w:r>
          </w:p>
          <w:p w14:paraId="278F739B">
            <w:pPr>
              <w:pStyle w:val="10"/>
              <w:ind w:left="420" w:leftChars="200" w:firstLine="0" w:firstLineChars="0"/>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（4）柴油发电机废气</w:t>
            </w:r>
          </w:p>
          <w:p w14:paraId="7450004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保证消防设备、应急照明及重要场所的供电可靠性，本项目设置1台200kW的柴油发电机作为备用电源。柴油发电机仅在市政电网停电时启用，使用频次较低，单次使用时间短，采用轻质柴油为燃料。柴油发电机在运行过程中将排放一定量的烟气，主要污染物为CH、CO、烟尘等。但由于使用时间不长，一年使用频次仅2-4次，故烟气排放量不大，为无组织排放。</w:t>
            </w:r>
          </w:p>
          <w:p w14:paraId="57676BBE">
            <w:pPr>
              <w:pStyle w:val="10"/>
              <w:ind w:firstLine="480"/>
              <w:rPr>
                <w:rFonts w:hint="default" w:ascii="Times New Roman" w:hAnsi="Times New Roman" w:cs="Times New Roman"/>
                <w:b/>
                <w:bCs/>
                <w:color w:val="auto"/>
                <w:szCs w:val="24"/>
                <w:highlight w:val="none"/>
              </w:rPr>
            </w:pPr>
            <w:r>
              <w:rPr>
                <w:rFonts w:hint="default" w:ascii="Times New Roman" w:hAnsi="Times New Roman" w:cs="Times New Roman"/>
                <w:bCs/>
                <w:color w:val="auto"/>
                <w:szCs w:val="24"/>
                <w:highlight w:val="none"/>
              </w:rPr>
              <w:t>备用发电机设置于单独的发电机房内，设置机械排风系统，烟气经自带过滤棉处理后，经抽排风系统由专用</w:t>
            </w:r>
            <w:r>
              <w:rPr>
                <w:rStyle w:val="115"/>
                <w:rFonts w:hint="default" w:ascii="Times New Roman" w:hAnsi="Times New Roman" w:cs="Times New Roman"/>
                <w:color w:val="auto"/>
                <w:sz w:val="24"/>
                <w:szCs w:val="24"/>
                <w:highlight w:val="none"/>
              </w:rPr>
              <w:t>排烟管道引至室外无组织排放</w:t>
            </w:r>
            <w:r>
              <w:rPr>
                <w:rFonts w:hint="default" w:ascii="Times New Roman" w:hAnsi="Times New Roman" w:cs="Times New Roman"/>
                <w:bCs/>
                <w:color w:val="auto"/>
                <w:szCs w:val="24"/>
                <w:highlight w:val="none"/>
              </w:rPr>
              <w:t>，由排风</w:t>
            </w:r>
            <w:r>
              <w:rPr>
                <w:rStyle w:val="115"/>
                <w:rFonts w:hint="default" w:ascii="Times New Roman" w:hAnsi="Times New Roman" w:cs="Times New Roman"/>
                <w:color w:val="auto"/>
                <w:sz w:val="24"/>
                <w:szCs w:val="24"/>
                <w:highlight w:val="none"/>
              </w:rPr>
              <w:t>管道引至楼顶无组织排放</w:t>
            </w:r>
            <w:r>
              <w:rPr>
                <w:rFonts w:hint="default" w:ascii="Times New Roman" w:hAnsi="Times New Roman" w:cs="Times New Roman"/>
                <w:bCs/>
                <w:color w:val="auto"/>
                <w:szCs w:val="24"/>
                <w:highlight w:val="none"/>
              </w:rPr>
              <w:t>，排放口避开居民区等关心点。</w:t>
            </w:r>
          </w:p>
          <w:p w14:paraId="1B3BD171">
            <w:pPr>
              <w:pStyle w:val="22"/>
              <w:numPr>
                <w:ilvl w:val="0"/>
                <w:numId w:val="0"/>
              </w:num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3、非正常排放情况</w:t>
            </w:r>
          </w:p>
          <w:p w14:paraId="027EF5CB">
            <w:pPr>
              <w:pStyle w:val="10"/>
              <w:ind w:firstLine="480"/>
              <w:rPr>
                <w:rFonts w:hint="default" w:ascii="Times New Roman" w:hAnsi="Times New Roman" w:cs="Times New Roman"/>
                <w:bCs/>
                <w:color w:val="auto"/>
                <w:kern w:val="2"/>
                <w:szCs w:val="24"/>
                <w:highlight w:val="none"/>
              </w:rPr>
            </w:pPr>
            <w:r>
              <w:rPr>
                <w:rFonts w:hint="default" w:ascii="Times New Roman" w:hAnsi="Times New Roman" w:cs="Times New Roman"/>
                <w:bCs/>
                <w:color w:val="auto"/>
                <w:kern w:val="2"/>
                <w:szCs w:val="24"/>
                <w:highlight w:val="none"/>
              </w:rPr>
              <w:t>非正常排放主要指非正常工况及污染治理设施故障等情况下污染物的排放。本次评价非正常情况考虑碱液完全消耗和活性炭更换不及时情况下，不能有效处理产生的废气（本次环评非正常排放下源强按污染物去除率的0%统计），则非正常排放主要大气污染物排放情况见下表：</w:t>
            </w:r>
          </w:p>
          <w:p w14:paraId="533CA1DE">
            <w:pPr>
              <w:pStyle w:val="10"/>
              <w:ind w:firstLine="0" w:firstLineChars="0"/>
              <w:jc w:val="center"/>
              <w:rPr>
                <w:rFonts w:hint="default" w:ascii="Times New Roman" w:hAnsi="Times New Roman" w:cs="Times New Roman"/>
                <w:bCs/>
                <w:color w:val="auto"/>
                <w:kern w:val="2"/>
                <w:sz w:val="21"/>
                <w:szCs w:val="21"/>
                <w:highlight w:val="none"/>
              </w:rPr>
            </w:pPr>
            <w:r>
              <w:rPr>
                <w:rFonts w:hint="default" w:ascii="Times New Roman" w:hAnsi="Times New Roman" w:cs="Times New Roman"/>
                <w:b/>
                <w:color w:val="auto"/>
                <w:sz w:val="21"/>
                <w:szCs w:val="21"/>
                <w:highlight w:val="none"/>
              </w:rPr>
              <w:t>表4-5 废气非正常工况排放量核算表</w:t>
            </w:r>
          </w:p>
          <w:tbl>
            <w:tblPr>
              <w:tblStyle w:val="33"/>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857"/>
              <w:gridCol w:w="1138"/>
              <w:gridCol w:w="981"/>
              <w:gridCol w:w="1185"/>
              <w:gridCol w:w="1153"/>
              <w:gridCol w:w="1013"/>
              <w:gridCol w:w="1151"/>
            </w:tblGrid>
            <w:tr w14:paraId="3CAC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8" w:type="dxa"/>
                  <w:vAlign w:val="center"/>
                </w:tcPr>
                <w:p w14:paraId="409E944A">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污染源</w:t>
                  </w:r>
                </w:p>
              </w:tc>
              <w:tc>
                <w:tcPr>
                  <w:tcW w:w="857" w:type="dxa"/>
                  <w:vAlign w:val="center"/>
                </w:tcPr>
                <w:p w14:paraId="7D1E1B0A">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非正常排放原因</w:t>
                  </w:r>
                </w:p>
              </w:tc>
              <w:tc>
                <w:tcPr>
                  <w:tcW w:w="1138" w:type="dxa"/>
                  <w:vAlign w:val="center"/>
                </w:tcPr>
                <w:p w14:paraId="38FD1DC5">
                  <w:pPr>
                    <w:pStyle w:val="22"/>
                    <w:numPr>
                      <w:ilvl w:val="0"/>
                      <w:numId w:val="0"/>
                    </w:num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污染物</w:t>
                  </w:r>
                </w:p>
              </w:tc>
              <w:tc>
                <w:tcPr>
                  <w:tcW w:w="981" w:type="dxa"/>
                  <w:vAlign w:val="center"/>
                </w:tcPr>
                <w:p w14:paraId="4D81C6A0">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非正常</w:t>
                  </w:r>
                </w:p>
                <w:p w14:paraId="5E5446EC">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排放量</w:t>
                  </w:r>
                </w:p>
                <w:p w14:paraId="663252C4">
                  <w:pPr>
                    <w:widowControl/>
                    <w:jc w:val="center"/>
                    <w:rPr>
                      <w:rFonts w:hint="default" w:ascii="Times New Roman" w:hAnsi="Times New Roman" w:cs="Times New Roman"/>
                      <w:b/>
                      <w:bCs/>
                      <w:color w:val="auto"/>
                      <w:szCs w:val="21"/>
                      <w:highlight w:val="none"/>
                    </w:rPr>
                  </w:pPr>
                  <w:r>
                    <w:rPr>
                      <w:rFonts w:hint="default" w:ascii="Times New Roman" w:hAnsi="Times New Roman" w:eastAsia="TimesNewRomanPSMT" w:cs="Times New Roman"/>
                      <w:color w:val="auto"/>
                      <w:kern w:val="0"/>
                      <w:szCs w:val="21"/>
                      <w:highlight w:val="none"/>
                      <w:lang w:bidi="ar"/>
                    </w:rPr>
                    <w:t>kg/a</w:t>
                  </w:r>
                </w:p>
              </w:tc>
              <w:tc>
                <w:tcPr>
                  <w:tcW w:w="1185" w:type="dxa"/>
                  <w:vAlign w:val="center"/>
                </w:tcPr>
                <w:p w14:paraId="43DC7099">
                  <w:pPr>
                    <w:widowControl/>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kern w:val="0"/>
                      <w:szCs w:val="21"/>
                      <w:highlight w:val="none"/>
                      <w:lang w:bidi="ar"/>
                    </w:rPr>
                    <w:t>非正常排放速率</w:t>
                  </w:r>
                  <w:r>
                    <w:rPr>
                      <w:rFonts w:hint="default" w:ascii="Times New Roman" w:hAnsi="Times New Roman" w:eastAsia="TimesNewRomanPSMT" w:cs="Times New Roman"/>
                      <w:color w:val="auto"/>
                      <w:kern w:val="0"/>
                      <w:szCs w:val="21"/>
                      <w:highlight w:val="none"/>
                      <w:lang w:bidi="ar"/>
                    </w:rPr>
                    <w:t>kg/h</w:t>
                  </w:r>
                </w:p>
              </w:tc>
              <w:tc>
                <w:tcPr>
                  <w:tcW w:w="1153" w:type="dxa"/>
                  <w:vAlign w:val="center"/>
                </w:tcPr>
                <w:p w14:paraId="71D30D1F">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非正常排放浓度</w:t>
                  </w:r>
                </w:p>
                <w:p w14:paraId="01CBAAF3">
                  <w:pPr>
                    <w:widowControl/>
                    <w:jc w:val="center"/>
                    <w:rPr>
                      <w:rFonts w:hint="default" w:ascii="Times New Roman" w:hAnsi="Times New Roman" w:cs="Times New Roman"/>
                      <w:b/>
                      <w:bCs/>
                      <w:color w:val="auto"/>
                      <w:szCs w:val="21"/>
                      <w:highlight w:val="none"/>
                    </w:rPr>
                  </w:pPr>
                  <w:r>
                    <w:rPr>
                      <w:rFonts w:hint="default" w:ascii="Times New Roman" w:hAnsi="Times New Roman" w:eastAsia="TimesNewRomanPSMT" w:cs="Times New Roman"/>
                      <w:color w:val="auto"/>
                      <w:kern w:val="0"/>
                      <w:szCs w:val="21"/>
                      <w:highlight w:val="none"/>
                      <w:lang w:bidi="ar"/>
                    </w:rPr>
                    <w:t>mg/m</w:t>
                  </w:r>
                  <w:r>
                    <w:rPr>
                      <w:rFonts w:hint="default" w:ascii="Times New Roman" w:hAnsi="Times New Roman" w:eastAsia="TimesNewRomanPSMT" w:cs="Times New Roman"/>
                      <w:color w:val="auto"/>
                      <w:kern w:val="0"/>
                      <w:szCs w:val="21"/>
                      <w:highlight w:val="none"/>
                      <w:vertAlign w:val="superscript"/>
                      <w:lang w:bidi="ar"/>
                    </w:rPr>
                    <w:t>3</w:t>
                  </w:r>
                </w:p>
              </w:tc>
              <w:tc>
                <w:tcPr>
                  <w:tcW w:w="1013" w:type="dxa"/>
                  <w:vAlign w:val="center"/>
                </w:tcPr>
                <w:p w14:paraId="7FC5A253">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单次持续时间</w:t>
                  </w:r>
                </w:p>
                <w:p w14:paraId="52951096">
                  <w:pPr>
                    <w:widowControl/>
                    <w:jc w:val="center"/>
                    <w:rPr>
                      <w:rFonts w:hint="default" w:ascii="Times New Roman" w:hAnsi="Times New Roman" w:cs="Times New Roman"/>
                      <w:b/>
                      <w:bCs/>
                      <w:color w:val="auto"/>
                      <w:szCs w:val="21"/>
                      <w:highlight w:val="none"/>
                    </w:rPr>
                  </w:pPr>
                  <w:r>
                    <w:rPr>
                      <w:rFonts w:hint="default" w:ascii="Times New Roman" w:hAnsi="Times New Roman" w:eastAsia="TimesNewRomanPSMT" w:cs="Times New Roman"/>
                      <w:color w:val="auto"/>
                      <w:kern w:val="0"/>
                      <w:szCs w:val="21"/>
                      <w:highlight w:val="none"/>
                      <w:lang w:bidi="ar"/>
                    </w:rPr>
                    <w:t>/h</w:t>
                  </w:r>
                </w:p>
              </w:tc>
              <w:tc>
                <w:tcPr>
                  <w:tcW w:w="1151" w:type="dxa"/>
                  <w:vAlign w:val="center"/>
                </w:tcPr>
                <w:p w14:paraId="40BAF734">
                  <w:pPr>
                    <w:pStyle w:val="22"/>
                    <w:numPr>
                      <w:ilvl w:val="0"/>
                      <w:numId w:val="0"/>
                    </w:num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应对措施</w:t>
                  </w:r>
                </w:p>
              </w:tc>
            </w:tr>
            <w:tr w14:paraId="5EE1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98" w:type="dxa"/>
                  <w:vMerge w:val="restart"/>
                  <w:vAlign w:val="center"/>
                </w:tcPr>
                <w:p w14:paraId="45BD7476">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无机废气</w:t>
                  </w:r>
                </w:p>
              </w:tc>
              <w:tc>
                <w:tcPr>
                  <w:tcW w:w="857" w:type="dxa"/>
                  <w:vMerge w:val="restart"/>
                  <w:vAlign w:val="center"/>
                </w:tcPr>
                <w:p w14:paraId="2B3A1149">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碱液完全消耗和活性炭更换不及时</w:t>
                  </w:r>
                </w:p>
              </w:tc>
              <w:tc>
                <w:tcPr>
                  <w:tcW w:w="1138" w:type="dxa"/>
                  <w:vAlign w:val="center"/>
                </w:tcPr>
                <w:p w14:paraId="54F1C03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氨气</w:t>
                  </w:r>
                </w:p>
              </w:tc>
              <w:tc>
                <w:tcPr>
                  <w:tcW w:w="981" w:type="dxa"/>
                  <w:vAlign w:val="center"/>
                </w:tcPr>
                <w:p w14:paraId="384A392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0.0196</w:t>
                  </w:r>
                </w:p>
              </w:tc>
              <w:tc>
                <w:tcPr>
                  <w:tcW w:w="1185" w:type="dxa"/>
                  <w:vAlign w:val="center"/>
                </w:tcPr>
                <w:p w14:paraId="220C2955">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0.0000392</w:t>
                  </w:r>
                </w:p>
              </w:tc>
              <w:tc>
                <w:tcPr>
                  <w:tcW w:w="1153" w:type="dxa"/>
                  <w:vAlign w:val="center"/>
                </w:tcPr>
                <w:p w14:paraId="1E232353">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0.00523</w:t>
                  </w:r>
                </w:p>
              </w:tc>
              <w:tc>
                <w:tcPr>
                  <w:tcW w:w="1013" w:type="dxa"/>
                  <w:vAlign w:val="center"/>
                </w:tcPr>
                <w:p w14:paraId="362BE2F0">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51" w:type="dxa"/>
                  <w:vMerge w:val="restart"/>
                  <w:vAlign w:val="center"/>
                </w:tcPr>
                <w:p w14:paraId="1F6C613E">
                  <w:pPr>
                    <w:pStyle w:val="22"/>
                    <w:numPr>
                      <w:ilvl w:val="0"/>
                      <w:numId w:val="0"/>
                    </w:num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停止生产，立即检修。做好日常养护，降低发生频次。</w:t>
                  </w:r>
                </w:p>
              </w:tc>
            </w:tr>
            <w:tr w14:paraId="5DE4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998" w:type="dxa"/>
                  <w:vMerge w:val="continue"/>
                  <w:vAlign w:val="center"/>
                </w:tcPr>
                <w:p w14:paraId="7E635289">
                  <w:pPr>
                    <w:pStyle w:val="22"/>
                    <w:numPr>
                      <w:ilvl w:val="0"/>
                      <w:numId w:val="0"/>
                    </w:numPr>
                    <w:jc w:val="center"/>
                    <w:rPr>
                      <w:rFonts w:hint="default" w:ascii="Times New Roman" w:hAnsi="Times New Roman" w:cs="Times New Roman"/>
                      <w:color w:val="auto"/>
                      <w:szCs w:val="21"/>
                      <w:highlight w:val="none"/>
                    </w:rPr>
                  </w:pPr>
                </w:p>
              </w:tc>
              <w:tc>
                <w:tcPr>
                  <w:tcW w:w="857" w:type="dxa"/>
                  <w:vMerge w:val="continue"/>
                  <w:vAlign w:val="center"/>
                </w:tcPr>
                <w:p w14:paraId="650A1322">
                  <w:pPr>
                    <w:pStyle w:val="22"/>
                    <w:numPr>
                      <w:ilvl w:val="0"/>
                      <w:numId w:val="0"/>
                    </w:numPr>
                    <w:rPr>
                      <w:rFonts w:hint="default" w:ascii="Times New Roman" w:hAnsi="Times New Roman" w:cs="Times New Roman"/>
                      <w:color w:val="auto"/>
                      <w:szCs w:val="21"/>
                      <w:highlight w:val="none"/>
                    </w:rPr>
                  </w:pPr>
                </w:p>
              </w:tc>
              <w:tc>
                <w:tcPr>
                  <w:tcW w:w="1138" w:type="dxa"/>
                  <w:vAlign w:val="center"/>
                </w:tcPr>
                <w:p w14:paraId="0A255F7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981" w:type="dxa"/>
                  <w:vAlign w:val="center"/>
                </w:tcPr>
                <w:p w14:paraId="1A0B8D0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0.3173</w:t>
                  </w:r>
                </w:p>
              </w:tc>
              <w:tc>
                <w:tcPr>
                  <w:tcW w:w="1185" w:type="dxa"/>
                  <w:vAlign w:val="center"/>
                </w:tcPr>
                <w:p w14:paraId="1D039B8A">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0.0006346</w:t>
                  </w:r>
                </w:p>
              </w:tc>
              <w:tc>
                <w:tcPr>
                  <w:tcW w:w="1153" w:type="dxa"/>
                  <w:vAlign w:val="center"/>
                </w:tcPr>
                <w:p w14:paraId="4BD14DA8">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0.08461</w:t>
                  </w:r>
                </w:p>
              </w:tc>
              <w:tc>
                <w:tcPr>
                  <w:tcW w:w="1013" w:type="dxa"/>
                  <w:vAlign w:val="center"/>
                </w:tcPr>
                <w:p w14:paraId="1DFD3739">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51" w:type="dxa"/>
                  <w:vMerge w:val="continue"/>
                  <w:vAlign w:val="center"/>
                </w:tcPr>
                <w:p w14:paraId="37DEBD53">
                  <w:pPr>
                    <w:pStyle w:val="22"/>
                    <w:numPr>
                      <w:ilvl w:val="0"/>
                      <w:numId w:val="0"/>
                    </w:numPr>
                    <w:rPr>
                      <w:rFonts w:hint="default" w:ascii="Times New Roman" w:hAnsi="Times New Roman" w:cs="Times New Roman"/>
                      <w:b/>
                      <w:bCs/>
                      <w:color w:val="auto"/>
                      <w:szCs w:val="21"/>
                      <w:highlight w:val="none"/>
                    </w:rPr>
                  </w:pPr>
                </w:p>
              </w:tc>
            </w:tr>
            <w:tr w14:paraId="4F65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998" w:type="dxa"/>
                  <w:vMerge w:val="continue"/>
                  <w:vAlign w:val="center"/>
                </w:tcPr>
                <w:p w14:paraId="11288C17">
                  <w:pPr>
                    <w:pStyle w:val="22"/>
                    <w:numPr>
                      <w:ilvl w:val="0"/>
                      <w:numId w:val="0"/>
                    </w:numPr>
                    <w:jc w:val="center"/>
                    <w:rPr>
                      <w:rFonts w:hint="default" w:ascii="Times New Roman" w:hAnsi="Times New Roman" w:cs="Times New Roman"/>
                      <w:color w:val="auto"/>
                      <w:szCs w:val="21"/>
                      <w:highlight w:val="none"/>
                    </w:rPr>
                  </w:pPr>
                </w:p>
              </w:tc>
              <w:tc>
                <w:tcPr>
                  <w:tcW w:w="857" w:type="dxa"/>
                  <w:vMerge w:val="continue"/>
                  <w:vAlign w:val="center"/>
                </w:tcPr>
                <w:p w14:paraId="419D78A9">
                  <w:pPr>
                    <w:pStyle w:val="22"/>
                    <w:numPr>
                      <w:ilvl w:val="0"/>
                      <w:numId w:val="0"/>
                    </w:numPr>
                    <w:rPr>
                      <w:rFonts w:hint="default" w:ascii="Times New Roman" w:hAnsi="Times New Roman" w:cs="Times New Roman"/>
                      <w:color w:val="auto"/>
                      <w:szCs w:val="21"/>
                      <w:highlight w:val="none"/>
                    </w:rPr>
                  </w:pPr>
                </w:p>
              </w:tc>
              <w:tc>
                <w:tcPr>
                  <w:tcW w:w="1138" w:type="dxa"/>
                  <w:vAlign w:val="center"/>
                </w:tcPr>
                <w:p w14:paraId="75DF87E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硫酸雾</w:t>
                  </w:r>
                </w:p>
              </w:tc>
              <w:tc>
                <w:tcPr>
                  <w:tcW w:w="981" w:type="dxa"/>
                  <w:vAlign w:val="center"/>
                </w:tcPr>
                <w:p w14:paraId="51AAE39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0.0008</w:t>
                  </w:r>
                </w:p>
              </w:tc>
              <w:tc>
                <w:tcPr>
                  <w:tcW w:w="1185" w:type="dxa"/>
                  <w:vAlign w:val="center"/>
                </w:tcPr>
                <w:p w14:paraId="37008C6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0.0000016</w:t>
                  </w:r>
                </w:p>
              </w:tc>
              <w:tc>
                <w:tcPr>
                  <w:tcW w:w="1153" w:type="dxa"/>
                  <w:vAlign w:val="center"/>
                </w:tcPr>
                <w:p w14:paraId="6A506A0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0.00021</w:t>
                  </w:r>
                </w:p>
              </w:tc>
              <w:tc>
                <w:tcPr>
                  <w:tcW w:w="1013" w:type="dxa"/>
                  <w:vAlign w:val="center"/>
                </w:tcPr>
                <w:p w14:paraId="2ADBDA40">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51" w:type="dxa"/>
                  <w:vMerge w:val="continue"/>
                  <w:vAlign w:val="center"/>
                </w:tcPr>
                <w:p w14:paraId="60B4CB62">
                  <w:pPr>
                    <w:pStyle w:val="22"/>
                    <w:numPr>
                      <w:ilvl w:val="0"/>
                      <w:numId w:val="0"/>
                    </w:numPr>
                    <w:rPr>
                      <w:rFonts w:hint="default" w:ascii="Times New Roman" w:hAnsi="Times New Roman" w:cs="Times New Roman"/>
                      <w:b/>
                      <w:bCs/>
                      <w:color w:val="auto"/>
                      <w:szCs w:val="21"/>
                      <w:highlight w:val="none"/>
                    </w:rPr>
                  </w:pPr>
                </w:p>
              </w:tc>
            </w:tr>
            <w:tr w14:paraId="504B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8" w:type="dxa"/>
                  <w:vMerge w:val="continue"/>
                  <w:vAlign w:val="center"/>
                </w:tcPr>
                <w:p w14:paraId="577AA44A">
                  <w:pPr>
                    <w:pStyle w:val="22"/>
                    <w:numPr>
                      <w:ilvl w:val="0"/>
                      <w:numId w:val="0"/>
                    </w:numPr>
                    <w:jc w:val="center"/>
                    <w:rPr>
                      <w:rFonts w:hint="default" w:ascii="Times New Roman" w:hAnsi="Times New Roman" w:cs="Times New Roman"/>
                      <w:color w:val="auto"/>
                      <w:szCs w:val="21"/>
                      <w:highlight w:val="none"/>
                    </w:rPr>
                  </w:pPr>
                </w:p>
              </w:tc>
              <w:tc>
                <w:tcPr>
                  <w:tcW w:w="857" w:type="dxa"/>
                  <w:vMerge w:val="continue"/>
                  <w:vAlign w:val="center"/>
                </w:tcPr>
                <w:p w14:paraId="17B8D68D">
                  <w:pPr>
                    <w:pStyle w:val="22"/>
                    <w:numPr>
                      <w:ilvl w:val="0"/>
                      <w:numId w:val="0"/>
                    </w:numPr>
                    <w:rPr>
                      <w:rFonts w:hint="default" w:ascii="Times New Roman" w:hAnsi="Times New Roman" w:cs="Times New Roman"/>
                      <w:color w:val="auto"/>
                      <w:szCs w:val="21"/>
                      <w:highlight w:val="none"/>
                    </w:rPr>
                  </w:pPr>
                </w:p>
              </w:tc>
              <w:tc>
                <w:tcPr>
                  <w:tcW w:w="1138" w:type="dxa"/>
                  <w:vAlign w:val="center"/>
                </w:tcPr>
                <w:p w14:paraId="3BDB0D0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HCl</w:t>
                  </w:r>
                </w:p>
              </w:tc>
              <w:tc>
                <w:tcPr>
                  <w:tcW w:w="981" w:type="dxa"/>
                  <w:vAlign w:val="center"/>
                </w:tcPr>
                <w:p w14:paraId="7D3BFE0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0.1782</w:t>
                  </w:r>
                </w:p>
              </w:tc>
              <w:tc>
                <w:tcPr>
                  <w:tcW w:w="1185" w:type="dxa"/>
                  <w:vAlign w:val="center"/>
                </w:tcPr>
                <w:p w14:paraId="48D1A19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0.0003564</w:t>
                  </w:r>
                </w:p>
              </w:tc>
              <w:tc>
                <w:tcPr>
                  <w:tcW w:w="1153" w:type="dxa"/>
                  <w:vAlign w:val="center"/>
                </w:tcPr>
                <w:p w14:paraId="3CAC581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0.04752</w:t>
                  </w:r>
                </w:p>
              </w:tc>
              <w:tc>
                <w:tcPr>
                  <w:tcW w:w="1013" w:type="dxa"/>
                  <w:vAlign w:val="center"/>
                </w:tcPr>
                <w:p w14:paraId="6EA066D5">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51" w:type="dxa"/>
                  <w:vMerge w:val="continue"/>
                  <w:vAlign w:val="center"/>
                </w:tcPr>
                <w:p w14:paraId="303700ED">
                  <w:pPr>
                    <w:pStyle w:val="22"/>
                    <w:numPr>
                      <w:ilvl w:val="0"/>
                      <w:numId w:val="0"/>
                    </w:numPr>
                    <w:rPr>
                      <w:rFonts w:hint="default" w:ascii="Times New Roman" w:hAnsi="Times New Roman" w:cs="Times New Roman"/>
                      <w:b/>
                      <w:bCs/>
                      <w:color w:val="auto"/>
                      <w:szCs w:val="21"/>
                      <w:highlight w:val="none"/>
                    </w:rPr>
                  </w:pPr>
                </w:p>
              </w:tc>
            </w:tr>
            <w:tr w14:paraId="6FC9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98" w:type="dxa"/>
                  <w:vAlign w:val="center"/>
                </w:tcPr>
                <w:p w14:paraId="333331DA">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有机废气（以非甲烷总烃计）</w:t>
                  </w:r>
                </w:p>
              </w:tc>
              <w:tc>
                <w:tcPr>
                  <w:tcW w:w="857" w:type="dxa"/>
                  <w:vMerge w:val="continue"/>
                  <w:vAlign w:val="center"/>
                </w:tcPr>
                <w:p w14:paraId="7D8B85C0">
                  <w:pPr>
                    <w:pStyle w:val="22"/>
                    <w:numPr>
                      <w:ilvl w:val="0"/>
                      <w:numId w:val="0"/>
                    </w:numPr>
                    <w:rPr>
                      <w:rFonts w:hint="default" w:ascii="Times New Roman" w:hAnsi="Times New Roman" w:cs="Times New Roman"/>
                      <w:color w:val="auto"/>
                      <w:szCs w:val="21"/>
                      <w:highlight w:val="none"/>
                    </w:rPr>
                  </w:pPr>
                </w:p>
              </w:tc>
              <w:tc>
                <w:tcPr>
                  <w:tcW w:w="1138" w:type="dxa"/>
                  <w:vAlign w:val="center"/>
                </w:tcPr>
                <w:p w14:paraId="658DF173">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有机废气（以非甲烷总烃计）</w:t>
                  </w:r>
                </w:p>
              </w:tc>
              <w:tc>
                <w:tcPr>
                  <w:tcW w:w="981" w:type="dxa"/>
                  <w:vAlign w:val="center"/>
                </w:tcPr>
                <w:p w14:paraId="7AE12BD6">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0.0764</w:t>
                  </w:r>
                </w:p>
              </w:tc>
              <w:tc>
                <w:tcPr>
                  <w:tcW w:w="1185" w:type="dxa"/>
                  <w:vAlign w:val="center"/>
                </w:tcPr>
                <w:p w14:paraId="46542CB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0.0001528</w:t>
                  </w:r>
                </w:p>
              </w:tc>
              <w:tc>
                <w:tcPr>
                  <w:tcW w:w="1153" w:type="dxa"/>
                  <w:vAlign w:val="center"/>
                </w:tcPr>
                <w:p w14:paraId="1018D38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0.033956</w:t>
                  </w:r>
                </w:p>
              </w:tc>
              <w:tc>
                <w:tcPr>
                  <w:tcW w:w="1013" w:type="dxa"/>
                  <w:vAlign w:val="center"/>
                </w:tcPr>
                <w:p w14:paraId="0C25DE45">
                  <w:pPr>
                    <w:pStyle w:val="22"/>
                    <w:numPr>
                      <w:ilvl w:val="0"/>
                      <w:numId w:val="0"/>
                    </w:num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51" w:type="dxa"/>
                  <w:vMerge w:val="continue"/>
                  <w:vAlign w:val="center"/>
                </w:tcPr>
                <w:p w14:paraId="3CE8904E">
                  <w:pPr>
                    <w:pStyle w:val="22"/>
                    <w:numPr>
                      <w:ilvl w:val="0"/>
                      <w:numId w:val="0"/>
                    </w:numPr>
                    <w:rPr>
                      <w:rFonts w:hint="default" w:ascii="Times New Roman" w:hAnsi="Times New Roman" w:cs="Times New Roman"/>
                      <w:b/>
                      <w:bCs/>
                      <w:color w:val="auto"/>
                      <w:szCs w:val="21"/>
                      <w:highlight w:val="none"/>
                    </w:rPr>
                  </w:pPr>
                </w:p>
              </w:tc>
            </w:tr>
          </w:tbl>
          <w:p w14:paraId="059977D4">
            <w:pPr>
              <w:pStyle w:val="22"/>
              <w:numPr>
                <w:ilvl w:val="0"/>
                <w:numId w:val="0"/>
              </w:numPr>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color w:val="auto"/>
                <w:sz w:val="24"/>
                <w:highlight w:val="none"/>
              </w:rPr>
              <w:t>由上表可知，</w:t>
            </w:r>
            <w:r>
              <w:rPr>
                <w:rFonts w:hint="default" w:ascii="Times New Roman" w:hAnsi="Times New Roman" w:cs="Times New Roman"/>
                <w:bCs/>
                <w:color w:val="auto"/>
                <w:sz w:val="24"/>
                <w:highlight w:val="none"/>
              </w:rPr>
              <w:t>非正常排放</w:t>
            </w:r>
            <w:r>
              <w:rPr>
                <w:rFonts w:hint="default" w:ascii="Times New Roman" w:hAnsi="Times New Roman" w:cs="Times New Roman"/>
                <w:color w:val="auto"/>
                <w:sz w:val="24"/>
                <w:highlight w:val="none"/>
              </w:rPr>
              <w:t>下，废气污染物排放浓度能满足相应排放标准限值要求。但在非正常</w:t>
            </w:r>
            <w:r>
              <w:rPr>
                <w:rFonts w:hint="default" w:ascii="Times New Roman" w:hAnsi="Times New Roman" w:cs="Times New Roman"/>
                <w:bCs/>
                <w:color w:val="auto"/>
                <w:sz w:val="24"/>
                <w:highlight w:val="none"/>
              </w:rPr>
              <w:t>排放</w:t>
            </w:r>
            <w:r>
              <w:rPr>
                <w:rFonts w:hint="default" w:ascii="Times New Roman" w:hAnsi="Times New Roman" w:cs="Times New Roman"/>
                <w:color w:val="auto"/>
                <w:sz w:val="24"/>
                <w:highlight w:val="none"/>
              </w:rPr>
              <w:t>下，建设单位仍然应加强废气处理设备的管理，一旦发现异常情况立即通知相关部门启动紧急停车程序，并查明事故原因，派专业维修人员行维修后方可重新生产。</w:t>
            </w:r>
          </w:p>
          <w:p w14:paraId="39C83600">
            <w:pPr>
              <w:pStyle w:val="22"/>
              <w:numPr>
                <w:ilvl w:val="0"/>
                <w:numId w:val="0"/>
              </w:num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4、排放口基本情况</w:t>
            </w:r>
          </w:p>
          <w:p w14:paraId="69D5A48F">
            <w:pPr>
              <w:pStyle w:val="32"/>
              <w:spacing w:line="360" w:lineRule="auto"/>
              <w:ind w:left="0" w:leftChars="0" w:firstLine="440"/>
              <w:rPr>
                <w:rFonts w:hint="default" w:ascii="Times New Roman" w:hAnsi="Times New Roman" w:cs="Times New Roman"/>
                <w:color w:val="auto"/>
                <w:spacing w:val="-10"/>
                <w:highlight w:val="none"/>
              </w:rPr>
            </w:pPr>
            <w:r>
              <w:rPr>
                <w:rFonts w:hint="default" w:ascii="Times New Roman" w:hAnsi="Times New Roman" w:cs="Times New Roman"/>
                <w:color w:val="auto"/>
                <w:spacing w:val="-10"/>
                <w:highlight w:val="none"/>
              </w:rPr>
              <w:t>本项目共设置1个有组织排放口，对照《排污许可证申请与核发技术规范 总则》（HJ942-2018），本项目排放口为一般排放口，排放口基本情况详见下表。</w:t>
            </w:r>
          </w:p>
          <w:p w14:paraId="07F0A9BC">
            <w:pPr>
              <w:pStyle w:val="22"/>
              <w:numPr>
                <w:ilvl w:val="0"/>
                <w:numId w:val="0"/>
              </w:numPr>
              <w:jc w:val="center"/>
              <w:rPr>
                <w:rFonts w:hint="default" w:ascii="Times New Roman" w:hAnsi="Times New Roman" w:cs="Times New Roman"/>
                <w:color w:val="auto"/>
                <w:sz w:val="24"/>
                <w:highlight w:val="none"/>
              </w:rPr>
            </w:pPr>
            <w:r>
              <w:rPr>
                <w:rFonts w:hint="default" w:ascii="Times New Roman" w:hAnsi="Times New Roman" w:cs="Times New Roman"/>
                <w:b/>
                <w:color w:val="auto"/>
                <w:kern w:val="0"/>
                <w:highlight w:val="none"/>
              </w:rPr>
              <w:t>表4-6 排放口基本情况一览表</w:t>
            </w:r>
          </w:p>
          <w:tbl>
            <w:tblPr>
              <w:tblStyle w:val="33"/>
              <w:tblW w:w="8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
              <w:gridCol w:w="788"/>
              <w:gridCol w:w="406"/>
              <w:gridCol w:w="406"/>
              <w:gridCol w:w="600"/>
              <w:gridCol w:w="450"/>
              <w:gridCol w:w="613"/>
              <w:gridCol w:w="612"/>
              <w:gridCol w:w="463"/>
              <w:gridCol w:w="625"/>
              <w:gridCol w:w="425"/>
              <w:gridCol w:w="476"/>
              <w:gridCol w:w="476"/>
              <w:gridCol w:w="476"/>
              <w:gridCol w:w="476"/>
              <w:gridCol w:w="478"/>
              <w:gridCol w:w="390"/>
            </w:tblGrid>
            <w:tr w14:paraId="434D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391" w:type="dxa"/>
                  <w:vMerge w:val="restart"/>
                  <w:vAlign w:val="center"/>
                </w:tcPr>
                <w:p w14:paraId="027C57E1">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编号</w:t>
                  </w:r>
                </w:p>
              </w:tc>
              <w:tc>
                <w:tcPr>
                  <w:tcW w:w="788" w:type="dxa"/>
                  <w:vMerge w:val="restart"/>
                  <w:vAlign w:val="center"/>
                </w:tcPr>
                <w:p w14:paraId="45DDA68F">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名称</w:t>
                  </w:r>
                </w:p>
              </w:tc>
              <w:tc>
                <w:tcPr>
                  <w:tcW w:w="812" w:type="dxa"/>
                  <w:gridSpan w:val="2"/>
                  <w:vAlign w:val="center"/>
                </w:tcPr>
                <w:p w14:paraId="11E824D2">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排气筒底部中心坐标/m</w:t>
                  </w:r>
                </w:p>
                <w:p w14:paraId="2BFF9664">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（以扩建后疾控中心南角为坐标原点）</w:t>
                  </w:r>
                </w:p>
              </w:tc>
              <w:tc>
                <w:tcPr>
                  <w:tcW w:w="600" w:type="dxa"/>
                  <w:vMerge w:val="restart"/>
                  <w:vAlign w:val="center"/>
                </w:tcPr>
                <w:p w14:paraId="5863726B">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b/>
                      <w:bCs/>
                      <w:color w:val="auto"/>
                      <w:sz w:val="18"/>
                      <w:szCs w:val="18"/>
                      <w:highlight w:val="none"/>
                    </w:rPr>
                    <w:t>排气筒底部海拔高度/m</w:t>
                  </w:r>
                </w:p>
              </w:tc>
              <w:tc>
                <w:tcPr>
                  <w:tcW w:w="450" w:type="dxa"/>
                  <w:vMerge w:val="restart"/>
                  <w:vAlign w:val="center"/>
                </w:tcPr>
                <w:p w14:paraId="1728A10C">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b/>
                      <w:bCs/>
                      <w:color w:val="auto"/>
                      <w:sz w:val="18"/>
                      <w:szCs w:val="18"/>
                      <w:highlight w:val="none"/>
                    </w:rPr>
                    <w:t>排气筒高度/m</w:t>
                  </w:r>
                </w:p>
              </w:tc>
              <w:tc>
                <w:tcPr>
                  <w:tcW w:w="613" w:type="dxa"/>
                  <w:vMerge w:val="restart"/>
                  <w:vAlign w:val="center"/>
                </w:tcPr>
                <w:p w14:paraId="42E774E6">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排气筒出口内径/m</w:t>
                  </w:r>
                </w:p>
              </w:tc>
              <w:tc>
                <w:tcPr>
                  <w:tcW w:w="612" w:type="dxa"/>
                  <w:vMerge w:val="restart"/>
                  <w:vAlign w:val="center"/>
                </w:tcPr>
                <w:p w14:paraId="523F7219">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烟气流速/</w:t>
                  </w:r>
                </w:p>
                <w:p w14:paraId="00E7E641">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(m/s)</w:t>
                  </w:r>
                </w:p>
              </w:tc>
              <w:tc>
                <w:tcPr>
                  <w:tcW w:w="463" w:type="dxa"/>
                  <w:vMerge w:val="restart"/>
                  <w:vAlign w:val="center"/>
                </w:tcPr>
                <w:p w14:paraId="7F8C80C1">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b/>
                      <w:bCs/>
                      <w:color w:val="auto"/>
                      <w:sz w:val="18"/>
                      <w:szCs w:val="18"/>
                      <w:highlight w:val="none"/>
                    </w:rPr>
                    <w:t>烟气温度/℃</w:t>
                  </w:r>
                </w:p>
              </w:tc>
              <w:tc>
                <w:tcPr>
                  <w:tcW w:w="625" w:type="dxa"/>
                  <w:vMerge w:val="restart"/>
                  <w:vAlign w:val="center"/>
                </w:tcPr>
                <w:p w14:paraId="1E97C2EA">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年排放小时数/h</w:t>
                  </w:r>
                </w:p>
              </w:tc>
              <w:tc>
                <w:tcPr>
                  <w:tcW w:w="425" w:type="dxa"/>
                  <w:vMerge w:val="restart"/>
                  <w:vAlign w:val="center"/>
                </w:tcPr>
                <w:p w14:paraId="3CBA01A8">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b/>
                      <w:bCs/>
                      <w:color w:val="auto"/>
                      <w:sz w:val="18"/>
                      <w:szCs w:val="18"/>
                      <w:highlight w:val="none"/>
                    </w:rPr>
                    <w:t>排放工况</w:t>
                  </w:r>
                </w:p>
              </w:tc>
              <w:tc>
                <w:tcPr>
                  <w:tcW w:w="2772" w:type="dxa"/>
                  <w:gridSpan w:val="6"/>
                  <w:vAlign w:val="center"/>
                </w:tcPr>
                <w:p w14:paraId="7557910B">
                  <w:pPr>
                    <w:pStyle w:val="31"/>
                    <w:spacing w:line="240" w:lineRule="auto"/>
                    <w:ind w:firstLine="0" w:firstLineChars="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污染物排放速率/（kg/h）</w:t>
                  </w:r>
                </w:p>
              </w:tc>
            </w:tr>
            <w:tr w14:paraId="7F9F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91" w:type="dxa"/>
                  <w:vMerge w:val="continue"/>
                  <w:vAlign w:val="center"/>
                </w:tcPr>
                <w:p w14:paraId="69BA2D87">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788" w:type="dxa"/>
                  <w:vMerge w:val="continue"/>
                  <w:vAlign w:val="center"/>
                </w:tcPr>
                <w:p w14:paraId="70F4D39C">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406" w:type="dxa"/>
                  <w:vAlign w:val="center"/>
                </w:tcPr>
                <w:p w14:paraId="010466A7">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X</w:t>
                  </w:r>
                </w:p>
              </w:tc>
              <w:tc>
                <w:tcPr>
                  <w:tcW w:w="406" w:type="dxa"/>
                  <w:vAlign w:val="center"/>
                </w:tcPr>
                <w:p w14:paraId="1580550F">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Y</w:t>
                  </w:r>
                </w:p>
              </w:tc>
              <w:tc>
                <w:tcPr>
                  <w:tcW w:w="600" w:type="dxa"/>
                  <w:vMerge w:val="continue"/>
                  <w:vAlign w:val="center"/>
                </w:tcPr>
                <w:p w14:paraId="20177717">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450" w:type="dxa"/>
                  <w:vMerge w:val="continue"/>
                  <w:vAlign w:val="center"/>
                </w:tcPr>
                <w:p w14:paraId="18FE0062">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613" w:type="dxa"/>
                  <w:vMerge w:val="continue"/>
                  <w:vAlign w:val="center"/>
                </w:tcPr>
                <w:p w14:paraId="78EF9213">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612" w:type="dxa"/>
                  <w:vMerge w:val="continue"/>
                  <w:vAlign w:val="center"/>
                </w:tcPr>
                <w:p w14:paraId="764074A6">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463" w:type="dxa"/>
                  <w:vMerge w:val="continue"/>
                  <w:vAlign w:val="center"/>
                </w:tcPr>
                <w:p w14:paraId="1BA1E681">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625" w:type="dxa"/>
                  <w:vMerge w:val="continue"/>
                  <w:vAlign w:val="center"/>
                </w:tcPr>
                <w:p w14:paraId="1FD28B9A">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425" w:type="dxa"/>
                  <w:vMerge w:val="continue"/>
                  <w:vAlign w:val="center"/>
                </w:tcPr>
                <w:p w14:paraId="709368FA">
                  <w:pPr>
                    <w:pStyle w:val="31"/>
                    <w:spacing w:line="240" w:lineRule="auto"/>
                    <w:ind w:firstLine="0" w:firstLineChars="0"/>
                    <w:jc w:val="center"/>
                    <w:rPr>
                      <w:rFonts w:hint="default" w:ascii="Times New Roman" w:hAnsi="Times New Roman" w:cs="Times New Roman"/>
                      <w:color w:val="auto"/>
                      <w:sz w:val="18"/>
                      <w:szCs w:val="18"/>
                      <w:highlight w:val="none"/>
                    </w:rPr>
                  </w:pPr>
                </w:p>
              </w:tc>
              <w:tc>
                <w:tcPr>
                  <w:tcW w:w="476" w:type="dxa"/>
                  <w:vAlign w:val="center"/>
                </w:tcPr>
                <w:p w14:paraId="6EB479DF">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氨气</w:t>
                  </w:r>
                </w:p>
              </w:tc>
              <w:tc>
                <w:tcPr>
                  <w:tcW w:w="476" w:type="dxa"/>
                  <w:vAlign w:val="center"/>
                </w:tcPr>
                <w:p w14:paraId="3042CDEC">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NO</w:t>
                  </w:r>
                  <w:r>
                    <w:rPr>
                      <w:rFonts w:hint="default" w:ascii="Times New Roman" w:hAnsi="Times New Roman" w:cs="Times New Roman"/>
                      <w:color w:val="auto"/>
                      <w:sz w:val="18"/>
                      <w:szCs w:val="18"/>
                      <w:highlight w:val="none"/>
                      <w:vertAlign w:val="subscript"/>
                    </w:rPr>
                    <w:t>2</w:t>
                  </w:r>
                </w:p>
              </w:tc>
              <w:tc>
                <w:tcPr>
                  <w:tcW w:w="476" w:type="dxa"/>
                  <w:vAlign w:val="center"/>
                </w:tcPr>
                <w:p w14:paraId="2B91F97D">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硫酸雾</w:t>
                  </w:r>
                </w:p>
              </w:tc>
              <w:tc>
                <w:tcPr>
                  <w:tcW w:w="476" w:type="dxa"/>
                  <w:vAlign w:val="center"/>
                </w:tcPr>
                <w:p w14:paraId="7F84855B">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HCl</w:t>
                  </w:r>
                </w:p>
              </w:tc>
              <w:tc>
                <w:tcPr>
                  <w:tcW w:w="478" w:type="dxa"/>
                  <w:vAlign w:val="center"/>
                </w:tcPr>
                <w:p w14:paraId="7F810A10">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非甲烷总烃</w:t>
                  </w:r>
                </w:p>
              </w:tc>
              <w:tc>
                <w:tcPr>
                  <w:tcW w:w="390" w:type="dxa"/>
                  <w:vAlign w:val="center"/>
                </w:tcPr>
                <w:p w14:paraId="3C77CA82">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颗粒物</w:t>
                  </w:r>
                </w:p>
              </w:tc>
            </w:tr>
            <w:tr w14:paraId="1F00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1" w:type="dxa"/>
                  <w:vAlign w:val="center"/>
                </w:tcPr>
                <w:p w14:paraId="0BC73BBB">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p>
              </w:tc>
              <w:tc>
                <w:tcPr>
                  <w:tcW w:w="788" w:type="dxa"/>
                  <w:vAlign w:val="center"/>
                </w:tcPr>
                <w:p w14:paraId="7E97C7E0">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理化实验室废气排放口DA001</w:t>
                  </w:r>
                </w:p>
              </w:tc>
              <w:tc>
                <w:tcPr>
                  <w:tcW w:w="406" w:type="dxa"/>
                  <w:vAlign w:val="center"/>
                </w:tcPr>
                <w:p w14:paraId="1E7A793A">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-44.43</w:t>
                  </w:r>
                </w:p>
              </w:tc>
              <w:tc>
                <w:tcPr>
                  <w:tcW w:w="406" w:type="dxa"/>
                  <w:vAlign w:val="center"/>
                </w:tcPr>
                <w:p w14:paraId="18004E02">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82.27</w:t>
                  </w:r>
                </w:p>
              </w:tc>
              <w:tc>
                <w:tcPr>
                  <w:tcW w:w="600" w:type="dxa"/>
                  <w:vAlign w:val="center"/>
                </w:tcPr>
                <w:p w14:paraId="4A7B0DCF">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1616</w:t>
                  </w:r>
                </w:p>
              </w:tc>
              <w:tc>
                <w:tcPr>
                  <w:tcW w:w="450" w:type="dxa"/>
                  <w:vAlign w:val="center"/>
                </w:tcPr>
                <w:p w14:paraId="3554693E">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23</w:t>
                  </w:r>
                </w:p>
              </w:tc>
              <w:tc>
                <w:tcPr>
                  <w:tcW w:w="613" w:type="dxa"/>
                  <w:vAlign w:val="center"/>
                </w:tcPr>
                <w:p w14:paraId="1C80113D">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0.4</w:t>
                  </w:r>
                </w:p>
              </w:tc>
              <w:tc>
                <w:tcPr>
                  <w:tcW w:w="612" w:type="dxa"/>
                  <w:vAlign w:val="center"/>
                </w:tcPr>
                <w:p w14:paraId="23D67189">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w:t>
                  </w:r>
                </w:p>
              </w:tc>
              <w:tc>
                <w:tcPr>
                  <w:tcW w:w="463" w:type="dxa"/>
                  <w:vAlign w:val="center"/>
                </w:tcPr>
                <w:p w14:paraId="3A9580F3">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25</w:t>
                  </w:r>
                </w:p>
              </w:tc>
              <w:tc>
                <w:tcPr>
                  <w:tcW w:w="625" w:type="dxa"/>
                  <w:vAlign w:val="center"/>
                </w:tcPr>
                <w:p w14:paraId="565CFAA3">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500</w:t>
                  </w:r>
                </w:p>
              </w:tc>
              <w:tc>
                <w:tcPr>
                  <w:tcW w:w="425" w:type="dxa"/>
                  <w:vAlign w:val="center"/>
                </w:tcPr>
                <w:p w14:paraId="3EE96CB9">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w:t>
                  </w:r>
                </w:p>
              </w:tc>
              <w:tc>
                <w:tcPr>
                  <w:tcW w:w="476" w:type="dxa"/>
                  <w:vAlign w:val="center"/>
                </w:tcPr>
                <w:p w14:paraId="601F5F15">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0.0000284</w:t>
                  </w:r>
                </w:p>
              </w:tc>
              <w:tc>
                <w:tcPr>
                  <w:tcW w:w="476" w:type="dxa"/>
                  <w:vAlign w:val="center"/>
                </w:tcPr>
                <w:p w14:paraId="4E30E722">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0.0000536</w:t>
                  </w:r>
                </w:p>
              </w:tc>
              <w:tc>
                <w:tcPr>
                  <w:tcW w:w="476" w:type="dxa"/>
                  <w:vAlign w:val="center"/>
                </w:tcPr>
                <w:p w14:paraId="5BAFD802">
                  <w:pPr>
                    <w:pStyle w:val="10"/>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0.00000014</w:t>
                  </w:r>
                </w:p>
              </w:tc>
              <w:tc>
                <w:tcPr>
                  <w:tcW w:w="476" w:type="dxa"/>
                  <w:vAlign w:val="center"/>
                </w:tcPr>
                <w:p w14:paraId="746301E5">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0.0000302</w:t>
                  </w:r>
                </w:p>
              </w:tc>
              <w:tc>
                <w:tcPr>
                  <w:tcW w:w="478" w:type="dxa"/>
                  <w:vAlign w:val="center"/>
                </w:tcPr>
                <w:p w14:paraId="6C5A1050">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0.00011</w:t>
                  </w:r>
                </w:p>
              </w:tc>
              <w:tc>
                <w:tcPr>
                  <w:tcW w:w="390" w:type="dxa"/>
                  <w:vAlign w:val="center"/>
                </w:tcPr>
                <w:p w14:paraId="5AD4D3D2">
                  <w:pPr>
                    <w:pStyle w:val="31"/>
                    <w:spacing w:line="240" w:lineRule="auto"/>
                    <w:ind w:firstLine="0" w:firstLineChars="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w:t>
                  </w:r>
                </w:p>
              </w:tc>
            </w:tr>
          </w:tbl>
          <w:p w14:paraId="6F1738D7">
            <w:pPr>
              <w:pStyle w:val="10"/>
              <w:snapToGrid w:val="0"/>
              <w:ind w:right="113"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5、排气筒高度设置合理性分析</w:t>
            </w:r>
          </w:p>
          <w:p w14:paraId="27809D92">
            <w:pPr>
              <w:pStyle w:val="10"/>
              <w:snapToGrid w:val="0"/>
              <w:ind w:right="113"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根据项目设计图纸，本项目实验室楼高22m，项目实验室有组织废气拟设置1根排气筒，排气筒设置于实验室楼顶开阔处，设置高度高于楼顶1m，即23m。根据上文计算结果，排气筒排放的污染物主要为氨气、NO</w:t>
            </w:r>
            <w:r>
              <w:rPr>
                <w:rFonts w:hint="default" w:ascii="Times New Roman" w:hAnsi="Times New Roman" w:cs="Times New Roman"/>
                <w:color w:val="auto"/>
                <w:szCs w:val="24"/>
                <w:highlight w:val="none"/>
                <w:vertAlign w:val="subscript"/>
              </w:rPr>
              <w:t>2</w:t>
            </w:r>
            <w:r>
              <w:rPr>
                <w:rFonts w:hint="default" w:ascii="Times New Roman" w:hAnsi="Times New Roman" w:cs="Times New Roman"/>
                <w:color w:val="auto"/>
                <w:szCs w:val="24"/>
                <w:highlight w:val="none"/>
              </w:rPr>
              <w:t>、HCl、非甲烷总烃等，排放量较小，排气筒朝向天空，距离周边大气环境保护目标较远，周边建筑以及大气环境有利于该排气筒的污染物进行大气扩散。因此，排气筒高度及设置位置合理。</w:t>
            </w:r>
          </w:p>
          <w:p w14:paraId="5FF9AFD6">
            <w:pPr>
              <w:pStyle w:val="10"/>
              <w:snapToGrid w:val="0"/>
              <w:ind w:right="113" w:firstLine="48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对照现场情况，本项目排气筒高度23m不能达到高出周围200m半径范围的建筑物5m以上。</w:t>
            </w:r>
            <w:r>
              <w:rPr>
                <w:rFonts w:hint="default" w:ascii="Times New Roman" w:hAnsi="Times New Roman" w:cs="Times New Roman"/>
                <w:color w:val="auto"/>
                <w:highlight w:val="none"/>
              </w:rPr>
              <w:t>根据《大气污染物综合排放标准》（GB16297-1996）第7.4条“新污染源的排气筒一般不应低于15m”和第7.1条“排气筒高度除须遵守表列排放速率标准值外，还应高出周围200m半径范围的建筑物5m以上，不能达到该要求的排气筒，应按其高度对应的表列排放速率标准值严格50%执行”。因此，本环评要求该排气筒排放速率标准值中表3-11、3-12中标准限制要求执行。</w:t>
            </w:r>
          </w:p>
          <w:p w14:paraId="00D004E1">
            <w:pPr>
              <w:pStyle w:val="22"/>
              <w:numPr>
                <w:ilvl w:val="0"/>
                <w:numId w:val="0"/>
              </w:num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6、废气影响分析</w:t>
            </w:r>
          </w:p>
          <w:p w14:paraId="3A876AD1">
            <w:pPr>
              <w:pStyle w:val="1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（1）废气达标情况分析</w:t>
            </w:r>
          </w:p>
          <w:p w14:paraId="3AA2BF20">
            <w:pPr>
              <w:pStyle w:val="22"/>
              <w:numPr>
                <w:ilvl w:val="0"/>
                <w:numId w:val="0"/>
              </w:numPr>
              <w:jc w:val="center"/>
              <w:rPr>
                <w:rFonts w:hint="default" w:ascii="Times New Roman" w:hAnsi="Times New Roman" w:cs="Times New Roman"/>
                <w:color w:val="auto"/>
                <w:highlight w:val="none"/>
              </w:rPr>
            </w:pPr>
            <w:r>
              <w:rPr>
                <w:rFonts w:hint="default" w:ascii="Times New Roman" w:hAnsi="Times New Roman" w:cs="Times New Roman"/>
                <w:b/>
                <w:color w:val="auto"/>
                <w:kern w:val="0"/>
                <w:highlight w:val="none"/>
              </w:rPr>
              <w:t>表4-7 项目废气有组织排放达标情况分析表</w:t>
            </w:r>
          </w:p>
          <w:tbl>
            <w:tblPr>
              <w:tblStyle w:val="33"/>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974"/>
              <w:gridCol w:w="984"/>
              <w:gridCol w:w="969"/>
              <w:gridCol w:w="1281"/>
              <w:gridCol w:w="1065"/>
              <w:gridCol w:w="829"/>
              <w:gridCol w:w="878"/>
              <w:gridCol w:w="775"/>
            </w:tblGrid>
            <w:tr w14:paraId="0339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Merge w:val="restart"/>
                  <w:vAlign w:val="center"/>
                </w:tcPr>
                <w:p w14:paraId="5FD8BE2F">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974" w:type="dxa"/>
                  <w:vMerge w:val="restart"/>
                  <w:vAlign w:val="center"/>
                </w:tcPr>
                <w:p w14:paraId="05D879C7">
                  <w:pPr>
                    <w:pStyle w:val="79"/>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污染源</w:t>
                  </w:r>
                </w:p>
              </w:tc>
              <w:tc>
                <w:tcPr>
                  <w:tcW w:w="984" w:type="dxa"/>
                  <w:vMerge w:val="restart"/>
                  <w:vAlign w:val="center"/>
                </w:tcPr>
                <w:p w14:paraId="187982C3">
                  <w:pPr>
                    <w:pStyle w:val="79"/>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969" w:type="dxa"/>
                  <w:vMerge w:val="restart"/>
                  <w:vAlign w:val="center"/>
                </w:tcPr>
                <w:p w14:paraId="5549A793">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排放量</w:t>
                  </w:r>
                </w:p>
                <w:p w14:paraId="36367A7F">
                  <w:pPr>
                    <w:pStyle w:val="79"/>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kg/a</w:t>
                  </w:r>
                </w:p>
              </w:tc>
              <w:tc>
                <w:tcPr>
                  <w:tcW w:w="1281" w:type="dxa"/>
                  <w:vMerge w:val="restart"/>
                  <w:vAlign w:val="center"/>
                </w:tcPr>
                <w:p w14:paraId="2C5642AE">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排放速率</w:t>
                  </w:r>
                </w:p>
                <w:p w14:paraId="785DE26F">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kg/h</w:t>
                  </w:r>
                </w:p>
              </w:tc>
              <w:tc>
                <w:tcPr>
                  <w:tcW w:w="1065" w:type="dxa"/>
                  <w:vMerge w:val="restart"/>
                  <w:vAlign w:val="center"/>
                </w:tcPr>
                <w:p w14:paraId="3C05D7C2">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排放浓度</w:t>
                  </w:r>
                </w:p>
                <w:p w14:paraId="1B278228">
                  <w:pPr>
                    <w:pStyle w:val="79"/>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p>
              </w:tc>
              <w:tc>
                <w:tcPr>
                  <w:tcW w:w="1707" w:type="dxa"/>
                  <w:gridSpan w:val="2"/>
                  <w:vAlign w:val="center"/>
                </w:tcPr>
                <w:p w14:paraId="2A4691C7">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标准限值</w:t>
                  </w:r>
                </w:p>
              </w:tc>
              <w:tc>
                <w:tcPr>
                  <w:tcW w:w="775" w:type="dxa"/>
                  <w:vMerge w:val="restart"/>
                  <w:vAlign w:val="center"/>
                </w:tcPr>
                <w:p w14:paraId="7F5DCBCC">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达标</w:t>
                  </w:r>
                </w:p>
                <w:p w14:paraId="538C75EF">
                  <w:pPr>
                    <w:pStyle w:val="79"/>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情况</w:t>
                  </w:r>
                </w:p>
              </w:tc>
            </w:tr>
            <w:tr w14:paraId="2EFC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Merge w:val="continue"/>
                  <w:vAlign w:val="center"/>
                </w:tcPr>
                <w:p w14:paraId="6FED1A3F">
                  <w:pPr>
                    <w:pStyle w:val="79"/>
                    <w:spacing w:line="240" w:lineRule="auto"/>
                    <w:ind w:firstLine="0" w:firstLineChars="0"/>
                    <w:jc w:val="center"/>
                    <w:rPr>
                      <w:rFonts w:hint="default" w:ascii="Times New Roman" w:hAnsi="Times New Roman" w:cs="Times New Roman"/>
                      <w:color w:val="auto"/>
                      <w:highlight w:val="none"/>
                    </w:rPr>
                  </w:pPr>
                </w:p>
              </w:tc>
              <w:tc>
                <w:tcPr>
                  <w:tcW w:w="974" w:type="dxa"/>
                  <w:vMerge w:val="continue"/>
                  <w:vAlign w:val="center"/>
                </w:tcPr>
                <w:p w14:paraId="46C4685E">
                  <w:pPr>
                    <w:pStyle w:val="79"/>
                    <w:spacing w:line="240" w:lineRule="auto"/>
                    <w:ind w:firstLine="0" w:firstLineChars="0"/>
                    <w:jc w:val="center"/>
                    <w:rPr>
                      <w:rFonts w:hint="default" w:ascii="Times New Roman" w:hAnsi="Times New Roman" w:cs="Times New Roman"/>
                      <w:color w:val="auto"/>
                      <w:highlight w:val="none"/>
                    </w:rPr>
                  </w:pPr>
                </w:p>
              </w:tc>
              <w:tc>
                <w:tcPr>
                  <w:tcW w:w="984" w:type="dxa"/>
                  <w:vMerge w:val="continue"/>
                  <w:vAlign w:val="center"/>
                </w:tcPr>
                <w:p w14:paraId="70A43554">
                  <w:pPr>
                    <w:pStyle w:val="79"/>
                    <w:spacing w:line="240" w:lineRule="auto"/>
                    <w:ind w:firstLine="0" w:firstLineChars="0"/>
                    <w:jc w:val="center"/>
                    <w:rPr>
                      <w:rFonts w:hint="default" w:ascii="Times New Roman" w:hAnsi="Times New Roman" w:cs="Times New Roman"/>
                      <w:color w:val="auto"/>
                      <w:highlight w:val="none"/>
                    </w:rPr>
                  </w:pPr>
                </w:p>
              </w:tc>
              <w:tc>
                <w:tcPr>
                  <w:tcW w:w="969" w:type="dxa"/>
                  <w:vMerge w:val="continue"/>
                  <w:vAlign w:val="center"/>
                </w:tcPr>
                <w:p w14:paraId="662DACF7">
                  <w:pPr>
                    <w:pStyle w:val="79"/>
                    <w:spacing w:line="240" w:lineRule="auto"/>
                    <w:ind w:firstLine="0" w:firstLineChars="0"/>
                    <w:jc w:val="center"/>
                    <w:rPr>
                      <w:rFonts w:hint="default" w:ascii="Times New Roman" w:hAnsi="Times New Roman" w:cs="Times New Roman"/>
                      <w:color w:val="auto"/>
                      <w:highlight w:val="none"/>
                    </w:rPr>
                  </w:pPr>
                </w:p>
              </w:tc>
              <w:tc>
                <w:tcPr>
                  <w:tcW w:w="1281" w:type="dxa"/>
                  <w:vMerge w:val="continue"/>
                  <w:vAlign w:val="center"/>
                </w:tcPr>
                <w:p w14:paraId="06CFC2C6">
                  <w:pPr>
                    <w:pStyle w:val="79"/>
                    <w:spacing w:line="240" w:lineRule="auto"/>
                    <w:ind w:firstLine="0" w:firstLineChars="0"/>
                    <w:jc w:val="center"/>
                    <w:rPr>
                      <w:rFonts w:hint="default" w:ascii="Times New Roman" w:hAnsi="Times New Roman" w:cs="Times New Roman"/>
                      <w:color w:val="auto"/>
                      <w:highlight w:val="none"/>
                    </w:rPr>
                  </w:pPr>
                </w:p>
              </w:tc>
              <w:tc>
                <w:tcPr>
                  <w:tcW w:w="1065" w:type="dxa"/>
                  <w:vMerge w:val="continue"/>
                  <w:vAlign w:val="center"/>
                </w:tcPr>
                <w:p w14:paraId="6FF05EE3">
                  <w:pPr>
                    <w:pStyle w:val="79"/>
                    <w:spacing w:line="240" w:lineRule="auto"/>
                    <w:ind w:firstLine="0" w:firstLineChars="0"/>
                    <w:jc w:val="center"/>
                    <w:rPr>
                      <w:rFonts w:hint="default" w:ascii="Times New Roman" w:hAnsi="Times New Roman" w:cs="Times New Roman"/>
                      <w:color w:val="auto"/>
                      <w:highlight w:val="none"/>
                    </w:rPr>
                  </w:pPr>
                </w:p>
              </w:tc>
              <w:tc>
                <w:tcPr>
                  <w:tcW w:w="829" w:type="dxa"/>
                  <w:vAlign w:val="center"/>
                </w:tcPr>
                <w:p w14:paraId="61C55F36">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速率kg/h</w:t>
                  </w:r>
                </w:p>
              </w:tc>
              <w:tc>
                <w:tcPr>
                  <w:tcW w:w="878" w:type="dxa"/>
                  <w:vAlign w:val="center"/>
                </w:tcPr>
                <w:p w14:paraId="6375CA19">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浓度mg/m</w:t>
                  </w:r>
                  <w:r>
                    <w:rPr>
                      <w:rFonts w:hint="default" w:ascii="Times New Roman" w:hAnsi="Times New Roman" w:eastAsia="宋体" w:cs="Times New Roman"/>
                      <w:b/>
                      <w:bCs/>
                      <w:color w:val="auto"/>
                      <w:sz w:val="21"/>
                      <w:szCs w:val="21"/>
                      <w:highlight w:val="none"/>
                      <w:vertAlign w:val="superscript"/>
                    </w:rPr>
                    <w:t>3</w:t>
                  </w:r>
                </w:p>
              </w:tc>
              <w:tc>
                <w:tcPr>
                  <w:tcW w:w="775" w:type="dxa"/>
                  <w:vMerge w:val="continue"/>
                  <w:vAlign w:val="center"/>
                </w:tcPr>
                <w:p w14:paraId="314D392C">
                  <w:pPr>
                    <w:pStyle w:val="79"/>
                    <w:spacing w:line="240" w:lineRule="auto"/>
                    <w:ind w:firstLine="0" w:firstLineChars="0"/>
                    <w:jc w:val="center"/>
                    <w:rPr>
                      <w:rFonts w:hint="default" w:ascii="Times New Roman" w:hAnsi="Times New Roman" w:eastAsia="宋体" w:cs="Times New Roman"/>
                      <w:b/>
                      <w:bCs/>
                      <w:color w:val="auto"/>
                      <w:sz w:val="21"/>
                      <w:szCs w:val="21"/>
                      <w:highlight w:val="none"/>
                    </w:rPr>
                  </w:pPr>
                </w:p>
              </w:tc>
            </w:tr>
            <w:tr w14:paraId="7A6E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Align w:val="center"/>
                </w:tcPr>
                <w:p w14:paraId="48BB4839">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1</w:t>
                  </w:r>
                </w:p>
              </w:tc>
              <w:tc>
                <w:tcPr>
                  <w:tcW w:w="974" w:type="dxa"/>
                  <w:vMerge w:val="restart"/>
                  <w:vAlign w:val="center"/>
                </w:tcPr>
                <w:p w14:paraId="1569A77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理化实验室废气</w:t>
                  </w:r>
                </w:p>
              </w:tc>
              <w:tc>
                <w:tcPr>
                  <w:tcW w:w="984" w:type="dxa"/>
                  <w:vAlign w:val="center"/>
                </w:tcPr>
                <w:p w14:paraId="64A78CF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氨气</w:t>
                  </w:r>
                </w:p>
              </w:tc>
              <w:tc>
                <w:tcPr>
                  <w:tcW w:w="969" w:type="dxa"/>
                  <w:vAlign w:val="center"/>
                </w:tcPr>
                <w:p w14:paraId="5BA3737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0.0142</w:t>
                  </w:r>
                </w:p>
              </w:tc>
              <w:tc>
                <w:tcPr>
                  <w:tcW w:w="1281" w:type="dxa"/>
                  <w:vAlign w:val="center"/>
                </w:tcPr>
                <w:p w14:paraId="3B3DDE9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0.0000284</w:t>
                  </w:r>
                </w:p>
              </w:tc>
              <w:tc>
                <w:tcPr>
                  <w:tcW w:w="1065" w:type="dxa"/>
                  <w:vAlign w:val="center"/>
                </w:tcPr>
                <w:p w14:paraId="61AAA6C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0.003787</w:t>
                  </w:r>
                </w:p>
              </w:tc>
              <w:tc>
                <w:tcPr>
                  <w:tcW w:w="829" w:type="dxa"/>
                  <w:vAlign w:val="center"/>
                </w:tcPr>
                <w:p w14:paraId="10830AD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w:t>
                  </w:r>
                </w:p>
              </w:tc>
              <w:tc>
                <w:tcPr>
                  <w:tcW w:w="878" w:type="dxa"/>
                  <w:vAlign w:val="center"/>
                </w:tcPr>
                <w:p w14:paraId="79D9660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775" w:type="dxa"/>
                  <w:vAlign w:val="center"/>
                </w:tcPr>
                <w:p w14:paraId="1E487C5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AE8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Align w:val="center"/>
                </w:tcPr>
                <w:p w14:paraId="693E3847">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2</w:t>
                  </w:r>
                </w:p>
              </w:tc>
              <w:tc>
                <w:tcPr>
                  <w:tcW w:w="974" w:type="dxa"/>
                  <w:vMerge w:val="continue"/>
                  <w:vAlign w:val="center"/>
                </w:tcPr>
                <w:p w14:paraId="1ED5C59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84" w:type="dxa"/>
                  <w:vAlign w:val="center"/>
                </w:tcPr>
                <w:p w14:paraId="3BE0668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969" w:type="dxa"/>
                  <w:vAlign w:val="center"/>
                </w:tcPr>
                <w:p w14:paraId="0027FAE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0.0268</w:t>
                  </w:r>
                </w:p>
              </w:tc>
              <w:tc>
                <w:tcPr>
                  <w:tcW w:w="1281" w:type="dxa"/>
                  <w:vAlign w:val="center"/>
                </w:tcPr>
                <w:p w14:paraId="13575B2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0.0000536</w:t>
                  </w:r>
                </w:p>
              </w:tc>
              <w:tc>
                <w:tcPr>
                  <w:tcW w:w="1065" w:type="dxa"/>
                  <w:vAlign w:val="center"/>
                </w:tcPr>
                <w:p w14:paraId="1E1C5E0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0.007147</w:t>
                  </w:r>
                </w:p>
              </w:tc>
              <w:tc>
                <w:tcPr>
                  <w:tcW w:w="829" w:type="dxa"/>
                  <w:vAlign w:val="center"/>
                </w:tcPr>
                <w:p w14:paraId="6A47BB5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1.115</w:t>
                  </w:r>
                </w:p>
              </w:tc>
              <w:tc>
                <w:tcPr>
                  <w:tcW w:w="878" w:type="dxa"/>
                  <w:vAlign w:val="center"/>
                </w:tcPr>
                <w:p w14:paraId="793729F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240</w:t>
                  </w:r>
                </w:p>
              </w:tc>
              <w:tc>
                <w:tcPr>
                  <w:tcW w:w="775" w:type="dxa"/>
                  <w:vAlign w:val="center"/>
                </w:tcPr>
                <w:p w14:paraId="606A1CD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5742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Align w:val="center"/>
                </w:tcPr>
                <w:p w14:paraId="7252B5E4">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3</w:t>
                  </w:r>
                </w:p>
              </w:tc>
              <w:tc>
                <w:tcPr>
                  <w:tcW w:w="974" w:type="dxa"/>
                  <w:vMerge w:val="continue"/>
                  <w:vAlign w:val="center"/>
                </w:tcPr>
                <w:p w14:paraId="2E00793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84" w:type="dxa"/>
                  <w:vAlign w:val="center"/>
                </w:tcPr>
                <w:p w14:paraId="10FF54F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硫酸雾</w:t>
                  </w:r>
                </w:p>
              </w:tc>
              <w:tc>
                <w:tcPr>
                  <w:tcW w:w="969" w:type="dxa"/>
                  <w:vAlign w:val="center"/>
                </w:tcPr>
                <w:p w14:paraId="4CC714E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0.00007</w:t>
                  </w:r>
                </w:p>
              </w:tc>
              <w:tc>
                <w:tcPr>
                  <w:tcW w:w="1281" w:type="dxa"/>
                  <w:vAlign w:val="center"/>
                </w:tcPr>
                <w:p w14:paraId="0A39771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0.00000014</w:t>
                  </w:r>
                </w:p>
              </w:tc>
              <w:tc>
                <w:tcPr>
                  <w:tcW w:w="1065" w:type="dxa"/>
                  <w:vAlign w:val="center"/>
                </w:tcPr>
                <w:p w14:paraId="068C870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0.004027</w:t>
                  </w:r>
                </w:p>
              </w:tc>
              <w:tc>
                <w:tcPr>
                  <w:tcW w:w="829" w:type="dxa"/>
                  <w:vAlign w:val="center"/>
                </w:tcPr>
                <w:p w14:paraId="1669E4E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2.23</w:t>
                  </w:r>
                </w:p>
              </w:tc>
              <w:tc>
                <w:tcPr>
                  <w:tcW w:w="878" w:type="dxa"/>
                  <w:vAlign w:val="center"/>
                </w:tcPr>
                <w:p w14:paraId="68170B5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45</w:t>
                  </w:r>
                </w:p>
              </w:tc>
              <w:tc>
                <w:tcPr>
                  <w:tcW w:w="775" w:type="dxa"/>
                  <w:vAlign w:val="center"/>
                </w:tcPr>
                <w:p w14:paraId="2947EC8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0411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Align w:val="center"/>
                </w:tcPr>
                <w:p w14:paraId="73BFD62B">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4</w:t>
                  </w:r>
                </w:p>
              </w:tc>
              <w:tc>
                <w:tcPr>
                  <w:tcW w:w="974" w:type="dxa"/>
                  <w:vMerge w:val="continue"/>
                  <w:vAlign w:val="center"/>
                </w:tcPr>
                <w:p w14:paraId="2B6EAD8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84" w:type="dxa"/>
                  <w:vAlign w:val="center"/>
                </w:tcPr>
                <w:p w14:paraId="31A299E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HCl</w:t>
                  </w:r>
                </w:p>
              </w:tc>
              <w:tc>
                <w:tcPr>
                  <w:tcW w:w="969" w:type="dxa"/>
                  <w:vAlign w:val="center"/>
                </w:tcPr>
                <w:p w14:paraId="4770FB9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0.0151</w:t>
                  </w:r>
                </w:p>
              </w:tc>
              <w:tc>
                <w:tcPr>
                  <w:tcW w:w="1281" w:type="dxa"/>
                  <w:vAlign w:val="center"/>
                </w:tcPr>
                <w:p w14:paraId="3CBB6CA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0.0000302</w:t>
                  </w:r>
                </w:p>
              </w:tc>
              <w:tc>
                <w:tcPr>
                  <w:tcW w:w="1065" w:type="dxa"/>
                  <w:vAlign w:val="center"/>
                </w:tcPr>
                <w:p w14:paraId="7992866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0.004027</w:t>
                  </w:r>
                </w:p>
              </w:tc>
              <w:tc>
                <w:tcPr>
                  <w:tcW w:w="829" w:type="dxa"/>
                  <w:vAlign w:val="center"/>
                </w:tcPr>
                <w:p w14:paraId="25E27E7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0.3605</w:t>
                  </w:r>
                </w:p>
              </w:tc>
              <w:tc>
                <w:tcPr>
                  <w:tcW w:w="878" w:type="dxa"/>
                  <w:vAlign w:val="center"/>
                </w:tcPr>
                <w:p w14:paraId="06DB0C7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w:t>
                  </w:r>
                </w:p>
              </w:tc>
              <w:tc>
                <w:tcPr>
                  <w:tcW w:w="775" w:type="dxa"/>
                  <w:vAlign w:val="center"/>
                </w:tcPr>
                <w:p w14:paraId="393F8FC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2D3D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9" w:type="dxa"/>
                  <w:vAlign w:val="center"/>
                </w:tcPr>
                <w:p w14:paraId="6766FB40">
                  <w:pPr>
                    <w:pStyle w:val="1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5</w:t>
                  </w:r>
                </w:p>
              </w:tc>
              <w:tc>
                <w:tcPr>
                  <w:tcW w:w="974" w:type="dxa"/>
                  <w:vMerge w:val="continue"/>
                  <w:vAlign w:val="center"/>
                </w:tcPr>
                <w:p w14:paraId="24713E4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84" w:type="dxa"/>
                  <w:vAlign w:val="center"/>
                </w:tcPr>
                <w:p w14:paraId="5D940B1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非甲烷总烃</w:t>
                  </w:r>
                </w:p>
              </w:tc>
              <w:tc>
                <w:tcPr>
                  <w:tcW w:w="969" w:type="dxa"/>
                  <w:vAlign w:val="center"/>
                </w:tcPr>
                <w:p w14:paraId="5FCA5FF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0.0552</w:t>
                  </w:r>
                </w:p>
              </w:tc>
              <w:tc>
                <w:tcPr>
                  <w:tcW w:w="1281" w:type="dxa"/>
                  <w:vAlign w:val="center"/>
                </w:tcPr>
                <w:p w14:paraId="768D19F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0.00011</w:t>
                  </w:r>
                </w:p>
              </w:tc>
              <w:tc>
                <w:tcPr>
                  <w:tcW w:w="1065" w:type="dxa"/>
                  <w:vAlign w:val="center"/>
                </w:tcPr>
                <w:p w14:paraId="351E92E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0.0244</w:t>
                  </w:r>
                </w:p>
              </w:tc>
              <w:tc>
                <w:tcPr>
                  <w:tcW w:w="829" w:type="dxa"/>
                  <w:vAlign w:val="center"/>
                </w:tcPr>
                <w:p w14:paraId="3925E4A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13.9</w:t>
                  </w:r>
                </w:p>
              </w:tc>
              <w:tc>
                <w:tcPr>
                  <w:tcW w:w="878" w:type="dxa"/>
                  <w:vAlign w:val="center"/>
                </w:tcPr>
                <w:p w14:paraId="5D99496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120</w:t>
                  </w:r>
                </w:p>
              </w:tc>
              <w:tc>
                <w:tcPr>
                  <w:tcW w:w="775" w:type="dxa"/>
                  <w:vAlign w:val="center"/>
                </w:tcPr>
                <w:p w14:paraId="19566CD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4D88A49A">
            <w:pPr>
              <w:pStyle w:val="79"/>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highlight w:val="none"/>
              </w:rPr>
              <w:t>根据上表，本项目有组织废气均能够达到</w:t>
            </w:r>
            <w:r>
              <w:rPr>
                <w:rFonts w:hint="default" w:ascii="Times New Roman" w:hAnsi="Times New Roman" w:eastAsia="宋体" w:cs="Times New Roman"/>
                <w:color w:val="auto"/>
                <w:sz w:val="24"/>
                <w:szCs w:val="24"/>
                <w:highlight w:val="none"/>
              </w:rPr>
              <w:t>本环评中表3-11、3-12中标准限制要求</w:t>
            </w:r>
            <w:r>
              <w:rPr>
                <w:rFonts w:hint="default" w:ascii="Times New Roman" w:hAnsi="Times New Roman" w:eastAsia="宋体" w:cs="Times New Roman"/>
                <w:color w:val="auto"/>
                <w:sz w:val="24"/>
                <w:highlight w:val="none"/>
              </w:rPr>
              <w:t>，对环境的影</w:t>
            </w:r>
            <w:r>
              <w:rPr>
                <w:rFonts w:hint="default" w:ascii="Times New Roman" w:hAnsi="Times New Roman" w:eastAsia="宋体" w:cs="Times New Roman"/>
                <w:color w:val="auto"/>
                <w:sz w:val="24"/>
                <w:szCs w:val="24"/>
                <w:highlight w:val="none"/>
              </w:rPr>
              <w:t>响较小。</w:t>
            </w:r>
          </w:p>
          <w:p w14:paraId="5C04E8CD">
            <w:pPr>
              <w:pStyle w:val="1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（2）微生物实验室废气</w:t>
            </w:r>
          </w:p>
          <w:p w14:paraId="613314C0">
            <w:pPr>
              <w:pStyle w:val="79"/>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项目微生物实验室带有病原微生物气溶胶的废气经高效过滤、消毒灭菌后，可将病原微生物完全捕集，空气在生物实验室内循环，不外排，对大气环境影响较</w:t>
            </w:r>
            <w:r>
              <w:rPr>
                <w:rFonts w:hint="default" w:ascii="Times New Roman" w:hAnsi="Times New Roman" w:eastAsia="宋体" w:cs="Times New Roman"/>
                <w:color w:val="auto"/>
                <w:kern w:val="0"/>
                <w:sz w:val="24"/>
                <w:szCs w:val="20"/>
                <w:highlight w:val="none"/>
              </w:rPr>
              <w:t>小。</w:t>
            </w:r>
          </w:p>
          <w:p w14:paraId="2D1344A6">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（3）药物及试剂异味</w:t>
            </w:r>
          </w:p>
          <w:p w14:paraId="5FBA9057">
            <w:pPr>
              <w:widowControl/>
              <w:spacing w:line="360" w:lineRule="auto"/>
              <w:ind w:firstLine="480" w:firstLineChars="200"/>
              <w:rPr>
                <w:rFonts w:hint="default" w:ascii="Times New Roman" w:hAnsi="Times New Roman" w:cs="Times New Roman"/>
                <w:b/>
                <w:bCs/>
                <w:color w:val="auto"/>
                <w:kern w:val="0"/>
                <w:sz w:val="24"/>
                <w:highlight w:val="none"/>
              </w:rPr>
            </w:pPr>
            <w:r>
              <w:rPr>
                <w:rFonts w:hint="default" w:ascii="Times New Roman" w:hAnsi="Times New Roman" w:cs="Times New Roman"/>
                <w:color w:val="auto"/>
                <w:kern w:val="0"/>
                <w:sz w:val="24"/>
                <w:szCs w:val="20"/>
                <w:highlight w:val="none"/>
              </w:rPr>
              <w:t>各种药品及试剂气味散发量很小且分散于各楼层，通过加强室内通风换气，保持楼内药物及试剂储藏间良好的通风性，药物及试剂异味（臭气浓度）对项目区及周围环境影响</w:t>
            </w:r>
            <w:r>
              <w:rPr>
                <w:rFonts w:hint="default" w:ascii="Times New Roman" w:hAnsi="Times New Roman" w:cs="Times New Roman"/>
                <w:color w:val="auto"/>
                <w:kern w:val="0"/>
                <w:sz w:val="24"/>
                <w:highlight w:val="none"/>
              </w:rPr>
              <w:t>较小</w:t>
            </w:r>
            <w:r>
              <w:rPr>
                <w:rFonts w:hint="default" w:ascii="Times New Roman" w:hAnsi="Times New Roman" w:cs="Times New Roman"/>
                <w:color w:val="auto"/>
                <w:kern w:val="0"/>
                <w:sz w:val="24"/>
                <w:szCs w:val="20"/>
                <w:highlight w:val="none"/>
              </w:rPr>
              <w:t>。</w:t>
            </w:r>
          </w:p>
          <w:p w14:paraId="5B31562F">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（4）污水处理站臭气</w:t>
            </w:r>
          </w:p>
          <w:p w14:paraId="25A1F4D8">
            <w:pPr>
              <w:pStyle w:val="10"/>
              <w:ind w:firstLine="480"/>
              <w:rPr>
                <w:rFonts w:hint="default" w:ascii="Times New Roman" w:hAnsi="Times New Roman" w:cs="Times New Roman"/>
                <w:b/>
                <w:bCs/>
                <w:color w:val="auto"/>
                <w:szCs w:val="24"/>
                <w:highlight w:val="none"/>
              </w:rPr>
            </w:pPr>
            <w:r>
              <w:rPr>
                <w:rFonts w:hint="default" w:ascii="Times New Roman" w:hAnsi="Times New Roman" w:cs="Times New Roman"/>
                <w:color w:val="auto"/>
                <w:szCs w:val="24"/>
                <w:highlight w:val="none"/>
              </w:rPr>
              <w:t>污水处理站为地埋式，所有处理设备均加盖密闭，加强污水处理站的运行操作管理，污泥及时外运，</w:t>
            </w:r>
            <w:r>
              <w:rPr>
                <w:rFonts w:hint="default" w:ascii="Times New Roman" w:hAnsi="Times New Roman" w:cs="Times New Roman"/>
                <w:color w:val="auto"/>
                <w:highlight w:val="none"/>
              </w:rPr>
              <w:t>恶臭能得到有效控制</w:t>
            </w:r>
            <w:r>
              <w:rPr>
                <w:rFonts w:hint="default" w:ascii="Times New Roman" w:hAnsi="Times New Roman" w:cs="Times New Roman"/>
                <w:color w:val="auto"/>
                <w:szCs w:val="24"/>
                <w:highlight w:val="none"/>
              </w:rPr>
              <w:t>。</w:t>
            </w:r>
          </w:p>
          <w:p w14:paraId="5EFCDE99">
            <w:pPr>
              <w:pStyle w:val="10"/>
              <w:ind w:left="420" w:leftChars="200" w:firstLine="0" w:firstLineChars="0"/>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（5）柴油发电机废气</w:t>
            </w:r>
          </w:p>
          <w:p w14:paraId="20053C17">
            <w:pPr>
              <w:pStyle w:val="10"/>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fldChar w:fldCharType="begin"/>
            </w:r>
            <w:r>
              <w:rPr>
                <w:rFonts w:hint="default" w:ascii="Times New Roman" w:hAnsi="Times New Roman" w:cs="Times New Roman"/>
                <w:b/>
                <w:color w:val="auto"/>
                <w:szCs w:val="24"/>
                <w:highlight w:val="none"/>
              </w:rPr>
              <w:instrText xml:space="preserve"> = 1 \* GB3 </w:instrText>
            </w:r>
            <w:r>
              <w:rPr>
                <w:rFonts w:hint="default" w:ascii="Times New Roman" w:hAnsi="Times New Roman" w:cs="Times New Roman"/>
                <w:b/>
                <w:color w:val="auto"/>
                <w:szCs w:val="24"/>
                <w:highlight w:val="none"/>
              </w:rPr>
              <w:fldChar w:fldCharType="separate"/>
            </w:r>
            <w:r>
              <w:rPr>
                <w:rFonts w:hint="default" w:ascii="Times New Roman" w:hAnsi="Times New Roman" w:cs="Times New Roman"/>
                <w:b/>
                <w:color w:val="auto"/>
                <w:szCs w:val="24"/>
                <w:highlight w:val="none"/>
              </w:rPr>
              <w:t>①</w:t>
            </w:r>
            <w:r>
              <w:rPr>
                <w:rFonts w:hint="default" w:ascii="Times New Roman" w:hAnsi="Times New Roman" w:cs="Times New Roman"/>
                <w:b/>
                <w:color w:val="auto"/>
                <w:szCs w:val="24"/>
                <w:highlight w:val="none"/>
              </w:rPr>
              <w:fldChar w:fldCharType="end"/>
            </w:r>
            <w:r>
              <w:rPr>
                <w:rFonts w:hint="default" w:ascii="Times New Roman" w:hAnsi="Times New Roman" w:cs="Times New Roman"/>
                <w:b/>
                <w:color w:val="auto"/>
                <w:szCs w:val="24"/>
                <w:highlight w:val="none"/>
              </w:rPr>
              <w:t>柴油发电机废气产、排情况</w:t>
            </w:r>
          </w:p>
          <w:p w14:paraId="1330BB7F">
            <w:pPr>
              <w:pStyle w:val="10"/>
              <w:ind w:firstLine="480"/>
              <w:rPr>
                <w:rFonts w:hint="default" w:ascii="Times New Roman" w:hAnsi="Times New Roman" w:cs="Times New Roman"/>
                <w:bCs/>
                <w:color w:val="auto"/>
                <w:szCs w:val="24"/>
                <w:highlight w:val="none"/>
              </w:rPr>
            </w:pPr>
            <w:r>
              <w:rPr>
                <w:rFonts w:hint="default" w:ascii="Times New Roman" w:hAnsi="Times New Roman" w:cs="Times New Roman"/>
                <w:bCs/>
                <w:color w:val="auto"/>
                <w:szCs w:val="24"/>
                <w:highlight w:val="none"/>
              </w:rPr>
              <w:t>根据建设单位描述，本项目拟设置一台备用柴油发电机于单独的发电机房内，用于电路线路检修时的备用电源。根据以往的运行经验，项目备用柴油发电机一般一年仅启动1-2次，每次启动时间约1-3小时。柴油发电机产生的废气污染物主要为二氧化硫、颗粒物、C</w:t>
            </w:r>
            <w:r>
              <w:rPr>
                <w:rFonts w:hint="default" w:ascii="Times New Roman" w:hAnsi="Times New Roman" w:cs="Times New Roman"/>
                <w:bCs/>
                <w:color w:val="auto"/>
                <w:szCs w:val="24"/>
                <w:highlight w:val="none"/>
                <w:vertAlign w:val="subscript"/>
              </w:rPr>
              <w:t>n</w:t>
            </w:r>
            <w:r>
              <w:rPr>
                <w:rFonts w:hint="default" w:ascii="Times New Roman" w:hAnsi="Times New Roman" w:cs="Times New Roman"/>
                <w:bCs/>
                <w:color w:val="auto"/>
                <w:szCs w:val="24"/>
                <w:highlight w:val="none"/>
              </w:rPr>
              <w:t>H</w:t>
            </w:r>
            <w:r>
              <w:rPr>
                <w:rFonts w:hint="default" w:ascii="Times New Roman" w:hAnsi="Times New Roman" w:cs="Times New Roman"/>
                <w:bCs/>
                <w:color w:val="auto"/>
                <w:szCs w:val="24"/>
                <w:highlight w:val="none"/>
                <w:vertAlign w:val="subscript"/>
              </w:rPr>
              <w:t>m</w:t>
            </w:r>
            <w:r>
              <w:rPr>
                <w:rFonts w:hint="default" w:ascii="Times New Roman" w:hAnsi="Times New Roman" w:cs="Times New Roman"/>
                <w:bCs/>
                <w:color w:val="auto"/>
                <w:szCs w:val="24"/>
                <w:highlight w:val="none"/>
              </w:rPr>
              <w:t>等，因运行时间较短，产生量很小。根据建设单位的设计方案，项目在发电机房拟设置机械排风系统，烟气经自带过滤棉处理后，经抽排风系统由排风</w:t>
            </w:r>
            <w:r>
              <w:rPr>
                <w:rStyle w:val="115"/>
                <w:rFonts w:hint="default" w:ascii="Times New Roman" w:hAnsi="Times New Roman" w:cs="Times New Roman"/>
                <w:color w:val="auto"/>
                <w:sz w:val="24"/>
                <w:szCs w:val="24"/>
                <w:highlight w:val="none"/>
              </w:rPr>
              <w:t>管道引至楼顶排放</w:t>
            </w:r>
            <w:r>
              <w:rPr>
                <w:rFonts w:hint="default" w:ascii="Times New Roman" w:hAnsi="Times New Roman" w:cs="Times New Roman"/>
                <w:color w:val="auto"/>
                <w:szCs w:val="24"/>
                <w:highlight w:val="none"/>
              </w:rPr>
              <w:t>。</w:t>
            </w:r>
          </w:p>
          <w:p w14:paraId="40F89DD5">
            <w:pPr>
              <w:widowControl/>
              <w:spacing w:line="360" w:lineRule="auto"/>
              <w:ind w:firstLine="482" w:firstLineChars="200"/>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fldChar w:fldCharType="begin"/>
            </w:r>
            <w:r>
              <w:rPr>
                <w:rFonts w:hint="default" w:ascii="Times New Roman" w:hAnsi="Times New Roman" w:cs="Times New Roman"/>
                <w:b/>
                <w:color w:val="auto"/>
                <w:kern w:val="0"/>
                <w:sz w:val="24"/>
                <w:highlight w:val="none"/>
              </w:rPr>
              <w:instrText xml:space="preserve"> = 2 \* GB3 </w:instrText>
            </w:r>
            <w:r>
              <w:rPr>
                <w:rFonts w:hint="default" w:ascii="Times New Roman" w:hAnsi="Times New Roman" w:cs="Times New Roman"/>
                <w:b/>
                <w:color w:val="auto"/>
                <w:kern w:val="0"/>
                <w:sz w:val="24"/>
                <w:highlight w:val="none"/>
              </w:rPr>
              <w:fldChar w:fldCharType="separate"/>
            </w:r>
            <w:r>
              <w:rPr>
                <w:rFonts w:hint="default" w:ascii="Times New Roman" w:hAnsi="Times New Roman" w:cs="Times New Roman"/>
                <w:b/>
                <w:color w:val="auto"/>
                <w:kern w:val="0"/>
                <w:sz w:val="24"/>
                <w:highlight w:val="none"/>
              </w:rPr>
              <w:t>②</w:t>
            </w:r>
            <w:r>
              <w:rPr>
                <w:rFonts w:hint="default" w:ascii="Times New Roman" w:hAnsi="Times New Roman" w:cs="Times New Roman"/>
                <w:b/>
                <w:color w:val="auto"/>
                <w:kern w:val="0"/>
                <w:sz w:val="24"/>
                <w:highlight w:val="none"/>
              </w:rPr>
              <w:fldChar w:fldCharType="end"/>
            </w:r>
            <w:r>
              <w:rPr>
                <w:rFonts w:hint="default" w:ascii="Times New Roman" w:hAnsi="Times New Roman" w:cs="Times New Roman"/>
                <w:b/>
                <w:color w:val="auto"/>
                <w:kern w:val="0"/>
                <w:sz w:val="24"/>
                <w:highlight w:val="none"/>
              </w:rPr>
              <w:t>柴油发电机废气排放口设置的环境合理性</w:t>
            </w:r>
          </w:p>
          <w:p w14:paraId="78D32159">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根据上文描述，项目柴油发电机运行时间较短，污染物排放量较小，污染物产生后</w:t>
            </w:r>
            <w:r>
              <w:rPr>
                <w:rFonts w:hint="default" w:ascii="Times New Roman" w:hAnsi="Times New Roman" w:cs="Times New Roman"/>
                <w:bCs/>
                <w:color w:val="auto"/>
                <w:szCs w:val="24"/>
                <w:highlight w:val="none"/>
              </w:rPr>
              <w:t>烟气经自带过滤棉处理后，经抽排风系统由排风</w:t>
            </w:r>
            <w:r>
              <w:rPr>
                <w:rStyle w:val="115"/>
                <w:rFonts w:hint="default" w:ascii="Times New Roman" w:hAnsi="Times New Roman" w:cs="Times New Roman"/>
                <w:color w:val="auto"/>
                <w:sz w:val="24"/>
                <w:szCs w:val="24"/>
                <w:highlight w:val="none"/>
              </w:rPr>
              <w:t>管道引至楼顶排放</w:t>
            </w:r>
            <w:r>
              <w:rPr>
                <w:rFonts w:hint="default" w:ascii="Times New Roman" w:hAnsi="Times New Roman" w:cs="Times New Roman"/>
                <w:color w:val="auto"/>
                <w:szCs w:val="24"/>
                <w:highlight w:val="none"/>
              </w:rPr>
              <w:t>。排放口设置位于楼顶开阔地带，朝向天空，距离周边大气环境保护目标较远，周边建筑以及大气环境有利于该排气筒的污染物进行大气扩散。该排放口主要用于建筑通风，柴油发电机运行时兼顾辅助排气，不视为环境管理体系中的有组织排放口进行管理。综上，项目柴油发电机废气排放口设置合理。</w:t>
            </w:r>
          </w:p>
          <w:p w14:paraId="42D9CDDF">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（6）可行技术对比分析</w:t>
            </w:r>
          </w:p>
          <w:p w14:paraId="32E1441B">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1）理化实验室废气</w:t>
            </w:r>
          </w:p>
          <w:p w14:paraId="3E486D2F">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实验室内设置通风柜，理化实验室产生氨气、酸雾和有机废气（以非甲烷总烃计）的操作将全部在通风柜内进行，产生的氨气和有机废气（以非甲烷总烃计）经实验室通风柜密封收集+二级活性炭吸附处理、产生的酸雾经实验室通风柜密封收集+碱液吸收+烟气干燥+二级活性炭吸附后，通过机械强制抽风进入专用管道，引至楼顶排气筒（DA001）排放。</w:t>
            </w:r>
          </w:p>
          <w:p w14:paraId="1D93094E">
            <w:pPr>
              <w:widowControl/>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bidi="ar"/>
              </w:rPr>
              <w:t>《排污许可证申请与核发技术规范 医疗机构》（HJ 1105-2020）中未推荐理化实验室废气处置可行技术，</w:t>
            </w:r>
            <w:r>
              <w:rPr>
                <w:rFonts w:hint="default" w:ascii="Times New Roman" w:hAnsi="Times New Roman" w:cs="Times New Roman"/>
                <w:bCs/>
                <w:color w:val="auto"/>
                <w:sz w:val="24"/>
                <w:highlight w:val="none"/>
              </w:rPr>
              <w:t>根据《大气污染治理工程技术导则》（HJ2000-2010），气态污染物的治理方法有：吸收、吸附、燃烧、热力燃烧，上述治理技术的适用性对比见下表：</w:t>
            </w:r>
          </w:p>
          <w:p w14:paraId="2B0AB220">
            <w:pPr>
              <w:pStyle w:val="22"/>
              <w:numPr>
                <w:ilvl w:val="0"/>
                <w:numId w:val="0"/>
              </w:numPr>
              <w:jc w:val="center"/>
              <w:rPr>
                <w:rFonts w:hint="default" w:ascii="Times New Roman" w:hAnsi="Times New Roman" w:cs="Times New Roman"/>
                <w:color w:val="auto"/>
                <w:highlight w:val="none"/>
              </w:rPr>
            </w:pPr>
            <w:r>
              <w:rPr>
                <w:rFonts w:hint="default" w:ascii="Times New Roman" w:hAnsi="Times New Roman" w:cs="Times New Roman"/>
                <w:b/>
                <w:color w:val="auto"/>
                <w:kern w:val="0"/>
                <w:highlight w:val="none"/>
              </w:rPr>
              <w:t>表4-8 气态污染物治理技术</w:t>
            </w:r>
          </w:p>
          <w:tbl>
            <w:tblPr>
              <w:tblStyle w:val="33"/>
              <w:tblW w:w="8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7276"/>
            </w:tblGrid>
            <w:tr w14:paraId="3778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2" w:type="dxa"/>
                  <w:vAlign w:val="center"/>
                </w:tcPr>
                <w:p w14:paraId="7370277C">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治理技术</w:t>
                  </w:r>
                </w:p>
              </w:tc>
              <w:tc>
                <w:tcPr>
                  <w:tcW w:w="7276" w:type="dxa"/>
                  <w:vAlign w:val="center"/>
                </w:tcPr>
                <w:p w14:paraId="2EA5836C">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一般规定</w:t>
                  </w:r>
                </w:p>
              </w:tc>
            </w:tr>
            <w:tr w14:paraId="06E5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2" w:type="dxa"/>
                  <w:vAlign w:val="center"/>
                </w:tcPr>
                <w:p w14:paraId="4094E3D8">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吸收</w:t>
                  </w:r>
                </w:p>
              </w:tc>
              <w:tc>
                <w:tcPr>
                  <w:tcW w:w="7276" w:type="dxa"/>
                  <w:vAlign w:val="center"/>
                </w:tcPr>
                <w:p w14:paraId="6A8073B9">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吸收法净化气态污染物是利用气体混合物中各组分在一定液体中溶解度的不同而分离气体混合物的方法。主要适用于吸收效率和速率较高的有毒的有害气体的净化。</w:t>
                  </w:r>
                </w:p>
              </w:tc>
            </w:tr>
            <w:tr w14:paraId="5497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2" w:type="dxa"/>
                  <w:vAlign w:val="center"/>
                </w:tcPr>
                <w:p w14:paraId="74FC7C2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吸附</w:t>
                  </w:r>
                </w:p>
              </w:tc>
              <w:tc>
                <w:tcPr>
                  <w:tcW w:w="7276" w:type="dxa"/>
                  <w:vAlign w:val="center"/>
                </w:tcPr>
                <w:p w14:paraId="11BFA51C">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吸附法净化气态污染物是利用固体吸附剂对气体混合物中各组分吸附选择性的不同而分离气体混合物的方法，主要适用于低浓度有毒有害气体净化。</w:t>
                  </w:r>
                </w:p>
              </w:tc>
            </w:tr>
            <w:tr w14:paraId="6ECE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2" w:type="dxa"/>
                  <w:vAlign w:val="center"/>
                </w:tcPr>
                <w:p w14:paraId="38DF970F">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燃烧</w:t>
                  </w:r>
                </w:p>
              </w:tc>
              <w:tc>
                <w:tcPr>
                  <w:tcW w:w="7276" w:type="dxa"/>
                  <w:vAlign w:val="center"/>
                </w:tcPr>
                <w:p w14:paraId="3094CDAD">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催化燃烧法净化气态污染物是利用固体催化剂在较低温度下将废气中的污染物通过氧化作用转化为二氧化碳和水等化合物的方法。</w:t>
                  </w:r>
                </w:p>
              </w:tc>
            </w:tr>
            <w:tr w14:paraId="06E5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52" w:type="dxa"/>
                  <w:vAlign w:val="center"/>
                </w:tcPr>
                <w:p w14:paraId="19FA4FBC">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热力燃烧</w:t>
                  </w:r>
                </w:p>
              </w:tc>
              <w:tc>
                <w:tcPr>
                  <w:tcW w:w="7276" w:type="dxa"/>
                  <w:vAlign w:val="center"/>
                </w:tcPr>
                <w:p w14:paraId="056721B3">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热力燃烧法（包括蓄热燃烧法）净化气态污染物是利用辅助燃料燃烧产生的热能、废气本身的燃烧热能、或者利用蓄热装置所贮存的反应热能，将废气加热到着火温度，进行氧化（燃烧）反应。</w:t>
                  </w:r>
                </w:p>
              </w:tc>
            </w:tr>
          </w:tbl>
          <w:p w14:paraId="784C8E1E">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疾控中心属于医疗卫生服务设施，产生废气主要为实验室有机废气（以非甲烷总烃计）和无机废气，试剂使用量少，产生的挥发性气体极少，因此，实验室产生的废气浓度较低。本项目废气属于低浓度、小风量、常温状态，结合安全性等考虑，对比上表所列废气治理技术，选用二级活性炭吸附作为实验室废气的主要处理措施，碱液吸收及烟气干燥作为预处理措施。</w:t>
            </w:r>
          </w:p>
          <w:p w14:paraId="56543506">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吸附法是利用固体吸附剂（如活性炭、活性炭纤维、分子筛等）对废气中各组分选择性吸附的特点，将气态污染物富集到吸附剂上后再进行后续处理的方法，适用于低浓度有机废气的净化。</w:t>
            </w:r>
          </w:p>
          <w:p w14:paraId="4EE69043">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吸附法易受废气中水汽、颗粒、气溶胶等物质影响，需及时更换吸附剂，以保证治理设施的治理效率。设备初次投入成本较低，但运行费用较高，且吸附后被更换的吸附剂由于含有废气中的各类型有机物，一般均归为危险固废，需妥善处理。</w:t>
            </w:r>
          </w:p>
          <w:p w14:paraId="2E2A0B2D">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项目计划设置的活性炭吸附箱内安装有若干个吸附单元，吸附单元在设备箱体内分层抽屉式安装，能够非常方便从两侧的检查门取出。项目配置1套二级活性炭吸附箱，结合排气口风量选定活性炭箱充填量，确保活性炭箱设计能力可以满足项目有机废气（以非甲烷总烃计）净化需求。</w:t>
            </w:r>
          </w:p>
          <w:p w14:paraId="25E2D082">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综上所述，本项目理化实验室废气处理措施合理可行。</w:t>
            </w:r>
          </w:p>
          <w:p w14:paraId="47944745">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2）微生物实验室废气</w:t>
            </w:r>
          </w:p>
          <w:p w14:paraId="5093D07B">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本次疾控中心微生物实验室级别为二级实验室，根据《生物安全实验室建筑技术规范》（GB50346-2011）表5.1.4生物安全实验室选用生物安全柜的原则，本次项目选用II级生物安全柜</w:t>
            </w:r>
            <w:r>
              <w:rPr>
                <w:rFonts w:hint="default" w:ascii="Times New Roman" w:hAnsi="Times New Roman" w:cs="Times New Roman"/>
                <w:bCs/>
                <w:color w:val="auto"/>
                <w:highlight w:val="none"/>
              </w:rPr>
              <w:t>，并要求所有涉及病原微生物的操作均在生物安全柜中进行。</w:t>
            </w:r>
          </w:p>
          <w:p w14:paraId="64A4FF48">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生物安全柜中空气压力低于实验室内的压力，以保证生物安全柜中的气体不会向实验室中泄露，生物安全柜中安装微压差传感器及高效空气过滤器，柜里的实验平台相对实验室内环境处于负压状态，气流在生物安全柜内得到有效控制，几乎杜绝实验过程中产生的气溶胶从操作窗口外逸。微生物实验室废气</w:t>
            </w:r>
            <w:r>
              <w:rPr>
                <w:rFonts w:hint="default" w:ascii="Times New Roman" w:hAnsi="Times New Roman" w:cs="Times New Roman"/>
                <w:color w:val="auto"/>
                <w:highlight w:val="none"/>
              </w:rPr>
              <w:t>首先通过高效过滤器拦截≥99.99%的0.5μm</w:t>
            </w:r>
            <w:r>
              <w:rPr>
                <w:rFonts w:hint="default" w:ascii="Times New Roman" w:hAnsi="Times New Roman" w:cs="Times New Roman"/>
                <w:color w:val="auto"/>
                <w:szCs w:val="24"/>
                <w:highlight w:val="none"/>
              </w:rPr>
              <w:t>颗粒物（含细菌气溶胶团）</w:t>
            </w:r>
            <w:r>
              <w:rPr>
                <w:rFonts w:hint="default" w:ascii="Times New Roman" w:hAnsi="Times New Roman" w:cs="Times New Roman"/>
                <w:color w:val="auto"/>
                <w:highlight w:val="none"/>
              </w:rPr>
              <w:t>；随后新风空调系统强制换气（12-15次/小时）并维持恒温恒湿（20-26℃，40-60%RH），同时通过压差控制防止污染外泄；最终经紫外线消毒装置（30-50mJ/cm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剂量）对循环风进行瞬时灭菌，确保实验环境达到ISO5级洁净度标准。</w:t>
            </w:r>
          </w:p>
          <w:p w14:paraId="56E330D1">
            <w:pPr>
              <w:pStyle w:val="11"/>
              <w:rPr>
                <w:rFonts w:hint="default"/>
              </w:rPr>
            </w:pPr>
          </w:p>
          <w:p w14:paraId="6C5E1265">
            <w:pPr>
              <w:pStyle w:val="22"/>
              <w:numPr>
                <w:ilvl w:val="0"/>
                <w:numId w:val="0"/>
              </w:num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6、大气环境影响评价结论</w:t>
            </w:r>
          </w:p>
          <w:p w14:paraId="07BEC061">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综上所述，本项目理化实验室</w:t>
            </w:r>
            <w:r>
              <w:rPr>
                <w:rFonts w:hint="default" w:ascii="Times New Roman" w:hAnsi="Times New Roman" w:cs="Times New Roman"/>
                <w:color w:val="auto"/>
                <w:szCs w:val="24"/>
                <w:highlight w:val="none"/>
              </w:rPr>
              <w:t>产生的氨气和有机废气（以非甲烷总烃计）经实验室通风柜密封收集+二级活性炭吸附处理、产生的酸雾经实验室通风柜密封收集+碱液吸收+烟气干燥+二级活性炭吸附处理后，通过机械强制抽风进入专用管道，引至楼顶排气筒（DA001）排放；生物实验室颗粒物（含细菌气溶胶团）经生物安全柜（含高效过滤器）+紫外消毒装置处理后，空气在生物实验室内循环，不外排；各药物及试剂异味通过加强室内通风换气，保持楼内药物及试剂储藏间良好的通风性，对项目区及周围环境影响不大；污水处理站设置于地下一层，所有处理设备均加盖密闭，加强污水处理站的运行操作管理，污泥及时外运，</w:t>
            </w:r>
            <w:r>
              <w:rPr>
                <w:rFonts w:hint="default" w:ascii="Times New Roman" w:hAnsi="Times New Roman" w:cs="Times New Roman"/>
                <w:color w:val="auto"/>
                <w:highlight w:val="none"/>
              </w:rPr>
              <w:t>恶臭能得到有效控制；柴油发电机设置于单独的发电机房内，设置机械排风系统，烟气经自带过滤棉处理后，经抽排风系统由专用排烟管道引至</w:t>
            </w:r>
            <w:r>
              <w:rPr>
                <w:rStyle w:val="115"/>
                <w:rFonts w:hint="default" w:ascii="Times New Roman" w:hAnsi="Times New Roman" w:cs="Times New Roman"/>
                <w:color w:val="auto"/>
                <w:sz w:val="24"/>
                <w:szCs w:val="24"/>
                <w:highlight w:val="none"/>
              </w:rPr>
              <w:t>楼顶</w:t>
            </w:r>
            <w:r>
              <w:rPr>
                <w:rFonts w:hint="default" w:ascii="Times New Roman" w:hAnsi="Times New Roman" w:cs="Times New Roman"/>
                <w:color w:val="auto"/>
                <w:highlight w:val="none"/>
              </w:rPr>
              <w:t>无组织排放。</w:t>
            </w:r>
            <w:r>
              <w:rPr>
                <w:rFonts w:hint="default" w:ascii="Times New Roman" w:hAnsi="Times New Roman" w:cs="Times New Roman"/>
                <w:color w:val="auto"/>
                <w:szCs w:val="24"/>
                <w:highlight w:val="none"/>
              </w:rPr>
              <w:t>因此该项目不会改变当地大气环境功能，对整个评价区域内环境空气质量的影响可接受。</w:t>
            </w:r>
          </w:p>
          <w:p w14:paraId="4693B8F4">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7、监测计划</w:t>
            </w:r>
          </w:p>
          <w:p w14:paraId="6D9F2670">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根据《排污单位自行监测技术指南 总则》（HJ819-2017）以及参考《排污许可证申请与核发技术规范 医疗机构》（</w:t>
            </w:r>
            <w:bookmarkStart w:id="11" w:name="OLE_LINK6"/>
            <w:r>
              <w:rPr>
                <w:rFonts w:hint="default" w:ascii="Times New Roman" w:hAnsi="Times New Roman" w:cs="Times New Roman"/>
                <w:color w:val="auto"/>
                <w:sz w:val="24"/>
                <w:highlight w:val="none"/>
              </w:rPr>
              <w:t>HJ1105</w:t>
            </w:r>
            <w:bookmarkEnd w:id="11"/>
            <w:r>
              <w:rPr>
                <w:rFonts w:hint="default" w:ascii="Times New Roman" w:hAnsi="Times New Roman" w:cs="Times New Roman"/>
                <w:color w:val="auto"/>
                <w:sz w:val="24"/>
                <w:highlight w:val="none"/>
              </w:rPr>
              <w:t>-2020），本项目废气自行监测计划内容如下：</w:t>
            </w:r>
          </w:p>
          <w:p w14:paraId="02829CE4">
            <w:pPr>
              <w:pStyle w:val="2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表4-9 废气监测计划</w:t>
            </w:r>
          </w:p>
          <w:tbl>
            <w:tblPr>
              <w:tblStyle w:val="33"/>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182"/>
              <w:gridCol w:w="1637"/>
              <w:gridCol w:w="1016"/>
              <w:gridCol w:w="2694"/>
              <w:gridCol w:w="1287"/>
            </w:tblGrid>
            <w:tr w14:paraId="2431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0" w:type="dxa"/>
                  <w:vAlign w:val="center"/>
                </w:tcPr>
                <w:p w14:paraId="79F87197">
                  <w:pPr>
                    <w:pStyle w:val="2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类别</w:t>
                  </w:r>
                </w:p>
              </w:tc>
              <w:tc>
                <w:tcPr>
                  <w:tcW w:w="1182" w:type="dxa"/>
                  <w:vAlign w:val="center"/>
                </w:tcPr>
                <w:p w14:paraId="4A948369">
                  <w:pPr>
                    <w:pStyle w:val="2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监测点位</w:t>
                  </w:r>
                </w:p>
              </w:tc>
              <w:tc>
                <w:tcPr>
                  <w:tcW w:w="1637" w:type="dxa"/>
                  <w:vAlign w:val="center"/>
                </w:tcPr>
                <w:p w14:paraId="342D16F0">
                  <w:pPr>
                    <w:pStyle w:val="2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监测项目</w:t>
                  </w:r>
                </w:p>
              </w:tc>
              <w:tc>
                <w:tcPr>
                  <w:tcW w:w="1016" w:type="dxa"/>
                  <w:vAlign w:val="center"/>
                </w:tcPr>
                <w:p w14:paraId="3FCD8025">
                  <w:pPr>
                    <w:pStyle w:val="2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监测频次</w:t>
                  </w:r>
                </w:p>
              </w:tc>
              <w:tc>
                <w:tcPr>
                  <w:tcW w:w="2694" w:type="dxa"/>
                  <w:vAlign w:val="center"/>
                </w:tcPr>
                <w:p w14:paraId="66CDC956">
                  <w:pPr>
                    <w:pStyle w:val="2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执行排放标准</w:t>
                  </w:r>
                </w:p>
              </w:tc>
              <w:tc>
                <w:tcPr>
                  <w:tcW w:w="1287" w:type="dxa"/>
                  <w:vAlign w:val="center"/>
                </w:tcPr>
                <w:p w14:paraId="59870B19">
                  <w:pPr>
                    <w:pStyle w:val="2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备注</w:t>
                  </w:r>
                </w:p>
              </w:tc>
            </w:tr>
            <w:tr w14:paraId="4126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60" w:type="dxa"/>
                  <w:vMerge w:val="restart"/>
                  <w:vAlign w:val="center"/>
                </w:tcPr>
                <w:p w14:paraId="08066ED0">
                  <w:pPr>
                    <w:pStyle w:val="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1182" w:type="dxa"/>
                  <w:vAlign w:val="center"/>
                </w:tcPr>
                <w:p w14:paraId="2FA1AAE4">
                  <w:pPr>
                    <w:pStyle w:val="31"/>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理化实验室废气排放口DA001</w:t>
                  </w:r>
                </w:p>
              </w:tc>
              <w:tc>
                <w:tcPr>
                  <w:tcW w:w="1637" w:type="dxa"/>
                  <w:vAlign w:val="center"/>
                </w:tcPr>
                <w:p w14:paraId="79402BCD">
                  <w:pPr>
                    <w:pStyle w:val="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氨气、硫酸雾、HCl、NO</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、非甲烷总烃、臭气浓度</w:t>
                  </w:r>
                </w:p>
              </w:tc>
              <w:tc>
                <w:tcPr>
                  <w:tcW w:w="1016" w:type="dxa"/>
                  <w:vAlign w:val="center"/>
                </w:tcPr>
                <w:p w14:paraId="78DCDB99">
                  <w:pPr>
                    <w:pStyle w:val="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一年一次</w:t>
                  </w:r>
                </w:p>
              </w:tc>
              <w:tc>
                <w:tcPr>
                  <w:tcW w:w="2694" w:type="dxa"/>
                  <w:vAlign w:val="center"/>
                </w:tcPr>
                <w:p w14:paraId="6591137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《大气污染物综合排放标准》（GB16297-1996）表2；《恶臭污染物排放标准》（GB14554-93）表2</w:t>
                  </w:r>
                </w:p>
              </w:tc>
              <w:tc>
                <w:tcPr>
                  <w:tcW w:w="1287" w:type="dxa"/>
                  <w:vMerge w:val="restart"/>
                  <w:vAlign w:val="center"/>
                </w:tcPr>
                <w:p w14:paraId="33A69E9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排污许可申请与核发技术规范无要求，本环评推荐监测</w:t>
                  </w:r>
                </w:p>
              </w:tc>
            </w:tr>
            <w:tr w14:paraId="6FC43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60" w:type="dxa"/>
                  <w:vMerge w:val="continue"/>
                  <w:vAlign w:val="center"/>
                </w:tcPr>
                <w:p w14:paraId="0FBAD8CB">
                  <w:pPr>
                    <w:pStyle w:val="20"/>
                    <w:jc w:val="center"/>
                    <w:rPr>
                      <w:rFonts w:hint="default" w:ascii="Times New Roman" w:hAnsi="Times New Roman" w:cs="Times New Roman"/>
                      <w:color w:val="auto"/>
                      <w:szCs w:val="21"/>
                      <w:highlight w:val="none"/>
                    </w:rPr>
                  </w:pPr>
                </w:p>
              </w:tc>
              <w:tc>
                <w:tcPr>
                  <w:tcW w:w="1182" w:type="dxa"/>
                  <w:vAlign w:val="center"/>
                </w:tcPr>
                <w:p w14:paraId="6F4588C8">
                  <w:pPr>
                    <w:pStyle w:val="2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厂界外上、下风向</w:t>
                  </w:r>
                </w:p>
              </w:tc>
              <w:tc>
                <w:tcPr>
                  <w:tcW w:w="1637" w:type="dxa"/>
                  <w:vAlign w:val="center"/>
                </w:tcPr>
                <w:p w14:paraId="5F9EDC5A">
                  <w:pPr>
                    <w:pStyle w:val="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1016" w:type="dxa"/>
                  <w:vAlign w:val="center"/>
                </w:tcPr>
                <w:p w14:paraId="5881CB5F">
                  <w:pPr>
                    <w:pStyle w:val="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一年一次</w:t>
                  </w:r>
                </w:p>
              </w:tc>
              <w:tc>
                <w:tcPr>
                  <w:tcW w:w="2694" w:type="dxa"/>
                  <w:vAlign w:val="center"/>
                </w:tcPr>
                <w:p w14:paraId="439B749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《大气污染物综合排放标准》（GB16297-1996）表2</w:t>
                  </w:r>
                  <w:r>
                    <w:rPr>
                      <w:rFonts w:hint="default" w:ascii="Times New Roman" w:hAnsi="Times New Roman" w:cs="Times New Roman"/>
                      <w:color w:val="auto"/>
                      <w:kern w:val="0"/>
                      <w:szCs w:val="21"/>
                      <w:highlight w:val="none"/>
                      <w:lang w:bidi="ar"/>
                    </w:rPr>
                    <w:t>无组织排放监控浓度限值</w:t>
                  </w:r>
                </w:p>
              </w:tc>
              <w:tc>
                <w:tcPr>
                  <w:tcW w:w="1287" w:type="dxa"/>
                  <w:vMerge w:val="continue"/>
                  <w:vAlign w:val="center"/>
                </w:tcPr>
                <w:p w14:paraId="05C0AB37">
                  <w:pPr>
                    <w:jc w:val="center"/>
                    <w:rPr>
                      <w:rFonts w:hint="default" w:ascii="Times New Roman" w:hAnsi="Times New Roman" w:cs="Times New Roman"/>
                      <w:color w:val="auto"/>
                      <w:szCs w:val="21"/>
                      <w:highlight w:val="none"/>
                    </w:rPr>
                  </w:pPr>
                </w:p>
              </w:tc>
            </w:tr>
            <w:tr w14:paraId="433B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60" w:type="dxa"/>
                  <w:vMerge w:val="continue"/>
                  <w:vAlign w:val="center"/>
                </w:tcPr>
                <w:p w14:paraId="35714C34">
                  <w:pPr>
                    <w:pStyle w:val="20"/>
                    <w:jc w:val="center"/>
                    <w:rPr>
                      <w:rFonts w:hint="default" w:ascii="Times New Roman" w:hAnsi="Times New Roman" w:cs="Times New Roman"/>
                      <w:color w:val="auto"/>
                      <w:szCs w:val="21"/>
                      <w:highlight w:val="none"/>
                    </w:rPr>
                  </w:pPr>
                </w:p>
              </w:tc>
              <w:tc>
                <w:tcPr>
                  <w:tcW w:w="1182" w:type="dxa"/>
                  <w:vAlign w:val="center"/>
                </w:tcPr>
                <w:p w14:paraId="71446E11">
                  <w:pPr>
                    <w:pStyle w:val="31"/>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污水处理站周界</w:t>
                  </w:r>
                </w:p>
              </w:tc>
              <w:tc>
                <w:tcPr>
                  <w:tcW w:w="1637" w:type="dxa"/>
                  <w:vAlign w:val="center"/>
                </w:tcPr>
                <w:p w14:paraId="529D8BC4">
                  <w:pPr>
                    <w:pStyle w:val="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氨、硫化氢、臭气浓度、</w:t>
                  </w:r>
                  <w:bookmarkStart w:id="12" w:name="OLE_LINK5"/>
                  <w:r>
                    <w:rPr>
                      <w:rFonts w:hint="default" w:ascii="Times New Roman" w:hAnsi="Times New Roman" w:cs="Times New Roman"/>
                      <w:color w:val="auto"/>
                      <w:szCs w:val="21"/>
                      <w:highlight w:val="none"/>
                    </w:rPr>
                    <w:t>氯气、甲烷</w:t>
                  </w:r>
                  <w:bookmarkEnd w:id="12"/>
                </w:p>
              </w:tc>
              <w:tc>
                <w:tcPr>
                  <w:tcW w:w="1016" w:type="dxa"/>
                  <w:vAlign w:val="center"/>
                </w:tcPr>
                <w:p w14:paraId="7BCABC61">
                  <w:pPr>
                    <w:pStyle w:val="2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一季度一次</w:t>
                  </w:r>
                </w:p>
              </w:tc>
              <w:tc>
                <w:tcPr>
                  <w:tcW w:w="2694" w:type="dxa"/>
                  <w:vAlign w:val="center"/>
                </w:tcPr>
                <w:p w14:paraId="3B33A34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氨、硫化氢、臭气浓度执行《恶臭污染物排放标准》（GB14554-93）表1；氯气、甲烷参照GB18466要求</w:t>
                  </w:r>
                </w:p>
              </w:tc>
              <w:tc>
                <w:tcPr>
                  <w:tcW w:w="1287" w:type="dxa"/>
                  <w:vAlign w:val="center"/>
                </w:tcPr>
                <w:p w14:paraId="4183DCD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排污许可申请与核发技术规范要求监测</w:t>
                  </w:r>
                </w:p>
              </w:tc>
            </w:tr>
          </w:tbl>
          <w:p w14:paraId="3C6507C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kern w:val="0"/>
                <w:sz w:val="28"/>
                <w:szCs w:val="28"/>
                <w:highlight w:val="none"/>
                <w:lang w:bidi="ar"/>
              </w:rPr>
              <w:t>4.2.2 地表水</w:t>
            </w:r>
            <w:r>
              <w:rPr>
                <w:rFonts w:hint="default" w:ascii="Times New Roman" w:hAnsi="Times New Roman" w:cs="Times New Roman"/>
                <w:b/>
                <w:bCs/>
                <w:color w:val="auto"/>
                <w:sz w:val="28"/>
                <w:szCs w:val="28"/>
                <w:highlight w:val="none"/>
              </w:rPr>
              <w:t>环境影响和保护措施</w:t>
            </w:r>
          </w:p>
          <w:p w14:paraId="5E5C9BE0">
            <w:pPr>
              <w:spacing w:line="360" w:lineRule="auto"/>
              <w:ind w:firstLine="442" w:firstLineChars="200"/>
              <w:rPr>
                <w:rFonts w:hint="default" w:ascii="Times New Roman" w:hAnsi="Times New Roman" w:cs="Times New Roman"/>
                <w:b/>
                <w:bCs/>
                <w:color w:val="auto"/>
                <w:spacing w:val="-10"/>
                <w:sz w:val="24"/>
                <w:highlight w:val="none"/>
              </w:rPr>
            </w:pPr>
            <w:r>
              <w:rPr>
                <w:rFonts w:hint="default" w:ascii="Times New Roman" w:hAnsi="Times New Roman" w:cs="Times New Roman"/>
                <w:b/>
                <w:bCs/>
                <w:color w:val="auto"/>
                <w:spacing w:val="-10"/>
                <w:sz w:val="24"/>
                <w:highlight w:val="none"/>
              </w:rPr>
              <w:t>1、废水产排情况核算</w:t>
            </w:r>
          </w:p>
          <w:p w14:paraId="0D060C35">
            <w:pPr>
              <w:pStyle w:val="24"/>
              <w:spacing w:after="0"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根据水平衡章节内容，项目各单元用水及排水情况见下表。</w:t>
            </w:r>
          </w:p>
          <w:p w14:paraId="67EF52F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表4-10 项目用排水情况一览表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4"/>
              <w:gridCol w:w="1505"/>
              <w:gridCol w:w="1505"/>
              <w:gridCol w:w="1505"/>
              <w:gridCol w:w="1866"/>
            </w:tblGrid>
            <w:tr w14:paraId="69E5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2014" w:type="dxa"/>
                  <w:vAlign w:val="center"/>
                </w:tcPr>
                <w:p w14:paraId="42182AB9">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类型</w:t>
                  </w:r>
                </w:p>
              </w:tc>
              <w:tc>
                <w:tcPr>
                  <w:tcW w:w="1505" w:type="dxa"/>
                  <w:vAlign w:val="center"/>
                </w:tcPr>
                <w:p w14:paraId="0A80C01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日用水量</w:t>
                  </w:r>
                </w:p>
                <w:p w14:paraId="0908B50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t/d</w:t>
                  </w:r>
                </w:p>
              </w:tc>
              <w:tc>
                <w:tcPr>
                  <w:tcW w:w="1505" w:type="dxa"/>
                  <w:vAlign w:val="center"/>
                </w:tcPr>
                <w:p w14:paraId="69BFB69F">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年用水量</w:t>
                  </w:r>
                </w:p>
                <w:p w14:paraId="1636699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t/a</w:t>
                  </w:r>
                </w:p>
              </w:tc>
              <w:tc>
                <w:tcPr>
                  <w:tcW w:w="1505" w:type="dxa"/>
                  <w:vAlign w:val="center"/>
                </w:tcPr>
                <w:p w14:paraId="6E19361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日污水排放量t/d</w:t>
                  </w:r>
                </w:p>
              </w:tc>
              <w:tc>
                <w:tcPr>
                  <w:tcW w:w="1866" w:type="dxa"/>
                  <w:vAlign w:val="center"/>
                </w:tcPr>
                <w:p w14:paraId="7E4F2A34">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年污水排放量t/a</w:t>
                  </w:r>
                </w:p>
              </w:tc>
            </w:tr>
            <w:tr w14:paraId="752F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14" w:type="dxa"/>
                  <w:vAlign w:val="center"/>
                </w:tcPr>
                <w:p w14:paraId="3F050C4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理化实验室用水</w:t>
                  </w:r>
                </w:p>
              </w:tc>
              <w:tc>
                <w:tcPr>
                  <w:tcW w:w="1505" w:type="dxa"/>
                  <w:vAlign w:val="center"/>
                </w:tcPr>
                <w:p w14:paraId="4A91DC8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1.38</w:t>
                  </w:r>
                </w:p>
              </w:tc>
              <w:tc>
                <w:tcPr>
                  <w:tcW w:w="1505" w:type="dxa"/>
                  <w:vAlign w:val="center"/>
                </w:tcPr>
                <w:p w14:paraId="0C15B16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69</w:t>
                  </w:r>
                </w:p>
              </w:tc>
              <w:tc>
                <w:tcPr>
                  <w:tcW w:w="1505" w:type="dxa"/>
                  <w:vAlign w:val="center"/>
                </w:tcPr>
                <w:p w14:paraId="2E8574F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1.173</w:t>
                  </w:r>
                </w:p>
              </w:tc>
              <w:tc>
                <w:tcPr>
                  <w:tcW w:w="1866" w:type="dxa"/>
                  <w:vAlign w:val="center"/>
                </w:tcPr>
                <w:p w14:paraId="29DB479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58.65</w:t>
                  </w:r>
                </w:p>
              </w:tc>
            </w:tr>
            <w:tr w14:paraId="1D28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14" w:type="dxa"/>
                  <w:vAlign w:val="center"/>
                </w:tcPr>
                <w:p w14:paraId="76CBA46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微生物实验室用水</w:t>
                  </w:r>
                </w:p>
              </w:tc>
              <w:tc>
                <w:tcPr>
                  <w:tcW w:w="1505" w:type="dxa"/>
                  <w:vAlign w:val="center"/>
                </w:tcPr>
                <w:p w14:paraId="62AAD85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0.62</w:t>
                  </w:r>
                </w:p>
              </w:tc>
              <w:tc>
                <w:tcPr>
                  <w:tcW w:w="1505" w:type="dxa"/>
                  <w:vAlign w:val="center"/>
                </w:tcPr>
                <w:p w14:paraId="457372D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w:t>
                  </w:r>
                </w:p>
              </w:tc>
              <w:tc>
                <w:tcPr>
                  <w:tcW w:w="1505" w:type="dxa"/>
                  <w:vAlign w:val="center"/>
                </w:tcPr>
                <w:p w14:paraId="2110363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0.527</w:t>
                  </w:r>
                </w:p>
              </w:tc>
              <w:tc>
                <w:tcPr>
                  <w:tcW w:w="1866" w:type="dxa"/>
                  <w:vAlign w:val="center"/>
                </w:tcPr>
                <w:p w14:paraId="1F3C0DF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26.35</w:t>
                  </w:r>
                </w:p>
              </w:tc>
            </w:tr>
            <w:tr w14:paraId="5126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14" w:type="dxa"/>
                  <w:vAlign w:val="center"/>
                </w:tcPr>
                <w:p w14:paraId="72A6BAC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纯水制备</w:t>
                  </w:r>
                </w:p>
              </w:tc>
              <w:tc>
                <w:tcPr>
                  <w:tcW w:w="1505" w:type="dxa"/>
                  <w:vAlign w:val="center"/>
                </w:tcPr>
                <w:p w14:paraId="2E6B20F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2.86</w:t>
                  </w:r>
                </w:p>
              </w:tc>
              <w:tc>
                <w:tcPr>
                  <w:tcW w:w="1505" w:type="dxa"/>
                  <w:vAlign w:val="center"/>
                </w:tcPr>
                <w:p w14:paraId="70C63B5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143</w:t>
                  </w:r>
                </w:p>
              </w:tc>
              <w:tc>
                <w:tcPr>
                  <w:tcW w:w="1505" w:type="dxa"/>
                  <w:vAlign w:val="center"/>
                </w:tcPr>
                <w:p w14:paraId="5911FF5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0.86</w:t>
                  </w:r>
                </w:p>
              </w:tc>
              <w:tc>
                <w:tcPr>
                  <w:tcW w:w="1866" w:type="dxa"/>
                  <w:vAlign w:val="center"/>
                </w:tcPr>
                <w:p w14:paraId="3E3B055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43</w:t>
                  </w:r>
                </w:p>
              </w:tc>
            </w:tr>
            <w:tr w14:paraId="2912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14" w:type="dxa"/>
                  <w:vAlign w:val="center"/>
                </w:tcPr>
                <w:p w14:paraId="2932B0D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1505" w:type="dxa"/>
                  <w:vAlign w:val="center"/>
                </w:tcPr>
                <w:p w14:paraId="65F2AE8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05" w:type="dxa"/>
                  <w:vAlign w:val="center"/>
                </w:tcPr>
                <w:p w14:paraId="6B9C077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05" w:type="dxa"/>
                  <w:vAlign w:val="center"/>
                </w:tcPr>
                <w:p w14:paraId="3B5B749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2.56</w:t>
                  </w:r>
                </w:p>
              </w:tc>
              <w:tc>
                <w:tcPr>
                  <w:tcW w:w="1866" w:type="dxa"/>
                  <w:vAlign w:val="center"/>
                </w:tcPr>
                <w:p w14:paraId="36BC86A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128</w:t>
                  </w:r>
                </w:p>
              </w:tc>
            </w:tr>
          </w:tbl>
          <w:p w14:paraId="541D75CB">
            <w:pPr>
              <w:pStyle w:val="22"/>
              <w:numPr>
                <w:ilvl w:val="0"/>
                <w:numId w:val="0"/>
              </w:num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2、项目用水情况</w:t>
            </w:r>
          </w:p>
          <w:p w14:paraId="2EC8CAD4">
            <w:pPr>
              <w:pStyle w:val="22"/>
              <w:numPr>
                <w:ilvl w:val="0"/>
                <w:numId w:val="0"/>
              </w:numPr>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（1）实验室废水</w:t>
            </w:r>
          </w:p>
          <w:p w14:paraId="7B36307C">
            <w:pPr>
              <w:pStyle w:val="1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1）理化实验室废水（W</w:t>
            </w:r>
            <w:r>
              <w:rPr>
                <w:rFonts w:hint="default" w:ascii="Times New Roman" w:hAnsi="Times New Roman" w:cs="Times New Roman"/>
                <w:b/>
                <w:bCs/>
                <w:color w:val="auto"/>
                <w:highlight w:val="none"/>
                <w:vertAlign w:val="subscript"/>
              </w:rPr>
              <w:t>1</w:t>
            </w:r>
            <w:r>
              <w:rPr>
                <w:rFonts w:hint="default" w:ascii="Times New Roman" w:hAnsi="Times New Roman" w:cs="Times New Roman"/>
                <w:b/>
                <w:bCs/>
                <w:color w:val="auto"/>
                <w:highlight w:val="none"/>
              </w:rPr>
              <w:t>）</w:t>
            </w:r>
          </w:p>
          <w:p w14:paraId="72307CE8">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理化实验室废水主要为检验分析过程中产生的少量含酸碱废水、含重金属废水、含氰废水。根据《疾病预防控制中心建筑技术规范》（GB50881-2013）表6.2.2的规定，化学实验室用水量定额（最高用水量）460L/（人•班），</w:t>
            </w:r>
            <w:r>
              <w:rPr>
                <w:rFonts w:hint="default" w:ascii="Times New Roman" w:hAnsi="Times New Roman" w:cs="Times New Roman"/>
                <w:color w:val="auto"/>
                <w:szCs w:val="24"/>
                <w:highlight w:val="none"/>
              </w:rPr>
              <w:t>根据建设单位提供的资料，</w:t>
            </w:r>
            <w:r>
              <w:rPr>
                <w:rFonts w:hint="default" w:ascii="Times New Roman" w:hAnsi="Times New Roman" w:cs="Times New Roman"/>
                <w:color w:val="auto"/>
                <w:highlight w:val="none"/>
              </w:rPr>
              <w:t>本项目理化实验室操作人员约3人，</w:t>
            </w:r>
            <w:r>
              <w:rPr>
                <w:rFonts w:hint="default" w:ascii="Times New Roman" w:hAnsi="Times New Roman" w:cs="Times New Roman"/>
                <w:color w:val="auto"/>
                <w:szCs w:val="24"/>
                <w:highlight w:val="none"/>
              </w:rPr>
              <w:t>年工作50天，平均每天操作时间约10h，</w:t>
            </w:r>
            <w:r>
              <w:rPr>
                <w:rFonts w:hint="default" w:ascii="Times New Roman" w:hAnsi="Times New Roman" w:cs="Times New Roman"/>
                <w:color w:val="auto"/>
                <w:highlight w:val="none"/>
              </w:rPr>
              <w:t>则理化实验室用水量为1.38m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/d，69m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/a。废水量按用水量的85%计，则理化实验室废水量为1.173m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/d，58.65m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w:t>
            </w:r>
          </w:p>
          <w:p w14:paraId="60DD21DA">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理化实验室废水预处理措施：①酸碱废水经1m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的实验室废水预处理系统中和预处理；②含重金属废水经1m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的化学沉淀池预处理；③含氰废水经1m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的碱性氯化法破氰槽预处理</w:t>
            </w:r>
            <w:r>
              <w:rPr>
                <w:rFonts w:hint="default" w:ascii="Times New Roman" w:hAnsi="Times New Roman" w:cs="Times New Roman"/>
                <w:color w:val="auto"/>
                <w:highlight w:val="none"/>
              </w:rPr>
              <w:t>。</w:t>
            </w:r>
          </w:p>
          <w:p w14:paraId="08F9B3B9">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各类废水分类收集、分质预处理后汇入现有项目1座10m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/d的污水处理站处理达标后，排入市政污水管网，最终进入华宁县污水处理厂。</w:t>
            </w:r>
          </w:p>
          <w:p w14:paraId="484F8A5A">
            <w:pPr>
              <w:pStyle w:val="1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2）微生物实验室废水（W</w:t>
            </w:r>
            <w:r>
              <w:rPr>
                <w:rFonts w:hint="default" w:ascii="Times New Roman" w:hAnsi="Times New Roman" w:cs="Times New Roman"/>
                <w:b/>
                <w:bCs/>
                <w:color w:val="auto"/>
                <w:highlight w:val="none"/>
                <w:vertAlign w:val="subscript"/>
              </w:rPr>
              <w:t>2</w:t>
            </w:r>
            <w:r>
              <w:rPr>
                <w:rFonts w:hint="default" w:ascii="Times New Roman" w:hAnsi="Times New Roman" w:cs="Times New Roman"/>
                <w:b/>
                <w:bCs/>
                <w:color w:val="auto"/>
                <w:highlight w:val="none"/>
              </w:rPr>
              <w:t>）</w:t>
            </w:r>
          </w:p>
          <w:p w14:paraId="6045F858">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根据《疾病预防控制中心建筑技术规范》（GB50881-2013）表6.2.2的规定，生物实验室用水量定额（最高用水量）310L/（人•班），本项目微生物实验室操作人员约2人，</w:t>
            </w:r>
            <w:r>
              <w:rPr>
                <w:rFonts w:hint="default" w:ascii="Times New Roman" w:hAnsi="Times New Roman" w:cs="Times New Roman"/>
                <w:color w:val="auto"/>
                <w:szCs w:val="24"/>
                <w:highlight w:val="none"/>
              </w:rPr>
              <w:t>年工作50天，平均每天操作时间约10h，</w:t>
            </w:r>
            <w:r>
              <w:rPr>
                <w:rFonts w:hint="default" w:ascii="Times New Roman" w:hAnsi="Times New Roman" w:cs="Times New Roman"/>
                <w:color w:val="auto"/>
                <w:highlight w:val="none"/>
              </w:rPr>
              <w:t>则微生物实验室用水量为0.62m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/d，31m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/a，废水量按用水量的85%计，则微生物实验室废水量为0.527m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/d，26.35m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/a。废水投加次氯酸钠消毒预处理后，进入现有项目1座10m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/d的污水处理站处理达标后，排入市政污水管网，最终进入华宁县污水处理厂。</w:t>
            </w:r>
          </w:p>
          <w:p w14:paraId="25E43B99">
            <w:pPr>
              <w:pStyle w:val="1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（2）纯水制备系统排水（W</w:t>
            </w:r>
            <w:r>
              <w:rPr>
                <w:rFonts w:hint="default" w:ascii="Times New Roman" w:hAnsi="Times New Roman" w:cs="Times New Roman"/>
                <w:b/>
                <w:bCs/>
                <w:color w:val="auto"/>
                <w:highlight w:val="none"/>
                <w:vertAlign w:val="subscript"/>
              </w:rPr>
              <w:t>3</w:t>
            </w:r>
            <w:r>
              <w:rPr>
                <w:rFonts w:hint="default" w:ascii="Times New Roman" w:hAnsi="Times New Roman" w:cs="Times New Roman"/>
                <w:b/>
                <w:bCs/>
                <w:color w:val="auto"/>
                <w:highlight w:val="none"/>
              </w:rPr>
              <w:t>）</w:t>
            </w:r>
          </w:p>
          <w:p w14:paraId="769CC892">
            <w:pPr>
              <w:pStyle w:val="10"/>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实验室用水均采用纯水，纯水由实验室纯水制备系统自制，纯水产水率约为70%，本项目实验室用纯水量为2m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/d，则需要新鲜自来水2.86m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/d，浓水产生量为0.86m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/d，43m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/a。纯水制备系统产生的浓水排入现有项目1座10m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/d的污水处理站处理达标后，排入市政污水管网，最终进入华宁县污水处理厂。根据厂家资料，纯水制备系统浓水主要污染物为溶解性总固体，浓度约为300mg/L。</w:t>
            </w:r>
          </w:p>
          <w:p w14:paraId="457F80F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highlight w:val="none"/>
              </w:rPr>
            </w:pPr>
            <w:r>
              <w:rPr>
                <w:rFonts w:hint="default" w:ascii="Times New Roman" w:hAnsi="Times New Roman" w:cs="Times New Roman"/>
                <w:b/>
                <w:bCs/>
                <w:color w:val="auto"/>
                <w:kern w:val="0"/>
                <w:sz w:val="24"/>
                <w:highlight w:val="none"/>
                <w:lang w:bidi="ar"/>
              </w:rPr>
              <w:t>（3）生活污水</w:t>
            </w:r>
          </w:p>
          <w:p w14:paraId="643E8E02">
            <w:pPr>
              <w:pStyle w:val="31"/>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目前疾控中心内现有在职在编人员53人，编外人员5人，公益性岗位人员2人。本项目建成后，人员编制不增加，因此本项目无新增生活污水。</w:t>
            </w:r>
          </w:p>
          <w:p w14:paraId="2D2B5F2B">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bCs/>
                <w:color w:val="auto"/>
                <w:sz w:val="24"/>
                <w:highlight w:val="none"/>
              </w:rPr>
              <w:t>3、</w:t>
            </w:r>
            <w:r>
              <w:rPr>
                <w:rFonts w:hint="default" w:ascii="Times New Roman" w:hAnsi="Times New Roman" w:cs="Times New Roman"/>
                <w:b/>
                <w:color w:val="auto"/>
                <w:sz w:val="24"/>
                <w:highlight w:val="none"/>
              </w:rPr>
              <w:t>废水处理措施及污染物产排分析</w:t>
            </w:r>
          </w:p>
          <w:p w14:paraId="430A8AAE">
            <w:pPr>
              <w:adjustRightInd w:val="0"/>
              <w:snapToGrid w:val="0"/>
              <w:spacing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（1）</w:t>
            </w:r>
            <w:r>
              <w:rPr>
                <w:rFonts w:hint="default" w:ascii="Times New Roman" w:hAnsi="Times New Roman" w:cs="Times New Roman"/>
                <w:b/>
                <w:color w:val="auto"/>
                <w:sz w:val="24"/>
                <w:highlight w:val="none"/>
              </w:rPr>
              <w:t>废水处理措施</w:t>
            </w:r>
          </w:p>
          <w:p w14:paraId="149A6978">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①项目理化实验室废水分类收集分质经预处理后，排入现有项目1座10m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/d的污水处理站；</w:t>
            </w:r>
          </w:p>
          <w:p w14:paraId="57942F54">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②微生物实验室废水投加次氯酸钠消毒预处理后，排入现有项目1座10m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/d的污水处理站；</w:t>
            </w:r>
          </w:p>
          <w:p w14:paraId="0147C484">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③纯水制备系统产生的浓水排入现有项目1座10m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/d的污水处理站。</w:t>
            </w:r>
          </w:p>
          <w:p w14:paraId="71CDE09F">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本项目产生的以上几类废水经预处理后与现有项目各类废水汇总全部进入现有项目1座规模为10m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/d工艺为“缺氧-接触氧化-MBR-消毒”的污水处理站处理达标后，排入市政污水管网，最终进入华宁县污水处理厂。</w:t>
            </w:r>
          </w:p>
          <w:p w14:paraId="36943696">
            <w:pPr>
              <w:adjustRightInd w:val="0"/>
              <w:snapToGrid w:val="0"/>
              <w:spacing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（2）污染物源强核算</w:t>
            </w:r>
          </w:p>
          <w:p w14:paraId="4BC59B94">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扩建项目与疾控中心现有项目为同类项目，检验项目和使用试剂相似，规模类似，现有项目老化的污水处理站与新改造后的污水处理站处理工艺相似。因此，本扩建项目综合废水水质参数类比现有项目《华宁县疾病预防控制中心应急物资、疫苗冷链综合储备库建设项目竣工环境保护验收监测表》中废水水质数据进行分析评价，主要污染物浓度见下表：</w:t>
            </w:r>
          </w:p>
          <w:p w14:paraId="1E967FC7">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表4-11 类比综合废水进口水质（单位：mg/L，pH、粪大肠菌群除外）</w:t>
            </w:r>
          </w:p>
          <w:tbl>
            <w:tblPr>
              <w:tblStyle w:val="33"/>
              <w:tblW w:w="84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818"/>
              <w:gridCol w:w="1337"/>
              <w:gridCol w:w="1118"/>
              <w:gridCol w:w="1050"/>
              <w:gridCol w:w="1064"/>
              <w:gridCol w:w="1186"/>
              <w:gridCol w:w="768"/>
            </w:tblGrid>
            <w:tr w14:paraId="2289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35" w:type="dxa"/>
                  <w:vAlign w:val="center"/>
                </w:tcPr>
                <w:p w14:paraId="5F15A5D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818" w:type="dxa"/>
                  <w:vAlign w:val="center"/>
                </w:tcPr>
                <w:p w14:paraId="37D1D15F">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pH</w:t>
                  </w:r>
                </w:p>
              </w:tc>
              <w:tc>
                <w:tcPr>
                  <w:tcW w:w="1337" w:type="dxa"/>
                  <w:vAlign w:val="center"/>
                </w:tcPr>
                <w:p w14:paraId="7BD774F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COD</w:t>
                  </w:r>
                </w:p>
              </w:tc>
              <w:tc>
                <w:tcPr>
                  <w:tcW w:w="1118" w:type="dxa"/>
                  <w:vAlign w:val="center"/>
                </w:tcPr>
                <w:p w14:paraId="310ECA4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BOD</w:t>
                  </w:r>
                  <w:r>
                    <w:rPr>
                      <w:rFonts w:hint="default" w:ascii="Times New Roman" w:hAnsi="Times New Roman" w:cs="Times New Roman"/>
                      <w:b/>
                      <w:bCs/>
                      <w:color w:val="auto"/>
                      <w:szCs w:val="21"/>
                      <w:highlight w:val="none"/>
                      <w:vertAlign w:val="subscript"/>
                    </w:rPr>
                    <w:t>5</w:t>
                  </w:r>
                </w:p>
              </w:tc>
              <w:tc>
                <w:tcPr>
                  <w:tcW w:w="1050" w:type="dxa"/>
                  <w:vAlign w:val="center"/>
                </w:tcPr>
                <w:p w14:paraId="65BF835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SS</w:t>
                  </w:r>
                </w:p>
              </w:tc>
              <w:tc>
                <w:tcPr>
                  <w:tcW w:w="1064" w:type="dxa"/>
                  <w:vAlign w:val="center"/>
                </w:tcPr>
                <w:p w14:paraId="493C0F5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NH</w:t>
                  </w:r>
                  <w:r>
                    <w:rPr>
                      <w:rFonts w:hint="default" w:ascii="Times New Roman" w:hAnsi="Times New Roman" w:cs="Times New Roman"/>
                      <w:b/>
                      <w:bCs/>
                      <w:color w:val="auto"/>
                      <w:szCs w:val="21"/>
                      <w:highlight w:val="none"/>
                      <w:vertAlign w:val="subscript"/>
                    </w:rPr>
                    <w:t>3</w:t>
                  </w:r>
                  <w:r>
                    <w:rPr>
                      <w:rFonts w:hint="default" w:ascii="Times New Roman" w:hAnsi="Times New Roman" w:cs="Times New Roman"/>
                      <w:b/>
                      <w:bCs/>
                      <w:color w:val="auto"/>
                      <w:szCs w:val="21"/>
                      <w:highlight w:val="none"/>
                    </w:rPr>
                    <w:t>-N</w:t>
                  </w:r>
                </w:p>
              </w:tc>
              <w:tc>
                <w:tcPr>
                  <w:tcW w:w="1186" w:type="dxa"/>
                  <w:vAlign w:val="center"/>
                </w:tcPr>
                <w:p w14:paraId="1BE26AD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粪大肠菌群MPN/L</w:t>
                  </w:r>
                </w:p>
              </w:tc>
              <w:tc>
                <w:tcPr>
                  <w:tcW w:w="768" w:type="dxa"/>
                  <w:vAlign w:val="center"/>
                </w:tcPr>
                <w:p w14:paraId="728ACCA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总余氯</w:t>
                  </w:r>
                </w:p>
              </w:tc>
            </w:tr>
            <w:tr w14:paraId="14432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35" w:type="dxa"/>
                  <w:vAlign w:val="center"/>
                </w:tcPr>
                <w:p w14:paraId="74CDC55A">
                  <w:pPr>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类比</w:t>
                  </w:r>
                  <w:r>
                    <w:rPr>
                      <w:rFonts w:hint="default" w:ascii="Times New Roman" w:hAnsi="Times New Roman" w:cs="Times New Roman"/>
                      <w:b/>
                      <w:bCs/>
                      <w:color w:val="auto"/>
                      <w:szCs w:val="21"/>
                      <w:highlight w:val="none"/>
                    </w:rPr>
                    <w:t>数据</w:t>
                  </w:r>
                </w:p>
              </w:tc>
              <w:tc>
                <w:tcPr>
                  <w:tcW w:w="818" w:type="dxa"/>
                  <w:vAlign w:val="center"/>
                </w:tcPr>
                <w:p w14:paraId="4FE5042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8.84</w:t>
                  </w:r>
                </w:p>
              </w:tc>
              <w:tc>
                <w:tcPr>
                  <w:tcW w:w="1337" w:type="dxa"/>
                  <w:vAlign w:val="center"/>
                </w:tcPr>
                <w:p w14:paraId="57FA45B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137</w:t>
                  </w:r>
                </w:p>
              </w:tc>
              <w:tc>
                <w:tcPr>
                  <w:tcW w:w="1118" w:type="dxa"/>
                  <w:vAlign w:val="center"/>
                </w:tcPr>
                <w:p w14:paraId="43BAF25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79.2</w:t>
                  </w:r>
                </w:p>
              </w:tc>
              <w:tc>
                <w:tcPr>
                  <w:tcW w:w="1050" w:type="dxa"/>
                  <w:vAlign w:val="center"/>
                </w:tcPr>
                <w:p w14:paraId="123339E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29</w:t>
                  </w:r>
                </w:p>
              </w:tc>
              <w:tc>
                <w:tcPr>
                  <w:tcW w:w="1064" w:type="dxa"/>
                  <w:vAlign w:val="center"/>
                </w:tcPr>
                <w:p w14:paraId="6C36985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34.6</w:t>
                  </w:r>
                </w:p>
              </w:tc>
              <w:tc>
                <w:tcPr>
                  <w:tcW w:w="1186" w:type="dxa"/>
                  <w:vAlign w:val="center"/>
                </w:tcPr>
                <w:p w14:paraId="744A82C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&lt;3</w:t>
                  </w:r>
                </w:p>
              </w:tc>
              <w:tc>
                <w:tcPr>
                  <w:tcW w:w="768" w:type="dxa"/>
                  <w:vAlign w:val="center"/>
                </w:tcPr>
                <w:p w14:paraId="12BB745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24E4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35" w:type="dxa"/>
                  <w:vAlign w:val="center"/>
                </w:tcPr>
                <w:p w14:paraId="4880640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818" w:type="dxa"/>
                  <w:vAlign w:val="center"/>
                </w:tcPr>
                <w:p w14:paraId="529732E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石油类</w:t>
                  </w:r>
                </w:p>
              </w:tc>
              <w:tc>
                <w:tcPr>
                  <w:tcW w:w="1337" w:type="dxa"/>
                  <w:vAlign w:val="center"/>
                </w:tcPr>
                <w:p w14:paraId="038E8122">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阴离子表面活性剂</w:t>
                  </w:r>
                </w:p>
              </w:tc>
              <w:tc>
                <w:tcPr>
                  <w:tcW w:w="1118" w:type="dxa"/>
                  <w:vAlign w:val="center"/>
                </w:tcPr>
                <w:p w14:paraId="56851C8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总氰化物</w:t>
                  </w:r>
                </w:p>
              </w:tc>
              <w:tc>
                <w:tcPr>
                  <w:tcW w:w="1050" w:type="dxa"/>
                  <w:vAlign w:val="center"/>
                </w:tcPr>
                <w:p w14:paraId="5233ED4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挥发酚</w:t>
                  </w:r>
                </w:p>
              </w:tc>
              <w:tc>
                <w:tcPr>
                  <w:tcW w:w="1064" w:type="dxa"/>
                  <w:vAlign w:val="center"/>
                </w:tcPr>
                <w:p w14:paraId="720423B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总汞</w:t>
                  </w:r>
                </w:p>
              </w:tc>
              <w:tc>
                <w:tcPr>
                  <w:tcW w:w="1186" w:type="dxa"/>
                  <w:vAlign w:val="center"/>
                </w:tcPr>
                <w:p w14:paraId="3903DA8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总砷</w:t>
                  </w:r>
                </w:p>
              </w:tc>
              <w:tc>
                <w:tcPr>
                  <w:tcW w:w="768" w:type="dxa"/>
                  <w:vAlign w:val="center"/>
                </w:tcPr>
                <w:p w14:paraId="1816DD4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总镉</w:t>
                  </w:r>
                </w:p>
              </w:tc>
            </w:tr>
            <w:tr w14:paraId="691D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35" w:type="dxa"/>
                  <w:vAlign w:val="center"/>
                </w:tcPr>
                <w:p w14:paraId="7BD1CF2B">
                  <w:pPr>
                    <w:jc w:val="center"/>
                    <w:rPr>
                      <w:rFonts w:hint="default" w:ascii="Times New Roman" w:hAnsi="Times New Roman" w:cs="Times New Roman"/>
                      <w:b/>
                      <w:bCs/>
                      <w:color w:val="auto"/>
                      <w:szCs w:val="21"/>
                      <w:highlight w:val="none"/>
                    </w:rPr>
                  </w:pPr>
                  <w:r>
                    <w:rPr>
                      <w:rFonts w:hint="default" w:ascii="Times New Roman" w:hAnsi="Times New Roman" w:cs="Times New Roman"/>
                      <w:b/>
                      <w:color w:val="auto"/>
                      <w:szCs w:val="21"/>
                      <w:highlight w:val="none"/>
                    </w:rPr>
                    <w:t>类比</w:t>
                  </w:r>
                  <w:r>
                    <w:rPr>
                      <w:rFonts w:hint="default" w:ascii="Times New Roman" w:hAnsi="Times New Roman" w:cs="Times New Roman"/>
                      <w:b/>
                      <w:bCs/>
                      <w:color w:val="auto"/>
                      <w:szCs w:val="21"/>
                      <w:highlight w:val="none"/>
                    </w:rPr>
                    <w:t>数据</w:t>
                  </w:r>
                </w:p>
              </w:tc>
              <w:tc>
                <w:tcPr>
                  <w:tcW w:w="818" w:type="dxa"/>
                  <w:vAlign w:val="center"/>
                </w:tcPr>
                <w:p w14:paraId="252BDE0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0.59</w:t>
                  </w:r>
                </w:p>
              </w:tc>
              <w:tc>
                <w:tcPr>
                  <w:tcW w:w="1337" w:type="dxa"/>
                  <w:vAlign w:val="center"/>
                </w:tcPr>
                <w:p w14:paraId="347CF63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0.54</w:t>
                  </w:r>
                </w:p>
              </w:tc>
              <w:tc>
                <w:tcPr>
                  <w:tcW w:w="1118" w:type="dxa"/>
                  <w:vAlign w:val="center"/>
                </w:tcPr>
                <w:p w14:paraId="75E21F7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0.0105</w:t>
                  </w:r>
                </w:p>
              </w:tc>
              <w:tc>
                <w:tcPr>
                  <w:tcW w:w="1050" w:type="dxa"/>
                  <w:vAlign w:val="center"/>
                </w:tcPr>
                <w:p w14:paraId="32EA9A6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0.0014</w:t>
                  </w:r>
                </w:p>
              </w:tc>
              <w:tc>
                <w:tcPr>
                  <w:tcW w:w="1064" w:type="dxa"/>
                  <w:vAlign w:val="center"/>
                </w:tcPr>
                <w:p w14:paraId="2A4F5F5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0.00930</w:t>
                  </w:r>
                </w:p>
              </w:tc>
              <w:tc>
                <w:tcPr>
                  <w:tcW w:w="1186" w:type="dxa"/>
                  <w:vAlign w:val="center"/>
                </w:tcPr>
                <w:p w14:paraId="1052B75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0.00255</w:t>
                  </w:r>
                </w:p>
              </w:tc>
              <w:tc>
                <w:tcPr>
                  <w:tcW w:w="768" w:type="dxa"/>
                  <w:vAlign w:val="center"/>
                </w:tcPr>
                <w:p w14:paraId="03CF868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0.05L</w:t>
                  </w:r>
                </w:p>
              </w:tc>
            </w:tr>
            <w:tr w14:paraId="2058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35" w:type="dxa"/>
                  <w:vAlign w:val="center"/>
                </w:tcPr>
                <w:p w14:paraId="35B73A7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818" w:type="dxa"/>
                  <w:vAlign w:val="center"/>
                </w:tcPr>
                <w:p w14:paraId="51D9B8B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总铅</w:t>
                  </w:r>
                </w:p>
              </w:tc>
              <w:tc>
                <w:tcPr>
                  <w:tcW w:w="1337" w:type="dxa"/>
                  <w:vAlign w:val="center"/>
                </w:tcPr>
                <w:p w14:paraId="7910119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总银</w:t>
                  </w:r>
                </w:p>
              </w:tc>
              <w:tc>
                <w:tcPr>
                  <w:tcW w:w="1118" w:type="dxa"/>
                  <w:vAlign w:val="center"/>
                </w:tcPr>
                <w:p w14:paraId="350C502F">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总铬</w:t>
                  </w:r>
                </w:p>
              </w:tc>
              <w:tc>
                <w:tcPr>
                  <w:tcW w:w="1050" w:type="dxa"/>
                  <w:vAlign w:val="center"/>
                </w:tcPr>
                <w:p w14:paraId="783B715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六价铬</w:t>
                  </w:r>
                </w:p>
              </w:tc>
              <w:tc>
                <w:tcPr>
                  <w:tcW w:w="1064" w:type="dxa"/>
                  <w:vAlign w:val="center"/>
                </w:tcPr>
                <w:p w14:paraId="6850985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86" w:type="dxa"/>
                  <w:vAlign w:val="center"/>
                </w:tcPr>
                <w:p w14:paraId="2CA1E69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68" w:type="dxa"/>
                  <w:vAlign w:val="center"/>
                </w:tcPr>
                <w:p w14:paraId="4B14B4E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71D8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35" w:type="dxa"/>
                  <w:vAlign w:val="center"/>
                </w:tcPr>
                <w:p w14:paraId="730A1A68">
                  <w:pPr>
                    <w:jc w:val="center"/>
                    <w:rPr>
                      <w:rFonts w:hint="default" w:ascii="Times New Roman" w:hAnsi="Times New Roman" w:cs="Times New Roman"/>
                      <w:b/>
                      <w:bCs/>
                      <w:color w:val="auto"/>
                      <w:szCs w:val="21"/>
                      <w:highlight w:val="none"/>
                    </w:rPr>
                  </w:pPr>
                  <w:r>
                    <w:rPr>
                      <w:rFonts w:hint="default" w:ascii="Times New Roman" w:hAnsi="Times New Roman" w:cs="Times New Roman"/>
                      <w:b/>
                      <w:color w:val="auto"/>
                      <w:szCs w:val="21"/>
                      <w:highlight w:val="none"/>
                    </w:rPr>
                    <w:t>类比</w:t>
                  </w:r>
                  <w:r>
                    <w:rPr>
                      <w:rFonts w:hint="default" w:ascii="Times New Roman" w:hAnsi="Times New Roman" w:cs="Times New Roman"/>
                      <w:b/>
                      <w:bCs/>
                      <w:color w:val="auto"/>
                      <w:szCs w:val="21"/>
                      <w:highlight w:val="none"/>
                    </w:rPr>
                    <w:t>数据</w:t>
                  </w:r>
                </w:p>
              </w:tc>
              <w:tc>
                <w:tcPr>
                  <w:tcW w:w="818" w:type="dxa"/>
                  <w:vAlign w:val="center"/>
                </w:tcPr>
                <w:p w14:paraId="615EA16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0.2L</w:t>
                  </w:r>
                </w:p>
              </w:tc>
              <w:tc>
                <w:tcPr>
                  <w:tcW w:w="1337" w:type="dxa"/>
                  <w:vAlign w:val="center"/>
                </w:tcPr>
                <w:p w14:paraId="005F79F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0.03L</w:t>
                  </w:r>
                </w:p>
              </w:tc>
              <w:tc>
                <w:tcPr>
                  <w:tcW w:w="1118" w:type="dxa"/>
                  <w:vAlign w:val="center"/>
                </w:tcPr>
                <w:p w14:paraId="066E4DA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0.0185</w:t>
                  </w:r>
                </w:p>
              </w:tc>
              <w:tc>
                <w:tcPr>
                  <w:tcW w:w="1050" w:type="dxa"/>
                  <w:vAlign w:val="center"/>
                </w:tcPr>
                <w:p w14:paraId="450011B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0.0055</w:t>
                  </w:r>
                </w:p>
              </w:tc>
              <w:tc>
                <w:tcPr>
                  <w:tcW w:w="1064" w:type="dxa"/>
                  <w:vAlign w:val="center"/>
                </w:tcPr>
                <w:p w14:paraId="7D62AD1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186" w:type="dxa"/>
                  <w:vAlign w:val="center"/>
                </w:tcPr>
                <w:p w14:paraId="2E916D3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68" w:type="dxa"/>
                  <w:vAlign w:val="center"/>
                </w:tcPr>
                <w:p w14:paraId="421A379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722B9C95">
            <w:pPr>
              <w:pStyle w:val="20"/>
              <w:keepNext w:val="0"/>
              <w:keepLines w:val="0"/>
              <w:pageBreakBefore w:val="0"/>
              <w:widowControl w:val="0"/>
              <w:kinsoku/>
              <w:wordWrap/>
              <w:overflowPunct/>
              <w:topLinePunct w:val="0"/>
              <w:autoSpaceDE w:val="0"/>
              <w:autoSpaceDN w:val="0"/>
              <w:bidi w:val="0"/>
              <w:adjustRightInd w:val="0"/>
              <w:snapToGrid/>
              <w:spacing w:before="157" w:beforeLines="50"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本项目污水处理站设置于地下一层，所有处理设备均加盖密闭，通过“格栅池+调节池+缺氧池+生物接触氧化池+沉淀池+MBR膜池+消毒池”进行处理，处理前后综合废水产生及排放情况见下表：</w:t>
            </w:r>
          </w:p>
          <w:p w14:paraId="2BDA0AA0">
            <w:pPr>
              <w:jc w:val="center"/>
              <w:rPr>
                <w:rFonts w:hint="default" w:ascii="Times New Roman" w:hAnsi="Times New Roman" w:cs="Times New Roman"/>
                <w:b/>
                <w:snapToGrid w:val="0"/>
                <w:color w:val="auto"/>
                <w:kern w:val="0"/>
                <w:highlight w:val="none"/>
              </w:rPr>
            </w:pPr>
            <w:r>
              <w:rPr>
                <w:rFonts w:hint="default" w:ascii="Times New Roman" w:hAnsi="Times New Roman" w:cs="Times New Roman"/>
                <w:b/>
                <w:color w:val="auto"/>
                <w:szCs w:val="21"/>
                <w:highlight w:val="none"/>
              </w:rPr>
              <w:t>表4-12 本项目综合废水产生及排放情况</w:t>
            </w:r>
          </w:p>
          <w:tbl>
            <w:tblPr>
              <w:tblStyle w:val="33"/>
              <w:tblpPr w:leftFromText="180" w:rightFromText="180" w:vertAnchor="text" w:horzAnchor="page" w:tblpX="69" w:tblpY="266"/>
              <w:tblOverlap w:val="never"/>
              <w:tblW w:w="8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860"/>
              <w:gridCol w:w="1219"/>
              <w:gridCol w:w="971"/>
              <w:gridCol w:w="1254"/>
              <w:gridCol w:w="696"/>
              <w:gridCol w:w="954"/>
              <w:gridCol w:w="1285"/>
              <w:gridCol w:w="645"/>
            </w:tblGrid>
            <w:tr w14:paraId="7322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restart"/>
                  <w:vAlign w:val="center"/>
                </w:tcPr>
                <w:p w14:paraId="523B5744">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污染源名称</w:t>
                  </w:r>
                </w:p>
              </w:tc>
              <w:tc>
                <w:tcPr>
                  <w:tcW w:w="860" w:type="dxa"/>
                  <w:vMerge w:val="restart"/>
                  <w:vAlign w:val="center"/>
                </w:tcPr>
                <w:p w14:paraId="584C8C0C">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废水量（m</w:t>
                  </w:r>
                  <w:r>
                    <w:rPr>
                      <w:rFonts w:hint="default" w:ascii="Times New Roman" w:hAnsi="Times New Roman" w:cs="Times New Roman"/>
                      <w:b/>
                      <w:snapToGrid w:val="0"/>
                      <w:color w:val="auto"/>
                      <w:kern w:val="0"/>
                      <w:szCs w:val="21"/>
                      <w:highlight w:val="none"/>
                      <w:vertAlign w:val="superscript"/>
                    </w:rPr>
                    <w:t>3</w:t>
                  </w:r>
                  <w:r>
                    <w:rPr>
                      <w:rFonts w:hint="default" w:ascii="Times New Roman" w:hAnsi="Times New Roman" w:cs="Times New Roman"/>
                      <w:b/>
                      <w:snapToGrid w:val="0"/>
                      <w:color w:val="auto"/>
                      <w:kern w:val="0"/>
                      <w:szCs w:val="21"/>
                      <w:highlight w:val="none"/>
                    </w:rPr>
                    <w:t>/a）</w:t>
                  </w:r>
                </w:p>
              </w:tc>
              <w:tc>
                <w:tcPr>
                  <w:tcW w:w="1219" w:type="dxa"/>
                  <w:vMerge w:val="restart"/>
                  <w:vAlign w:val="center"/>
                </w:tcPr>
                <w:p w14:paraId="43FC2B07">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污染物</w:t>
                  </w:r>
                </w:p>
                <w:p w14:paraId="5E507053">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名称</w:t>
                  </w:r>
                </w:p>
              </w:tc>
              <w:tc>
                <w:tcPr>
                  <w:tcW w:w="2225" w:type="dxa"/>
                  <w:gridSpan w:val="2"/>
                  <w:vAlign w:val="center"/>
                </w:tcPr>
                <w:p w14:paraId="159F8E29">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污染物产生情况</w:t>
                  </w:r>
                </w:p>
              </w:tc>
              <w:tc>
                <w:tcPr>
                  <w:tcW w:w="696" w:type="dxa"/>
                  <w:vMerge w:val="restart"/>
                  <w:vAlign w:val="center"/>
                </w:tcPr>
                <w:p w14:paraId="6A627254">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治理措施</w:t>
                  </w:r>
                </w:p>
              </w:tc>
              <w:tc>
                <w:tcPr>
                  <w:tcW w:w="2239" w:type="dxa"/>
                  <w:gridSpan w:val="2"/>
                  <w:vAlign w:val="center"/>
                </w:tcPr>
                <w:p w14:paraId="48B56C58">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污染物排放情况</w:t>
                  </w:r>
                </w:p>
              </w:tc>
              <w:tc>
                <w:tcPr>
                  <w:tcW w:w="645" w:type="dxa"/>
                  <w:vMerge w:val="restart"/>
                  <w:vAlign w:val="center"/>
                </w:tcPr>
                <w:p w14:paraId="1F2A9AD0">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排放去向</w:t>
                  </w:r>
                </w:p>
              </w:tc>
            </w:tr>
            <w:tr w14:paraId="435F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5DA93C0E">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283A410D">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Merge w:val="continue"/>
                  <w:vAlign w:val="center"/>
                </w:tcPr>
                <w:p w14:paraId="2360A6E1">
                  <w:pPr>
                    <w:adjustRightInd w:val="0"/>
                    <w:snapToGrid w:val="0"/>
                    <w:jc w:val="center"/>
                    <w:rPr>
                      <w:rFonts w:hint="default" w:ascii="Times New Roman" w:hAnsi="Times New Roman" w:cs="Times New Roman"/>
                      <w:bCs/>
                      <w:snapToGrid w:val="0"/>
                      <w:color w:val="auto"/>
                      <w:kern w:val="0"/>
                      <w:szCs w:val="21"/>
                      <w:highlight w:val="none"/>
                    </w:rPr>
                  </w:pPr>
                </w:p>
              </w:tc>
              <w:tc>
                <w:tcPr>
                  <w:tcW w:w="971" w:type="dxa"/>
                  <w:vAlign w:val="center"/>
                </w:tcPr>
                <w:p w14:paraId="08A9B02D">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浓度(mg/L)</w:t>
                  </w:r>
                </w:p>
              </w:tc>
              <w:tc>
                <w:tcPr>
                  <w:tcW w:w="1254" w:type="dxa"/>
                  <w:vAlign w:val="center"/>
                </w:tcPr>
                <w:p w14:paraId="3324AF61">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产生量（t/a）</w:t>
                  </w:r>
                </w:p>
              </w:tc>
              <w:tc>
                <w:tcPr>
                  <w:tcW w:w="696" w:type="dxa"/>
                  <w:vMerge w:val="continue"/>
                  <w:vAlign w:val="center"/>
                </w:tcPr>
                <w:p w14:paraId="0D0E92F9">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1130643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
                      <w:snapToGrid w:val="0"/>
                      <w:color w:val="auto"/>
                      <w:kern w:val="0"/>
                      <w:szCs w:val="21"/>
                      <w:highlight w:val="none"/>
                    </w:rPr>
                    <w:t>浓度(mg/L)</w:t>
                  </w:r>
                </w:p>
              </w:tc>
              <w:tc>
                <w:tcPr>
                  <w:tcW w:w="1285" w:type="dxa"/>
                  <w:vAlign w:val="center"/>
                </w:tcPr>
                <w:p w14:paraId="3EC8173F">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排放量</w:t>
                  </w:r>
                </w:p>
                <w:p w14:paraId="1D1DDDEA">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
                      <w:snapToGrid w:val="0"/>
                      <w:color w:val="auto"/>
                      <w:kern w:val="0"/>
                      <w:szCs w:val="21"/>
                      <w:highlight w:val="none"/>
                    </w:rPr>
                    <w:t>（t/a）</w:t>
                  </w:r>
                </w:p>
              </w:tc>
              <w:tc>
                <w:tcPr>
                  <w:tcW w:w="645" w:type="dxa"/>
                  <w:vMerge w:val="continue"/>
                  <w:vAlign w:val="center"/>
                </w:tcPr>
                <w:p w14:paraId="7A91CAB6">
                  <w:pPr>
                    <w:adjustRightInd w:val="0"/>
                    <w:snapToGrid w:val="0"/>
                    <w:jc w:val="center"/>
                    <w:rPr>
                      <w:rFonts w:hint="default" w:ascii="Times New Roman" w:hAnsi="Times New Roman" w:cs="Times New Roman"/>
                      <w:bCs/>
                      <w:snapToGrid w:val="0"/>
                      <w:color w:val="auto"/>
                      <w:kern w:val="0"/>
                      <w:szCs w:val="21"/>
                      <w:highlight w:val="none"/>
                    </w:rPr>
                  </w:pPr>
                </w:p>
              </w:tc>
            </w:tr>
            <w:tr w14:paraId="053D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restart"/>
                  <w:vAlign w:val="center"/>
                </w:tcPr>
                <w:p w14:paraId="40AEF59F">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
                      <w:snapToGrid w:val="0"/>
                      <w:color w:val="auto"/>
                      <w:kern w:val="0"/>
                      <w:szCs w:val="21"/>
                      <w:highlight w:val="none"/>
                    </w:rPr>
                    <w:t>综合废水</w:t>
                  </w:r>
                </w:p>
              </w:tc>
              <w:tc>
                <w:tcPr>
                  <w:tcW w:w="860" w:type="dxa"/>
                  <w:vMerge w:val="restart"/>
                  <w:vAlign w:val="center"/>
                </w:tcPr>
                <w:p w14:paraId="2C8B5B0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128</w:t>
                  </w:r>
                </w:p>
              </w:tc>
              <w:tc>
                <w:tcPr>
                  <w:tcW w:w="1219" w:type="dxa"/>
                  <w:vAlign w:val="center"/>
                </w:tcPr>
                <w:p w14:paraId="5A2F62B4">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pH</w:t>
                  </w:r>
                </w:p>
              </w:tc>
              <w:tc>
                <w:tcPr>
                  <w:tcW w:w="2225" w:type="dxa"/>
                  <w:gridSpan w:val="2"/>
                  <w:vAlign w:val="center"/>
                </w:tcPr>
                <w:p w14:paraId="1F25ABA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8.84</w:t>
                  </w:r>
                  <w:bookmarkStart w:id="13" w:name="OLE_LINK7"/>
                  <w:r>
                    <w:rPr>
                      <w:rFonts w:hint="default" w:ascii="Times New Roman" w:hAnsi="Times New Roman" w:cs="Times New Roman"/>
                      <w:bCs/>
                      <w:snapToGrid w:val="0"/>
                      <w:color w:val="auto"/>
                      <w:kern w:val="0"/>
                      <w:szCs w:val="21"/>
                      <w:highlight w:val="none"/>
                    </w:rPr>
                    <w:t>（无量纲）</w:t>
                  </w:r>
                  <w:bookmarkEnd w:id="13"/>
                </w:p>
              </w:tc>
              <w:tc>
                <w:tcPr>
                  <w:tcW w:w="696" w:type="dxa"/>
                  <w:vMerge w:val="restart"/>
                  <w:vAlign w:val="center"/>
                </w:tcPr>
                <w:p w14:paraId="0304411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各项废水单独预处理（第一类水污染物预处理设施排放口达标）+自建污水处理站</w:t>
                  </w:r>
                </w:p>
              </w:tc>
              <w:tc>
                <w:tcPr>
                  <w:tcW w:w="2239" w:type="dxa"/>
                  <w:gridSpan w:val="2"/>
                  <w:vAlign w:val="center"/>
                </w:tcPr>
                <w:p w14:paraId="3684BD0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6-9（无量纲）</w:t>
                  </w:r>
                </w:p>
              </w:tc>
              <w:tc>
                <w:tcPr>
                  <w:tcW w:w="645" w:type="dxa"/>
                  <w:vAlign w:val="center"/>
                </w:tcPr>
                <w:p w14:paraId="6665EAD1">
                  <w:pPr>
                    <w:adjustRightInd w:val="0"/>
                    <w:snapToGrid w:val="0"/>
                    <w:jc w:val="center"/>
                    <w:rPr>
                      <w:rFonts w:hint="default" w:ascii="Times New Roman" w:hAnsi="Times New Roman" w:cs="Times New Roman"/>
                      <w:bCs/>
                      <w:snapToGrid w:val="0"/>
                      <w:color w:val="auto"/>
                      <w:kern w:val="0"/>
                      <w:szCs w:val="21"/>
                      <w:highlight w:val="none"/>
                    </w:rPr>
                  </w:pPr>
                </w:p>
              </w:tc>
            </w:tr>
            <w:tr w14:paraId="5C07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7E61E98E">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79581316">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4B2119D5">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COD</w:t>
                  </w:r>
                </w:p>
              </w:tc>
              <w:tc>
                <w:tcPr>
                  <w:tcW w:w="971" w:type="dxa"/>
                  <w:vAlign w:val="center"/>
                </w:tcPr>
                <w:p w14:paraId="54C1FAE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137</w:t>
                  </w:r>
                </w:p>
              </w:tc>
              <w:tc>
                <w:tcPr>
                  <w:tcW w:w="1254" w:type="dxa"/>
                  <w:vAlign w:val="center"/>
                </w:tcPr>
                <w:p w14:paraId="63BAB204">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0.017536</w:t>
                  </w:r>
                </w:p>
              </w:tc>
              <w:tc>
                <w:tcPr>
                  <w:tcW w:w="696" w:type="dxa"/>
                  <w:vMerge w:val="continue"/>
                  <w:vAlign w:val="center"/>
                </w:tcPr>
                <w:p w14:paraId="65653C0D">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499D4AC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55</w:t>
                  </w:r>
                </w:p>
              </w:tc>
              <w:tc>
                <w:tcPr>
                  <w:tcW w:w="1285" w:type="dxa"/>
                  <w:vAlign w:val="center"/>
                </w:tcPr>
                <w:p w14:paraId="5B29412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0.00704</w:t>
                  </w:r>
                </w:p>
              </w:tc>
              <w:tc>
                <w:tcPr>
                  <w:tcW w:w="645" w:type="dxa"/>
                  <w:vMerge w:val="restart"/>
                  <w:vAlign w:val="center"/>
                </w:tcPr>
                <w:p w14:paraId="57DC2A0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经市政管网</w:t>
                  </w:r>
                  <w:r>
                    <w:rPr>
                      <w:rFonts w:hint="default" w:ascii="Times New Roman" w:hAnsi="Times New Roman" w:cs="Times New Roman"/>
                      <w:bCs/>
                      <w:snapToGrid w:val="0"/>
                      <w:color w:val="auto"/>
                      <w:kern w:val="0"/>
                      <w:szCs w:val="21"/>
                      <w:highlight w:val="none"/>
                    </w:rPr>
                    <w:t>进入华宁县污水处理厂</w:t>
                  </w:r>
                </w:p>
              </w:tc>
            </w:tr>
            <w:tr w14:paraId="510E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08A78253">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52EB9322">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5C5FCF5E">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BOD</w:t>
                  </w:r>
                  <w:r>
                    <w:rPr>
                      <w:rFonts w:hint="default" w:ascii="Times New Roman" w:hAnsi="Times New Roman" w:cs="Times New Roman"/>
                      <w:color w:val="auto"/>
                      <w:szCs w:val="21"/>
                      <w:highlight w:val="none"/>
                      <w:vertAlign w:val="subscript"/>
                    </w:rPr>
                    <w:t>5</w:t>
                  </w:r>
                </w:p>
              </w:tc>
              <w:tc>
                <w:tcPr>
                  <w:tcW w:w="971" w:type="dxa"/>
                  <w:vAlign w:val="center"/>
                </w:tcPr>
                <w:p w14:paraId="5B8E5602">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79.2</w:t>
                  </w:r>
                </w:p>
              </w:tc>
              <w:tc>
                <w:tcPr>
                  <w:tcW w:w="1254" w:type="dxa"/>
                  <w:vAlign w:val="center"/>
                </w:tcPr>
                <w:p w14:paraId="390585AE">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0.0101376</w:t>
                  </w:r>
                </w:p>
              </w:tc>
              <w:tc>
                <w:tcPr>
                  <w:tcW w:w="696" w:type="dxa"/>
                  <w:vMerge w:val="continue"/>
                  <w:vAlign w:val="center"/>
                </w:tcPr>
                <w:p w14:paraId="46CF7C99">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251E0D4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17.2</w:t>
                  </w:r>
                </w:p>
              </w:tc>
              <w:tc>
                <w:tcPr>
                  <w:tcW w:w="1285" w:type="dxa"/>
                  <w:vAlign w:val="center"/>
                </w:tcPr>
                <w:p w14:paraId="0627AD7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0.0022016</w:t>
                  </w:r>
                </w:p>
              </w:tc>
              <w:tc>
                <w:tcPr>
                  <w:tcW w:w="645" w:type="dxa"/>
                  <w:vMerge w:val="continue"/>
                  <w:vAlign w:val="center"/>
                </w:tcPr>
                <w:p w14:paraId="7269EF01">
                  <w:pPr>
                    <w:adjustRightInd w:val="0"/>
                    <w:snapToGrid w:val="0"/>
                    <w:jc w:val="center"/>
                    <w:rPr>
                      <w:rFonts w:hint="default" w:ascii="Times New Roman" w:hAnsi="Times New Roman" w:cs="Times New Roman"/>
                      <w:bCs/>
                      <w:snapToGrid w:val="0"/>
                      <w:color w:val="auto"/>
                      <w:kern w:val="0"/>
                      <w:szCs w:val="21"/>
                      <w:highlight w:val="none"/>
                    </w:rPr>
                  </w:pPr>
                </w:p>
              </w:tc>
            </w:tr>
            <w:tr w14:paraId="7BB5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4DE80AB9">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7215C7E6">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760EA10E">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SS</w:t>
                  </w:r>
                </w:p>
              </w:tc>
              <w:tc>
                <w:tcPr>
                  <w:tcW w:w="971" w:type="dxa"/>
                  <w:vAlign w:val="center"/>
                </w:tcPr>
                <w:p w14:paraId="3A63A07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29</w:t>
                  </w:r>
                </w:p>
              </w:tc>
              <w:tc>
                <w:tcPr>
                  <w:tcW w:w="1254" w:type="dxa"/>
                  <w:vAlign w:val="center"/>
                </w:tcPr>
                <w:p w14:paraId="7431299A">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0.003712</w:t>
                  </w:r>
                </w:p>
              </w:tc>
              <w:tc>
                <w:tcPr>
                  <w:tcW w:w="696" w:type="dxa"/>
                  <w:vMerge w:val="continue"/>
                  <w:vAlign w:val="center"/>
                </w:tcPr>
                <w:p w14:paraId="76B243E0">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3BE4786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7.8</w:t>
                  </w:r>
                </w:p>
              </w:tc>
              <w:tc>
                <w:tcPr>
                  <w:tcW w:w="1285" w:type="dxa"/>
                  <w:vAlign w:val="center"/>
                </w:tcPr>
                <w:p w14:paraId="06EF86C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0.0009984</w:t>
                  </w:r>
                </w:p>
              </w:tc>
              <w:tc>
                <w:tcPr>
                  <w:tcW w:w="645" w:type="dxa"/>
                  <w:vMerge w:val="continue"/>
                  <w:vAlign w:val="center"/>
                </w:tcPr>
                <w:p w14:paraId="6C98F1CB">
                  <w:pPr>
                    <w:adjustRightInd w:val="0"/>
                    <w:snapToGrid w:val="0"/>
                    <w:jc w:val="center"/>
                    <w:rPr>
                      <w:rFonts w:hint="default" w:ascii="Times New Roman" w:hAnsi="Times New Roman" w:cs="Times New Roman"/>
                      <w:bCs/>
                      <w:snapToGrid w:val="0"/>
                      <w:color w:val="auto"/>
                      <w:kern w:val="0"/>
                      <w:szCs w:val="21"/>
                      <w:highlight w:val="none"/>
                    </w:rPr>
                  </w:pPr>
                </w:p>
              </w:tc>
            </w:tr>
            <w:tr w14:paraId="3CD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5CF5A28D">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24CEC7C4">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7DFF0DC5">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NH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w:t>
                  </w:r>
                </w:p>
              </w:tc>
              <w:tc>
                <w:tcPr>
                  <w:tcW w:w="971" w:type="dxa"/>
                  <w:vAlign w:val="center"/>
                </w:tcPr>
                <w:p w14:paraId="28B3B2D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34.6</w:t>
                  </w:r>
                </w:p>
              </w:tc>
              <w:tc>
                <w:tcPr>
                  <w:tcW w:w="1254" w:type="dxa"/>
                  <w:vAlign w:val="center"/>
                </w:tcPr>
                <w:p w14:paraId="2B678120">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0.0044288</w:t>
                  </w:r>
                </w:p>
              </w:tc>
              <w:tc>
                <w:tcPr>
                  <w:tcW w:w="696" w:type="dxa"/>
                  <w:vMerge w:val="continue"/>
                  <w:vAlign w:val="center"/>
                </w:tcPr>
                <w:p w14:paraId="40705CF3">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3CA2778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12.6</w:t>
                  </w:r>
                </w:p>
              </w:tc>
              <w:tc>
                <w:tcPr>
                  <w:tcW w:w="1285" w:type="dxa"/>
                  <w:vAlign w:val="center"/>
                </w:tcPr>
                <w:p w14:paraId="58E78EEC">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0.0016128</w:t>
                  </w:r>
                </w:p>
              </w:tc>
              <w:tc>
                <w:tcPr>
                  <w:tcW w:w="645" w:type="dxa"/>
                  <w:vMerge w:val="continue"/>
                  <w:vAlign w:val="center"/>
                </w:tcPr>
                <w:p w14:paraId="14A87106">
                  <w:pPr>
                    <w:adjustRightInd w:val="0"/>
                    <w:snapToGrid w:val="0"/>
                    <w:jc w:val="center"/>
                    <w:rPr>
                      <w:rFonts w:hint="default" w:ascii="Times New Roman" w:hAnsi="Times New Roman" w:cs="Times New Roman"/>
                      <w:bCs/>
                      <w:snapToGrid w:val="0"/>
                      <w:color w:val="auto"/>
                      <w:kern w:val="0"/>
                      <w:szCs w:val="21"/>
                      <w:highlight w:val="none"/>
                    </w:rPr>
                  </w:pPr>
                </w:p>
              </w:tc>
            </w:tr>
            <w:tr w14:paraId="3A950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74415CE7">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1176F51B">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638300E7">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粪大肠菌群</w:t>
                  </w:r>
                </w:p>
              </w:tc>
              <w:tc>
                <w:tcPr>
                  <w:tcW w:w="971" w:type="dxa"/>
                  <w:vAlign w:val="center"/>
                </w:tcPr>
                <w:p w14:paraId="0A1433E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3</w:t>
                  </w:r>
                </w:p>
              </w:tc>
              <w:tc>
                <w:tcPr>
                  <w:tcW w:w="1254" w:type="dxa"/>
                  <w:vAlign w:val="center"/>
                </w:tcPr>
                <w:p w14:paraId="398645BC">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0.000384</w:t>
                  </w:r>
                </w:p>
              </w:tc>
              <w:tc>
                <w:tcPr>
                  <w:tcW w:w="696" w:type="dxa"/>
                  <w:vMerge w:val="continue"/>
                  <w:vAlign w:val="center"/>
                </w:tcPr>
                <w:p w14:paraId="17B39AC8">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3B51545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3</w:t>
                  </w:r>
                </w:p>
              </w:tc>
              <w:tc>
                <w:tcPr>
                  <w:tcW w:w="1285" w:type="dxa"/>
                  <w:vAlign w:val="center"/>
                </w:tcPr>
                <w:p w14:paraId="7A52A041">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0.000384</w:t>
                  </w:r>
                </w:p>
              </w:tc>
              <w:tc>
                <w:tcPr>
                  <w:tcW w:w="645" w:type="dxa"/>
                  <w:vMerge w:val="continue"/>
                  <w:vAlign w:val="center"/>
                </w:tcPr>
                <w:p w14:paraId="41AE76FA">
                  <w:pPr>
                    <w:adjustRightInd w:val="0"/>
                    <w:snapToGrid w:val="0"/>
                    <w:jc w:val="center"/>
                    <w:rPr>
                      <w:rFonts w:hint="default" w:ascii="Times New Roman" w:hAnsi="Times New Roman" w:cs="Times New Roman"/>
                      <w:bCs/>
                      <w:snapToGrid w:val="0"/>
                      <w:color w:val="auto"/>
                      <w:kern w:val="0"/>
                      <w:szCs w:val="21"/>
                      <w:highlight w:val="none"/>
                    </w:rPr>
                  </w:pPr>
                </w:p>
              </w:tc>
            </w:tr>
            <w:tr w14:paraId="47C4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15A563E2">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5D93C9BC">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7B3F39BF">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总余氯</w:t>
                  </w:r>
                </w:p>
              </w:tc>
              <w:tc>
                <w:tcPr>
                  <w:tcW w:w="971" w:type="dxa"/>
                  <w:vAlign w:val="center"/>
                </w:tcPr>
                <w:p w14:paraId="550ECC9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w:t>
                  </w:r>
                </w:p>
              </w:tc>
              <w:tc>
                <w:tcPr>
                  <w:tcW w:w="1254" w:type="dxa"/>
                  <w:vAlign w:val="center"/>
                </w:tcPr>
                <w:p w14:paraId="2B6DD676">
                  <w:pPr>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w:t>
                  </w:r>
                </w:p>
              </w:tc>
              <w:tc>
                <w:tcPr>
                  <w:tcW w:w="696" w:type="dxa"/>
                  <w:vMerge w:val="continue"/>
                  <w:vAlign w:val="center"/>
                </w:tcPr>
                <w:p w14:paraId="6DE2834B">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7D3F344A">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8.52</w:t>
                  </w:r>
                </w:p>
              </w:tc>
              <w:tc>
                <w:tcPr>
                  <w:tcW w:w="1285" w:type="dxa"/>
                  <w:vAlign w:val="center"/>
                </w:tcPr>
                <w:p w14:paraId="6923620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0.00109056</w:t>
                  </w:r>
                </w:p>
              </w:tc>
              <w:tc>
                <w:tcPr>
                  <w:tcW w:w="645" w:type="dxa"/>
                  <w:vMerge w:val="continue"/>
                  <w:vAlign w:val="center"/>
                </w:tcPr>
                <w:p w14:paraId="5F3B52B9">
                  <w:pPr>
                    <w:adjustRightInd w:val="0"/>
                    <w:snapToGrid w:val="0"/>
                    <w:jc w:val="center"/>
                    <w:rPr>
                      <w:rFonts w:hint="default" w:ascii="Times New Roman" w:hAnsi="Times New Roman" w:cs="Times New Roman"/>
                      <w:bCs/>
                      <w:snapToGrid w:val="0"/>
                      <w:color w:val="auto"/>
                      <w:kern w:val="0"/>
                      <w:szCs w:val="21"/>
                      <w:highlight w:val="none"/>
                    </w:rPr>
                  </w:pPr>
                </w:p>
              </w:tc>
            </w:tr>
            <w:tr w14:paraId="0769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365FB2D0">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1A5302B7">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43DCE72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石油类</w:t>
                  </w:r>
                </w:p>
              </w:tc>
              <w:tc>
                <w:tcPr>
                  <w:tcW w:w="971" w:type="dxa"/>
                  <w:vAlign w:val="center"/>
                </w:tcPr>
                <w:p w14:paraId="25699382">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0.59</w:t>
                  </w:r>
                </w:p>
              </w:tc>
              <w:tc>
                <w:tcPr>
                  <w:tcW w:w="1254" w:type="dxa"/>
                  <w:vAlign w:val="center"/>
                </w:tcPr>
                <w:p w14:paraId="7D83304F">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0.00007552</w:t>
                  </w:r>
                </w:p>
              </w:tc>
              <w:tc>
                <w:tcPr>
                  <w:tcW w:w="696" w:type="dxa"/>
                  <w:vMerge w:val="continue"/>
                  <w:vAlign w:val="center"/>
                </w:tcPr>
                <w:p w14:paraId="11A77D4E">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41ED30D4">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0.06</w:t>
                  </w:r>
                </w:p>
              </w:tc>
              <w:tc>
                <w:tcPr>
                  <w:tcW w:w="1285" w:type="dxa"/>
                  <w:vAlign w:val="center"/>
                </w:tcPr>
                <w:p w14:paraId="6661BBF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0.00000768</w:t>
                  </w:r>
                </w:p>
              </w:tc>
              <w:tc>
                <w:tcPr>
                  <w:tcW w:w="645" w:type="dxa"/>
                  <w:vMerge w:val="continue"/>
                  <w:vAlign w:val="center"/>
                </w:tcPr>
                <w:p w14:paraId="3DFF0D8A">
                  <w:pPr>
                    <w:adjustRightInd w:val="0"/>
                    <w:snapToGrid w:val="0"/>
                    <w:jc w:val="center"/>
                    <w:rPr>
                      <w:rFonts w:hint="default" w:ascii="Times New Roman" w:hAnsi="Times New Roman" w:cs="Times New Roman"/>
                      <w:bCs/>
                      <w:snapToGrid w:val="0"/>
                      <w:color w:val="auto"/>
                      <w:kern w:val="0"/>
                      <w:szCs w:val="21"/>
                      <w:highlight w:val="none"/>
                    </w:rPr>
                  </w:pPr>
                </w:p>
              </w:tc>
            </w:tr>
            <w:tr w14:paraId="63B2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1BA1D358">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1E1F7CA2">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024970DA">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LAS</w:t>
                  </w:r>
                </w:p>
              </w:tc>
              <w:tc>
                <w:tcPr>
                  <w:tcW w:w="971" w:type="dxa"/>
                  <w:vAlign w:val="center"/>
                </w:tcPr>
                <w:p w14:paraId="4BDB10C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0.54</w:t>
                  </w:r>
                </w:p>
              </w:tc>
              <w:tc>
                <w:tcPr>
                  <w:tcW w:w="1254" w:type="dxa"/>
                  <w:vAlign w:val="center"/>
                </w:tcPr>
                <w:p w14:paraId="75DC547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0.00006912</w:t>
                  </w:r>
                </w:p>
              </w:tc>
              <w:tc>
                <w:tcPr>
                  <w:tcW w:w="696" w:type="dxa"/>
                  <w:vMerge w:val="continue"/>
                  <w:vAlign w:val="center"/>
                </w:tcPr>
                <w:p w14:paraId="304D85BB">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6FFC46C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0.12</w:t>
                  </w:r>
                </w:p>
              </w:tc>
              <w:tc>
                <w:tcPr>
                  <w:tcW w:w="1285" w:type="dxa"/>
                  <w:vAlign w:val="center"/>
                </w:tcPr>
                <w:p w14:paraId="017660FF">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0.00001536</w:t>
                  </w:r>
                </w:p>
              </w:tc>
              <w:tc>
                <w:tcPr>
                  <w:tcW w:w="645" w:type="dxa"/>
                  <w:vMerge w:val="continue"/>
                  <w:vAlign w:val="center"/>
                </w:tcPr>
                <w:p w14:paraId="08287EAA">
                  <w:pPr>
                    <w:adjustRightInd w:val="0"/>
                    <w:snapToGrid w:val="0"/>
                    <w:jc w:val="center"/>
                    <w:rPr>
                      <w:rFonts w:hint="default" w:ascii="Times New Roman" w:hAnsi="Times New Roman" w:cs="Times New Roman"/>
                      <w:bCs/>
                      <w:snapToGrid w:val="0"/>
                      <w:color w:val="auto"/>
                      <w:kern w:val="0"/>
                      <w:szCs w:val="21"/>
                      <w:highlight w:val="none"/>
                    </w:rPr>
                  </w:pPr>
                </w:p>
              </w:tc>
            </w:tr>
            <w:tr w14:paraId="3096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6B0F5FF2">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4E40998E">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61D2BE6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总氰化物</w:t>
                  </w:r>
                </w:p>
              </w:tc>
              <w:tc>
                <w:tcPr>
                  <w:tcW w:w="971" w:type="dxa"/>
                  <w:vAlign w:val="center"/>
                </w:tcPr>
                <w:p w14:paraId="357FE54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0.0105</w:t>
                  </w:r>
                </w:p>
              </w:tc>
              <w:tc>
                <w:tcPr>
                  <w:tcW w:w="1254" w:type="dxa"/>
                  <w:vAlign w:val="center"/>
                </w:tcPr>
                <w:p w14:paraId="54337AB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0.00000134</w:t>
                  </w:r>
                </w:p>
              </w:tc>
              <w:tc>
                <w:tcPr>
                  <w:tcW w:w="696" w:type="dxa"/>
                  <w:vMerge w:val="continue"/>
                  <w:vAlign w:val="center"/>
                </w:tcPr>
                <w:p w14:paraId="6E8A5625">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753B01C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0.001L</w:t>
                  </w:r>
                </w:p>
              </w:tc>
              <w:tc>
                <w:tcPr>
                  <w:tcW w:w="1285" w:type="dxa"/>
                  <w:vAlign w:val="center"/>
                </w:tcPr>
                <w:p w14:paraId="775AFFE7">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≤0.0000001</w:t>
                  </w:r>
                </w:p>
              </w:tc>
              <w:tc>
                <w:tcPr>
                  <w:tcW w:w="645" w:type="dxa"/>
                  <w:vMerge w:val="continue"/>
                  <w:vAlign w:val="center"/>
                </w:tcPr>
                <w:p w14:paraId="420FEA28">
                  <w:pPr>
                    <w:adjustRightInd w:val="0"/>
                    <w:snapToGrid w:val="0"/>
                    <w:jc w:val="center"/>
                    <w:rPr>
                      <w:rFonts w:hint="default" w:ascii="Times New Roman" w:hAnsi="Times New Roman" w:cs="Times New Roman"/>
                      <w:bCs/>
                      <w:snapToGrid w:val="0"/>
                      <w:color w:val="auto"/>
                      <w:kern w:val="0"/>
                      <w:szCs w:val="21"/>
                      <w:highlight w:val="none"/>
                    </w:rPr>
                  </w:pPr>
                </w:p>
              </w:tc>
            </w:tr>
            <w:tr w14:paraId="79DB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482B4F78">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41D58C4D">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1B292F1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挥发酚</w:t>
                  </w:r>
                </w:p>
              </w:tc>
              <w:tc>
                <w:tcPr>
                  <w:tcW w:w="971" w:type="dxa"/>
                  <w:vAlign w:val="center"/>
                </w:tcPr>
                <w:p w14:paraId="1DDF4C4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0.0014</w:t>
                  </w:r>
                </w:p>
              </w:tc>
              <w:tc>
                <w:tcPr>
                  <w:tcW w:w="1254" w:type="dxa"/>
                  <w:vAlign w:val="center"/>
                </w:tcPr>
                <w:p w14:paraId="2F1C38FF">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0.00000018</w:t>
                  </w:r>
                </w:p>
              </w:tc>
              <w:tc>
                <w:tcPr>
                  <w:tcW w:w="696" w:type="dxa"/>
                  <w:vMerge w:val="continue"/>
                  <w:vAlign w:val="center"/>
                </w:tcPr>
                <w:p w14:paraId="3B416430">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62BE9BE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0.00065</w:t>
                  </w:r>
                </w:p>
              </w:tc>
              <w:tc>
                <w:tcPr>
                  <w:tcW w:w="1285" w:type="dxa"/>
                  <w:vAlign w:val="center"/>
                </w:tcPr>
                <w:p w14:paraId="0E3CFEC0">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0.00000008</w:t>
                  </w:r>
                </w:p>
              </w:tc>
              <w:tc>
                <w:tcPr>
                  <w:tcW w:w="645" w:type="dxa"/>
                  <w:vMerge w:val="continue"/>
                  <w:vAlign w:val="center"/>
                </w:tcPr>
                <w:p w14:paraId="65150EF4">
                  <w:pPr>
                    <w:adjustRightInd w:val="0"/>
                    <w:snapToGrid w:val="0"/>
                    <w:jc w:val="center"/>
                    <w:rPr>
                      <w:rFonts w:hint="default" w:ascii="Times New Roman" w:hAnsi="Times New Roman" w:cs="Times New Roman"/>
                      <w:bCs/>
                      <w:snapToGrid w:val="0"/>
                      <w:color w:val="auto"/>
                      <w:kern w:val="0"/>
                      <w:szCs w:val="21"/>
                      <w:highlight w:val="none"/>
                    </w:rPr>
                  </w:pPr>
                </w:p>
              </w:tc>
            </w:tr>
            <w:tr w14:paraId="555D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41D5C52A">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70975ABA">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7596A95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总汞</w:t>
                  </w:r>
                </w:p>
              </w:tc>
              <w:tc>
                <w:tcPr>
                  <w:tcW w:w="971" w:type="dxa"/>
                  <w:vAlign w:val="center"/>
                </w:tcPr>
                <w:p w14:paraId="6CB1F19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0.00930</w:t>
                  </w:r>
                </w:p>
              </w:tc>
              <w:tc>
                <w:tcPr>
                  <w:tcW w:w="1254" w:type="dxa"/>
                  <w:vAlign w:val="center"/>
                </w:tcPr>
                <w:p w14:paraId="390D81D7">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0.00000119</w:t>
                  </w:r>
                </w:p>
              </w:tc>
              <w:tc>
                <w:tcPr>
                  <w:tcW w:w="696" w:type="dxa"/>
                  <w:vMerge w:val="continue"/>
                  <w:vAlign w:val="center"/>
                </w:tcPr>
                <w:p w14:paraId="08B7B6BF">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5123F052">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0.0036</w:t>
                  </w:r>
                </w:p>
              </w:tc>
              <w:tc>
                <w:tcPr>
                  <w:tcW w:w="1285" w:type="dxa"/>
                  <w:vAlign w:val="center"/>
                </w:tcPr>
                <w:p w14:paraId="4BD7FC3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0.00000046</w:t>
                  </w:r>
                </w:p>
              </w:tc>
              <w:tc>
                <w:tcPr>
                  <w:tcW w:w="645" w:type="dxa"/>
                  <w:vMerge w:val="continue"/>
                  <w:vAlign w:val="center"/>
                </w:tcPr>
                <w:p w14:paraId="57C64FCD">
                  <w:pPr>
                    <w:adjustRightInd w:val="0"/>
                    <w:snapToGrid w:val="0"/>
                    <w:jc w:val="center"/>
                    <w:rPr>
                      <w:rFonts w:hint="default" w:ascii="Times New Roman" w:hAnsi="Times New Roman" w:cs="Times New Roman"/>
                      <w:bCs/>
                      <w:snapToGrid w:val="0"/>
                      <w:color w:val="auto"/>
                      <w:kern w:val="0"/>
                      <w:szCs w:val="21"/>
                      <w:highlight w:val="none"/>
                    </w:rPr>
                  </w:pPr>
                </w:p>
              </w:tc>
            </w:tr>
            <w:tr w14:paraId="2EDB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7D47F092">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0A01E30F">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678452B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总砷</w:t>
                  </w:r>
                </w:p>
              </w:tc>
              <w:tc>
                <w:tcPr>
                  <w:tcW w:w="971" w:type="dxa"/>
                  <w:vAlign w:val="center"/>
                </w:tcPr>
                <w:p w14:paraId="4BF145A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0.00255</w:t>
                  </w:r>
                </w:p>
              </w:tc>
              <w:tc>
                <w:tcPr>
                  <w:tcW w:w="1254" w:type="dxa"/>
                  <w:vAlign w:val="center"/>
                </w:tcPr>
                <w:p w14:paraId="6BBECBAB">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0.00000033</w:t>
                  </w:r>
                </w:p>
              </w:tc>
              <w:tc>
                <w:tcPr>
                  <w:tcW w:w="696" w:type="dxa"/>
                  <w:vMerge w:val="continue"/>
                  <w:vAlign w:val="center"/>
                </w:tcPr>
                <w:p w14:paraId="632DCB01">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58C0377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0.0002L</w:t>
                  </w:r>
                </w:p>
              </w:tc>
              <w:tc>
                <w:tcPr>
                  <w:tcW w:w="1285" w:type="dxa"/>
                  <w:vAlign w:val="center"/>
                </w:tcPr>
                <w:p w14:paraId="5E0C1AB6">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≤0.00000003</w:t>
                  </w:r>
                </w:p>
              </w:tc>
              <w:tc>
                <w:tcPr>
                  <w:tcW w:w="645" w:type="dxa"/>
                  <w:vMerge w:val="continue"/>
                  <w:vAlign w:val="center"/>
                </w:tcPr>
                <w:p w14:paraId="7B2734B2">
                  <w:pPr>
                    <w:adjustRightInd w:val="0"/>
                    <w:snapToGrid w:val="0"/>
                    <w:jc w:val="center"/>
                    <w:rPr>
                      <w:rFonts w:hint="default" w:ascii="Times New Roman" w:hAnsi="Times New Roman" w:cs="Times New Roman"/>
                      <w:bCs/>
                      <w:snapToGrid w:val="0"/>
                      <w:color w:val="auto"/>
                      <w:kern w:val="0"/>
                      <w:szCs w:val="21"/>
                      <w:highlight w:val="none"/>
                    </w:rPr>
                  </w:pPr>
                </w:p>
              </w:tc>
            </w:tr>
            <w:tr w14:paraId="7554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65E29A35">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34D772FE">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14AF50E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总镉</w:t>
                  </w:r>
                </w:p>
              </w:tc>
              <w:tc>
                <w:tcPr>
                  <w:tcW w:w="971" w:type="dxa"/>
                  <w:vAlign w:val="center"/>
                </w:tcPr>
                <w:p w14:paraId="4D37F02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0.05L</w:t>
                  </w:r>
                </w:p>
              </w:tc>
              <w:tc>
                <w:tcPr>
                  <w:tcW w:w="1254" w:type="dxa"/>
                  <w:vAlign w:val="center"/>
                </w:tcPr>
                <w:p w14:paraId="39802366">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≤0.0000006</w:t>
                  </w:r>
                </w:p>
              </w:tc>
              <w:tc>
                <w:tcPr>
                  <w:tcW w:w="696" w:type="dxa"/>
                  <w:vMerge w:val="continue"/>
                  <w:vAlign w:val="center"/>
                </w:tcPr>
                <w:p w14:paraId="2BEC9B2D">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5A3C60F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0.05L</w:t>
                  </w:r>
                </w:p>
              </w:tc>
              <w:tc>
                <w:tcPr>
                  <w:tcW w:w="1285" w:type="dxa"/>
                  <w:vAlign w:val="center"/>
                </w:tcPr>
                <w:p w14:paraId="1931D09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≤0.0000064</w:t>
                  </w:r>
                </w:p>
              </w:tc>
              <w:tc>
                <w:tcPr>
                  <w:tcW w:w="645" w:type="dxa"/>
                  <w:vMerge w:val="continue"/>
                  <w:vAlign w:val="center"/>
                </w:tcPr>
                <w:p w14:paraId="3C25AA14">
                  <w:pPr>
                    <w:adjustRightInd w:val="0"/>
                    <w:snapToGrid w:val="0"/>
                    <w:jc w:val="center"/>
                    <w:rPr>
                      <w:rFonts w:hint="default" w:ascii="Times New Roman" w:hAnsi="Times New Roman" w:cs="Times New Roman"/>
                      <w:bCs/>
                      <w:snapToGrid w:val="0"/>
                      <w:color w:val="auto"/>
                      <w:kern w:val="0"/>
                      <w:szCs w:val="21"/>
                      <w:highlight w:val="none"/>
                    </w:rPr>
                  </w:pPr>
                </w:p>
              </w:tc>
            </w:tr>
            <w:tr w14:paraId="1444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10ED2B89">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47B3105B">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073AFA5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总铅</w:t>
                  </w:r>
                </w:p>
              </w:tc>
              <w:tc>
                <w:tcPr>
                  <w:tcW w:w="971" w:type="dxa"/>
                  <w:vAlign w:val="center"/>
                </w:tcPr>
                <w:p w14:paraId="568BCD1B">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0.2L</w:t>
                  </w:r>
                </w:p>
              </w:tc>
              <w:tc>
                <w:tcPr>
                  <w:tcW w:w="1254" w:type="dxa"/>
                  <w:vAlign w:val="center"/>
                </w:tcPr>
                <w:p w14:paraId="168BDA17">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≤0.0000256</w:t>
                  </w:r>
                </w:p>
              </w:tc>
              <w:tc>
                <w:tcPr>
                  <w:tcW w:w="696" w:type="dxa"/>
                  <w:vMerge w:val="continue"/>
                  <w:vAlign w:val="center"/>
                </w:tcPr>
                <w:p w14:paraId="4E9342E2">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3C97207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0.2L</w:t>
                  </w:r>
                </w:p>
              </w:tc>
              <w:tc>
                <w:tcPr>
                  <w:tcW w:w="1285" w:type="dxa"/>
                  <w:vAlign w:val="center"/>
                </w:tcPr>
                <w:p w14:paraId="5956037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≤0.0000256</w:t>
                  </w:r>
                </w:p>
              </w:tc>
              <w:tc>
                <w:tcPr>
                  <w:tcW w:w="645" w:type="dxa"/>
                  <w:vMerge w:val="continue"/>
                  <w:vAlign w:val="center"/>
                </w:tcPr>
                <w:p w14:paraId="33786CDB">
                  <w:pPr>
                    <w:adjustRightInd w:val="0"/>
                    <w:snapToGrid w:val="0"/>
                    <w:jc w:val="center"/>
                    <w:rPr>
                      <w:rFonts w:hint="default" w:ascii="Times New Roman" w:hAnsi="Times New Roman" w:cs="Times New Roman"/>
                      <w:bCs/>
                      <w:snapToGrid w:val="0"/>
                      <w:color w:val="auto"/>
                      <w:kern w:val="0"/>
                      <w:szCs w:val="21"/>
                      <w:highlight w:val="none"/>
                    </w:rPr>
                  </w:pPr>
                </w:p>
              </w:tc>
            </w:tr>
            <w:tr w14:paraId="1DFF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7F37D994">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6A97AA70">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7E4AF07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总银</w:t>
                  </w:r>
                </w:p>
              </w:tc>
              <w:tc>
                <w:tcPr>
                  <w:tcW w:w="971" w:type="dxa"/>
                  <w:vAlign w:val="center"/>
                </w:tcPr>
                <w:p w14:paraId="61957BA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0.03L</w:t>
                  </w:r>
                </w:p>
              </w:tc>
              <w:tc>
                <w:tcPr>
                  <w:tcW w:w="1254" w:type="dxa"/>
                  <w:vAlign w:val="center"/>
                </w:tcPr>
                <w:p w14:paraId="411AA08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≤0.0000038</w:t>
                  </w:r>
                </w:p>
              </w:tc>
              <w:tc>
                <w:tcPr>
                  <w:tcW w:w="696" w:type="dxa"/>
                  <w:vMerge w:val="continue"/>
                  <w:vAlign w:val="center"/>
                </w:tcPr>
                <w:p w14:paraId="25BAC49E">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0712CFE2">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0.03L</w:t>
                  </w:r>
                </w:p>
              </w:tc>
              <w:tc>
                <w:tcPr>
                  <w:tcW w:w="1285" w:type="dxa"/>
                  <w:vAlign w:val="center"/>
                </w:tcPr>
                <w:p w14:paraId="3E7A533D">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≤0.0000038</w:t>
                  </w:r>
                </w:p>
              </w:tc>
              <w:tc>
                <w:tcPr>
                  <w:tcW w:w="645" w:type="dxa"/>
                  <w:vMerge w:val="continue"/>
                  <w:vAlign w:val="center"/>
                </w:tcPr>
                <w:p w14:paraId="5D3F5413">
                  <w:pPr>
                    <w:adjustRightInd w:val="0"/>
                    <w:snapToGrid w:val="0"/>
                    <w:jc w:val="center"/>
                    <w:rPr>
                      <w:rFonts w:hint="default" w:ascii="Times New Roman" w:hAnsi="Times New Roman" w:cs="Times New Roman"/>
                      <w:bCs/>
                      <w:snapToGrid w:val="0"/>
                      <w:color w:val="auto"/>
                      <w:kern w:val="0"/>
                      <w:szCs w:val="21"/>
                      <w:highlight w:val="none"/>
                    </w:rPr>
                  </w:pPr>
                </w:p>
              </w:tc>
            </w:tr>
            <w:tr w14:paraId="30022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24A1B05B">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7F962E55">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4507B57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总铬</w:t>
                  </w:r>
                </w:p>
              </w:tc>
              <w:tc>
                <w:tcPr>
                  <w:tcW w:w="971" w:type="dxa"/>
                  <w:vAlign w:val="center"/>
                </w:tcPr>
                <w:p w14:paraId="7328B4C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0.0185</w:t>
                  </w:r>
                </w:p>
              </w:tc>
              <w:tc>
                <w:tcPr>
                  <w:tcW w:w="1254" w:type="dxa"/>
                  <w:vAlign w:val="center"/>
                </w:tcPr>
                <w:p w14:paraId="51DDF921">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0.00000237</w:t>
                  </w:r>
                </w:p>
              </w:tc>
              <w:tc>
                <w:tcPr>
                  <w:tcW w:w="696" w:type="dxa"/>
                  <w:vMerge w:val="continue"/>
                  <w:vAlign w:val="center"/>
                </w:tcPr>
                <w:p w14:paraId="4BEEA536">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76AAA1C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0.004L</w:t>
                  </w:r>
                </w:p>
              </w:tc>
              <w:tc>
                <w:tcPr>
                  <w:tcW w:w="1285" w:type="dxa"/>
                  <w:vAlign w:val="center"/>
                </w:tcPr>
                <w:p w14:paraId="1DB35BBE">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≤0.0000005</w:t>
                  </w:r>
                </w:p>
              </w:tc>
              <w:tc>
                <w:tcPr>
                  <w:tcW w:w="645" w:type="dxa"/>
                  <w:vMerge w:val="continue"/>
                  <w:vAlign w:val="center"/>
                </w:tcPr>
                <w:p w14:paraId="5D74E482">
                  <w:pPr>
                    <w:adjustRightInd w:val="0"/>
                    <w:snapToGrid w:val="0"/>
                    <w:jc w:val="center"/>
                    <w:rPr>
                      <w:rFonts w:hint="default" w:ascii="Times New Roman" w:hAnsi="Times New Roman" w:cs="Times New Roman"/>
                      <w:bCs/>
                      <w:snapToGrid w:val="0"/>
                      <w:color w:val="auto"/>
                      <w:kern w:val="0"/>
                      <w:szCs w:val="21"/>
                      <w:highlight w:val="none"/>
                    </w:rPr>
                  </w:pPr>
                </w:p>
              </w:tc>
            </w:tr>
            <w:tr w14:paraId="1176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7" w:type="dxa"/>
                  <w:vMerge w:val="continue"/>
                  <w:vAlign w:val="center"/>
                </w:tcPr>
                <w:p w14:paraId="03A346F6">
                  <w:pPr>
                    <w:adjustRightInd w:val="0"/>
                    <w:snapToGrid w:val="0"/>
                    <w:jc w:val="center"/>
                    <w:rPr>
                      <w:rFonts w:hint="default" w:ascii="Times New Roman" w:hAnsi="Times New Roman" w:cs="Times New Roman"/>
                      <w:bCs/>
                      <w:snapToGrid w:val="0"/>
                      <w:color w:val="auto"/>
                      <w:kern w:val="0"/>
                      <w:szCs w:val="21"/>
                      <w:highlight w:val="none"/>
                    </w:rPr>
                  </w:pPr>
                </w:p>
              </w:tc>
              <w:tc>
                <w:tcPr>
                  <w:tcW w:w="860" w:type="dxa"/>
                  <w:vMerge w:val="continue"/>
                  <w:vAlign w:val="center"/>
                </w:tcPr>
                <w:p w14:paraId="0C461786">
                  <w:pPr>
                    <w:adjustRightInd w:val="0"/>
                    <w:snapToGrid w:val="0"/>
                    <w:jc w:val="center"/>
                    <w:rPr>
                      <w:rFonts w:hint="default" w:ascii="Times New Roman" w:hAnsi="Times New Roman" w:cs="Times New Roman"/>
                      <w:bCs/>
                      <w:snapToGrid w:val="0"/>
                      <w:color w:val="auto"/>
                      <w:kern w:val="0"/>
                      <w:szCs w:val="21"/>
                      <w:highlight w:val="none"/>
                    </w:rPr>
                  </w:pPr>
                </w:p>
              </w:tc>
              <w:tc>
                <w:tcPr>
                  <w:tcW w:w="1219" w:type="dxa"/>
                  <w:vAlign w:val="center"/>
                </w:tcPr>
                <w:p w14:paraId="10C0A10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六价铬</w:t>
                  </w:r>
                </w:p>
              </w:tc>
              <w:tc>
                <w:tcPr>
                  <w:tcW w:w="971" w:type="dxa"/>
                  <w:vAlign w:val="center"/>
                </w:tcPr>
                <w:p w14:paraId="3136252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0.0055</w:t>
                  </w:r>
                </w:p>
              </w:tc>
              <w:tc>
                <w:tcPr>
                  <w:tcW w:w="1254" w:type="dxa"/>
                  <w:vAlign w:val="center"/>
                </w:tcPr>
                <w:p w14:paraId="3BA04784">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0.0000007</w:t>
                  </w:r>
                </w:p>
              </w:tc>
              <w:tc>
                <w:tcPr>
                  <w:tcW w:w="696" w:type="dxa"/>
                  <w:vMerge w:val="continue"/>
                  <w:vAlign w:val="center"/>
                </w:tcPr>
                <w:p w14:paraId="7DBFC555">
                  <w:pPr>
                    <w:adjustRightInd w:val="0"/>
                    <w:snapToGrid w:val="0"/>
                    <w:jc w:val="center"/>
                    <w:rPr>
                      <w:rFonts w:hint="default" w:ascii="Times New Roman" w:hAnsi="Times New Roman" w:cs="Times New Roman"/>
                      <w:bCs/>
                      <w:snapToGrid w:val="0"/>
                      <w:color w:val="auto"/>
                      <w:kern w:val="0"/>
                      <w:szCs w:val="21"/>
                      <w:highlight w:val="none"/>
                    </w:rPr>
                  </w:pPr>
                </w:p>
              </w:tc>
              <w:tc>
                <w:tcPr>
                  <w:tcW w:w="954" w:type="dxa"/>
                  <w:vAlign w:val="center"/>
                </w:tcPr>
                <w:p w14:paraId="449B5CE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0.004L</w:t>
                  </w:r>
                </w:p>
              </w:tc>
              <w:tc>
                <w:tcPr>
                  <w:tcW w:w="1285" w:type="dxa"/>
                  <w:vAlign w:val="center"/>
                </w:tcPr>
                <w:p w14:paraId="2C9B64D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≤0.0000005</w:t>
                  </w:r>
                </w:p>
              </w:tc>
              <w:tc>
                <w:tcPr>
                  <w:tcW w:w="645" w:type="dxa"/>
                  <w:vMerge w:val="continue"/>
                  <w:vAlign w:val="center"/>
                </w:tcPr>
                <w:p w14:paraId="2C469FF6">
                  <w:pPr>
                    <w:adjustRightInd w:val="0"/>
                    <w:snapToGrid w:val="0"/>
                    <w:jc w:val="center"/>
                    <w:rPr>
                      <w:rFonts w:hint="default" w:ascii="Times New Roman" w:hAnsi="Times New Roman" w:cs="Times New Roman"/>
                      <w:bCs/>
                      <w:snapToGrid w:val="0"/>
                      <w:color w:val="auto"/>
                      <w:kern w:val="0"/>
                      <w:szCs w:val="21"/>
                      <w:highlight w:val="none"/>
                    </w:rPr>
                  </w:pPr>
                </w:p>
              </w:tc>
            </w:tr>
          </w:tbl>
          <w:p w14:paraId="1E13013C">
            <w:pPr>
              <w:pStyle w:val="2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本项目废水排放口情况信息汇总如下表：</w:t>
            </w:r>
          </w:p>
          <w:p w14:paraId="3337F298">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highlight w:val="none"/>
              </w:rPr>
              <w:t>表4-13 本项目综合废水排放情况一览表</w:t>
            </w:r>
          </w:p>
          <w:tbl>
            <w:tblPr>
              <w:tblStyle w:val="33"/>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678"/>
              <w:gridCol w:w="1282"/>
              <w:gridCol w:w="1432"/>
              <w:gridCol w:w="1234"/>
              <w:gridCol w:w="2156"/>
            </w:tblGrid>
            <w:tr w14:paraId="24CD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33440812">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序号</w:t>
                  </w:r>
                </w:p>
              </w:tc>
              <w:tc>
                <w:tcPr>
                  <w:tcW w:w="1678" w:type="dxa"/>
                  <w:vAlign w:val="center"/>
                </w:tcPr>
                <w:p w14:paraId="3A96841E">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排放口编号</w:t>
                  </w:r>
                </w:p>
              </w:tc>
              <w:tc>
                <w:tcPr>
                  <w:tcW w:w="1282" w:type="dxa"/>
                  <w:vAlign w:val="center"/>
                </w:tcPr>
                <w:p w14:paraId="3974676F">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废水总排放量（t/a）</w:t>
                  </w:r>
                </w:p>
              </w:tc>
              <w:tc>
                <w:tcPr>
                  <w:tcW w:w="1432" w:type="dxa"/>
                  <w:vAlign w:val="center"/>
                </w:tcPr>
                <w:p w14:paraId="0BDB26B2">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污染物种类</w:t>
                  </w:r>
                </w:p>
              </w:tc>
              <w:tc>
                <w:tcPr>
                  <w:tcW w:w="1234" w:type="dxa"/>
                  <w:vAlign w:val="center"/>
                </w:tcPr>
                <w:p w14:paraId="114399DE">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排放浓度（mg/L）</w:t>
                  </w:r>
                </w:p>
              </w:tc>
              <w:tc>
                <w:tcPr>
                  <w:tcW w:w="2156" w:type="dxa"/>
                  <w:vAlign w:val="center"/>
                </w:tcPr>
                <w:p w14:paraId="6018EB6C">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
                      <w:snapToGrid w:val="0"/>
                      <w:color w:val="auto"/>
                      <w:kern w:val="0"/>
                      <w:szCs w:val="21"/>
                      <w:highlight w:val="none"/>
                    </w:rPr>
                    <w:t>污染物排放量（t/d）</w:t>
                  </w:r>
                </w:p>
              </w:tc>
            </w:tr>
            <w:tr w14:paraId="27139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1554EAB5">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Cs/>
                      <w:snapToGrid w:val="0"/>
                      <w:color w:val="auto"/>
                      <w:kern w:val="0"/>
                      <w:szCs w:val="21"/>
                      <w:highlight w:val="none"/>
                    </w:rPr>
                    <w:t>1</w:t>
                  </w:r>
                </w:p>
              </w:tc>
              <w:tc>
                <w:tcPr>
                  <w:tcW w:w="1678" w:type="dxa"/>
                  <w:vMerge w:val="restart"/>
                  <w:vAlign w:val="center"/>
                </w:tcPr>
                <w:p w14:paraId="7783A75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DW001</w:t>
                  </w:r>
                </w:p>
                <w:p w14:paraId="44B61845">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color w:val="auto"/>
                      <w:szCs w:val="21"/>
                      <w:highlight w:val="none"/>
                    </w:rPr>
                    <w:t>（废水总排口）</w:t>
                  </w:r>
                </w:p>
              </w:tc>
              <w:tc>
                <w:tcPr>
                  <w:tcW w:w="1282" w:type="dxa"/>
                  <w:vMerge w:val="restart"/>
                  <w:vAlign w:val="center"/>
                </w:tcPr>
                <w:p w14:paraId="7C522A46">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Cs/>
                      <w:snapToGrid w:val="0"/>
                      <w:color w:val="auto"/>
                      <w:kern w:val="0"/>
                      <w:szCs w:val="21"/>
                      <w:highlight w:val="none"/>
                    </w:rPr>
                    <w:t>128</w:t>
                  </w:r>
                </w:p>
              </w:tc>
              <w:tc>
                <w:tcPr>
                  <w:tcW w:w="1432" w:type="dxa"/>
                  <w:vAlign w:val="center"/>
                </w:tcPr>
                <w:p w14:paraId="4F4EF0D6">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pH</w:t>
                  </w:r>
                </w:p>
              </w:tc>
              <w:tc>
                <w:tcPr>
                  <w:tcW w:w="3390" w:type="dxa"/>
                  <w:gridSpan w:val="2"/>
                  <w:vAlign w:val="center"/>
                </w:tcPr>
                <w:p w14:paraId="7473D89C">
                  <w:pPr>
                    <w:adjustRightInd w:val="0"/>
                    <w:snapToGrid w:val="0"/>
                    <w:jc w:val="center"/>
                    <w:rPr>
                      <w:rFonts w:hint="default" w:ascii="Times New Roman" w:hAnsi="Times New Roman" w:cs="Times New Roman"/>
                      <w:b/>
                      <w:snapToGrid w:val="0"/>
                      <w:color w:val="auto"/>
                      <w:kern w:val="0"/>
                      <w:szCs w:val="21"/>
                      <w:highlight w:val="none"/>
                    </w:rPr>
                  </w:pPr>
                  <w:r>
                    <w:rPr>
                      <w:rFonts w:hint="default" w:ascii="Times New Roman" w:hAnsi="Times New Roman" w:cs="Times New Roman"/>
                      <w:bCs/>
                      <w:snapToGrid w:val="0"/>
                      <w:color w:val="auto"/>
                      <w:kern w:val="0"/>
                      <w:szCs w:val="21"/>
                      <w:highlight w:val="none"/>
                    </w:rPr>
                    <w:t>6-9（无量纲）</w:t>
                  </w:r>
                </w:p>
              </w:tc>
            </w:tr>
            <w:tr w14:paraId="571A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0921AB3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2</w:t>
                  </w:r>
                </w:p>
              </w:tc>
              <w:tc>
                <w:tcPr>
                  <w:tcW w:w="1678" w:type="dxa"/>
                  <w:vMerge w:val="continue"/>
                  <w:vAlign w:val="center"/>
                </w:tcPr>
                <w:p w14:paraId="541C3FE0">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70A3506D">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1825E021">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COD</w:t>
                  </w:r>
                </w:p>
              </w:tc>
              <w:tc>
                <w:tcPr>
                  <w:tcW w:w="1234" w:type="dxa"/>
                  <w:vAlign w:val="center"/>
                </w:tcPr>
                <w:p w14:paraId="20172789">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55</w:t>
                  </w:r>
                </w:p>
              </w:tc>
              <w:tc>
                <w:tcPr>
                  <w:tcW w:w="2156" w:type="dxa"/>
                  <w:vAlign w:val="center"/>
                </w:tcPr>
                <w:p w14:paraId="30E9F19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0.00704</w:t>
                  </w:r>
                </w:p>
              </w:tc>
            </w:tr>
            <w:tr w14:paraId="0291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7C4FAB8B">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3</w:t>
                  </w:r>
                </w:p>
              </w:tc>
              <w:tc>
                <w:tcPr>
                  <w:tcW w:w="1678" w:type="dxa"/>
                  <w:vMerge w:val="continue"/>
                  <w:vAlign w:val="center"/>
                </w:tcPr>
                <w:p w14:paraId="716F213C">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589C31FA">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5F789511">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BOD</w:t>
                  </w:r>
                  <w:r>
                    <w:rPr>
                      <w:rFonts w:hint="default" w:ascii="Times New Roman" w:hAnsi="Times New Roman" w:cs="Times New Roman"/>
                      <w:color w:val="auto"/>
                      <w:szCs w:val="21"/>
                      <w:highlight w:val="none"/>
                      <w:vertAlign w:val="subscript"/>
                    </w:rPr>
                    <w:t>5</w:t>
                  </w:r>
                </w:p>
              </w:tc>
              <w:tc>
                <w:tcPr>
                  <w:tcW w:w="1234" w:type="dxa"/>
                  <w:vAlign w:val="center"/>
                </w:tcPr>
                <w:p w14:paraId="1345B182">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17.2</w:t>
                  </w:r>
                </w:p>
              </w:tc>
              <w:tc>
                <w:tcPr>
                  <w:tcW w:w="2156" w:type="dxa"/>
                  <w:vAlign w:val="center"/>
                </w:tcPr>
                <w:p w14:paraId="08C659BD">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0.0022016</w:t>
                  </w:r>
                </w:p>
              </w:tc>
            </w:tr>
            <w:tr w14:paraId="614D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4B5F6D5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4</w:t>
                  </w:r>
                </w:p>
              </w:tc>
              <w:tc>
                <w:tcPr>
                  <w:tcW w:w="1678" w:type="dxa"/>
                  <w:vMerge w:val="continue"/>
                  <w:vAlign w:val="center"/>
                </w:tcPr>
                <w:p w14:paraId="1CEC0416">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22CEB2CC">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17F91B5B">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SS</w:t>
                  </w:r>
                </w:p>
              </w:tc>
              <w:tc>
                <w:tcPr>
                  <w:tcW w:w="1234" w:type="dxa"/>
                  <w:vAlign w:val="center"/>
                </w:tcPr>
                <w:p w14:paraId="1F2FBCC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7.8</w:t>
                  </w:r>
                </w:p>
              </w:tc>
              <w:tc>
                <w:tcPr>
                  <w:tcW w:w="2156" w:type="dxa"/>
                  <w:vAlign w:val="center"/>
                </w:tcPr>
                <w:p w14:paraId="3E5505A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0.0009984</w:t>
                  </w:r>
                </w:p>
              </w:tc>
            </w:tr>
            <w:tr w14:paraId="695D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11D5B25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5</w:t>
                  </w:r>
                </w:p>
              </w:tc>
              <w:tc>
                <w:tcPr>
                  <w:tcW w:w="1678" w:type="dxa"/>
                  <w:vMerge w:val="continue"/>
                  <w:vAlign w:val="center"/>
                </w:tcPr>
                <w:p w14:paraId="2694CF77">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19904C96">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671B824F">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NH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w:t>
                  </w:r>
                </w:p>
              </w:tc>
              <w:tc>
                <w:tcPr>
                  <w:tcW w:w="1234" w:type="dxa"/>
                  <w:vAlign w:val="center"/>
                </w:tcPr>
                <w:p w14:paraId="2954748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12.6</w:t>
                  </w:r>
                </w:p>
              </w:tc>
              <w:tc>
                <w:tcPr>
                  <w:tcW w:w="2156" w:type="dxa"/>
                  <w:vAlign w:val="center"/>
                </w:tcPr>
                <w:p w14:paraId="17DF15EE">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0.0016128</w:t>
                  </w:r>
                </w:p>
              </w:tc>
            </w:tr>
            <w:tr w14:paraId="6551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66E03C4D">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6</w:t>
                  </w:r>
                </w:p>
              </w:tc>
              <w:tc>
                <w:tcPr>
                  <w:tcW w:w="1678" w:type="dxa"/>
                  <w:vMerge w:val="continue"/>
                  <w:vAlign w:val="center"/>
                </w:tcPr>
                <w:p w14:paraId="4DD0ADE4">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58F940BB">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7C32CF81">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粪大肠菌群</w:t>
                  </w:r>
                </w:p>
              </w:tc>
              <w:tc>
                <w:tcPr>
                  <w:tcW w:w="1234" w:type="dxa"/>
                  <w:vAlign w:val="center"/>
                </w:tcPr>
                <w:p w14:paraId="7994E58F">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3</w:t>
                  </w:r>
                </w:p>
              </w:tc>
              <w:tc>
                <w:tcPr>
                  <w:tcW w:w="2156" w:type="dxa"/>
                  <w:vAlign w:val="center"/>
                </w:tcPr>
                <w:p w14:paraId="39362C97">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0.000384</w:t>
                  </w:r>
                </w:p>
              </w:tc>
            </w:tr>
            <w:tr w14:paraId="6E5D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6211D74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7</w:t>
                  </w:r>
                </w:p>
              </w:tc>
              <w:tc>
                <w:tcPr>
                  <w:tcW w:w="1678" w:type="dxa"/>
                  <w:vMerge w:val="continue"/>
                  <w:vAlign w:val="center"/>
                </w:tcPr>
                <w:p w14:paraId="4F1F9B81">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2CAFB694">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6031895D">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总余氯</w:t>
                  </w:r>
                </w:p>
              </w:tc>
              <w:tc>
                <w:tcPr>
                  <w:tcW w:w="1234" w:type="dxa"/>
                  <w:vAlign w:val="center"/>
                </w:tcPr>
                <w:p w14:paraId="54607674">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8.52</w:t>
                  </w:r>
                </w:p>
              </w:tc>
              <w:tc>
                <w:tcPr>
                  <w:tcW w:w="2156" w:type="dxa"/>
                  <w:vAlign w:val="center"/>
                </w:tcPr>
                <w:p w14:paraId="683F6730">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0.00109056</w:t>
                  </w:r>
                </w:p>
              </w:tc>
            </w:tr>
            <w:tr w14:paraId="4208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2AF8E40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8</w:t>
                  </w:r>
                </w:p>
              </w:tc>
              <w:tc>
                <w:tcPr>
                  <w:tcW w:w="1678" w:type="dxa"/>
                  <w:vMerge w:val="continue"/>
                  <w:vAlign w:val="center"/>
                </w:tcPr>
                <w:p w14:paraId="4BDAF6F2">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6A5C062D">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5B17F29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石油类</w:t>
                  </w:r>
                </w:p>
              </w:tc>
              <w:tc>
                <w:tcPr>
                  <w:tcW w:w="1234" w:type="dxa"/>
                  <w:vAlign w:val="center"/>
                </w:tcPr>
                <w:p w14:paraId="5604D52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0.06</w:t>
                  </w:r>
                </w:p>
              </w:tc>
              <w:tc>
                <w:tcPr>
                  <w:tcW w:w="2156" w:type="dxa"/>
                  <w:vAlign w:val="center"/>
                </w:tcPr>
                <w:p w14:paraId="696408FF">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0.00000768</w:t>
                  </w:r>
                </w:p>
              </w:tc>
            </w:tr>
            <w:tr w14:paraId="660F9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2FE2060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9</w:t>
                  </w:r>
                </w:p>
              </w:tc>
              <w:tc>
                <w:tcPr>
                  <w:tcW w:w="1678" w:type="dxa"/>
                  <w:vMerge w:val="continue"/>
                  <w:vAlign w:val="center"/>
                </w:tcPr>
                <w:p w14:paraId="4E5EAC68">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012FDFF5">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546C5B80">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LAS</w:t>
                  </w:r>
                </w:p>
              </w:tc>
              <w:tc>
                <w:tcPr>
                  <w:tcW w:w="1234" w:type="dxa"/>
                  <w:vAlign w:val="center"/>
                </w:tcPr>
                <w:p w14:paraId="2822CD4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0.12</w:t>
                  </w:r>
                </w:p>
              </w:tc>
              <w:tc>
                <w:tcPr>
                  <w:tcW w:w="2156" w:type="dxa"/>
                  <w:vAlign w:val="center"/>
                </w:tcPr>
                <w:p w14:paraId="3211B0E7">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0.00001536</w:t>
                  </w:r>
                </w:p>
              </w:tc>
            </w:tr>
            <w:tr w14:paraId="3C92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66967644">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10</w:t>
                  </w:r>
                </w:p>
              </w:tc>
              <w:tc>
                <w:tcPr>
                  <w:tcW w:w="1678" w:type="dxa"/>
                  <w:vMerge w:val="continue"/>
                  <w:vAlign w:val="center"/>
                </w:tcPr>
                <w:p w14:paraId="32651FE6">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27B28819">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1AAAAF2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总氰化物</w:t>
                  </w:r>
                </w:p>
              </w:tc>
              <w:tc>
                <w:tcPr>
                  <w:tcW w:w="1234" w:type="dxa"/>
                  <w:vAlign w:val="center"/>
                </w:tcPr>
                <w:p w14:paraId="6D42CFD0">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0.001L</w:t>
                  </w:r>
                </w:p>
              </w:tc>
              <w:tc>
                <w:tcPr>
                  <w:tcW w:w="2156" w:type="dxa"/>
                  <w:vAlign w:val="center"/>
                </w:tcPr>
                <w:p w14:paraId="22FF09F7">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≤0.0000001</w:t>
                  </w:r>
                </w:p>
              </w:tc>
            </w:tr>
            <w:tr w14:paraId="5292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6C2E2D3A">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11</w:t>
                  </w:r>
                </w:p>
              </w:tc>
              <w:tc>
                <w:tcPr>
                  <w:tcW w:w="1678" w:type="dxa"/>
                  <w:vMerge w:val="continue"/>
                  <w:vAlign w:val="center"/>
                </w:tcPr>
                <w:p w14:paraId="3D2520DF">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28FE9116">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372E56B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挥发酚</w:t>
                  </w:r>
                </w:p>
              </w:tc>
              <w:tc>
                <w:tcPr>
                  <w:tcW w:w="1234" w:type="dxa"/>
                  <w:vAlign w:val="center"/>
                </w:tcPr>
                <w:p w14:paraId="69F006BF">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0.00065</w:t>
                  </w:r>
                </w:p>
              </w:tc>
              <w:tc>
                <w:tcPr>
                  <w:tcW w:w="2156" w:type="dxa"/>
                  <w:vAlign w:val="center"/>
                </w:tcPr>
                <w:p w14:paraId="671CF96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0.00000008</w:t>
                  </w:r>
                </w:p>
              </w:tc>
            </w:tr>
            <w:tr w14:paraId="5B52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511D6E49">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12</w:t>
                  </w:r>
                </w:p>
              </w:tc>
              <w:tc>
                <w:tcPr>
                  <w:tcW w:w="1678" w:type="dxa"/>
                  <w:vMerge w:val="continue"/>
                  <w:vAlign w:val="center"/>
                </w:tcPr>
                <w:p w14:paraId="2CFB43D2">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02BC93F0">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4DAFD8E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总汞</w:t>
                  </w:r>
                </w:p>
              </w:tc>
              <w:tc>
                <w:tcPr>
                  <w:tcW w:w="1234" w:type="dxa"/>
                  <w:vAlign w:val="center"/>
                </w:tcPr>
                <w:p w14:paraId="7FD8390A">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0.0036</w:t>
                  </w:r>
                </w:p>
              </w:tc>
              <w:tc>
                <w:tcPr>
                  <w:tcW w:w="2156" w:type="dxa"/>
                  <w:vAlign w:val="center"/>
                </w:tcPr>
                <w:p w14:paraId="7F34E2CB">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0.00000046</w:t>
                  </w:r>
                </w:p>
              </w:tc>
            </w:tr>
            <w:tr w14:paraId="14FF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7E3D70E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13</w:t>
                  </w:r>
                </w:p>
              </w:tc>
              <w:tc>
                <w:tcPr>
                  <w:tcW w:w="1678" w:type="dxa"/>
                  <w:vMerge w:val="continue"/>
                  <w:vAlign w:val="center"/>
                </w:tcPr>
                <w:p w14:paraId="025A47B6">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7E0C81D2">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55A608A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总砷</w:t>
                  </w:r>
                </w:p>
              </w:tc>
              <w:tc>
                <w:tcPr>
                  <w:tcW w:w="1234" w:type="dxa"/>
                  <w:vAlign w:val="center"/>
                </w:tcPr>
                <w:p w14:paraId="60FC678B">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0.0002L</w:t>
                  </w:r>
                </w:p>
              </w:tc>
              <w:tc>
                <w:tcPr>
                  <w:tcW w:w="2156" w:type="dxa"/>
                  <w:vAlign w:val="center"/>
                </w:tcPr>
                <w:p w14:paraId="12DC509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≤0.00000003</w:t>
                  </w:r>
                </w:p>
              </w:tc>
            </w:tr>
            <w:tr w14:paraId="1154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6D26CC23">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14</w:t>
                  </w:r>
                </w:p>
              </w:tc>
              <w:tc>
                <w:tcPr>
                  <w:tcW w:w="1678" w:type="dxa"/>
                  <w:vMerge w:val="continue"/>
                  <w:vAlign w:val="center"/>
                </w:tcPr>
                <w:p w14:paraId="552AB459">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2197BB66">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4BAFCCF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总镉</w:t>
                  </w:r>
                </w:p>
              </w:tc>
              <w:tc>
                <w:tcPr>
                  <w:tcW w:w="1234" w:type="dxa"/>
                  <w:vAlign w:val="center"/>
                </w:tcPr>
                <w:p w14:paraId="75E2D065">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0.05L</w:t>
                  </w:r>
                </w:p>
              </w:tc>
              <w:tc>
                <w:tcPr>
                  <w:tcW w:w="2156" w:type="dxa"/>
                  <w:vAlign w:val="center"/>
                </w:tcPr>
                <w:p w14:paraId="59E9CBEC">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≤0.0000064</w:t>
                  </w:r>
                </w:p>
              </w:tc>
            </w:tr>
            <w:tr w14:paraId="21B5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3F940C98">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15</w:t>
                  </w:r>
                </w:p>
              </w:tc>
              <w:tc>
                <w:tcPr>
                  <w:tcW w:w="1678" w:type="dxa"/>
                  <w:vMerge w:val="continue"/>
                  <w:vAlign w:val="center"/>
                </w:tcPr>
                <w:p w14:paraId="28C1775F">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1022FAF8">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38ECA07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总铅</w:t>
                  </w:r>
                </w:p>
              </w:tc>
              <w:tc>
                <w:tcPr>
                  <w:tcW w:w="1234" w:type="dxa"/>
                  <w:vAlign w:val="center"/>
                </w:tcPr>
                <w:p w14:paraId="51B070C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0.2L</w:t>
                  </w:r>
                </w:p>
              </w:tc>
              <w:tc>
                <w:tcPr>
                  <w:tcW w:w="2156" w:type="dxa"/>
                  <w:vAlign w:val="center"/>
                </w:tcPr>
                <w:p w14:paraId="207320A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≤0.0000256</w:t>
                  </w:r>
                </w:p>
              </w:tc>
            </w:tr>
            <w:tr w14:paraId="501D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61451A2E">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16</w:t>
                  </w:r>
                </w:p>
              </w:tc>
              <w:tc>
                <w:tcPr>
                  <w:tcW w:w="1678" w:type="dxa"/>
                  <w:vMerge w:val="continue"/>
                  <w:vAlign w:val="center"/>
                </w:tcPr>
                <w:p w14:paraId="2726144A">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398F5C83">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3C80449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总银</w:t>
                  </w:r>
                </w:p>
              </w:tc>
              <w:tc>
                <w:tcPr>
                  <w:tcW w:w="1234" w:type="dxa"/>
                  <w:vAlign w:val="center"/>
                </w:tcPr>
                <w:p w14:paraId="2188B03A">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szCs w:val="21"/>
                      <w:highlight w:val="none"/>
                    </w:rPr>
                    <w:t>0.03L</w:t>
                  </w:r>
                </w:p>
              </w:tc>
              <w:tc>
                <w:tcPr>
                  <w:tcW w:w="2156" w:type="dxa"/>
                  <w:vAlign w:val="center"/>
                </w:tcPr>
                <w:p w14:paraId="15AE6B54">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≤0.0000038</w:t>
                  </w:r>
                </w:p>
              </w:tc>
            </w:tr>
            <w:tr w14:paraId="2FB1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43C9F791">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17</w:t>
                  </w:r>
                </w:p>
              </w:tc>
              <w:tc>
                <w:tcPr>
                  <w:tcW w:w="1678" w:type="dxa"/>
                  <w:vMerge w:val="continue"/>
                  <w:vAlign w:val="center"/>
                </w:tcPr>
                <w:p w14:paraId="0C520F7F">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45CB9C3A">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1C363D1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总铬</w:t>
                  </w:r>
                </w:p>
              </w:tc>
              <w:tc>
                <w:tcPr>
                  <w:tcW w:w="1234" w:type="dxa"/>
                  <w:vAlign w:val="center"/>
                </w:tcPr>
                <w:p w14:paraId="2DA42AFA">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0.004L</w:t>
                  </w:r>
                </w:p>
              </w:tc>
              <w:tc>
                <w:tcPr>
                  <w:tcW w:w="2156" w:type="dxa"/>
                  <w:vAlign w:val="center"/>
                </w:tcPr>
                <w:p w14:paraId="12304D7C">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≤0.0000005</w:t>
                  </w:r>
                </w:p>
              </w:tc>
            </w:tr>
            <w:tr w14:paraId="5AD8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8" w:type="dxa"/>
                  <w:vAlign w:val="center"/>
                </w:tcPr>
                <w:p w14:paraId="453B8CF7">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18</w:t>
                  </w:r>
                </w:p>
              </w:tc>
              <w:tc>
                <w:tcPr>
                  <w:tcW w:w="1678" w:type="dxa"/>
                  <w:vMerge w:val="continue"/>
                  <w:vAlign w:val="center"/>
                </w:tcPr>
                <w:p w14:paraId="1A77B8E3">
                  <w:pPr>
                    <w:adjustRightInd w:val="0"/>
                    <w:snapToGrid w:val="0"/>
                    <w:jc w:val="center"/>
                    <w:rPr>
                      <w:rFonts w:hint="default" w:ascii="Times New Roman" w:hAnsi="Times New Roman" w:cs="Times New Roman"/>
                      <w:bCs/>
                      <w:snapToGrid w:val="0"/>
                      <w:color w:val="auto"/>
                      <w:kern w:val="0"/>
                      <w:szCs w:val="21"/>
                      <w:highlight w:val="none"/>
                    </w:rPr>
                  </w:pPr>
                </w:p>
              </w:tc>
              <w:tc>
                <w:tcPr>
                  <w:tcW w:w="1282" w:type="dxa"/>
                  <w:vMerge w:val="continue"/>
                  <w:vAlign w:val="center"/>
                </w:tcPr>
                <w:p w14:paraId="25CE17CC">
                  <w:pPr>
                    <w:adjustRightInd w:val="0"/>
                    <w:snapToGrid w:val="0"/>
                    <w:jc w:val="center"/>
                    <w:rPr>
                      <w:rFonts w:hint="default" w:ascii="Times New Roman" w:hAnsi="Times New Roman" w:cs="Times New Roman"/>
                      <w:bCs/>
                      <w:snapToGrid w:val="0"/>
                      <w:color w:val="auto"/>
                      <w:kern w:val="0"/>
                      <w:szCs w:val="21"/>
                      <w:highlight w:val="none"/>
                    </w:rPr>
                  </w:pPr>
                </w:p>
              </w:tc>
              <w:tc>
                <w:tcPr>
                  <w:tcW w:w="1432" w:type="dxa"/>
                  <w:vAlign w:val="center"/>
                </w:tcPr>
                <w:p w14:paraId="1185011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六价铬</w:t>
                  </w:r>
                </w:p>
              </w:tc>
              <w:tc>
                <w:tcPr>
                  <w:tcW w:w="1234" w:type="dxa"/>
                  <w:vAlign w:val="center"/>
                </w:tcPr>
                <w:p w14:paraId="5496A2C2">
                  <w:pPr>
                    <w:adjustRightInd w:val="0"/>
                    <w:snapToGrid w:val="0"/>
                    <w:jc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0.004L</w:t>
                  </w:r>
                </w:p>
              </w:tc>
              <w:tc>
                <w:tcPr>
                  <w:tcW w:w="2156" w:type="dxa"/>
                  <w:vAlign w:val="center"/>
                </w:tcPr>
                <w:p w14:paraId="1387E4F5">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≤0.0000005</w:t>
                  </w:r>
                </w:p>
              </w:tc>
            </w:tr>
          </w:tbl>
          <w:p w14:paraId="50BDC130">
            <w:pPr>
              <w:pStyle w:val="20"/>
              <w:spacing w:before="120" w:beforeLines="5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表4-14  废水间接排放口基本情况表</w:t>
            </w:r>
          </w:p>
          <w:tbl>
            <w:tblPr>
              <w:tblStyle w:val="33"/>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4"/>
              <w:gridCol w:w="688"/>
              <w:gridCol w:w="777"/>
              <w:gridCol w:w="928"/>
              <w:gridCol w:w="900"/>
              <w:gridCol w:w="777"/>
              <w:gridCol w:w="641"/>
              <w:gridCol w:w="650"/>
              <w:gridCol w:w="441"/>
              <w:gridCol w:w="1104"/>
              <w:gridCol w:w="1275"/>
            </w:tblGrid>
            <w:tr w14:paraId="2D70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restart"/>
                  <w:vAlign w:val="center"/>
                </w:tcPr>
                <w:p w14:paraId="36FB553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688" w:type="dxa"/>
                  <w:vMerge w:val="restart"/>
                  <w:vAlign w:val="center"/>
                </w:tcPr>
                <w:p w14:paraId="15EF503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排放口编号</w:t>
                  </w:r>
                </w:p>
              </w:tc>
              <w:tc>
                <w:tcPr>
                  <w:tcW w:w="1705" w:type="dxa"/>
                  <w:gridSpan w:val="2"/>
                  <w:vAlign w:val="center"/>
                </w:tcPr>
                <w:p w14:paraId="2D12932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排放口地理坐标</w:t>
                  </w:r>
                </w:p>
              </w:tc>
              <w:tc>
                <w:tcPr>
                  <w:tcW w:w="900" w:type="dxa"/>
                  <w:vMerge w:val="restart"/>
                  <w:vAlign w:val="center"/>
                </w:tcPr>
                <w:p w14:paraId="4995E91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废水排放量/(万t/a)</w:t>
                  </w:r>
                </w:p>
              </w:tc>
              <w:tc>
                <w:tcPr>
                  <w:tcW w:w="777" w:type="dxa"/>
                  <w:vMerge w:val="restart"/>
                  <w:vAlign w:val="center"/>
                </w:tcPr>
                <w:p w14:paraId="4B23EF5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w:t>
                  </w:r>
                </w:p>
                <w:p w14:paraId="6BB4413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去向</w:t>
                  </w:r>
                </w:p>
              </w:tc>
              <w:tc>
                <w:tcPr>
                  <w:tcW w:w="641" w:type="dxa"/>
                  <w:vMerge w:val="restart"/>
                  <w:vAlign w:val="center"/>
                </w:tcPr>
                <w:p w14:paraId="68D31FB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w:t>
                  </w:r>
                </w:p>
                <w:p w14:paraId="46F60C3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规律</w:t>
                  </w:r>
                </w:p>
              </w:tc>
              <w:tc>
                <w:tcPr>
                  <w:tcW w:w="650" w:type="dxa"/>
                  <w:vMerge w:val="restart"/>
                  <w:vAlign w:val="center"/>
                </w:tcPr>
                <w:p w14:paraId="25FEFD1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间歇排放时段</w:t>
                  </w:r>
                </w:p>
              </w:tc>
              <w:tc>
                <w:tcPr>
                  <w:tcW w:w="2820" w:type="dxa"/>
                  <w:gridSpan w:val="3"/>
                  <w:vAlign w:val="center"/>
                </w:tcPr>
                <w:p w14:paraId="1873D9F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受纳污水处理厂信息</w:t>
                  </w:r>
                </w:p>
              </w:tc>
            </w:tr>
            <w:tr w14:paraId="6B7D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0C17009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757E861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Align w:val="center"/>
                </w:tcPr>
                <w:p w14:paraId="0F5127D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经度</w:t>
                  </w:r>
                </w:p>
              </w:tc>
              <w:tc>
                <w:tcPr>
                  <w:tcW w:w="928" w:type="dxa"/>
                  <w:vAlign w:val="center"/>
                </w:tcPr>
                <w:p w14:paraId="459F93A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纬度</w:t>
                  </w:r>
                </w:p>
              </w:tc>
              <w:tc>
                <w:tcPr>
                  <w:tcW w:w="900" w:type="dxa"/>
                  <w:vMerge w:val="continue"/>
                  <w:vAlign w:val="center"/>
                </w:tcPr>
                <w:p w14:paraId="23183B6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7808BAA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42BB27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0A7B267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Align w:val="center"/>
                </w:tcPr>
                <w:p w14:paraId="5834E27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1104" w:type="dxa"/>
                  <w:vAlign w:val="center"/>
                </w:tcPr>
                <w:p w14:paraId="4999C80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w:t>
                  </w:r>
                </w:p>
                <w:p w14:paraId="0898F01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种类</w:t>
                  </w:r>
                </w:p>
              </w:tc>
              <w:tc>
                <w:tcPr>
                  <w:tcW w:w="1275" w:type="dxa"/>
                  <w:vAlign w:val="center"/>
                </w:tcPr>
                <w:p w14:paraId="331BED8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国家或地方污染物排放标准浓度限制/（mg/L）</w:t>
                  </w:r>
                </w:p>
              </w:tc>
            </w:tr>
            <w:tr w14:paraId="036F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restart"/>
                  <w:vAlign w:val="center"/>
                </w:tcPr>
                <w:p w14:paraId="3BA32B0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688" w:type="dxa"/>
                  <w:vMerge w:val="restart"/>
                  <w:vAlign w:val="center"/>
                </w:tcPr>
                <w:p w14:paraId="6309E78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DW001（废水总排口）</w:t>
                  </w:r>
                </w:p>
              </w:tc>
              <w:tc>
                <w:tcPr>
                  <w:tcW w:w="777" w:type="dxa"/>
                  <w:vMerge w:val="restart"/>
                  <w:vAlign w:val="center"/>
                </w:tcPr>
                <w:p w14:paraId="5036B8A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102°55′51.236″</w:t>
                  </w:r>
                </w:p>
              </w:tc>
              <w:tc>
                <w:tcPr>
                  <w:tcW w:w="928" w:type="dxa"/>
                  <w:vMerge w:val="restart"/>
                  <w:vAlign w:val="center"/>
                </w:tcPr>
                <w:p w14:paraId="5D979A9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24°11′43.505″</w:t>
                  </w:r>
                </w:p>
              </w:tc>
              <w:tc>
                <w:tcPr>
                  <w:tcW w:w="900" w:type="dxa"/>
                  <w:vMerge w:val="restart"/>
                  <w:vAlign w:val="center"/>
                </w:tcPr>
                <w:p w14:paraId="68370DF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0.06656</w:t>
                  </w:r>
                </w:p>
              </w:tc>
              <w:tc>
                <w:tcPr>
                  <w:tcW w:w="777" w:type="dxa"/>
                  <w:vMerge w:val="restart"/>
                  <w:vAlign w:val="center"/>
                </w:tcPr>
                <w:p w14:paraId="0B6FA3C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经市政管网</w:t>
                  </w:r>
                  <w:r>
                    <w:rPr>
                      <w:rFonts w:hint="default" w:ascii="Times New Roman" w:hAnsi="Times New Roman" w:cs="Times New Roman"/>
                      <w:bCs/>
                      <w:snapToGrid w:val="0"/>
                      <w:color w:val="auto"/>
                      <w:sz w:val="21"/>
                      <w:szCs w:val="21"/>
                      <w:highlight w:val="none"/>
                    </w:rPr>
                    <w:t>进入华宁县污水处理厂</w:t>
                  </w:r>
                </w:p>
              </w:tc>
              <w:tc>
                <w:tcPr>
                  <w:tcW w:w="641" w:type="dxa"/>
                  <w:vMerge w:val="restart"/>
                  <w:vAlign w:val="center"/>
                </w:tcPr>
                <w:p w14:paraId="08417FB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间断排放，流量不稳定，但有周期性规律</w:t>
                  </w:r>
                </w:p>
              </w:tc>
              <w:tc>
                <w:tcPr>
                  <w:tcW w:w="650" w:type="dxa"/>
                  <w:vMerge w:val="restart"/>
                  <w:vAlign w:val="center"/>
                </w:tcPr>
                <w:p w14:paraId="4DE381A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41" w:type="dxa"/>
                  <w:vMerge w:val="restart"/>
                  <w:vAlign w:val="center"/>
                </w:tcPr>
                <w:p w14:paraId="74C35A4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bCs/>
                      <w:snapToGrid w:val="0"/>
                      <w:color w:val="auto"/>
                      <w:sz w:val="21"/>
                      <w:szCs w:val="21"/>
                      <w:highlight w:val="none"/>
                    </w:rPr>
                    <w:t>华宁县污水处理厂</w:t>
                  </w:r>
                </w:p>
              </w:tc>
              <w:tc>
                <w:tcPr>
                  <w:tcW w:w="1104" w:type="dxa"/>
                  <w:vAlign w:val="center"/>
                </w:tcPr>
                <w:p w14:paraId="7CF8BE55">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pH</w:t>
                  </w:r>
                </w:p>
              </w:tc>
              <w:tc>
                <w:tcPr>
                  <w:tcW w:w="1275" w:type="dxa"/>
                  <w:vAlign w:val="center"/>
                </w:tcPr>
                <w:p w14:paraId="525C2B2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r>
            <w:tr w14:paraId="57C6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6B31E59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4A2607B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72BB8EE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434C62D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4B5AD316">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1CA9B52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6EBAF29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64D7E31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1BDD6B6B">
                  <w:pPr>
                    <w:pStyle w:val="10"/>
                    <w:spacing w:line="240" w:lineRule="auto"/>
                    <w:ind w:firstLine="0" w:firstLineChars="0"/>
                    <w:jc w:val="center"/>
                    <w:rPr>
                      <w:rFonts w:hint="default" w:ascii="Times New Roman" w:hAnsi="Times New Roman" w:cs="Times New Roman"/>
                      <w:bCs/>
                      <w:snapToGrid w:val="0"/>
                      <w:color w:val="auto"/>
                      <w:sz w:val="21"/>
                      <w:szCs w:val="21"/>
                      <w:highlight w:val="none"/>
                    </w:rPr>
                  </w:pPr>
                </w:p>
              </w:tc>
              <w:tc>
                <w:tcPr>
                  <w:tcW w:w="1104" w:type="dxa"/>
                  <w:vAlign w:val="center"/>
                </w:tcPr>
                <w:p w14:paraId="5A4244B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COD</w:t>
                  </w:r>
                </w:p>
              </w:tc>
              <w:tc>
                <w:tcPr>
                  <w:tcW w:w="1275" w:type="dxa"/>
                  <w:vAlign w:val="center"/>
                </w:tcPr>
                <w:p w14:paraId="1D19BDA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r>
            <w:tr w14:paraId="605D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35FE5A0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2EF38FF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D1D6DF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36A7B91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5218B6C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1E28993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D12A65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0234B84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098815D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6F7589A5">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BOD</w:t>
                  </w:r>
                  <w:r>
                    <w:rPr>
                      <w:rFonts w:hint="default" w:ascii="Times New Roman" w:hAnsi="Times New Roman" w:cs="Times New Roman"/>
                      <w:color w:val="auto"/>
                      <w:szCs w:val="21"/>
                      <w:highlight w:val="none"/>
                      <w:vertAlign w:val="subscript"/>
                    </w:rPr>
                    <w:t>5</w:t>
                  </w:r>
                </w:p>
              </w:tc>
              <w:tc>
                <w:tcPr>
                  <w:tcW w:w="1275" w:type="dxa"/>
                  <w:vAlign w:val="center"/>
                </w:tcPr>
                <w:p w14:paraId="7876749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68C6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1462246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4690AA6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6D3415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2311EEB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72AEC53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25914D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3D3434E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6275E8E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0BC65B4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5B8E0053">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SS</w:t>
                  </w:r>
                </w:p>
              </w:tc>
              <w:tc>
                <w:tcPr>
                  <w:tcW w:w="1275" w:type="dxa"/>
                  <w:vAlign w:val="center"/>
                </w:tcPr>
                <w:p w14:paraId="5E9FEF9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539E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692028D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79E4EEF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3611DDF6">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0BA030E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3068DE4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71DE8B5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453FAF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14381CE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4ACA693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1F9822C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动植物油</w:t>
                  </w:r>
                </w:p>
              </w:tc>
              <w:tc>
                <w:tcPr>
                  <w:tcW w:w="1275" w:type="dxa"/>
                  <w:vAlign w:val="center"/>
                </w:tcPr>
                <w:p w14:paraId="7EEC43A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r>
            <w:tr w14:paraId="198F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13E05E2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332AE59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2669C84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765506B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686DCF4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7FA24A8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17CE67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63BC7D6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316A22F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1DD1848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石油类</w:t>
                  </w:r>
                </w:p>
              </w:tc>
              <w:tc>
                <w:tcPr>
                  <w:tcW w:w="1275" w:type="dxa"/>
                  <w:vAlign w:val="center"/>
                </w:tcPr>
                <w:p w14:paraId="2DF6A4A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r>
            <w:tr w14:paraId="7C81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1B75104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3A82FF7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D97A5F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1DD1970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2FBDEFA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0DB7DC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3896129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3C2AC17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6311C9D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150A6A9D">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LAS</w:t>
                  </w:r>
                </w:p>
              </w:tc>
              <w:tc>
                <w:tcPr>
                  <w:tcW w:w="1275" w:type="dxa"/>
                  <w:vAlign w:val="center"/>
                </w:tcPr>
                <w:p w14:paraId="352B57E4">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r>
            <w:tr w14:paraId="568E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3832A2E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5554212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49BF208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5387876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4E5B005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23925CA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4C2DD8D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7EA46FA6">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434B9B3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3097E8D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总氮</w:t>
                  </w:r>
                </w:p>
              </w:tc>
              <w:tc>
                <w:tcPr>
                  <w:tcW w:w="1275" w:type="dxa"/>
                  <w:vAlign w:val="center"/>
                </w:tcPr>
                <w:p w14:paraId="3848C4C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r>
            <w:tr w14:paraId="7196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4BAB2B7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34ED978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1966A07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3194D0E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2196086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203B42E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0C3666B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1A79757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1D729FF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54EBD15E">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NH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w:t>
                  </w:r>
                </w:p>
              </w:tc>
              <w:tc>
                <w:tcPr>
                  <w:tcW w:w="1275" w:type="dxa"/>
                  <w:vAlign w:val="center"/>
                </w:tcPr>
                <w:p w14:paraId="3D6DA89F">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r>
            <w:tr w14:paraId="6E62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7D6CF6A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449DCBF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7A762E7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799B3CD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42DC257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4A8356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48EFC74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06BD6D9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54EA1D4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0B4FBAD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总磷</w:t>
                  </w:r>
                </w:p>
              </w:tc>
              <w:tc>
                <w:tcPr>
                  <w:tcW w:w="1275" w:type="dxa"/>
                  <w:vAlign w:val="center"/>
                </w:tcPr>
                <w:p w14:paraId="44A7F14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r>
            <w:tr w14:paraId="29FD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7591450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4DB399B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094149A6">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17C04F6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150ABDD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54DD7FF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6E102F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66A685F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24A261F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13F32D4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色度</w:t>
                  </w:r>
                </w:p>
              </w:tc>
              <w:tc>
                <w:tcPr>
                  <w:tcW w:w="1275" w:type="dxa"/>
                  <w:vAlign w:val="center"/>
                </w:tcPr>
                <w:p w14:paraId="18EB026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w:t>
                  </w:r>
                </w:p>
              </w:tc>
            </w:tr>
            <w:tr w14:paraId="7C6A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730C47F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265D023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4CFEE5C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6E45460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6543153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23B13BB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72D241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5299772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627E8EF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4509E4FC">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pH</w:t>
                  </w:r>
                </w:p>
              </w:tc>
              <w:tc>
                <w:tcPr>
                  <w:tcW w:w="1275" w:type="dxa"/>
                  <w:vAlign w:val="center"/>
                </w:tcPr>
                <w:p w14:paraId="1F684EC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r>
            <w:tr w14:paraId="6AD4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5605A23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1232109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5774FCC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67382BE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7129A79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5C02A2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4A8CF2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6F8FE59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6F61FB6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6D8E7F08">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粪大肠菌群数</w:t>
                  </w:r>
                </w:p>
              </w:tc>
              <w:tc>
                <w:tcPr>
                  <w:tcW w:w="1275" w:type="dxa"/>
                  <w:vAlign w:val="center"/>
                </w:tcPr>
                <w:p w14:paraId="13D4E68E">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w:t>
                  </w:r>
                </w:p>
              </w:tc>
            </w:tr>
            <w:tr w14:paraId="1AE6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673903E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56A522C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E8335F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4227E26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37DF4FB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7F165B1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484C23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1B608E3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08FC609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216F183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总汞</w:t>
                  </w:r>
                </w:p>
              </w:tc>
              <w:tc>
                <w:tcPr>
                  <w:tcW w:w="1275" w:type="dxa"/>
                  <w:vAlign w:val="center"/>
                </w:tcPr>
                <w:p w14:paraId="0F1434A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0.001</w:t>
                  </w:r>
                </w:p>
              </w:tc>
            </w:tr>
            <w:tr w14:paraId="4E35C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2248FEC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6EA1BFA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0926ACB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4202090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19917D0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2038BCD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6A2F151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7677488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6062DAC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6F4FC3D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总镉</w:t>
                  </w:r>
                </w:p>
              </w:tc>
              <w:tc>
                <w:tcPr>
                  <w:tcW w:w="1275" w:type="dxa"/>
                  <w:vAlign w:val="center"/>
                </w:tcPr>
                <w:p w14:paraId="5A94FC8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w:t>
                  </w:r>
                </w:p>
              </w:tc>
            </w:tr>
            <w:tr w14:paraId="594F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248DBC0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3688E52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3441E2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60F8267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20BE7E26">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50DF8B6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4176CDB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5E99BB1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4682500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3909A29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总铬</w:t>
                  </w:r>
                </w:p>
              </w:tc>
              <w:tc>
                <w:tcPr>
                  <w:tcW w:w="1275" w:type="dxa"/>
                  <w:vAlign w:val="center"/>
                </w:tcPr>
                <w:p w14:paraId="5AFCEA1A">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4244B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4DEBE25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7B935EEF">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43B0399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3843AE6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284090C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5D153F0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08D2C5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364913D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06506D4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76FF3AE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六价铬</w:t>
                  </w:r>
                </w:p>
              </w:tc>
              <w:tc>
                <w:tcPr>
                  <w:tcW w:w="1275" w:type="dxa"/>
                  <w:vAlign w:val="center"/>
                </w:tcPr>
                <w:p w14:paraId="73F0A9F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r>
            <w:tr w14:paraId="3903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7238997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5EE14FC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03B8C89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58BBF2A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69D2D2E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00C93E2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2506F1B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3617B754">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5DB8FE0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4E74B50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总砷</w:t>
                  </w:r>
                </w:p>
              </w:tc>
              <w:tc>
                <w:tcPr>
                  <w:tcW w:w="1275" w:type="dxa"/>
                  <w:vAlign w:val="center"/>
                </w:tcPr>
                <w:p w14:paraId="6176AEE8">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0525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43CD210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02AD121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15863136">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7CDA40C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3BDBDF5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A1D5D4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45B2EBD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1E181803">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78DBC296">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5D518DA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总铅</w:t>
                  </w:r>
                </w:p>
              </w:tc>
              <w:tc>
                <w:tcPr>
                  <w:tcW w:w="1275" w:type="dxa"/>
                  <w:vAlign w:val="center"/>
                </w:tcPr>
                <w:p w14:paraId="771007F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7093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275EA66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1FF00CA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01599B1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0927C99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1AE041B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76BC971C">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7CDAD05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550AE0A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2F27DA3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3D599E4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总银</w:t>
                  </w:r>
                </w:p>
              </w:tc>
              <w:tc>
                <w:tcPr>
                  <w:tcW w:w="1275" w:type="dxa"/>
                  <w:vAlign w:val="center"/>
                </w:tcPr>
                <w:p w14:paraId="538196F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w:t>
                  </w:r>
                </w:p>
              </w:tc>
            </w:tr>
            <w:tr w14:paraId="1A14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7E5283B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680823D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6EC7B81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64BA133E">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7DD45C9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247261C9">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6502BF2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5D33BD81">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6C79AC52">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3FD121B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总氰化物</w:t>
                  </w:r>
                </w:p>
              </w:tc>
              <w:tc>
                <w:tcPr>
                  <w:tcW w:w="1275" w:type="dxa"/>
                  <w:vAlign w:val="center"/>
                </w:tcPr>
                <w:p w14:paraId="318C305C">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r>
            <w:tr w14:paraId="07DA9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4" w:type="dxa"/>
                  <w:vMerge w:val="continue"/>
                  <w:vAlign w:val="center"/>
                </w:tcPr>
                <w:p w14:paraId="4E4AF67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88" w:type="dxa"/>
                  <w:vMerge w:val="continue"/>
                  <w:vAlign w:val="center"/>
                </w:tcPr>
                <w:p w14:paraId="75D369F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1D58C78A">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28" w:type="dxa"/>
                  <w:vMerge w:val="continue"/>
                  <w:vAlign w:val="center"/>
                </w:tcPr>
                <w:p w14:paraId="0ED599A0">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900" w:type="dxa"/>
                  <w:vMerge w:val="continue"/>
                  <w:vAlign w:val="center"/>
                </w:tcPr>
                <w:p w14:paraId="15EE3D68">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777" w:type="dxa"/>
                  <w:vMerge w:val="continue"/>
                  <w:vAlign w:val="center"/>
                </w:tcPr>
                <w:p w14:paraId="5D5A308B">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41" w:type="dxa"/>
                  <w:vMerge w:val="continue"/>
                  <w:vAlign w:val="center"/>
                </w:tcPr>
                <w:p w14:paraId="6666E637">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650" w:type="dxa"/>
                  <w:vMerge w:val="continue"/>
                  <w:vAlign w:val="center"/>
                </w:tcPr>
                <w:p w14:paraId="65B7708D">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441" w:type="dxa"/>
                  <w:vMerge w:val="continue"/>
                  <w:vAlign w:val="center"/>
                </w:tcPr>
                <w:p w14:paraId="096C1425">
                  <w:pPr>
                    <w:pStyle w:val="10"/>
                    <w:spacing w:line="240" w:lineRule="auto"/>
                    <w:ind w:firstLine="0" w:firstLineChars="0"/>
                    <w:jc w:val="center"/>
                    <w:rPr>
                      <w:rFonts w:hint="default" w:ascii="Times New Roman" w:hAnsi="Times New Roman" w:cs="Times New Roman"/>
                      <w:color w:val="auto"/>
                      <w:sz w:val="21"/>
                      <w:szCs w:val="21"/>
                      <w:highlight w:val="none"/>
                    </w:rPr>
                  </w:pPr>
                </w:p>
              </w:tc>
              <w:tc>
                <w:tcPr>
                  <w:tcW w:w="1104" w:type="dxa"/>
                  <w:vAlign w:val="center"/>
                </w:tcPr>
                <w:p w14:paraId="1396B0E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挥发酚</w:t>
                  </w:r>
                </w:p>
              </w:tc>
              <w:tc>
                <w:tcPr>
                  <w:tcW w:w="1275" w:type="dxa"/>
                  <w:vAlign w:val="center"/>
                </w:tcPr>
                <w:p w14:paraId="2E873BF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r>
            <w:tr w14:paraId="7FD9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55" w:type="dxa"/>
                  <w:gridSpan w:val="11"/>
                  <w:vAlign w:val="center"/>
                </w:tcPr>
                <w:p w14:paraId="2535A4C0">
                  <w:pPr>
                    <w:pStyle w:val="10"/>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注：华宁县污水处理厂排放标准为《城镇污水处理厂污染物排放标准》（GB18918-2002）一级A标准。</w:t>
                  </w:r>
                </w:p>
              </w:tc>
            </w:tr>
          </w:tbl>
          <w:p w14:paraId="23BA004A">
            <w:pPr>
              <w:pStyle w:val="32"/>
              <w:spacing w:after="0" w:line="360" w:lineRule="auto"/>
              <w:ind w:left="0" w:leftChars="0" w:firstLine="482"/>
              <w:rPr>
                <w:rFonts w:hint="default" w:ascii="Times New Roman" w:hAnsi="Times New Roman" w:cs="Times New Roman"/>
                <w:b/>
                <w:color w:val="auto"/>
                <w:highlight w:val="none"/>
              </w:rPr>
            </w:pPr>
          </w:p>
          <w:p w14:paraId="0E8CC260">
            <w:pPr>
              <w:pStyle w:val="32"/>
              <w:spacing w:after="0" w:line="360" w:lineRule="auto"/>
              <w:ind w:left="0" w:leftChars="0" w:firstLine="482"/>
              <w:rPr>
                <w:rFonts w:hint="default" w:ascii="Times New Roman" w:hAnsi="Times New Roman" w:cs="Times New Roman"/>
                <w:b/>
                <w:bCs/>
                <w:color w:val="auto"/>
                <w:highlight w:val="none"/>
              </w:rPr>
            </w:pPr>
            <w:r>
              <w:rPr>
                <w:rFonts w:hint="default" w:ascii="Times New Roman" w:hAnsi="Times New Roman" w:cs="Times New Roman"/>
                <w:b/>
                <w:color w:val="auto"/>
                <w:highlight w:val="none"/>
              </w:rPr>
              <w:t>4、</w:t>
            </w:r>
            <w:r>
              <w:rPr>
                <w:rFonts w:hint="default" w:ascii="Times New Roman" w:hAnsi="Times New Roman" w:cs="Times New Roman"/>
                <w:b/>
                <w:bCs/>
                <w:color w:val="auto"/>
                <w:highlight w:val="none"/>
              </w:rPr>
              <w:t>废水处置措施可行性分析</w:t>
            </w:r>
          </w:p>
          <w:p w14:paraId="1CC56348">
            <w:pPr>
              <w:pStyle w:val="19"/>
              <w:widowControl/>
              <w:adjustRightInd w:val="0"/>
              <w:snapToGrid w:val="0"/>
              <w:spacing w:line="360" w:lineRule="auto"/>
              <w:ind w:firstLine="482" w:firstLineChars="200"/>
              <w:rPr>
                <w:rFonts w:hint="default" w:ascii="Times New Roman" w:hAnsi="Times New Roman" w:cs="Times New Roman"/>
                <w:color w:val="auto"/>
                <w:highlight w:val="none"/>
              </w:rPr>
            </w:pPr>
            <w:r>
              <w:rPr>
                <w:rFonts w:hint="default" w:ascii="Times New Roman" w:hAnsi="Times New Roman" w:cs="Times New Roman"/>
                <w:b/>
                <w:bCs/>
                <w:color w:val="auto"/>
                <w:sz w:val="24"/>
                <w:highlight w:val="none"/>
              </w:rPr>
              <w:t>（1）化粪池依托可行性分析</w:t>
            </w:r>
          </w:p>
          <w:p w14:paraId="5B37B8EE">
            <w:pPr>
              <w:pStyle w:val="19"/>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根据建设单位提供，目前华宁县疾控中心内现有在职在编人员53人，编外人员5人，公益性岗位人员2人，本项目建成后，人员编制不增加，因此本项目无新增生活污水。</w:t>
            </w:r>
          </w:p>
          <w:p w14:paraId="38DE7FF7">
            <w:pPr>
              <w:pStyle w:val="19"/>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根据《华宁县疾病预防控制中心应急物资、疫苗冷链综合储备库建设项目竣工环境保护验收监测报告表》，华宁县疾控中心现有废水量为2.703m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/d，本次扩建项目最大废水量为2.56m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/d，项目总废水量为5.263m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/d，本项目依托1个9m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化粪池，用于华宁县疾控中心现有人员生活污水预处理，可大大降低后端污水处理站的运行负荷。</w:t>
            </w:r>
          </w:p>
          <w:p w14:paraId="71847F5A">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（2）废水预处理设施可行性分析</w:t>
            </w:r>
          </w:p>
          <w:p w14:paraId="5D1EB33B">
            <w:pPr>
              <w:pStyle w:val="24"/>
              <w:spacing w:after="0"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1）理化实验室废水中含酸碱废水，本环评</w:t>
            </w:r>
            <w:bookmarkStart w:id="14" w:name="OLE_LINK8"/>
            <w:r>
              <w:rPr>
                <w:rFonts w:hint="default" w:ascii="Times New Roman" w:hAnsi="Times New Roman" w:cs="Times New Roman"/>
                <w:color w:val="auto"/>
                <w:sz w:val="24"/>
                <w:highlight w:val="none"/>
              </w:rPr>
              <w:t>要求建设单位建设一个1m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的酸碱中和预处理设施</w:t>
            </w:r>
            <w:bookmarkEnd w:id="14"/>
            <w:r>
              <w:rPr>
                <w:rFonts w:hint="default" w:ascii="Times New Roman" w:hAnsi="Times New Roman" w:cs="Times New Roman"/>
                <w:color w:val="auto"/>
                <w:sz w:val="24"/>
                <w:highlight w:val="none"/>
              </w:rPr>
              <w:t>，经酸碱中和调节，可使进入污水处理站生化工艺的废水pH值在6-9之间，不影响项目废水处理的可生化性。</w:t>
            </w:r>
          </w:p>
          <w:p w14:paraId="7A12F828">
            <w:pPr>
              <w:pStyle w:val="24"/>
              <w:spacing w:after="0"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2）理化实验室含重金属废水，本要求建设单位在理化实验室内设置一个1m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的化学沉淀池设施，含重金属废水直接进入单独的化学沉淀池设施，通过投加碱液及絮凝剂使重金属离子沉淀去除，使重金属等第一类水污染物在预处理设施排放口达标后再进入污水处理站，减少重金属对后续处理单元的影响，减少重金属的排放量及进入污泥的量。该段处理工序建设单位应定期自行监测，确保预处理设施排放口中第一类水污染物达标。</w:t>
            </w:r>
          </w:p>
          <w:p w14:paraId="52F93FC0">
            <w:pPr>
              <w:pStyle w:val="24"/>
              <w:spacing w:after="0"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3）理化实验室中部少量实验室废液含氰化物，为防止氰化物在对后续污水处理生化单元的影响或者在酸性条件下转化为氰化氢气体析出，本环评要求在实验室内建设一个1m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的碱性氯化法破氰槽，在碱性条件下通过氯化法对氰化物进行去除。</w:t>
            </w:r>
          </w:p>
          <w:p w14:paraId="2B849DD6">
            <w:pPr>
              <w:pStyle w:val="24"/>
              <w:spacing w:after="0"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4）微生物实验室中废水因含细菌病原体等微生物传染源，为防止该细菌病原体随废水进入污水处理站，继而逸散到外环境中或者污水处理站污泥中，本环评要求建设单位在微生物实验室内设置一个1m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的预消毒设施，通过次氯酸钠消毒工序，将细菌病原体杀灭后再进入污水处理站。</w:t>
            </w:r>
          </w:p>
          <w:p w14:paraId="34736BF0">
            <w:pPr>
              <w:pStyle w:val="24"/>
              <w:spacing w:after="0" w:line="360" w:lineRule="auto"/>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以上预处理措施对各类废水进行分类收集分质处理，可将酸碱废水、含重金属废水、含氰化物废水以及含微生物病原体废水进行预处理，防止以上废水污染物污染外环境。根据本环评表一符合性分析章节内容，各预处理工艺满足满足《医院污水处理工程技术规范》（HJ2029-2013）及《排污许可证申请与核发技术规范 医疗机构》（HJ 1105-2020）中相关要求。因此，项目各废水预处理工艺可行。</w:t>
            </w:r>
          </w:p>
          <w:p w14:paraId="2E46AE92">
            <w:pPr>
              <w:spacing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（3）污水处理站依托可行性分析</w:t>
            </w:r>
          </w:p>
          <w:p w14:paraId="4926DEB6">
            <w:pPr>
              <w:pStyle w:val="19"/>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根据建设单位提供资料，本项目依托现有改造的污水处理站工艺采用“格栅池+调节池+缺氧池+生物接触氧化池+沉淀池+MBR膜池+消毒池”。</w:t>
            </w:r>
          </w:p>
          <w:p w14:paraId="2E447EBE">
            <w:pPr>
              <w:pStyle w:val="19"/>
              <w:widowControl/>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1）处理工艺分析</w:t>
            </w:r>
          </w:p>
          <w:p w14:paraId="0A66B85F">
            <w:pPr>
              <w:pStyle w:val="19"/>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污水处理站工艺流程如下图所示：</w:t>
            </w:r>
          </w:p>
          <w:p w14:paraId="0583E067">
            <w:pPr>
              <w:pStyle w:val="19"/>
              <w:widowControl/>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0" distR="0">
                  <wp:extent cx="5382260" cy="1057910"/>
                  <wp:effectExtent l="0" t="0" r="12700" b="8890"/>
                  <wp:docPr id="9162921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92163" name="图片 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82260" cy="1057910"/>
                          </a:xfrm>
                          <a:prstGeom prst="rect">
                            <a:avLst/>
                          </a:prstGeom>
                        </pic:spPr>
                      </pic:pic>
                    </a:graphicData>
                  </a:graphic>
                </wp:inline>
              </w:drawing>
            </w:r>
          </w:p>
          <w:p w14:paraId="5B6E0D5C">
            <w:pPr>
              <w:pStyle w:val="19"/>
              <w:widowControl/>
              <w:adjustRightInd w:val="0"/>
              <w:snapToGrid w:val="0"/>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图4-15 本项目污水处理站工艺流程图</w:t>
            </w:r>
          </w:p>
          <w:p w14:paraId="7164BCB0">
            <w:pPr>
              <w:pStyle w:val="19"/>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处理工艺简介：</w:t>
            </w:r>
          </w:p>
          <w:p w14:paraId="0F9CBDC6">
            <w:pPr>
              <w:pStyle w:val="19"/>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污水通过格栅池去除大颗粒悬浮物，再由调节池均衡水质和水量；缺氧池使污水中氮反硝化</w:t>
            </w:r>
            <w:r>
              <w:rPr>
                <w:rFonts w:hint="default" w:ascii="Times New Roman" w:hAnsi="Times New Roman" w:cs="Times New Roman"/>
                <w:color w:val="auto"/>
                <w:sz w:val="24"/>
                <w:highlight w:val="none"/>
                <w:shd w:val="clear" w:color="auto" w:fill="FFFFFF"/>
              </w:rPr>
              <w:t>；</w:t>
            </w:r>
            <w:r>
              <w:rPr>
                <w:rFonts w:hint="default" w:ascii="Times New Roman" w:hAnsi="Times New Roman" w:cs="Times New Roman"/>
                <w:color w:val="auto"/>
                <w:sz w:val="24"/>
                <w:highlight w:val="none"/>
              </w:rPr>
              <w:t>生物接触氧化池通过好氧微生物将有机物氧化分解，并同时完成氨氮的硝化反应；沉淀池实现泥水分离后，进入MBR膜池，大量极细的中空纤维膜或平板膜浸没在池中，膜壁上布满了微米级的孔隙，在负压作用下，清水被迫通过这些微小的膜孔，而活性污泥、悬浮物、细菌、病毒及大分子有机物则被完全截留在膜池内；污水进入中间水池缓冲；最终经消毒池（通过自动投加药物）杀灭病原体，确保出水达到排放标准后排入市政管网，最终进入华宁县污水处理厂。</w:t>
            </w:r>
          </w:p>
          <w:p w14:paraId="1780214A">
            <w:pPr>
              <w:pStyle w:val="19"/>
              <w:widowControl/>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2）处理水量可行性分析</w:t>
            </w:r>
          </w:p>
          <w:p w14:paraId="6FEA66A6">
            <w:pPr>
              <w:pStyle w:val="19"/>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根据《华宁县疾病预防控制中心应急物资、疫苗冷链综合储备库建设项目竣工环境保护验收监测报告表》，华宁县疾控中心现有废水量为2.703m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/d，本扩建项目最大废水量为2.56m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/d，项目依托污水处理站处理规模为10m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/d，可完全处理疾控中心产生的废水。</w:t>
            </w:r>
          </w:p>
          <w:p w14:paraId="3E2DA03D">
            <w:pPr>
              <w:pStyle w:val="19"/>
              <w:widowControl/>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3）出水水质达标可靠分析</w:t>
            </w:r>
          </w:p>
          <w:p w14:paraId="42798D61">
            <w:pPr>
              <w:pStyle w:val="19"/>
              <w:widowControl/>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根据废水污染物源强核算分析小节</w:t>
            </w:r>
            <w:r>
              <w:rPr>
                <w:rFonts w:hint="default" w:ascii="Times New Roman" w:hAnsi="Times New Roman" w:cs="Times New Roman"/>
                <w:color w:val="auto"/>
                <w:sz w:val="24"/>
                <w:highlight w:val="none"/>
                <w:lang w:val="zh-CN"/>
              </w:rPr>
              <w:t>，项目</w:t>
            </w:r>
            <w:r>
              <w:rPr>
                <w:rFonts w:hint="default" w:ascii="Times New Roman" w:hAnsi="Times New Roman" w:cs="Times New Roman"/>
                <w:color w:val="auto"/>
                <w:sz w:val="24"/>
                <w:highlight w:val="none"/>
              </w:rPr>
              <w:t>综合</w:t>
            </w:r>
            <w:r>
              <w:rPr>
                <w:rFonts w:hint="default" w:ascii="Times New Roman" w:hAnsi="Times New Roman" w:cs="Times New Roman"/>
                <w:color w:val="auto"/>
                <w:sz w:val="24"/>
                <w:highlight w:val="none"/>
                <w:lang w:val="zh-CN"/>
              </w:rPr>
              <w:t>废水</w:t>
            </w:r>
            <w:r>
              <w:rPr>
                <w:rFonts w:hint="default" w:ascii="Times New Roman" w:hAnsi="Times New Roman" w:cs="Times New Roman"/>
                <w:color w:val="auto"/>
                <w:sz w:val="24"/>
                <w:highlight w:val="none"/>
              </w:rPr>
              <w:t>经污水处理站</w:t>
            </w:r>
            <w:r>
              <w:rPr>
                <w:rFonts w:hint="default" w:ascii="Times New Roman" w:hAnsi="Times New Roman" w:cs="Times New Roman"/>
                <w:color w:val="auto"/>
                <w:sz w:val="24"/>
                <w:highlight w:val="none"/>
                <w:lang w:val="zh-CN"/>
              </w:rPr>
              <w:t>处理后，</w:t>
            </w:r>
            <w:r>
              <w:rPr>
                <w:rFonts w:hint="default" w:ascii="Times New Roman" w:hAnsi="Times New Roman" w:cs="Times New Roman"/>
                <w:color w:val="auto"/>
                <w:sz w:val="24"/>
                <w:highlight w:val="none"/>
              </w:rPr>
              <w:t>出水水质能够满足《医疗机构水污染物排放标准》</w:t>
            </w:r>
            <w:r>
              <w:rPr>
                <w:rFonts w:hint="eastAsia" w:ascii="Times New Roman" w:hAnsi="Times New Roman" w:cs="Times New Roman"/>
                <w:color w:val="auto"/>
                <w:sz w:val="24"/>
                <w:highlight w:val="none"/>
                <w:lang w:eastAsia="zh-CN"/>
              </w:rPr>
              <w:t>（GB18466-2005，含2026年第1号修改单）</w:t>
            </w:r>
            <w:r>
              <w:rPr>
                <w:rFonts w:hint="default" w:ascii="Times New Roman" w:hAnsi="Times New Roman" w:cs="Times New Roman"/>
                <w:color w:val="auto"/>
                <w:sz w:val="24"/>
                <w:highlight w:val="none"/>
              </w:rPr>
              <w:t>中表2综合医疗机构和其他医疗机构水污染物排放限值预处理标准。</w:t>
            </w:r>
          </w:p>
          <w:p w14:paraId="6EA85782">
            <w:pPr>
              <w:pStyle w:val="2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（4）华宁县污水处理厂概况、接纳本项目污水的可行性和可靠性分析</w:t>
            </w:r>
          </w:p>
          <w:p w14:paraId="179C40B7">
            <w:pPr>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华宁县污水处理厂由华宁北控环保水务有限公司管理运营，位于华宁县江华公路延长线旁，占地面积35亩，其配套污水管网36km，处理规模2万吨/天，服务范围为县城区及周边部分村委会和社区，采用carrousel氧化沟工艺，排放标准为《城镇污水处理厂污染物排放标准》（GB18918-2002）一级A标准。</w:t>
            </w:r>
          </w:p>
          <w:p w14:paraId="4E1A9751">
            <w:pPr>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现状平均处理水量为1.01万吨/天，尚有0.99万吨/天的余量。根据工程分析，本项目废水排放量为2.56m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/d，仅占其余量的0.026%左右，项目废水量在污水处理厂承载范围内，故华宁县污水处理厂可接纳本项目废水。本项目紧邻东风路，东风路有市政管网接驳口，具备接管可行性。</w:t>
            </w:r>
          </w:p>
          <w:p w14:paraId="5D4911F5">
            <w:pPr>
              <w:pStyle w:val="2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综上分析，本项目废水进入华宁县污水处理厂处理是可行、可靠的。</w:t>
            </w:r>
          </w:p>
          <w:p w14:paraId="178E024C">
            <w:pPr>
              <w:pStyle w:val="1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（5）废水选择处理工艺可行性分析</w:t>
            </w:r>
          </w:p>
          <w:p w14:paraId="5333411C">
            <w:pPr>
              <w:pStyle w:val="11"/>
              <w:spacing w:line="360" w:lineRule="auto"/>
              <w:ind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本环评要求项目理化实验室特殊废水（即含酸碱废水、含重金属废水、含氰废水）、微生物实验室含病原体废水均分类收集、分质处理后方可与现有项目各类废水一同进入污水处理站进行生化处理。项目各废水预处理工艺及生化处理工艺均满足《医院污水处理工程技术规范》(HJ2029-2013)及《排污许可证申请与核发技术规范 医疗机构》（HJ 1105-2020）中推荐工艺，经上文分析，项目废水中各污染物均能得到有效控制，废水预处理设施排放口及废水总排口均可达标排放，因此，本环评中要求的各项废水收集治理措施可行。</w:t>
            </w:r>
          </w:p>
          <w:p w14:paraId="6BA04C4E">
            <w:pPr>
              <w:pStyle w:val="2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color w:val="auto"/>
                <w:sz w:val="24"/>
                <w:highlight w:val="none"/>
              </w:rPr>
              <w:t>5</w:t>
            </w:r>
            <w:r>
              <w:rPr>
                <w:rFonts w:hint="default" w:ascii="Times New Roman" w:hAnsi="Times New Roman" w:cs="Times New Roman"/>
                <w:b/>
                <w:bCs/>
                <w:color w:val="auto"/>
                <w:sz w:val="24"/>
                <w:highlight w:val="none"/>
              </w:rPr>
              <w:t>、结论</w:t>
            </w:r>
          </w:p>
          <w:p w14:paraId="27017DA9">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highlight w:val="none"/>
              </w:rPr>
              <w:t>项目各类废水分类收集，分质预处理使细菌病原体、酸碱性、氰化物等得到有效控制、重金属等第一类水污染物预处理设施排放口达标后，进入1座处理规模为10m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w:t>
            </w:r>
            <w:r>
              <w:rPr>
                <w:rFonts w:hint="default" w:ascii="Times New Roman" w:hAnsi="Times New Roman" w:cs="Times New Roman"/>
                <w:color w:val="auto"/>
                <w:szCs w:val="21"/>
                <w:highlight w:val="none"/>
              </w:rPr>
              <w:t>“缺氧+接触氧化+MBR+次氯酸钠消毒”工艺的</w:t>
            </w:r>
            <w:r>
              <w:rPr>
                <w:rFonts w:hint="default" w:ascii="Times New Roman" w:hAnsi="Times New Roman" w:cs="Times New Roman"/>
                <w:color w:val="auto"/>
                <w:highlight w:val="none"/>
              </w:rPr>
              <w:t>污水处理站处理达《医疗机构水污染物排放标准》</w:t>
            </w:r>
            <w:r>
              <w:rPr>
                <w:rFonts w:hint="eastAsia" w:ascii="Times New Roman" w:hAnsi="Times New Roman" w:cs="Times New Roman"/>
                <w:color w:val="auto"/>
                <w:highlight w:val="none"/>
                <w:lang w:eastAsia="zh-CN"/>
              </w:rPr>
              <w:t>（GB18466-2005，含2026年第1号修改单）</w:t>
            </w:r>
            <w:r>
              <w:rPr>
                <w:rFonts w:hint="default" w:ascii="Times New Roman" w:hAnsi="Times New Roman" w:cs="Times New Roman"/>
                <w:color w:val="auto"/>
                <w:highlight w:val="none"/>
              </w:rPr>
              <w:t>中表2综合医疗机构和其他医疗机构水污染物排放限值预处理标准后，排入市政污水管网，最终进入华宁县污水处理厂。项目</w:t>
            </w:r>
            <w:r>
              <w:rPr>
                <w:rFonts w:hint="default" w:ascii="Times New Roman" w:hAnsi="Times New Roman" w:cs="Times New Roman"/>
                <w:color w:val="auto"/>
                <w:szCs w:val="24"/>
                <w:highlight w:val="none"/>
                <w:lang w:bidi="ar"/>
              </w:rPr>
              <w:t>废水均妥善处置，</w:t>
            </w:r>
            <w:r>
              <w:rPr>
                <w:rFonts w:hint="default" w:ascii="Times New Roman" w:hAnsi="Times New Roman" w:cs="Times New Roman"/>
                <w:color w:val="auto"/>
                <w:szCs w:val="24"/>
                <w:highlight w:val="none"/>
              </w:rPr>
              <w:t>对周边地表水环境影响不大。</w:t>
            </w:r>
          </w:p>
          <w:p w14:paraId="446B1B78">
            <w:pPr>
              <w:pStyle w:val="19"/>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6、监测计划</w:t>
            </w:r>
          </w:p>
          <w:p w14:paraId="2A0FF895">
            <w:pPr>
              <w:pStyle w:val="101"/>
              <w:kinsoku w:val="0"/>
              <w:overflowPunct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为及时掌握项目运营期污染源变化情况，根据《排污单位自行监测技术指南 总则》（HJ819-2017）以及参考《排污许可证申请与核发技术规范 医疗机构》（HJ1105-2020），本项目废水排放监测的监测点位、监测指标、监测频次按以下监测计划：</w:t>
            </w:r>
          </w:p>
          <w:p w14:paraId="239D232C">
            <w:pPr>
              <w:pStyle w:val="101"/>
              <w:kinsoku w:val="0"/>
              <w:overflowPunct w:val="0"/>
              <w:spacing w:before="120" w:beforeLines="50"/>
              <w:ind w:firstLine="422" w:firstLineChars="20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表4-16 废水自行监测计划一览表</w:t>
            </w:r>
          </w:p>
          <w:tbl>
            <w:tblPr>
              <w:tblStyle w:val="33"/>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1942"/>
              <w:gridCol w:w="3737"/>
              <w:gridCol w:w="1732"/>
            </w:tblGrid>
            <w:tr w14:paraId="4534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Align w:val="center"/>
                </w:tcPr>
                <w:p w14:paraId="12EA7993">
                  <w:pPr>
                    <w:pStyle w:val="101"/>
                    <w:kinsoku w:val="0"/>
                    <w:overflowPunct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监测内容</w:t>
                  </w:r>
                </w:p>
              </w:tc>
              <w:tc>
                <w:tcPr>
                  <w:tcW w:w="1141" w:type="pct"/>
                  <w:vAlign w:val="center"/>
                </w:tcPr>
                <w:p w14:paraId="126C0809">
                  <w:pPr>
                    <w:widowControl/>
                    <w:jc w:val="center"/>
                    <w:rPr>
                      <w:rFonts w:hint="default" w:ascii="Times New Roman" w:hAnsi="Times New Roman" w:cs="Times New Roman"/>
                      <w:b/>
                      <w:color w:val="auto"/>
                      <w:szCs w:val="21"/>
                      <w:highlight w:val="none"/>
                    </w:rPr>
                  </w:pPr>
                  <w:r>
                    <w:rPr>
                      <w:rFonts w:hint="default" w:ascii="Times New Roman" w:hAnsi="Times New Roman" w:cs="Times New Roman"/>
                      <w:b/>
                      <w:bCs/>
                      <w:color w:val="auto"/>
                      <w:kern w:val="0"/>
                      <w:szCs w:val="21"/>
                      <w:highlight w:val="none"/>
                      <w:lang w:bidi="ar"/>
                    </w:rPr>
                    <w:t>监测点位</w:t>
                  </w:r>
                </w:p>
              </w:tc>
              <w:tc>
                <w:tcPr>
                  <w:tcW w:w="2196" w:type="pct"/>
                  <w:vAlign w:val="center"/>
                </w:tcPr>
                <w:p w14:paraId="4CD17776">
                  <w:pPr>
                    <w:widowControl/>
                    <w:jc w:val="center"/>
                    <w:rPr>
                      <w:rFonts w:hint="default" w:ascii="Times New Roman" w:hAnsi="Times New Roman" w:cs="Times New Roman"/>
                      <w:b/>
                      <w:color w:val="auto"/>
                      <w:szCs w:val="21"/>
                      <w:highlight w:val="none"/>
                    </w:rPr>
                  </w:pPr>
                  <w:r>
                    <w:rPr>
                      <w:rFonts w:hint="default" w:ascii="Times New Roman" w:hAnsi="Times New Roman" w:cs="Times New Roman"/>
                      <w:b/>
                      <w:bCs/>
                      <w:color w:val="auto"/>
                      <w:kern w:val="0"/>
                      <w:szCs w:val="21"/>
                      <w:highlight w:val="none"/>
                      <w:lang w:bidi="ar"/>
                    </w:rPr>
                    <w:t>监测项目</w:t>
                  </w:r>
                </w:p>
              </w:tc>
              <w:tc>
                <w:tcPr>
                  <w:tcW w:w="1018" w:type="pct"/>
                  <w:vAlign w:val="center"/>
                </w:tcPr>
                <w:p w14:paraId="2B9DAE45">
                  <w:pPr>
                    <w:widowControl/>
                    <w:jc w:val="center"/>
                    <w:rPr>
                      <w:rFonts w:hint="default" w:ascii="Times New Roman" w:hAnsi="Times New Roman" w:cs="Times New Roman"/>
                      <w:b/>
                      <w:color w:val="auto"/>
                      <w:szCs w:val="21"/>
                      <w:highlight w:val="none"/>
                    </w:rPr>
                  </w:pPr>
                  <w:r>
                    <w:rPr>
                      <w:rFonts w:hint="default" w:ascii="Times New Roman" w:hAnsi="Times New Roman" w:cs="Times New Roman"/>
                      <w:b/>
                      <w:bCs/>
                      <w:color w:val="auto"/>
                      <w:kern w:val="0"/>
                      <w:szCs w:val="21"/>
                      <w:highlight w:val="none"/>
                      <w:lang w:bidi="ar"/>
                    </w:rPr>
                    <w:t>监测频率</w:t>
                  </w:r>
                </w:p>
              </w:tc>
            </w:tr>
            <w:tr w14:paraId="19E0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restart"/>
                  <w:vAlign w:val="center"/>
                </w:tcPr>
                <w:p w14:paraId="32AF710F">
                  <w:pPr>
                    <w:pStyle w:val="101"/>
                    <w:kinsoku w:val="0"/>
                    <w:overflowPunct w:val="0"/>
                    <w:jc w:val="center"/>
                    <w:rPr>
                      <w:rFonts w:hint="default" w:ascii="Times New Roman" w:hAnsi="Times New Roman" w:cs="Times New Roman"/>
                      <w:b/>
                      <w:color w:val="auto"/>
                      <w:sz w:val="21"/>
                      <w:szCs w:val="21"/>
                      <w:highlight w:val="none"/>
                    </w:rPr>
                  </w:pPr>
                  <w:r>
                    <w:rPr>
                      <w:rFonts w:hint="default" w:ascii="Times New Roman" w:hAnsi="Times New Roman" w:cs="Times New Roman"/>
                      <w:bCs/>
                      <w:color w:val="auto"/>
                      <w:sz w:val="21"/>
                      <w:szCs w:val="21"/>
                      <w:highlight w:val="none"/>
                    </w:rPr>
                    <w:t>废水</w:t>
                  </w:r>
                </w:p>
              </w:tc>
              <w:tc>
                <w:tcPr>
                  <w:tcW w:w="1141" w:type="pct"/>
                  <w:vMerge w:val="restart"/>
                  <w:vAlign w:val="center"/>
                </w:tcPr>
                <w:p w14:paraId="008CFB59">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污水总排放口</w:t>
                  </w:r>
                </w:p>
              </w:tc>
              <w:tc>
                <w:tcPr>
                  <w:tcW w:w="2196" w:type="pct"/>
                  <w:vAlign w:val="center"/>
                </w:tcPr>
                <w:p w14:paraId="68F2C211">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流量</w:t>
                  </w:r>
                </w:p>
              </w:tc>
              <w:tc>
                <w:tcPr>
                  <w:tcW w:w="1018" w:type="pct"/>
                  <w:vAlign w:val="center"/>
                </w:tcPr>
                <w:p w14:paraId="4FFAD228">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自动监测</w:t>
                  </w:r>
                </w:p>
              </w:tc>
            </w:tr>
            <w:tr w14:paraId="5D8F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continue"/>
                  <w:vAlign w:val="center"/>
                </w:tcPr>
                <w:p w14:paraId="7FEDDD82">
                  <w:pPr>
                    <w:pStyle w:val="101"/>
                    <w:kinsoku w:val="0"/>
                    <w:overflowPunct w:val="0"/>
                    <w:jc w:val="center"/>
                    <w:rPr>
                      <w:rFonts w:hint="default" w:ascii="Times New Roman" w:hAnsi="Times New Roman" w:cs="Times New Roman"/>
                      <w:b/>
                      <w:color w:val="auto"/>
                      <w:sz w:val="21"/>
                      <w:szCs w:val="21"/>
                      <w:highlight w:val="none"/>
                    </w:rPr>
                  </w:pPr>
                </w:p>
              </w:tc>
              <w:tc>
                <w:tcPr>
                  <w:tcW w:w="1141" w:type="pct"/>
                  <w:vMerge w:val="continue"/>
                  <w:vAlign w:val="center"/>
                </w:tcPr>
                <w:p w14:paraId="1661511A">
                  <w:pPr>
                    <w:widowControl/>
                    <w:jc w:val="center"/>
                    <w:rPr>
                      <w:rFonts w:hint="default" w:ascii="Times New Roman" w:hAnsi="Times New Roman" w:cs="Times New Roman"/>
                      <w:color w:val="auto"/>
                      <w:kern w:val="0"/>
                      <w:szCs w:val="21"/>
                      <w:highlight w:val="none"/>
                    </w:rPr>
                  </w:pPr>
                </w:p>
              </w:tc>
              <w:tc>
                <w:tcPr>
                  <w:tcW w:w="2196" w:type="pct"/>
                  <w:vAlign w:val="center"/>
                </w:tcPr>
                <w:p w14:paraId="345E9C9E">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pH值</w:t>
                  </w:r>
                </w:p>
              </w:tc>
              <w:tc>
                <w:tcPr>
                  <w:tcW w:w="1018" w:type="pct"/>
                  <w:vAlign w:val="center"/>
                </w:tcPr>
                <w:p w14:paraId="2AD1825C">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1次/12小时</w:t>
                  </w:r>
                </w:p>
              </w:tc>
            </w:tr>
            <w:tr w14:paraId="4E2B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continue"/>
                  <w:vAlign w:val="center"/>
                </w:tcPr>
                <w:p w14:paraId="62652431">
                  <w:pPr>
                    <w:pStyle w:val="101"/>
                    <w:kinsoku w:val="0"/>
                    <w:overflowPunct w:val="0"/>
                    <w:jc w:val="center"/>
                    <w:rPr>
                      <w:rFonts w:hint="default" w:ascii="Times New Roman" w:hAnsi="Times New Roman" w:cs="Times New Roman"/>
                      <w:b/>
                      <w:color w:val="auto"/>
                      <w:sz w:val="21"/>
                      <w:szCs w:val="21"/>
                      <w:highlight w:val="none"/>
                    </w:rPr>
                  </w:pPr>
                </w:p>
              </w:tc>
              <w:tc>
                <w:tcPr>
                  <w:tcW w:w="1141" w:type="pct"/>
                  <w:vMerge w:val="continue"/>
                  <w:vAlign w:val="center"/>
                </w:tcPr>
                <w:p w14:paraId="33E1C287">
                  <w:pPr>
                    <w:widowControl/>
                    <w:jc w:val="center"/>
                    <w:rPr>
                      <w:rFonts w:hint="default" w:ascii="Times New Roman" w:hAnsi="Times New Roman" w:cs="Times New Roman"/>
                      <w:color w:val="auto"/>
                      <w:kern w:val="0"/>
                      <w:szCs w:val="21"/>
                      <w:highlight w:val="none"/>
                    </w:rPr>
                  </w:pPr>
                </w:p>
              </w:tc>
              <w:tc>
                <w:tcPr>
                  <w:tcW w:w="2196" w:type="pct"/>
                  <w:vAlign w:val="center"/>
                </w:tcPr>
                <w:p w14:paraId="756F601D">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化学需氧量、悬浮物</w:t>
                  </w:r>
                </w:p>
              </w:tc>
              <w:tc>
                <w:tcPr>
                  <w:tcW w:w="1018" w:type="pct"/>
                  <w:vAlign w:val="center"/>
                </w:tcPr>
                <w:p w14:paraId="05732B50">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1次/周</w:t>
                  </w:r>
                </w:p>
              </w:tc>
            </w:tr>
            <w:tr w14:paraId="601B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continue"/>
                  <w:vAlign w:val="center"/>
                </w:tcPr>
                <w:p w14:paraId="205DB1E0">
                  <w:pPr>
                    <w:pStyle w:val="101"/>
                    <w:kinsoku w:val="0"/>
                    <w:overflowPunct w:val="0"/>
                    <w:jc w:val="center"/>
                    <w:rPr>
                      <w:rFonts w:hint="default" w:ascii="Times New Roman" w:hAnsi="Times New Roman" w:cs="Times New Roman"/>
                      <w:b/>
                      <w:color w:val="auto"/>
                      <w:sz w:val="21"/>
                      <w:szCs w:val="21"/>
                      <w:highlight w:val="none"/>
                    </w:rPr>
                  </w:pPr>
                </w:p>
              </w:tc>
              <w:tc>
                <w:tcPr>
                  <w:tcW w:w="1141" w:type="pct"/>
                  <w:vMerge w:val="continue"/>
                  <w:vAlign w:val="center"/>
                </w:tcPr>
                <w:p w14:paraId="7B75A8CB">
                  <w:pPr>
                    <w:widowControl/>
                    <w:jc w:val="center"/>
                    <w:rPr>
                      <w:rFonts w:hint="default" w:ascii="Times New Roman" w:hAnsi="Times New Roman" w:cs="Times New Roman"/>
                      <w:color w:val="auto"/>
                      <w:kern w:val="0"/>
                      <w:szCs w:val="21"/>
                      <w:highlight w:val="none"/>
                    </w:rPr>
                  </w:pPr>
                </w:p>
              </w:tc>
              <w:tc>
                <w:tcPr>
                  <w:tcW w:w="2196" w:type="pct"/>
                  <w:vAlign w:val="center"/>
                </w:tcPr>
                <w:p w14:paraId="60A3C240">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粪大肠菌群</w:t>
                  </w:r>
                </w:p>
              </w:tc>
              <w:tc>
                <w:tcPr>
                  <w:tcW w:w="1018" w:type="pct"/>
                  <w:vAlign w:val="center"/>
                </w:tcPr>
                <w:p w14:paraId="57564165">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1次/月</w:t>
                  </w:r>
                </w:p>
              </w:tc>
            </w:tr>
            <w:tr w14:paraId="276E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continue"/>
                  <w:vAlign w:val="center"/>
                </w:tcPr>
                <w:p w14:paraId="0A6F274E">
                  <w:pPr>
                    <w:pStyle w:val="101"/>
                    <w:kinsoku w:val="0"/>
                    <w:overflowPunct w:val="0"/>
                    <w:jc w:val="center"/>
                    <w:rPr>
                      <w:rFonts w:hint="default" w:ascii="Times New Roman" w:hAnsi="Times New Roman" w:cs="Times New Roman"/>
                      <w:b/>
                      <w:color w:val="auto"/>
                      <w:sz w:val="21"/>
                      <w:szCs w:val="21"/>
                      <w:highlight w:val="none"/>
                    </w:rPr>
                  </w:pPr>
                </w:p>
              </w:tc>
              <w:tc>
                <w:tcPr>
                  <w:tcW w:w="1141" w:type="pct"/>
                  <w:vMerge w:val="continue"/>
                  <w:vAlign w:val="center"/>
                </w:tcPr>
                <w:p w14:paraId="4E7AF5B7">
                  <w:pPr>
                    <w:widowControl/>
                    <w:jc w:val="center"/>
                    <w:rPr>
                      <w:rFonts w:hint="default" w:ascii="Times New Roman" w:hAnsi="Times New Roman" w:cs="Times New Roman"/>
                      <w:color w:val="auto"/>
                      <w:kern w:val="0"/>
                      <w:szCs w:val="21"/>
                      <w:highlight w:val="none"/>
                    </w:rPr>
                  </w:pPr>
                </w:p>
              </w:tc>
              <w:tc>
                <w:tcPr>
                  <w:tcW w:w="2196" w:type="pct"/>
                  <w:vAlign w:val="center"/>
                </w:tcPr>
                <w:p w14:paraId="4BE74915">
                  <w:pPr>
                    <w:widowControl/>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结核杆菌、五日生化需氧量、石油类、挥发酚、动植物油、阴离子表面活性剂、总氰化物、肠道致病菌（沙门氏菌）、色度、氨氮、</w:t>
                  </w:r>
                  <w:bookmarkStart w:id="15" w:name="OLE_LINK9"/>
                  <w:r>
                    <w:rPr>
                      <w:rFonts w:hint="default" w:ascii="Times New Roman" w:hAnsi="Times New Roman" w:cs="Times New Roman"/>
                      <w:color w:val="auto"/>
                      <w:kern w:val="0"/>
                      <w:szCs w:val="21"/>
                      <w:highlight w:val="none"/>
                      <w:lang w:bidi="ar"/>
                    </w:rPr>
                    <w:t>总余氯</w:t>
                  </w:r>
                  <w:bookmarkEnd w:id="15"/>
                </w:p>
              </w:tc>
              <w:tc>
                <w:tcPr>
                  <w:tcW w:w="1018" w:type="pct"/>
                  <w:vMerge w:val="restart"/>
                  <w:vAlign w:val="center"/>
                </w:tcPr>
                <w:p w14:paraId="307C0051">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1次/季度</w:t>
                  </w:r>
                </w:p>
              </w:tc>
            </w:tr>
            <w:tr w14:paraId="733D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continue"/>
                  <w:vAlign w:val="center"/>
                </w:tcPr>
                <w:p w14:paraId="539D58D7">
                  <w:pPr>
                    <w:pStyle w:val="101"/>
                    <w:kinsoku w:val="0"/>
                    <w:overflowPunct w:val="0"/>
                    <w:jc w:val="center"/>
                    <w:rPr>
                      <w:rFonts w:hint="default" w:ascii="Times New Roman" w:hAnsi="Times New Roman" w:cs="Times New Roman"/>
                      <w:b/>
                      <w:color w:val="auto"/>
                      <w:sz w:val="21"/>
                      <w:szCs w:val="21"/>
                      <w:highlight w:val="none"/>
                    </w:rPr>
                  </w:pPr>
                </w:p>
              </w:tc>
              <w:tc>
                <w:tcPr>
                  <w:tcW w:w="1141" w:type="pct"/>
                  <w:vMerge w:val="restart"/>
                  <w:vAlign w:val="center"/>
                </w:tcPr>
                <w:p w14:paraId="3D805B6D">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科室或预处理设施排放口</w:t>
                  </w:r>
                </w:p>
              </w:tc>
              <w:tc>
                <w:tcPr>
                  <w:tcW w:w="2196" w:type="pct"/>
                  <w:vAlign w:val="center"/>
                </w:tcPr>
                <w:p w14:paraId="3DD386C0">
                  <w:pPr>
                    <w:widowControl/>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总汞、总铬、六价铬、总镉、总砷、总铅、总银</w:t>
                  </w:r>
                </w:p>
              </w:tc>
              <w:tc>
                <w:tcPr>
                  <w:tcW w:w="1018" w:type="pct"/>
                  <w:vMerge w:val="continue"/>
                  <w:vAlign w:val="center"/>
                </w:tcPr>
                <w:p w14:paraId="0941338E">
                  <w:pPr>
                    <w:widowControl/>
                    <w:jc w:val="center"/>
                    <w:rPr>
                      <w:rFonts w:hint="default" w:ascii="Times New Roman" w:hAnsi="Times New Roman" w:cs="Times New Roman"/>
                      <w:color w:val="auto"/>
                      <w:kern w:val="0"/>
                      <w:szCs w:val="21"/>
                      <w:highlight w:val="none"/>
                      <w:lang w:bidi="ar"/>
                    </w:rPr>
                  </w:pPr>
                </w:p>
              </w:tc>
            </w:tr>
            <w:tr w14:paraId="1E92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continue"/>
                  <w:vAlign w:val="center"/>
                </w:tcPr>
                <w:p w14:paraId="20BAC50A">
                  <w:pPr>
                    <w:pStyle w:val="101"/>
                    <w:kinsoku w:val="0"/>
                    <w:overflowPunct w:val="0"/>
                    <w:jc w:val="center"/>
                    <w:rPr>
                      <w:rFonts w:hint="default" w:ascii="Times New Roman" w:hAnsi="Times New Roman" w:cs="Times New Roman"/>
                      <w:b/>
                      <w:color w:val="auto"/>
                      <w:sz w:val="21"/>
                      <w:szCs w:val="21"/>
                      <w:highlight w:val="none"/>
                    </w:rPr>
                  </w:pPr>
                </w:p>
              </w:tc>
              <w:tc>
                <w:tcPr>
                  <w:tcW w:w="1141" w:type="pct"/>
                  <w:vMerge w:val="continue"/>
                  <w:vAlign w:val="center"/>
                </w:tcPr>
                <w:p w14:paraId="51E9CCA8">
                  <w:pPr>
                    <w:widowControl/>
                    <w:jc w:val="center"/>
                    <w:rPr>
                      <w:rFonts w:hint="default" w:ascii="Times New Roman" w:hAnsi="Times New Roman" w:cs="Times New Roman"/>
                      <w:color w:val="auto"/>
                      <w:kern w:val="0"/>
                      <w:szCs w:val="21"/>
                      <w:highlight w:val="none"/>
                    </w:rPr>
                  </w:pPr>
                </w:p>
              </w:tc>
              <w:tc>
                <w:tcPr>
                  <w:tcW w:w="2196" w:type="pct"/>
                  <w:vAlign w:val="center"/>
                </w:tcPr>
                <w:p w14:paraId="63F7C2EB">
                  <w:pPr>
                    <w:widowControl/>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总氰化物</w:t>
                  </w:r>
                </w:p>
              </w:tc>
              <w:tc>
                <w:tcPr>
                  <w:tcW w:w="1018" w:type="pct"/>
                  <w:vMerge w:val="continue"/>
                  <w:vAlign w:val="center"/>
                </w:tcPr>
                <w:p w14:paraId="3B6AD7DE">
                  <w:pPr>
                    <w:widowControl/>
                    <w:jc w:val="center"/>
                    <w:rPr>
                      <w:rFonts w:hint="default" w:ascii="Times New Roman" w:hAnsi="Times New Roman" w:cs="Times New Roman"/>
                      <w:color w:val="auto"/>
                      <w:kern w:val="0"/>
                      <w:szCs w:val="21"/>
                      <w:highlight w:val="none"/>
                      <w:lang w:bidi="ar"/>
                    </w:rPr>
                  </w:pPr>
                </w:p>
              </w:tc>
            </w:tr>
            <w:tr w14:paraId="2CA5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continue"/>
                  <w:vAlign w:val="center"/>
                </w:tcPr>
                <w:p w14:paraId="50D3B260">
                  <w:pPr>
                    <w:pStyle w:val="101"/>
                    <w:kinsoku w:val="0"/>
                    <w:overflowPunct w:val="0"/>
                    <w:jc w:val="center"/>
                    <w:rPr>
                      <w:rFonts w:hint="default" w:ascii="Times New Roman" w:hAnsi="Times New Roman" w:cs="Times New Roman"/>
                      <w:b/>
                      <w:color w:val="auto"/>
                      <w:sz w:val="21"/>
                      <w:szCs w:val="21"/>
                      <w:highlight w:val="none"/>
                    </w:rPr>
                  </w:pPr>
                </w:p>
              </w:tc>
              <w:tc>
                <w:tcPr>
                  <w:tcW w:w="1141" w:type="pct"/>
                  <w:vMerge w:val="continue"/>
                  <w:vAlign w:val="center"/>
                </w:tcPr>
                <w:p w14:paraId="03E5833C">
                  <w:pPr>
                    <w:widowControl/>
                    <w:jc w:val="center"/>
                    <w:rPr>
                      <w:rFonts w:hint="default" w:ascii="Times New Roman" w:hAnsi="Times New Roman" w:cs="Times New Roman"/>
                      <w:color w:val="auto"/>
                      <w:kern w:val="0"/>
                      <w:szCs w:val="21"/>
                      <w:highlight w:val="none"/>
                    </w:rPr>
                  </w:pPr>
                </w:p>
              </w:tc>
              <w:tc>
                <w:tcPr>
                  <w:tcW w:w="2196" w:type="pct"/>
                  <w:vAlign w:val="center"/>
                </w:tcPr>
                <w:p w14:paraId="3EA437C8">
                  <w:pPr>
                    <w:widowControl/>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结核杆菌、粪大肠菌群、肠道致病菌（沙门氏菌）、生物毒性等</w:t>
                  </w:r>
                </w:p>
              </w:tc>
              <w:tc>
                <w:tcPr>
                  <w:tcW w:w="1018" w:type="pct"/>
                  <w:vMerge w:val="continue"/>
                  <w:vAlign w:val="center"/>
                </w:tcPr>
                <w:p w14:paraId="078F3A00">
                  <w:pPr>
                    <w:widowControl/>
                    <w:jc w:val="center"/>
                    <w:rPr>
                      <w:rFonts w:hint="default" w:ascii="Times New Roman" w:hAnsi="Times New Roman" w:cs="Times New Roman"/>
                      <w:color w:val="auto"/>
                      <w:kern w:val="0"/>
                      <w:szCs w:val="21"/>
                      <w:highlight w:val="none"/>
                      <w:lang w:bidi="ar"/>
                    </w:rPr>
                  </w:pPr>
                </w:p>
              </w:tc>
            </w:tr>
            <w:tr w14:paraId="1945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pct"/>
                  <w:vMerge w:val="continue"/>
                  <w:vAlign w:val="center"/>
                </w:tcPr>
                <w:p w14:paraId="72B8C85E">
                  <w:pPr>
                    <w:pStyle w:val="101"/>
                    <w:kinsoku w:val="0"/>
                    <w:overflowPunct w:val="0"/>
                    <w:jc w:val="center"/>
                    <w:rPr>
                      <w:rFonts w:hint="default" w:ascii="Times New Roman" w:hAnsi="Times New Roman" w:cs="Times New Roman"/>
                      <w:b/>
                      <w:color w:val="auto"/>
                      <w:sz w:val="21"/>
                      <w:szCs w:val="21"/>
                      <w:highlight w:val="none"/>
                    </w:rPr>
                  </w:pPr>
                </w:p>
              </w:tc>
              <w:tc>
                <w:tcPr>
                  <w:tcW w:w="1141" w:type="pct"/>
                  <w:vAlign w:val="center"/>
                </w:tcPr>
                <w:p w14:paraId="6A2BD0D0">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消毒池（接触池）出口</w:t>
                  </w:r>
                </w:p>
              </w:tc>
              <w:tc>
                <w:tcPr>
                  <w:tcW w:w="2196" w:type="pct"/>
                  <w:vAlign w:val="center"/>
                </w:tcPr>
                <w:p w14:paraId="65D27663">
                  <w:pPr>
                    <w:widowControl/>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总余氯</w:t>
                  </w:r>
                </w:p>
              </w:tc>
              <w:tc>
                <w:tcPr>
                  <w:tcW w:w="1018" w:type="pct"/>
                  <w:vAlign w:val="center"/>
                </w:tcPr>
                <w:p w14:paraId="1BBD79A7">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1次/12小时</w:t>
                  </w:r>
                </w:p>
              </w:tc>
            </w:tr>
          </w:tbl>
          <w:p w14:paraId="5F346AF2">
            <w:pPr>
              <w:keepNext w:val="0"/>
              <w:keepLines w:val="0"/>
              <w:pageBreakBefore w:val="0"/>
              <w:widowControl w:val="0"/>
              <w:kinsoku/>
              <w:wordWrap/>
              <w:overflowPunct/>
              <w:topLinePunct w:val="0"/>
              <w:autoSpaceDE/>
              <w:autoSpaceDN/>
              <w:bidi w:val="0"/>
              <w:adjustRightInd/>
              <w:spacing w:line="360" w:lineRule="auto"/>
              <w:jc w:val="left"/>
              <w:textAlignment w:val="auto"/>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kern w:val="0"/>
                <w:sz w:val="28"/>
                <w:szCs w:val="28"/>
                <w:highlight w:val="none"/>
                <w:lang w:bidi="ar"/>
              </w:rPr>
              <w:t xml:space="preserve">4.2.3 </w:t>
            </w:r>
            <w:r>
              <w:rPr>
                <w:rFonts w:hint="default" w:ascii="Times New Roman" w:hAnsi="Times New Roman" w:cs="Times New Roman"/>
                <w:b/>
                <w:bCs/>
                <w:color w:val="auto"/>
                <w:sz w:val="28"/>
                <w:szCs w:val="28"/>
                <w:highlight w:val="none"/>
              </w:rPr>
              <w:t>噪声环境影响和保护措施</w:t>
            </w:r>
          </w:p>
          <w:p w14:paraId="7ABB941D">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1、</w:t>
            </w:r>
            <w:r>
              <w:rPr>
                <w:rFonts w:hint="default" w:ascii="Times New Roman" w:hAnsi="Times New Roman" w:cs="Times New Roman"/>
                <w:b/>
                <w:bCs/>
                <w:color w:val="auto"/>
                <w:spacing w:val="-10"/>
                <w:sz w:val="24"/>
                <w:highlight w:val="none"/>
              </w:rPr>
              <w:t>噪声源强分析</w:t>
            </w:r>
          </w:p>
          <w:p w14:paraId="71367445">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cs="Times New Roman"/>
                <w:b/>
                <w:color w:val="auto"/>
                <w:szCs w:val="21"/>
                <w:highlight w:val="none"/>
              </w:rPr>
            </w:pPr>
            <w:r>
              <w:rPr>
                <w:rFonts w:hint="default" w:ascii="Times New Roman" w:hAnsi="Times New Roman" w:cs="Times New Roman"/>
                <w:color w:val="auto"/>
                <w:sz w:val="24"/>
                <w:highlight w:val="none"/>
              </w:rPr>
              <w:t>项目实验设备在运行过程中噪声较小，噪声污染源主要为通风柜、空调系统、风机、水泵和发电机运行时产生的噪声，噪声源强为70~85dB（A）。</w:t>
            </w:r>
            <w:r>
              <w:rPr>
                <w:rFonts w:hint="default" w:ascii="Times New Roman" w:hAnsi="Times New Roman" w:cs="Times New Roman"/>
                <w:color w:val="auto"/>
                <w:kern w:val="0"/>
                <w:sz w:val="24"/>
                <w:highlight w:val="none"/>
                <w:lang w:bidi="ar"/>
              </w:rPr>
              <w:t>通过选用低噪声设备、合理布局、基础减震，墙体隔声等措施，噪声值可降低10~20dB（A）</w:t>
            </w:r>
            <w:r>
              <w:rPr>
                <w:rFonts w:hint="default" w:ascii="Times New Roman" w:hAnsi="Times New Roman" w:cs="Times New Roman"/>
                <w:color w:val="auto"/>
                <w:sz w:val="24"/>
                <w:highlight w:val="none"/>
              </w:rPr>
              <w:t>，具体噪声源强见下表。</w:t>
            </w:r>
          </w:p>
          <w:p w14:paraId="39C0DB1D">
            <w:pPr>
              <w:adjustRightInd w:val="0"/>
              <w:snapToGrid w:val="0"/>
              <w:spacing w:before="120" w:beforeLine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表4-17 工业企业噪声声源源强调查清单（室内声源）</w:t>
            </w:r>
          </w:p>
          <w:tbl>
            <w:tblPr>
              <w:tblStyle w:val="33"/>
              <w:tblW w:w="8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
              <w:gridCol w:w="390"/>
              <w:gridCol w:w="915"/>
              <w:gridCol w:w="690"/>
              <w:gridCol w:w="660"/>
              <w:gridCol w:w="730"/>
              <w:gridCol w:w="641"/>
              <w:gridCol w:w="514"/>
              <w:gridCol w:w="470"/>
              <w:gridCol w:w="705"/>
              <w:gridCol w:w="705"/>
              <w:gridCol w:w="495"/>
              <w:gridCol w:w="630"/>
              <w:gridCol w:w="668"/>
            </w:tblGrid>
            <w:tr w14:paraId="1995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Merge w:val="restart"/>
                  <w:vAlign w:val="center"/>
                </w:tcPr>
                <w:p w14:paraId="68783E13">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序号</w:t>
                  </w:r>
                </w:p>
              </w:tc>
              <w:tc>
                <w:tcPr>
                  <w:tcW w:w="390" w:type="dxa"/>
                  <w:vMerge w:val="restart"/>
                  <w:vAlign w:val="center"/>
                </w:tcPr>
                <w:p w14:paraId="362F0B00">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建</w:t>
                  </w:r>
                </w:p>
                <w:p w14:paraId="3ADD0124">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筑</w:t>
                  </w:r>
                </w:p>
                <w:p w14:paraId="7E0EF65B">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物</w:t>
                  </w:r>
                </w:p>
                <w:p w14:paraId="7F36F3DE">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名</w:t>
                  </w:r>
                </w:p>
                <w:p w14:paraId="5863F5ED">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称</w:t>
                  </w:r>
                </w:p>
              </w:tc>
              <w:tc>
                <w:tcPr>
                  <w:tcW w:w="915" w:type="dxa"/>
                  <w:vMerge w:val="restart"/>
                  <w:vAlign w:val="center"/>
                </w:tcPr>
                <w:p w14:paraId="0920D578">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声源</w:t>
                  </w:r>
                </w:p>
                <w:p w14:paraId="58F56A5D">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名称</w:t>
                  </w:r>
                </w:p>
              </w:tc>
              <w:tc>
                <w:tcPr>
                  <w:tcW w:w="690" w:type="dxa"/>
                  <w:vAlign w:val="center"/>
                </w:tcPr>
                <w:p w14:paraId="6A6CE55D">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声源</w:t>
                  </w:r>
                </w:p>
                <w:p w14:paraId="15C65885">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源强</w:t>
                  </w:r>
                </w:p>
              </w:tc>
              <w:tc>
                <w:tcPr>
                  <w:tcW w:w="660" w:type="dxa"/>
                  <w:vMerge w:val="restart"/>
                  <w:vAlign w:val="center"/>
                </w:tcPr>
                <w:p w14:paraId="7794946E">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声源控制</w:t>
                  </w:r>
                </w:p>
                <w:p w14:paraId="49FC7C04">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措施</w:t>
                  </w:r>
                </w:p>
              </w:tc>
              <w:tc>
                <w:tcPr>
                  <w:tcW w:w="1885" w:type="dxa"/>
                  <w:gridSpan w:val="3"/>
                  <w:vAlign w:val="center"/>
                </w:tcPr>
                <w:p w14:paraId="45D66D9F">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相对位置/m</w:t>
                  </w:r>
                  <w:r>
                    <w:rPr>
                      <w:rFonts w:hint="default" w:ascii="Times New Roman" w:hAnsi="Times New Roman" w:cs="Times New Roman"/>
                      <w:b/>
                      <w:bCs/>
                      <w:color w:val="auto"/>
                      <w:szCs w:val="21"/>
                      <w:highlight w:val="none"/>
                    </w:rPr>
                    <w:t>（以扩建后疾控中心南角为坐标原点）</w:t>
                  </w:r>
                </w:p>
              </w:tc>
              <w:tc>
                <w:tcPr>
                  <w:tcW w:w="470" w:type="dxa"/>
                  <w:vMerge w:val="restart"/>
                  <w:vAlign w:val="center"/>
                </w:tcPr>
                <w:p w14:paraId="6CE294E7">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距室内边界距离/m</w:t>
                  </w:r>
                </w:p>
              </w:tc>
              <w:tc>
                <w:tcPr>
                  <w:tcW w:w="705" w:type="dxa"/>
                  <w:vMerge w:val="restart"/>
                  <w:vAlign w:val="center"/>
                </w:tcPr>
                <w:p w14:paraId="1CA35537">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室内边界声级/dB（A）</w:t>
                  </w:r>
                </w:p>
              </w:tc>
              <w:tc>
                <w:tcPr>
                  <w:tcW w:w="705" w:type="dxa"/>
                  <w:vMerge w:val="restart"/>
                  <w:vAlign w:val="center"/>
                </w:tcPr>
                <w:p w14:paraId="35D534C3">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运行</w:t>
                  </w:r>
                </w:p>
                <w:p w14:paraId="20D11289">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时段</w:t>
                  </w:r>
                </w:p>
              </w:tc>
              <w:tc>
                <w:tcPr>
                  <w:tcW w:w="495" w:type="dxa"/>
                  <w:vMerge w:val="restart"/>
                  <w:vAlign w:val="center"/>
                </w:tcPr>
                <w:p w14:paraId="4CDD0F30">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建筑物插入损失/dB（A）</w:t>
                  </w:r>
                </w:p>
              </w:tc>
              <w:tc>
                <w:tcPr>
                  <w:tcW w:w="1298" w:type="dxa"/>
                  <w:gridSpan w:val="2"/>
                  <w:vAlign w:val="center"/>
                </w:tcPr>
                <w:p w14:paraId="6EA7D58F">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建筑物</w:t>
                  </w:r>
                </w:p>
                <w:p w14:paraId="7376A661">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外噪声</w:t>
                  </w:r>
                </w:p>
              </w:tc>
            </w:tr>
            <w:tr w14:paraId="2AA0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Merge w:val="continue"/>
                  <w:vAlign w:val="center"/>
                </w:tcPr>
                <w:p w14:paraId="6DB49878">
                  <w:pPr>
                    <w:adjustRightInd w:val="0"/>
                    <w:snapToGrid w:val="0"/>
                    <w:jc w:val="center"/>
                    <w:rPr>
                      <w:rFonts w:hint="default" w:ascii="Times New Roman" w:hAnsi="Times New Roman" w:cs="Times New Roman"/>
                      <w:b/>
                      <w:color w:val="auto"/>
                      <w:highlight w:val="none"/>
                    </w:rPr>
                  </w:pPr>
                </w:p>
              </w:tc>
              <w:tc>
                <w:tcPr>
                  <w:tcW w:w="390" w:type="dxa"/>
                  <w:vMerge w:val="continue"/>
                  <w:vAlign w:val="center"/>
                </w:tcPr>
                <w:p w14:paraId="76677887">
                  <w:pPr>
                    <w:adjustRightInd w:val="0"/>
                    <w:snapToGrid w:val="0"/>
                    <w:jc w:val="center"/>
                    <w:rPr>
                      <w:rFonts w:hint="default" w:ascii="Times New Roman" w:hAnsi="Times New Roman" w:cs="Times New Roman"/>
                      <w:b/>
                      <w:color w:val="auto"/>
                      <w:highlight w:val="none"/>
                    </w:rPr>
                  </w:pPr>
                </w:p>
              </w:tc>
              <w:tc>
                <w:tcPr>
                  <w:tcW w:w="915" w:type="dxa"/>
                  <w:vMerge w:val="continue"/>
                  <w:vAlign w:val="center"/>
                </w:tcPr>
                <w:p w14:paraId="22C3C6A4">
                  <w:pPr>
                    <w:adjustRightInd w:val="0"/>
                    <w:snapToGrid w:val="0"/>
                    <w:jc w:val="center"/>
                    <w:rPr>
                      <w:rFonts w:hint="default" w:ascii="Times New Roman" w:hAnsi="Times New Roman" w:cs="Times New Roman"/>
                      <w:b/>
                      <w:color w:val="auto"/>
                      <w:highlight w:val="none"/>
                    </w:rPr>
                  </w:pPr>
                </w:p>
              </w:tc>
              <w:tc>
                <w:tcPr>
                  <w:tcW w:w="690" w:type="dxa"/>
                  <w:vAlign w:val="center"/>
                </w:tcPr>
                <w:p w14:paraId="43920E27">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声功</w:t>
                  </w:r>
                </w:p>
                <w:p w14:paraId="68A78681">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 xml:space="preserve">率级/ </w:t>
                  </w:r>
                </w:p>
              </w:tc>
              <w:tc>
                <w:tcPr>
                  <w:tcW w:w="660" w:type="dxa"/>
                  <w:vMerge w:val="continue"/>
                  <w:vAlign w:val="center"/>
                </w:tcPr>
                <w:p w14:paraId="308416FD">
                  <w:pPr>
                    <w:adjustRightInd w:val="0"/>
                    <w:snapToGrid w:val="0"/>
                    <w:jc w:val="center"/>
                    <w:rPr>
                      <w:rFonts w:hint="default" w:ascii="Times New Roman" w:hAnsi="Times New Roman" w:cs="Times New Roman"/>
                      <w:b/>
                      <w:color w:val="auto"/>
                      <w:szCs w:val="21"/>
                      <w:highlight w:val="none"/>
                    </w:rPr>
                  </w:pPr>
                </w:p>
              </w:tc>
              <w:tc>
                <w:tcPr>
                  <w:tcW w:w="730" w:type="dxa"/>
                  <w:vAlign w:val="center"/>
                </w:tcPr>
                <w:p w14:paraId="22038A63">
                  <w:pPr>
                    <w:adjustRightInd w:val="0"/>
                    <w:snapToGrid w:val="0"/>
                    <w:spacing w:line="288" w:lineRule="auto"/>
                    <w:jc w:val="center"/>
                    <w:rPr>
                      <w:rFonts w:hint="default" w:ascii="Times New Roman" w:hAnsi="Times New Roman" w:cs="Times New Roman"/>
                      <w:b/>
                      <w:color w:val="auto"/>
                      <w:highlight w:val="none"/>
                    </w:rPr>
                  </w:pPr>
                  <w:r>
                    <w:rPr>
                      <w:rFonts w:hint="default" w:ascii="Times New Roman" w:hAnsi="Times New Roman" w:cs="Times New Roman"/>
                      <w:b/>
                      <w:color w:val="auto"/>
                      <w:szCs w:val="21"/>
                      <w:highlight w:val="none"/>
                    </w:rPr>
                    <w:t>X</w:t>
                  </w:r>
                </w:p>
              </w:tc>
              <w:tc>
                <w:tcPr>
                  <w:tcW w:w="641" w:type="dxa"/>
                  <w:vAlign w:val="center"/>
                </w:tcPr>
                <w:p w14:paraId="08ACE395">
                  <w:pPr>
                    <w:adjustRightInd w:val="0"/>
                    <w:snapToGrid w:val="0"/>
                    <w:spacing w:line="288" w:lineRule="auto"/>
                    <w:jc w:val="center"/>
                    <w:rPr>
                      <w:rFonts w:hint="default" w:ascii="Times New Roman" w:hAnsi="Times New Roman" w:cs="Times New Roman"/>
                      <w:b/>
                      <w:color w:val="auto"/>
                      <w:highlight w:val="none"/>
                    </w:rPr>
                  </w:pPr>
                  <w:r>
                    <w:rPr>
                      <w:rFonts w:hint="default" w:ascii="Times New Roman" w:hAnsi="Times New Roman" w:cs="Times New Roman"/>
                      <w:b/>
                      <w:color w:val="auto"/>
                      <w:szCs w:val="21"/>
                      <w:highlight w:val="none"/>
                    </w:rPr>
                    <w:t>Y</w:t>
                  </w:r>
                </w:p>
              </w:tc>
              <w:tc>
                <w:tcPr>
                  <w:tcW w:w="514" w:type="dxa"/>
                  <w:vAlign w:val="center"/>
                </w:tcPr>
                <w:p w14:paraId="13D6452A">
                  <w:pPr>
                    <w:adjustRightInd w:val="0"/>
                    <w:snapToGrid w:val="0"/>
                    <w:spacing w:line="288"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Z</w:t>
                  </w:r>
                </w:p>
              </w:tc>
              <w:tc>
                <w:tcPr>
                  <w:tcW w:w="470" w:type="dxa"/>
                  <w:vMerge w:val="continue"/>
                  <w:vAlign w:val="center"/>
                </w:tcPr>
                <w:p w14:paraId="4179F638">
                  <w:pPr>
                    <w:adjustRightInd w:val="0"/>
                    <w:snapToGrid w:val="0"/>
                    <w:jc w:val="center"/>
                    <w:rPr>
                      <w:rFonts w:hint="default" w:ascii="Times New Roman" w:hAnsi="Times New Roman" w:cs="Times New Roman"/>
                      <w:b/>
                      <w:color w:val="auto"/>
                      <w:szCs w:val="21"/>
                      <w:highlight w:val="none"/>
                    </w:rPr>
                  </w:pPr>
                </w:p>
              </w:tc>
              <w:tc>
                <w:tcPr>
                  <w:tcW w:w="705" w:type="dxa"/>
                  <w:vMerge w:val="continue"/>
                  <w:vAlign w:val="center"/>
                </w:tcPr>
                <w:p w14:paraId="5A83818C">
                  <w:pPr>
                    <w:adjustRightInd w:val="0"/>
                    <w:snapToGrid w:val="0"/>
                    <w:jc w:val="center"/>
                    <w:rPr>
                      <w:rFonts w:hint="default" w:ascii="Times New Roman" w:hAnsi="Times New Roman" w:cs="Times New Roman"/>
                      <w:b/>
                      <w:color w:val="auto"/>
                      <w:szCs w:val="21"/>
                      <w:highlight w:val="none"/>
                    </w:rPr>
                  </w:pPr>
                </w:p>
              </w:tc>
              <w:tc>
                <w:tcPr>
                  <w:tcW w:w="705" w:type="dxa"/>
                  <w:vMerge w:val="continue"/>
                  <w:vAlign w:val="center"/>
                </w:tcPr>
                <w:p w14:paraId="3F39063E">
                  <w:pPr>
                    <w:adjustRightInd w:val="0"/>
                    <w:snapToGrid w:val="0"/>
                    <w:jc w:val="center"/>
                    <w:rPr>
                      <w:rFonts w:hint="default" w:ascii="Times New Roman" w:hAnsi="Times New Roman" w:cs="Times New Roman"/>
                      <w:b/>
                      <w:color w:val="auto"/>
                      <w:szCs w:val="21"/>
                      <w:highlight w:val="none"/>
                    </w:rPr>
                  </w:pPr>
                </w:p>
              </w:tc>
              <w:tc>
                <w:tcPr>
                  <w:tcW w:w="495" w:type="dxa"/>
                  <w:vMerge w:val="continue"/>
                  <w:vAlign w:val="center"/>
                </w:tcPr>
                <w:p w14:paraId="39B0BAAD">
                  <w:pPr>
                    <w:adjustRightInd w:val="0"/>
                    <w:snapToGrid w:val="0"/>
                    <w:jc w:val="center"/>
                    <w:rPr>
                      <w:rFonts w:hint="default" w:ascii="Times New Roman" w:hAnsi="Times New Roman" w:cs="Times New Roman"/>
                      <w:b/>
                      <w:color w:val="auto"/>
                      <w:szCs w:val="21"/>
                      <w:highlight w:val="none"/>
                    </w:rPr>
                  </w:pPr>
                </w:p>
              </w:tc>
              <w:tc>
                <w:tcPr>
                  <w:tcW w:w="630" w:type="dxa"/>
                  <w:vAlign w:val="center"/>
                </w:tcPr>
                <w:p w14:paraId="508AAB98">
                  <w:pPr>
                    <w:adjustRightInd w:val="0"/>
                    <w:snapToGrid w:val="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声压级/</w:t>
                  </w:r>
                  <w:r>
                    <w:rPr>
                      <w:rFonts w:hint="default" w:ascii="Times New Roman" w:hAnsi="Times New Roman" w:cs="Times New Roman"/>
                      <w:b/>
                      <w:color w:val="auto"/>
                      <w:szCs w:val="21"/>
                      <w:highlight w:val="none"/>
                    </w:rPr>
                    <w:t>dB（A）</w:t>
                  </w:r>
                </w:p>
              </w:tc>
              <w:tc>
                <w:tcPr>
                  <w:tcW w:w="668" w:type="dxa"/>
                  <w:vAlign w:val="center"/>
                </w:tcPr>
                <w:p w14:paraId="689E53D5">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建筑物外距离/m</w:t>
                  </w:r>
                </w:p>
              </w:tc>
            </w:tr>
            <w:tr w14:paraId="4935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0940C5DF">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390" w:type="dxa"/>
                  <w:vMerge w:val="restart"/>
                  <w:vAlign w:val="center"/>
                </w:tcPr>
                <w:p w14:paraId="28343402">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综合实验楼</w:t>
                  </w:r>
                </w:p>
              </w:tc>
              <w:tc>
                <w:tcPr>
                  <w:tcW w:w="915" w:type="dxa"/>
                  <w:vAlign w:val="center"/>
                </w:tcPr>
                <w:p w14:paraId="0E3B4B72">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通风柜</w:t>
                  </w:r>
                </w:p>
                <w:p w14:paraId="61627750">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抽风机1</w:t>
                  </w:r>
                </w:p>
              </w:tc>
              <w:tc>
                <w:tcPr>
                  <w:tcW w:w="690" w:type="dxa"/>
                  <w:vAlign w:val="center"/>
                </w:tcPr>
                <w:p w14:paraId="77BE1B27">
                  <w:pPr>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70</w:t>
                  </w:r>
                </w:p>
              </w:tc>
              <w:tc>
                <w:tcPr>
                  <w:tcW w:w="660" w:type="dxa"/>
                  <w:vMerge w:val="restart"/>
                  <w:vAlign w:val="center"/>
                </w:tcPr>
                <w:p w14:paraId="6B80AF6C">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sz w:val="18"/>
                      <w:szCs w:val="18"/>
                      <w:highlight w:val="none"/>
                    </w:rPr>
                    <w:t>基础减震、风机安装消音器、距离衰减</w:t>
                  </w:r>
                </w:p>
              </w:tc>
              <w:tc>
                <w:tcPr>
                  <w:tcW w:w="730" w:type="dxa"/>
                  <w:vAlign w:val="center"/>
                </w:tcPr>
                <w:p w14:paraId="2DC52A8A">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-40.43</w:t>
                  </w:r>
                </w:p>
              </w:tc>
              <w:tc>
                <w:tcPr>
                  <w:tcW w:w="641" w:type="dxa"/>
                  <w:vAlign w:val="center"/>
                </w:tcPr>
                <w:p w14:paraId="1D7591DE">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92.71</w:t>
                  </w:r>
                </w:p>
              </w:tc>
              <w:tc>
                <w:tcPr>
                  <w:tcW w:w="514" w:type="dxa"/>
                  <w:vAlign w:val="center"/>
                </w:tcPr>
                <w:p w14:paraId="787205C0">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453F3AAC">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0.2</w:t>
                  </w:r>
                </w:p>
              </w:tc>
              <w:tc>
                <w:tcPr>
                  <w:tcW w:w="705" w:type="dxa"/>
                  <w:vAlign w:val="center"/>
                </w:tcPr>
                <w:p w14:paraId="67A38920">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76</w:t>
                  </w:r>
                </w:p>
              </w:tc>
              <w:tc>
                <w:tcPr>
                  <w:tcW w:w="705" w:type="dxa"/>
                  <w:vMerge w:val="restart"/>
                  <w:vAlign w:val="center"/>
                </w:tcPr>
                <w:p w14:paraId="33E70FCF">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09：00</w:t>
                  </w:r>
                </w:p>
                <w:p w14:paraId="689E302B">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w:t>
                  </w:r>
                </w:p>
                <w:p w14:paraId="4E5A920F">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17：00</w:t>
                  </w:r>
                </w:p>
              </w:tc>
              <w:tc>
                <w:tcPr>
                  <w:tcW w:w="495" w:type="dxa"/>
                  <w:vAlign w:val="center"/>
                </w:tcPr>
                <w:p w14:paraId="2B614E55">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04295ABE">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50</w:t>
                  </w:r>
                </w:p>
              </w:tc>
              <w:tc>
                <w:tcPr>
                  <w:tcW w:w="668" w:type="dxa"/>
                  <w:vAlign w:val="center"/>
                </w:tcPr>
                <w:p w14:paraId="233CFD16">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3BD3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14FC98D6">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w:t>
                  </w:r>
                </w:p>
              </w:tc>
              <w:tc>
                <w:tcPr>
                  <w:tcW w:w="390" w:type="dxa"/>
                  <w:vMerge w:val="continue"/>
                  <w:vAlign w:val="center"/>
                </w:tcPr>
                <w:p w14:paraId="25289B1F">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262505EA">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通风柜</w:t>
                  </w:r>
                </w:p>
                <w:p w14:paraId="3BA78C31">
                  <w:pPr>
                    <w:adjustRightInd w:val="0"/>
                    <w:snapToGrid w:val="0"/>
                    <w:ind w:left="-105" w:leftChars="-50" w:right="-105" w:rightChars="-50"/>
                    <w:jc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sz w:val="18"/>
                      <w:szCs w:val="18"/>
                      <w:highlight w:val="none"/>
                    </w:rPr>
                    <w:t>抽风机2</w:t>
                  </w:r>
                </w:p>
              </w:tc>
              <w:tc>
                <w:tcPr>
                  <w:tcW w:w="690" w:type="dxa"/>
                  <w:vAlign w:val="center"/>
                </w:tcPr>
                <w:p w14:paraId="50212D3C">
                  <w:pPr>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70</w:t>
                  </w:r>
                </w:p>
              </w:tc>
              <w:tc>
                <w:tcPr>
                  <w:tcW w:w="660" w:type="dxa"/>
                  <w:vMerge w:val="continue"/>
                  <w:vAlign w:val="center"/>
                </w:tcPr>
                <w:p w14:paraId="1E3DFD66">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58946041">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-39.67</w:t>
                  </w:r>
                </w:p>
              </w:tc>
              <w:tc>
                <w:tcPr>
                  <w:tcW w:w="641" w:type="dxa"/>
                  <w:vAlign w:val="center"/>
                </w:tcPr>
                <w:p w14:paraId="02F1EB35">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91.07</w:t>
                  </w:r>
                </w:p>
              </w:tc>
              <w:tc>
                <w:tcPr>
                  <w:tcW w:w="514" w:type="dxa"/>
                  <w:vAlign w:val="center"/>
                </w:tcPr>
                <w:p w14:paraId="28662DC2">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678612E8">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0.2</w:t>
                  </w:r>
                </w:p>
              </w:tc>
              <w:tc>
                <w:tcPr>
                  <w:tcW w:w="705" w:type="dxa"/>
                  <w:vAlign w:val="center"/>
                </w:tcPr>
                <w:p w14:paraId="568FB550">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76</w:t>
                  </w:r>
                </w:p>
              </w:tc>
              <w:tc>
                <w:tcPr>
                  <w:tcW w:w="705" w:type="dxa"/>
                  <w:vMerge w:val="continue"/>
                  <w:vAlign w:val="center"/>
                </w:tcPr>
                <w:p w14:paraId="3849E03A">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4EE8C9E2">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0032C2CF">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50</w:t>
                  </w:r>
                </w:p>
              </w:tc>
              <w:tc>
                <w:tcPr>
                  <w:tcW w:w="668" w:type="dxa"/>
                  <w:vAlign w:val="center"/>
                </w:tcPr>
                <w:p w14:paraId="06D66B54">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2864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0835E821">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3</w:t>
                  </w:r>
                </w:p>
              </w:tc>
              <w:tc>
                <w:tcPr>
                  <w:tcW w:w="390" w:type="dxa"/>
                  <w:vMerge w:val="continue"/>
                  <w:vAlign w:val="center"/>
                </w:tcPr>
                <w:p w14:paraId="4087C47B">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36F0B70C">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通风柜</w:t>
                  </w:r>
                </w:p>
                <w:p w14:paraId="2C0EA966">
                  <w:pPr>
                    <w:adjustRightInd w:val="0"/>
                    <w:snapToGrid w:val="0"/>
                    <w:ind w:left="-105" w:leftChars="-50" w:right="-105" w:rightChars="-50"/>
                    <w:jc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sz w:val="18"/>
                      <w:szCs w:val="18"/>
                      <w:highlight w:val="none"/>
                    </w:rPr>
                    <w:t>抽风机3</w:t>
                  </w:r>
                </w:p>
              </w:tc>
              <w:tc>
                <w:tcPr>
                  <w:tcW w:w="690" w:type="dxa"/>
                  <w:vAlign w:val="center"/>
                </w:tcPr>
                <w:p w14:paraId="39026C08">
                  <w:pPr>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70</w:t>
                  </w:r>
                </w:p>
              </w:tc>
              <w:tc>
                <w:tcPr>
                  <w:tcW w:w="660" w:type="dxa"/>
                  <w:vMerge w:val="continue"/>
                  <w:vAlign w:val="center"/>
                </w:tcPr>
                <w:p w14:paraId="10AA0A65">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51D10470">
                  <w:pPr>
                    <w:adjustRightInd w:val="0"/>
                    <w:snapToGrid w:val="0"/>
                    <w:spacing w:line="288"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39</w:t>
                  </w:r>
                </w:p>
              </w:tc>
              <w:tc>
                <w:tcPr>
                  <w:tcW w:w="641" w:type="dxa"/>
                  <w:vAlign w:val="center"/>
                </w:tcPr>
                <w:p w14:paraId="7A5ADDAB">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89.7</w:t>
                  </w:r>
                </w:p>
              </w:tc>
              <w:tc>
                <w:tcPr>
                  <w:tcW w:w="514" w:type="dxa"/>
                  <w:vAlign w:val="center"/>
                </w:tcPr>
                <w:p w14:paraId="41AC6D99">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2F365E4E">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0.2</w:t>
                  </w:r>
                </w:p>
              </w:tc>
              <w:tc>
                <w:tcPr>
                  <w:tcW w:w="705" w:type="dxa"/>
                  <w:vAlign w:val="center"/>
                </w:tcPr>
                <w:p w14:paraId="6F47C2AF">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76</w:t>
                  </w:r>
                </w:p>
              </w:tc>
              <w:tc>
                <w:tcPr>
                  <w:tcW w:w="705" w:type="dxa"/>
                  <w:vMerge w:val="continue"/>
                  <w:vAlign w:val="center"/>
                </w:tcPr>
                <w:p w14:paraId="5396EC41">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0B5E25B2">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56889EA5">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50</w:t>
                  </w:r>
                </w:p>
              </w:tc>
              <w:tc>
                <w:tcPr>
                  <w:tcW w:w="668" w:type="dxa"/>
                  <w:vAlign w:val="center"/>
                </w:tcPr>
                <w:p w14:paraId="421A11FA">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569B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72BAC447">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4</w:t>
                  </w:r>
                </w:p>
              </w:tc>
              <w:tc>
                <w:tcPr>
                  <w:tcW w:w="390" w:type="dxa"/>
                  <w:vMerge w:val="continue"/>
                  <w:vAlign w:val="center"/>
                </w:tcPr>
                <w:p w14:paraId="7EDD3E63">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2B4792A7">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通风柜</w:t>
                  </w:r>
                </w:p>
                <w:p w14:paraId="6ABA605C">
                  <w:pPr>
                    <w:adjustRightInd w:val="0"/>
                    <w:snapToGrid w:val="0"/>
                    <w:ind w:left="-105" w:leftChars="-50" w:right="-105" w:rightChars="-50"/>
                    <w:jc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sz w:val="18"/>
                      <w:szCs w:val="18"/>
                      <w:highlight w:val="none"/>
                    </w:rPr>
                    <w:t>抽风机4</w:t>
                  </w:r>
                </w:p>
              </w:tc>
              <w:tc>
                <w:tcPr>
                  <w:tcW w:w="690" w:type="dxa"/>
                  <w:vAlign w:val="center"/>
                </w:tcPr>
                <w:p w14:paraId="16083D6C">
                  <w:pPr>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70</w:t>
                  </w:r>
                </w:p>
              </w:tc>
              <w:tc>
                <w:tcPr>
                  <w:tcW w:w="660" w:type="dxa"/>
                  <w:vMerge w:val="continue"/>
                  <w:vAlign w:val="center"/>
                </w:tcPr>
                <w:p w14:paraId="22F18714">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6EEBFCE3">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-38.36</w:t>
                  </w:r>
                </w:p>
              </w:tc>
              <w:tc>
                <w:tcPr>
                  <w:tcW w:w="641" w:type="dxa"/>
                  <w:vAlign w:val="center"/>
                </w:tcPr>
                <w:p w14:paraId="077F9A21">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88.44</w:t>
                  </w:r>
                </w:p>
              </w:tc>
              <w:tc>
                <w:tcPr>
                  <w:tcW w:w="514" w:type="dxa"/>
                  <w:vAlign w:val="center"/>
                </w:tcPr>
                <w:p w14:paraId="0E3EFBFE">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24BCBD68">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0.2</w:t>
                  </w:r>
                </w:p>
              </w:tc>
              <w:tc>
                <w:tcPr>
                  <w:tcW w:w="705" w:type="dxa"/>
                  <w:vAlign w:val="center"/>
                </w:tcPr>
                <w:p w14:paraId="140059A2">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76</w:t>
                  </w:r>
                </w:p>
              </w:tc>
              <w:tc>
                <w:tcPr>
                  <w:tcW w:w="705" w:type="dxa"/>
                  <w:vMerge w:val="continue"/>
                  <w:vAlign w:val="center"/>
                </w:tcPr>
                <w:p w14:paraId="14023218">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7156A744">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5AD5AB70">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50</w:t>
                  </w:r>
                </w:p>
              </w:tc>
              <w:tc>
                <w:tcPr>
                  <w:tcW w:w="668" w:type="dxa"/>
                  <w:vAlign w:val="center"/>
                </w:tcPr>
                <w:p w14:paraId="6C719ADB">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75CA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294BD0BF">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5</w:t>
                  </w:r>
                </w:p>
              </w:tc>
              <w:tc>
                <w:tcPr>
                  <w:tcW w:w="390" w:type="dxa"/>
                  <w:vMerge w:val="continue"/>
                  <w:vAlign w:val="center"/>
                </w:tcPr>
                <w:p w14:paraId="6FA27EB9">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491E614A">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通风柜</w:t>
                  </w:r>
                </w:p>
                <w:p w14:paraId="4F652137">
                  <w:pPr>
                    <w:adjustRightInd w:val="0"/>
                    <w:snapToGrid w:val="0"/>
                    <w:ind w:left="-105" w:leftChars="-50" w:right="-105" w:rightChars="-50"/>
                    <w:jc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sz w:val="18"/>
                      <w:szCs w:val="18"/>
                      <w:highlight w:val="none"/>
                    </w:rPr>
                    <w:t>抽风机5</w:t>
                  </w:r>
                </w:p>
              </w:tc>
              <w:tc>
                <w:tcPr>
                  <w:tcW w:w="690" w:type="dxa"/>
                  <w:vAlign w:val="center"/>
                </w:tcPr>
                <w:p w14:paraId="6815B3BF">
                  <w:pPr>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70</w:t>
                  </w:r>
                </w:p>
              </w:tc>
              <w:tc>
                <w:tcPr>
                  <w:tcW w:w="660" w:type="dxa"/>
                  <w:vMerge w:val="continue"/>
                  <w:vAlign w:val="center"/>
                </w:tcPr>
                <w:p w14:paraId="69DFDB65">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2A1E4490">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-37.74</w:t>
                  </w:r>
                </w:p>
              </w:tc>
              <w:tc>
                <w:tcPr>
                  <w:tcW w:w="641" w:type="dxa"/>
                  <w:vAlign w:val="center"/>
                </w:tcPr>
                <w:p w14:paraId="077977BF">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87.29</w:t>
                  </w:r>
                </w:p>
              </w:tc>
              <w:tc>
                <w:tcPr>
                  <w:tcW w:w="514" w:type="dxa"/>
                  <w:vAlign w:val="center"/>
                </w:tcPr>
                <w:p w14:paraId="78465538">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047B2DA8">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0.2</w:t>
                  </w:r>
                </w:p>
              </w:tc>
              <w:tc>
                <w:tcPr>
                  <w:tcW w:w="705" w:type="dxa"/>
                  <w:vAlign w:val="center"/>
                </w:tcPr>
                <w:p w14:paraId="4E198CBC">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76</w:t>
                  </w:r>
                </w:p>
              </w:tc>
              <w:tc>
                <w:tcPr>
                  <w:tcW w:w="705" w:type="dxa"/>
                  <w:vMerge w:val="continue"/>
                  <w:vAlign w:val="center"/>
                </w:tcPr>
                <w:p w14:paraId="25D6FD88">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470798E3">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24990D95">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50</w:t>
                  </w:r>
                </w:p>
              </w:tc>
              <w:tc>
                <w:tcPr>
                  <w:tcW w:w="668" w:type="dxa"/>
                  <w:vAlign w:val="center"/>
                </w:tcPr>
                <w:p w14:paraId="676E6709">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5DC0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0724EA49">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6</w:t>
                  </w:r>
                </w:p>
              </w:tc>
              <w:tc>
                <w:tcPr>
                  <w:tcW w:w="390" w:type="dxa"/>
                  <w:vMerge w:val="continue"/>
                  <w:vAlign w:val="center"/>
                </w:tcPr>
                <w:p w14:paraId="2246FE2B">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002441EB">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通风柜</w:t>
                  </w:r>
                </w:p>
                <w:p w14:paraId="12934DAD">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抽风机6</w:t>
                  </w:r>
                </w:p>
              </w:tc>
              <w:tc>
                <w:tcPr>
                  <w:tcW w:w="690" w:type="dxa"/>
                  <w:vAlign w:val="center"/>
                </w:tcPr>
                <w:p w14:paraId="066C7FFE">
                  <w:pPr>
                    <w:spacing w:line="288"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70</w:t>
                  </w:r>
                </w:p>
              </w:tc>
              <w:tc>
                <w:tcPr>
                  <w:tcW w:w="660" w:type="dxa"/>
                  <w:vMerge w:val="continue"/>
                  <w:vAlign w:val="center"/>
                </w:tcPr>
                <w:p w14:paraId="4EAF58CE">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67D78E3D">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-47</w:t>
                  </w:r>
                </w:p>
              </w:tc>
              <w:tc>
                <w:tcPr>
                  <w:tcW w:w="641" w:type="dxa"/>
                  <w:vAlign w:val="center"/>
                </w:tcPr>
                <w:p w14:paraId="0EE66E8F">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88.35</w:t>
                  </w:r>
                </w:p>
              </w:tc>
              <w:tc>
                <w:tcPr>
                  <w:tcW w:w="514" w:type="dxa"/>
                  <w:vAlign w:val="center"/>
                </w:tcPr>
                <w:p w14:paraId="3F0FBA72">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5E33B8FA">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0.2</w:t>
                  </w:r>
                </w:p>
              </w:tc>
              <w:tc>
                <w:tcPr>
                  <w:tcW w:w="705" w:type="dxa"/>
                  <w:vAlign w:val="center"/>
                </w:tcPr>
                <w:p w14:paraId="40C4F945">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76</w:t>
                  </w:r>
                </w:p>
              </w:tc>
              <w:tc>
                <w:tcPr>
                  <w:tcW w:w="705" w:type="dxa"/>
                  <w:vMerge w:val="continue"/>
                  <w:vAlign w:val="center"/>
                </w:tcPr>
                <w:p w14:paraId="717B3271">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623F2F83">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09F1E8B0">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50</w:t>
                  </w:r>
                </w:p>
              </w:tc>
              <w:tc>
                <w:tcPr>
                  <w:tcW w:w="668" w:type="dxa"/>
                  <w:vAlign w:val="center"/>
                </w:tcPr>
                <w:p w14:paraId="4CAEDA3F">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2E7E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53D03726">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7</w:t>
                  </w:r>
                </w:p>
              </w:tc>
              <w:tc>
                <w:tcPr>
                  <w:tcW w:w="390" w:type="dxa"/>
                  <w:vMerge w:val="continue"/>
                  <w:vAlign w:val="center"/>
                </w:tcPr>
                <w:p w14:paraId="291D6705">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6DFE1D6C">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通风柜</w:t>
                  </w:r>
                </w:p>
                <w:p w14:paraId="363C63BE">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抽风机7</w:t>
                  </w:r>
                </w:p>
              </w:tc>
              <w:tc>
                <w:tcPr>
                  <w:tcW w:w="690" w:type="dxa"/>
                  <w:vAlign w:val="center"/>
                </w:tcPr>
                <w:p w14:paraId="6E389A02">
                  <w:pPr>
                    <w:spacing w:line="288"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70</w:t>
                  </w:r>
                </w:p>
              </w:tc>
              <w:tc>
                <w:tcPr>
                  <w:tcW w:w="660" w:type="dxa"/>
                  <w:vMerge w:val="continue"/>
                  <w:vAlign w:val="center"/>
                </w:tcPr>
                <w:p w14:paraId="7D618045">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75CE798A">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-46.31</w:t>
                  </w:r>
                </w:p>
              </w:tc>
              <w:tc>
                <w:tcPr>
                  <w:tcW w:w="641" w:type="dxa"/>
                  <w:vAlign w:val="center"/>
                </w:tcPr>
                <w:p w14:paraId="3B0DFC3E">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86.51</w:t>
                  </w:r>
                </w:p>
              </w:tc>
              <w:tc>
                <w:tcPr>
                  <w:tcW w:w="514" w:type="dxa"/>
                  <w:vAlign w:val="center"/>
                </w:tcPr>
                <w:p w14:paraId="24530705">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13A5A0CE">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0.2</w:t>
                  </w:r>
                </w:p>
              </w:tc>
              <w:tc>
                <w:tcPr>
                  <w:tcW w:w="705" w:type="dxa"/>
                  <w:vAlign w:val="center"/>
                </w:tcPr>
                <w:p w14:paraId="780F80E0">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76</w:t>
                  </w:r>
                </w:p>
              </w:tc>
              <w:tc>
                <w:tcPr>
                  <w:tcW w:w="705" w:type="dxa"/>
                  <w:vMerge w:val="continue"/>
                  <w:vAlign w:val="center"/>
                </w:tcPr>
                <w:p w14:paraId="6F65D2AC">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46E06154">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02086135">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50</w:t>
                  </w:r>
                </w:p>
              </w:tc>
              <w:tc>
                <w:tcPr>
                  <w:tcW w:w="668" w:type="dxa"/>
                  <w:vAlign w:val="center"/>
                </w:tcPr>
                <w:p w14:paraId="0260E2FF">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6456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5113A363">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w:t>
                  </w:r>
                </w:p>
              </w:tc>
              <w:tc>
                <w:tcPr>
                  <w:tcW w:w="390" w:type="dxa"/>
                  <w:vMerge w:val="continue"/>
                  <w:vAlign w:val="center"/>
                </w:tcPr>
                <w:p w14:paraId="210E7FEE">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561FDFD2">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通风柜</w:t>
                  </w:r>
                </w:p>
                <w:p w14:paraId="60012E48">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抽风机8</w:t>
                  </w:r>
                </w:p>
              </w:tc>
              <w:tc>
                <w:tcPr>
                  <w:tcW w:w="690" w:type="dxa"/>
                  <w:vAlign w:val="center"/>
                </w:tcPr>
                <w:p w14:paraId="775F9B14">
                  <w:pPr>
                    <w:spacing w:line="288"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70</w:t>
                  </w:r>
                </w:p>
              </w:tc>
              <w:tc>
                <w:tcPr>
                  <w:tcW w:w="660" w:type="dxa"/>
                  <w:vMerge w:val="continue"/>
                  <w:vAlign w:val="center"/>
                </w:tcPr>
                <w:p w14:paraId="13093F66">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23AE378C">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-45.37</w:t>
                  </w:r>
                </w:p>
              </w:tc>
              <w:tc>
                <w:tcPr>
                  <w:tcW w:w="641" w:type="dxa"/>
                  <w:vAlign w:val="center"/>
                </w:tcPr>
                <w:p w14:paraId="7978EDE5">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84.16</w:t>
                  </w:r>
                </w:p>
              </w:tc>
              <w:tc>
                <w:tcPr>
                  <w:tcW w:w="514" w:type="dxa"/>
                  <w:vAlign w:val="center"/>
                </w:tcPr>
                <w:p w14:paraId="73539CBC">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4F814410">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0.2</w:t>
                  </w:r>
                </w:p>
              </w:tc>
              <w:tc>
                <w:tcPr>
                  <w:tcW w:w="705" w:type="dxa"/>
                  <w:vAlign w:val="center"/>
                </w:tcPr>
                <w:p w14:paraId="6B98E392">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76</w:t>
                  </w:r>
                </w:p>
              </w:tc>
              <w:tc>
                <w:tcPr>
                  <w:tcW w:w="705" w:type="dxa"/>
                  <w:vMerge w:val="continue"/>
                  <w:vAlign w:val="center"/>
                </w:tcPr>
                <w:p w14:paraId="4930EB73">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618D75BD">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099B29DF">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50</w:t>
                  </w:r>
                </w:p>
              </w:tc>
              <w:tc>
                <w:tcPr>
                  <w:tcW w:w="668" w:type="dxa"/>
                  <w:vAlign w:val="center"/>
                </w:tcPr>
                <w:p w14:paraId="0A86863F">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666D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2EB1CD26">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9</w:t>
                  </w:r>
                </w:p>
              </w:tc>
              <w:tc>
                <w:tcPr>
                  <w:tcW w:w="390" w:type="dxa"/>
                  <w:vMerge w:val="continue"/>
                  <w:vAlign w:val="center"/>
                </w:tcPr>
                <w:p w14:paraId="4A9D8593">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22DE3A51">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空调系统</w:t>
                  </w:r>
                </w:p>
              </w:tc>
              <w:tc>
                <w:tcPr>
                  <w:tcW w:w="690" w:type="dxa"/>
                  <w:vAlign w:val="center"/>
                </w:tcPr>
                <w:p w14:paraId="491DFC7B">
                  <w:pPr>
                    <w:spacing w:line="288"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85</w:t>
                  </w:r>
                </w:p>
              </w:tc>
              <w:tc>
                <w:tcPr>
                  <w:tcW w:w="660" w:type="dxa"/>
                  <w:vMerge w:val="continue"/>
                  <w:vAlign w:val="center"/>
                </w:tcPr>
                <w:p w14:paraId="25B01D91">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76E07A02">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-44.36</w:t>
                  </w:r>
                </w:p>
              </w:tc>
              <w:tc>
                <w:tcPr>
                  <w:tcW w:w="641" w:type="dxa"/>
                  <w:vAlign w:val="center"/>
                </w:tcPr>
                <w:p w14:paraId="6933C3B3">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86.19</w:t>
                  </w:r>
                </w:p>
              </w:tc>
              <w:tc>
                <w:tcPr>
                  <w:tcW w:w="514" w:type="dxa"/>
                  <w:vAlign w:val="center"/>
                </w:tcPr>
                <w:p w14:paraId="26CBC0E9">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57F08F7E">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kern w:val="0"/>
                      <w:sz w:val="18"/>
                      <w:szCs w:val="18"/>
                      <w:highlight w:val="none"/>
                      <w:lang w:bidi="ar"/>
                    </w:rPr>
                    <w:t>0.5</w:t>
                  </w:r>
                </w:p>
              </w:tc>
              <w:tc>
                <w:tcPr>
                  <w:tcW w:w="705" w:type="dxa"/>
                  <w:vAlign w:val="center"/>
                </w:tcPr>
                <w:p w14:paraId="0EDF025B">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86</w:t>
                  </w:r>
                </w:p>
              </w:tc>
              <w:tc>
                <w:tcPr>
                  <w:tcW w:w="705" w:type="dxa"/>
                  <w:vMerge w:val="continue"/>
                  <w:vAlign w:val="center"/>
                </w:tcPr>
                <w:p w14:paraId="461C6154">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026EA08F">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2C4ADDB1">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60</w:t>
                  </w:r>
                </w:p>
              </w:tc>
              <w:tc>
                <w:tcPr>
                  <w:tcW w:w="668" w:type="dxa"/>
                  <w:vAlign w:val="center"/>
                </w:tcPr>
                <w:p w14:paraId="4E30CB4B">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6C1D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636C0DBC">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10</w:t>
                  </w:r>
                </w:p>
              </w:tc>
              <w:tc>
                <w:tcPr>
                  <w:tcW w:w="390" w:type="dxa"/>
                  <w:vMerge w:val="continue"/>
                  <w:vAlign w:val="center"/>
                </w:tcPr>
                <w:p w14:paraId="5340C48F">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62AEE81B">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风机</w:t>
                  </w:r>
                </w:p>
              </w:tc>
              <w:tc>
                <w:tcPr>
                  <w:tcW w:w="690" w:type="dxa"/>
                  <w:vAlign w:val="center"/>
                </w:tcPr>
                <w:p w14:paraId="34AF9986">
                  <w:pPr>
                    <w:spacing w:line="288"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80</w:t>
                  </w:r>
                </w:p>
              </w:tc>
              <w:tc>
                <w:tcPr>
                  <w:tcW w:w="660" w:type="dxa"/>
                  <w:vMerge w:val="continue"/>
                  <w:vAlign w:val="center"/>
                </w:tcPr>
                <w:p w14:paraId="46263CC2">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5BA0A850">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-40.17</w:t>
                  </w:r>
                </w:p>
              </w:tc>
              <w:tc>
                <w:tcPr>
                  <w:tcW w:w="641" w:type="dxa"/>
                  <w:vAlign w:val="center"/>
                </w:tcPr>
                <w:p w14:paraId="7F99F836">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81.94</w:t>
                  </w:r>
                </w:p>
              </w:tc>
              <w:tc>
                <w:tcPr>
                  <w:tcW w:w="514" w:type="dxa"/>
                  <w:vAlign w:val="center"/>
                </w:tcPr>
                <w:p w14:paraId="60F06A29">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286ED4CD">
                  <w:pPr>
                    <w:widowControl/>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cs="Times New Roman"/>
                      <w:color w:val="auto"/>
                      <w:kern w:val="0"/>
                      <w:sz w:val="18"/>
                      <w:szCs w:val="18"/>
                      <w:highlight w:val="none"/>
                      <w:lang w:bidi="ar"/>
                    </w:rPr>
                    <w:t>0.5</w:t>
                  </w:r>
                </w:p>
              </w:tc>
              <w:tc>
                <w:tcPr>
                  <w:tcW w:w="705" w:type="dxa"/>
                  <w:vAlign w:val="center"/>
                </w:tcPr>
                <w:p w14:paraId="1A597A91">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80</w:t>
                  </w:r>
                </w:p>
              </w:tc>
              <w:tc>
                <w:tcPr>
                  <w:tcW w:w="705" w:type="dxa"/>
                  <w:vMerge w:val="continue"/>
                  <w:vAlign w:val="center"/>
                </w:tcPr>
                <w:p w14:paraId="581630E2">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6D2400A5">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03ED260F">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55</w:t>
                  </w:r>
                </w:p>
              </w:tc>
              <w:tc>
                <w:tcPr>
                  <w:tcW w:w="668" w:type="dxa"/>
                  <w:vAlign w:val="center"/>
                </w:tcPr>
                <w:p w14:paraId="05E3D7EF">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3649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71D2C4E4">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11</w:t>
                  </w:r>
                </w:p>
              </w:tc>
              <w:tc>
                <w:tcPr>
                  <w:tcW w:w="390" w:type="dxa"/>
                  <w:vMerge w:val="restart"/>
                  <w:vAlign w:val="center"/>
                </w:tcPr>
                <w:p w14:paraId="7E95B8DC">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设备用房</w:t>
                  </w:r>
                </w:p>
              </w:tc>
              <w:tc>
                <w:tcPr>
                  <w:tcW w:w="915" w:type="dxa"/>
                  <w:vAlign w:val="center"/>
                </w:tcPr>
                <w:p w14:paraId="4B22BC37">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水泵</w:t>
                  </w:r>
                </w:p>
              </w:tc>
              <w:tc>
                <w:tcPr>
                  <w:tcW w:w="690" w:type="dxa"/>
                  <w:vAlign w:val="center"/>
                </w:tcPr>
                <w:p w14:paraId="2ECAAC9B">
                  <w:pPr>
                    <w:spacing w:line="288"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85</w:t>
                  </w:r>
                </w:p>
              </w:tc>
              <w:tc>
                <w:tcPr>
                  <w:tcW w:w="660" w:type="dxa"/>
                  <w:vMerge w:val="continue"/>
                  <w:vAlign w:val="center"/>
                </w:tcPr>
                <w:p w14:paraId="06653B00">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0430CD55">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-19.35</w:t>
                  </w:r>
                </w:p>
              </w:tc>
              <w:tc>
                <w:tcPr>
                  <w:tcW w:w="641" w:type="dxa"/>
                  <w:vAlign w:val="center"/>
                </w:tcPr>
                <w:p w14:paraId="0F7B317C">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27.14</w:t>
                  </w:r>
                </w:p>
              </w:tc>
              <w:tc>
                <w:tcPr>
                  <w:tcW w:w="514" w:type="dxa"/>
                  <w:vAlign w:val="center"/>
                </w:tcPr>
                <w:p w14:paraId="412BE61D">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364697AC">
                  <w:pPr>
                    <w:widowControl/>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cs="Times New Roman"/>
                      <w:color w:val="auto"/>
                      <w:kern w:val="0"/>
                      <w:sz w:val="18"/>
                      <w:szCs w:val="18"/>
                      <w:highlight w:val="none"/>
                      <w:lang w:bidi="ar"/>
                    </w:rPr>
                    <w:t>0.5</w:t>
                  </w:r>
                </w:p>
              </w:tc>
              <w:tc>
                <w:tcPr>
                  <w:tcW w:w="705" w:type="dxa"/>
                  <w:vAlign w:val="center"/>
                </w:tcPr>
                <w:p w14:paraId="5FC99C2F">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85</w:t>
                  </w:r>
                </w:p>
              </w:tc>
              <w:tc>
                <w:tcPr>
                  <w:tcW w:w="705" w:type="dxa"/>
                  <w:vMerge w:val="continue"/>
                  <w:vAlign w:val="center"/>
                </w:tcPr>
                <w:p w14:paraId="5F774249">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28584808">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210920FB">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59</w:t>
                  </w:r>
                </w:p>
              </w:tc>
              <w:tc>
                <w:tcPr>
                  <w:tcW w:w="668" w:type="dxa"/>
                  <w:vAlign w:val="center"/>
                </w:tcPr>
                <w:p w14:paraId="2B0C5492">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r w14:paraId="2965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5" w:type="dxa"/>
                  <w:vAlign w:val="center"/>
                </w:tcPr>
                <w:p w14:paraId="727B59EE">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11</w:t>
                  </w:r>
                </w:p>
              </w:tc>
              <w:tc>
                <w:tcPr>
                  <w:tcW w:w="390" w:type="dxa"/>
                  <w:vMerge w:val="continue"/>
                  <w:vAlign w:val="center"/>
                </w:tcPr>
                <w:p w14:paraId="461B7B64">
                  <w:pPr>
                    <w:adjustRightInd w:val="0"/>
                    <w:snapToGrid w:val="0"/>
                    <w:jc w:val="center"/>
                    <w:rPr>
                      <w:rFonts w:hint="default" w:ascii="Times New Roman" w:hAnsi="Times New Roman" w:cs="Times New Roman"/>
                      <w:bCs/>
                      <w:color w:val="auto"/>
                      <w:sz w:val="18"/>
                      <w:szCs w:val="18"/>
                      <w:highlight w:val="none"/>
                    </w:rPr>
                  </w:pPr>
                </w:p>
              </w:tc>
              <w:tc>
                <w:tcPr>
                  <w:tcW w:w="915" w:type="dxa"/>
                  <w:vAlign w:val="center"/>
                </w:tcPr>
                <w:p w14:paraId="2767E87C">
                  <w:pPr>
                    <w:adjustRightInd w:val="0"/>
                    <w:snapToGrid w:val="0"/>
                    <w:ind w:left="-105" w:leftChars="-50" w:right="-105" w:rightChars="-5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发电机</w:t>
                  </w:r>
                </w:p>
              </w:tc>
              <w:tc>
                <w:tcPr>
                  <w:tcW w:w="690" w:type="dxa"/>
                  <w:vAlign w:val="center"/>
                </w:tcPr>
                <w:p w14:paraId="0E8D3535">
                  <w:pPr>
                    <w:spacing w:line="288"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90</w:t>
                  </w:r>
                </w:p>
              </w:tc>
              <w:tc>
                <w:tcPr>
                  <w:tcW w:w="660" w:type="dxa"/>
                  <w:vMerge w:val="continue"/>
                  <w:vAlign w:val="center"/>
                </w:tcPr>
                <w:p w14:paraId="6EE0DD82">
                  <w:pPr>
                    <w:adjustRightInd w:val="0"/>
                    <w:snapToGrid w:val="0"/>
                    <w:jc w:val="center"/>
                    <w:rPr>
                      <w:rFonts w:hint="default" w:ascii="Times New Roman" w:hAnsi="Times New Roman" w:cs="Times New Roman"/>
                      <w:bCs/>
                      <w:color w:val="auto"/>
                      <w:sz w:val="18"/>
                      <w:szCs w:val="18"/>
                      <w:highlight w:val="none"/>
                    </w:rPr>
                  </w:pPr>
                </w:p>
              </w:tc>
              <w:tc>
                <w:tcPr>
                  <w:tcW w:w="730" w:type="dxa"/>
                  <w:vAlign w:val="center"/>
                </w:tcPr>
                <w:p w14:paraId="41FC8FED">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-23.67</w:t>
                  </w:r>
                </w:p>
              </w:tc>
              <w:tc>
                <w:tcPr>
                  <w:tcW w:w="641" w:type="dxa"/>
                  <w:vAlign w:val="center"/>
                </w:tcPr>
                <w:p w14:paraId="38DD1158">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31</w:t>
                  </w:r>
                </w:p>
              </w:tc>
              <w:tc>
                <w:tcPr>
                  <w:tcW w:w="514" w:type="dxa"/>
                  <w:vAlign w:val="center"/>
                </w:tcPr>
                <w:p w14:paraId="77C733A9">
                  <w:pPr>
                    <w:adjustRightInd w:val="0"/>
                    <w:snapToGrid w:val="0"/>
                    <w:spacing w:line="288" w:lineRule="auto"/>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470" w:type="dxa"/>
                  <w:vAlign w:val="center"/>
                </w:tcPr>
                <w:p w14:paraId="04A21774">
                  <w:pPr>
                    <w:widowControl/>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cs="Times New Roman"/>
                      <w:color w:val="auto"/>
                      <w:kern w:val="0"/>
                      <w:sz w:val="18"/>
                      <w:szCs w:val="18"/>
                      <w:highlight w:val="none"/>
                      <w:lang w:bidi="ar"/>
                    </w:rPr>
                    <w:t>0.5</w:t>
                  </w:r>
                </w:p>
              </w:tc>
              <w:tc>
                <w:tcPr>
                  <w:tcW w:w="705" w:type="dxa"/>
                  <w:vAlign w:val="center"/>
                </w:tcPr>
                <w:p w14:paraId="5F9CE506">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90</w:t>
                  </w:r>
                </w:p>
              </w:tc>
              <w:tc>
                <w:tcPr>
                  <w:tcW w:w="705" w:type="dxa"/>
                  <w:vMerge w:val="continue"/>
                  <w:vAlign w:val="center"/>
                </w:tcPr>
                <w:p w14:paraId="1D7E385A">
                  <w:pPr>
                    <w:adjustRightInd w:val="0"/>
                    <w:snapToGrid w:val="0"/>
                    <w:jc w:val="center"/>
                    <w:rPr>
                      <w:rFonts w:hint="default" w:ascii="Times New Roman" w:hAnsi="Times New Roman" w:cs="Times New Roman"/>
                      <w:bCs/>
                      <w:color w:val="auto"/>
                      <w:sz w:val="18"/>
                      <w:szCs w:val="18"/>
                      <w:highlight w:val="none"/>
                    </w:rPr>
                  </w:pPr>
                </w:p>
              </w:tc>
              <w:tc>
                <w:tcPr>
                  <w:tcW w:w="495" w:type="dxa"/>
                  <w:vAlign w:val="center"/>
                </w:tcPr>
                <w:p w14:paraId="06537C69">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20</w:t>
                  </w:r>
                </w:p>
              </w:tc>
              <w:tc>
                <w:tcPr>
                  <w:tcW w:w="630" w:type="dxa"/>
                  <w:vAlign w:val="center"/>
                </w:tcPr>
                <w:p w14:paraId="4F6FC911">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64</w:t>
                  </w:r>
                </w:p>
              </w:tc>
              <w:tc>
                <w:tcPr>
                  <w:tcW w:w="668" w:type="dxa"/>
                  <w:vAlign w:val="center"/>
                </w:tcPr>
                <w:p w14:paraId="267282D5">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r>
          </w:tbl>
          <w:p w14:paraId="027101D1">
            <w:pPr>
              <w:spacing w:before="120" w:beforeLines="50" w:line="360" w:lineRule="auto"/>
              <w:ind w:firstLine="442" w:firstLineChars="200"/>
              <w:rPr>
                <w:rFonts w:hint="default" w:ascii="Times New Roman" w:hAnsi="Times New Roman" w:cs="Times New Roman"/>
                <w:b/>
                <w:bCs/>
                <w:color w:val="auto"/>
                <w:spacing w:val="-10"/>
                <w:sz w:val="24"/>
                <w:highlight w:val="none"/>
              </w:rPr>
            </w:pPr>
            <w:r>
              <w:rPr>
                <w:rFonts w:hint="default" w:ascii="Times New Roman" w:hAnsi="Times New Roman" w:cs="Times New Roman"/>
                <w:b/>
                <w:bCs/>
                <w:color w:val="auto"/>
                <w:spacing w:val="-10"/>
                <w:sz w:val="24"/>
                <w:highlight w:val="none"/>
              </w:rPr>
              <w:t>2、预测模式</w:t>
            </w:r>
          </w:p>
          <w:p w14:paraId="648D146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采用《环境影响评价技术导则 声环境》（HJ/T2.4-2021）中工业噪声预测模式。 </w:t>
            </w:r>
          </w:p>
          <w:p w14:paraId="217CDB7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室内声源等效室外声源声功率级计算方法 </w:t>
            </w:r>
          </w:p>
          <w:p w14:paraId="3E7B1502">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设靠近开口处（或窗户）室内，室外某倍频带的声压级分别为L</w:t>
            </w:r>
            <w:r>
              <w:rPr>
                <w:rFonts w:hint="default" w:ascii="Times New Roman" w:hAnsi="Times New Roman" w:cs="Times New Roman"/>
                <w:color w:val="auto"/>
                <w:sz w:val="24"/>
                <w:highlight w:val="none"/>
                <w:vertAlign w:val="subscript"/>
              </w:rPr>
              <w:t>P1</w:t>
            </w:r>
            <w:r>
              <w:rPr>
                <w:rFonts w:hint="default" w:ascii="Times New Roman" w:hAnsi="Times New Roman" w:cs="Times New Roman"/>
                <w:color w:val="auto"/>
                <w:sz w:val="24"/>
                <w:highlight w:val="none"/>
              </w:rPr>
              <w:t xml:space="preserve"> 和L</w:t>
            </w:r>
            <w:r>
              <w:rPr>
                <w:rFonts w:hint="default" w:ascii="Times New Roman" w:hAnsi="Times New Roman" w:cs="Times New Roman"/>
                <w:color w:val="auto"/>
                <w:sz w:val="24"/>
                <w:highlight w:val="none"/>
                <w:vertAlign w:val="subscript"/>
              </w:rPr>
              <w:t>P2</w:t>
            </w:r>
            <w:r>
              <w:rPr>
                <w:rFonts w:hint="default" w:ascii="Times New Roman" w:hAnsi="Times New Roman" w:cs="Times New Roman"/>
                <w:color w:val="auto"/>
                <w:sz w:val="24"/>
                <w:highlight w:val="none"/>
              </w:rPr>
              <w:t>。若声源所在室内声场为近似扩散声场，则室外倍频声压级可按以下公式近似求出：</w:t>
            </w:r>
          </w:p>
          <w:p w14:paraId="4B7D3ECB">
            <w:pPr>
              <w:spacing w:line="360" w:lineRule="auto"/>
              <w:ind w:firstLine="42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drawing>
                <wp:inline distT="0" distB="0" distL="0" distR="0">
                  <wp:extent cx="1359535" cy="353695"/>
                  <wp:effectExtent l="0" t="0" r="12065" b="12065"/>
                  <wp:docPr id="10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32"/>
                          <pic:cNvPicPr>
                            <a:picLocks noChangeAspect="1" noChangeArrowheads="1"/>
                          </pic:cNvPicPr>
                        </pic:nvPicPr>
                        <pic:blipFill>
                          <a:blip r:embed="rId24">
                            <a:extLst>
                              <a:ext uri="{28A0092B-C50C-407E-A947-70E740481C1C}">
                                <a14:useLocalDpi xmlns:a14="http://schemas.microsoft.com/office/drawing/2010/main" val="0"/>
                              </a:ext>
                            </a:extLst>
                          </a:blip>
                          <a:srcRect r="24374"/>
                          <a:stretch>
                            <a:fillRect/>
                          </a:stretch>
                        </pic:blipFill>
                        <pic:spPr>
                          <a:xfrm>
                            <a:off x="0" y="0"/>
                            <a:ext cx="1359535" cy="353695"/>
                          </a:xfrm>
                          <a:prstGeom prst="rect">
                            <a:avLst/>
                          </a:prstGeom>
                          <a:noFill/>
                          <a:ln>
                            <a:noFill/>
                          </a:ln>
                        </pic:spPr>
                      </pic:pic>
                    </a:graphicData>
                  </a:graphic>
                </wp:inline>
              </w:drawing>
            </w:r>
          </w:p>
          <w:p w14:paraId="599AA473">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3871B9B6">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p1</w:t>
            </w:r>
            <w:r>
              <w:rPr>
                <w:rFonts w:hint="default" w:ascii="Times New Roman" w:hAnsi="Times New Roman" w:cs="Times New Roman"/>
                <w:color w:val="auto"/>
                <w:sz w:val="24"/>
                <w:highlight w:val="none"/>
              </w:rPr>
              <w:t>—靠近开口处（或窗户）室内某倍频带的声压级或A声级，dB；</w:t>
            </w:r>
          </w:p>
          <w:p w14:paraId="0E3D7C25">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p2</w:t>
            </w:r>
            <w:r>
              <w:rPr>
                <w:rFonts w:hint="default" w:ascii="Times New Roman" w:hAnsi="Times New Roman" w:cs="Times New Roman"/>
                <w:color w:val="auto"/>
                <w:sz w:val="24"/>
                <w:highlight w:val="none"/>
              </w:rPr>
              <w:t>—靠近开口处（或窗户）室外某倍频带的声压级或A声级，dB；</w:t>
            </w:r>
          </w:p>
          <w:p w14:paraId="4350D783">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TL—隔墙或窗户倍频带的隔声量，dB。 </w:t>
            </w:r>
          </w:p>
          <w:p w14:paraId="0B9C8082">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某一室内声源靠近围护结构处产生的倍频带声压级或 A 声级：</w:t>
            </w:r>
          </w:p>
          <w:p w14:paraId="645E4779">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0" distR="0">
                  <wp:extent cx="1645920" cy="441325"/>
                  <wp:effectExtent l="0" t="0" r="0" b="635"/>
                  <wp:docPr id="103" name="图片 233" descr="1726731087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33" descr="172673108746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645920" cy="441325"/>
                          </a:xfrm>
                          <a:prstGeom prst="rect">
                            <a:avLst/>
                          </a:prstGeom>
                          <a:noFill/>
                          <a:ln>
                            <a:noFill/>
                          </a:ln>
                        </pic:spPr>
                      </pic:pic>
                    </a:graphicData>
                  </a:graphic>
                </wp:inline>
              </w:drawing>
            </w:r>
          </w:p>
          <w:p w14:paraId="65F34DFB">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162541BC">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p1</w:t>
            </w:r>
            <w:r>
              <w:rPr>
                <w:rFonts w:hint="default" w:ascii="Times New Roman" w:hAnsi="Times New Roman" w:cs="Times New Roman"/>
                <w:color w:val="auto"/>
                <w:sz w:val="24"/>
                <w:highlight w:val="none"/>
              </w:rPr>
              <w:t>—靠近开口处（或窗户）室内某倍频带的声压级或A声级，dB；</w:t>
            </w:r>
          </w:p>
          <w:p w14:paraId="6B1C0944">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w</w:t>
            </w:r>
            <w:r>
              <w:rPr>
                <w:rFonts w:hint="default" w:ascii="Times New Roman" w:hAnsi="Times New Roman" w:cs="Times New Roman"/>
                <w:color w:val="auto"/>
                <w:sz w:val="24"/>
                <w:highlight w:val="none"/>
              </w:rPr>
              <w:t>—点声源声功率级（A计权或倍频带），dB；</w:t>
            </w:r>
          </w:p>
          <w:p w14:paraId="130AE6E9">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Q—指向性因数；通常对无指向性声源，当声源放在房间中心时，Q=1；当放在一面墙的中心时，Q=2；当放在两面墙夹角处时，Q=4；当放在三面墙夹角处时，Q=8；</w:t>
            </w:r>
          </w:p>
          <w:p w14:paraId="208731CB">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R—房间常数；R=Sα/(1-α)，S为房间内表面面积，m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；α为平均吸声系数；</w:t>
            </w:r>
          </w:p>
          <w:p w14:paraId="24428D04">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r—声源到靠近围护结构某点处的距离，m。</w:t>
            </w:r>
          </w:p>
          <w:p w14:paraId="289AB6DE">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所以室内声源在围护结构处产生的i倍频带叠加声压级：</w:t>
            </w:r>
          </w:p>
          <w:p w14:paraId="00B0D67C">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0" distR="0">
                  <wp:extent cx="1880235" cy="524510"/>
                  <wp:effectExtent l="0" t="0" r="9525" b="8890"/>
                  <wp:docPr id="104" name="图片 234" descr="1726731557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34" descr="17267315578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880235" cy="524510"/>
                          </a:xfrm>
                          <a:prstGeom prst="rect">
                            <a:avLst/>
                          </a:prstGeom>
                          <a:noFill/>
                          <a:ln>
                            <a:noFill/>
                          </a:ln>
                        </pic:spPr>
                      </pic:pic>
                    </a:graphicData>
                  </a:graphic>
                </wp:inline>
              </w:drawing>
            </w:r>
          </w:p>
          <w:p w14:paraId="06E95175">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609835A9">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pli</w:t>
            </w:r>
            <w:r>
              <w:rPr>
                <w:rFonts w:hint="default" w:ascii="Times New Roman" w:hAnsi="Times New Roman" w:cs="Times New Roman"/>
                <w:color w:val="auto"/>
                <w:sz w:val="24"/>
                <w:highlight w:val="none"/>
              </w:rPr>
              <w:t>（T）—靠近围护结构处室内N个声源i倍频带的叠加声压级，dB;</w:t>
            </w:r>
          </w:p>
          <w:p w14:paraId="3EC45FAE">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plij</w:t>
            </w:r>
            <w:r>
              <w:rPr>
                <w:rFonts w:hint="default" w:ascii="Times New Roman" w:hAnsi="Times New Roman" w:cs="Times New Roman"/>
                <w:color w:val="auto"/>
                <w:sz w:val="24"/>
                <w:highlight w:val="none"/>
              </w:rPr>
              <w:t>—室内j声源i倍频带的声压级，dB;</w:t>
            </w:r>
          </w:p>
          <w:p w14:paraId="33FD00BB">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N—室内声源总数。</w:t>
            </w:r>
          </w:p>
          <w:p w14:paraId="4648E9BD">
            <w:pPr>
              <w:autoSpaceDE w:val="0"/>
              <w:autoSpaceDN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3、预测结果</w:t>
            </w:r>
          </w:p>
          <w:p w14:paraId="70C8925E">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项目环评釆用环安科技在线模型计算软件中环境噪声预测评价模拟软件系统（OnlineV4）。</w:t>
            </w:r>
            <w:r>
              <w:rPr>
                <w:rFonts w:hint="default" w:ascii="Times New Roman" w:hAnsi="Times New Roman" w:cs="Times New Roman"/>
                <w:color w:val="auto"/>
                <w:sz w:val="24"/>
                <w:highlight w:val="none"/>
                <w:lang w:bidi="en-US"/>
              </w:rPr>
              <w:t>该软件</w:t>
            </w:r>
            <w:r>
              <w:rPr>
                <w:rFonts w:hint="default" w:ascii="Times New Roman" w:hAnsi="Times New Roman" w:cs="Times New Roman"/>
                <w:color w:val="auto"/>
                <w:sz w:val="24"/>
                <w:highlight w:val="none"/>
              </w:rPr>
              <w:t>计算工业噪声时采用的模型为《环境影响评价技术导则 声环境</w:t>
            </w:r>
            <w:r>
              <w:rPr>
                <w:rFonts w:hint="default" w:ascii="Times New Roman" w:hAnsi="Times New Roman" w:cs="Times New Roman"/>
                <w:color w:val="auto"/>
                <w:sz w:val="24"/>
                <w:highlight w:val="none"/>
                <w:lang w:bidi="en-US"/>
              </w:rPr>
              <w:t xml:space="preserve">》(HJ2.4.2021) </w:t>
            </w:r>
            <w:r>
              <w:rPr>
                <w:rFonts w:hint="default" w:ascii="Times New Roman" w:hAnsi="Times New Roman" w:cs="Times New Roman"/>
                <w:color w:val="auto"/>
                <w:sz w:val="24"/>
                <w:highlight w:val="none"/>
              </w:rPr>
              <w:t>附录B（规范性附录）中“B.1工业噪声预测计算模型”，计算得出项目主要噪声源厂界最大贡献值。</w:t>
            </w:r>
          </w:p>
          <w:p w14:paraId="18A92333">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本项目预测结果如下：</w:t>
            </w:r>
          </w:p>
          <w:p w14:paraId="5FF72DA6">
            <w:pPr>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0" distR="0">
                  <wp:extent cx="5382895" cy="3295650"/>
                  <wp:effectExtent l="0" t="0" r="12065" b="11430"/>
                  <wp:docPr id="105" name="图片 97" descr="718856795825e8f6b3d71ba86a1a3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7" descr="718856795825e8f6b3d71ba86a1a32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382895" cy="3295650"/>
                          </a:xfrm>
                          <a:prstGeom prst="rect">
                            <a:avLst/>
                          </a:prstGeom>
                          <a:noFill/>
                          <a:ln>
                            <a:noFill/>
                          </a:ln>
                        </pic:spPr>
                      </pic:pic>
                    </a:graphicData>
                  </a:graphic>
                </wp:inline>
              </w:drawing>
            </w:r>
          </w:p>
          <w:p w14:paraId="3201425E">
            <w:pPr>
              <w:adjustRightInd w:val="0"/>
              <w:snapToGrid w:val="0"/>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b/>
                <w:bCs/>
                <w:color w:val="auto"/>
                <w:szCs w:val="21"/>
                <w:highlight w:val="none"/>
              </w:rPr>
              <w:t xml:space="preserve">图4-18 </w:t>
            </w:r>
            <w:r>
              <w:rPr>
                <w:rFonts w:hint="default" w:ascii="Times New Roman" w:hAnsi="Times New Roman" w:cs="Times New Roman"/>
                <w:b/>
                <w:bCs/>
                <w:color w:val="auto"/>
                <w:highlight w:val="none"/>
              </w:rPr>
              <w:t>项目区噪声源贡献值等直线</w:t>
            </w:r>
            <w:r>
              <w:rPr>
                <w:rFonts w:hint="default" w:ascii="Times New Roman" w:hAnsi="Times New Roman" w:cs="Times New Roman"/>
                <w:b/>
                <w:bCs/>
                <w:color w:val="auto"/>
                <w:szCs w:val="21"/>
                <w:highlight w:val="none"/>
              </w:rPr>
              <w:t>图</w:t>
            </w:r>
          </w:p>
          <w:p w14:paraId="5C5FE838">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通过预测模型计算，项目厂界噪声的最大值预测结果、项目声环境保护目标预测结果与达标分析见下表：</w:t>
            </w:r>
          </w:p>
          <w:p w14:paraId="22D9C1FD">
            <w:pPr>
              <w:autoSpaceDE w:val="0"/>
              <w:autoSpaceDN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表</w:t>
            </w:r>
            <w:r>
              <w:rPr>
                <w:rFonts w:hint="default" w:ascii="Times New Roman" w:hAnsi="Times New Roman" w:cs="Times New Roman"/>
                <w:b/>
                <w:color w:val="auto"/>
                <w:kern w:val="24"/>
                <w:szCs w:val="21"/>
                <w:highlight w:val="none"/>
              </w:rPr>
              <w:t xml:space="preserve">4-19 </w:t>
            </w:r>
            <w:r>
              <w:rPr>
                <w:rFonts w:hint="default" w:ascii="Times New Roman" w:hAnsi="Times New Roman" w:cs="Times New Roman"/>
                <w:b/>
                <w:color w:val="auto"/>
                <w:szCs w:val="21"/>
                <w:highlight w:val="none"/>
              </w:rPr>
              <w:t>项目厂界噪声预测值及达标分析   单位：dB（A）</w:t>
            </w:r>
          </w:p>
          <w:tbl>
            <w:tblPr>
              <w:tblStyle w:val="33"/>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326"/>
              <w:gridCol w:w="764"/>
              <w:gridCol w:w="2482"/>
              <w:gridCol w:w="1991"/>
              <w:gridCol w:w="1104"/>
            </w:tblGrid>
            <w:tr w14:paraId="59F3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2" w:type="dxa"/>
                  <w:vAlign w:val="center"/>
                </w:tcPr>
                <w:p w14:paraId="47920AC3">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预测点</w:t>
                  </w:r>
                </w:p>
              </w:tc>
              <w:tc>
                <w:tcPr>
                  <w:tcW w:w="1326" w:type="dxa"/>
                  <w:vAlign w:val="center"/>
                </w:tcPr>
                <w:p w14:paraId="22738AB7">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离地高度/m</w:t>
                  </w:r>
                </w:p>
              </w:tc>
              <w:tc>
                <w:tcPr>
                  <w:tcW w:w="764" w:type="dxa"/>
                  <w:vAlign w:val="center"/>
                </w:tcPr>
                <w:p w14:paraId="6D5BB3B7">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时段</w:t>
                  </w:r>
                </w:p>
              </w:tc>
              <w:tc>
                <w:tcPr>
                  <w:tcW w:w="2482" w:type="dxa"/>
                  <w:vAlign w:val="center"/>
                </w:tcPr>
                <w:p w14:paraId="3CB198A7">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环境噪声贡献值/dB（A）</w:t>
                  </w:r>
                </w:p>
              </w:tc>
              <w:tc>
                <w:tcPr>
                  <w:tcW w:w="1991" w:type="dxa"/>
                  <w:vAlign w:val="center"/>
                </w:tcPr>
                <w:p w14:paraId="784F38BC">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噪声标准值/dB（A）</w:t>
                  </w:r>
                </w:p>
              </w:tc>
              <w:tc>
                <w:tcPr>
                  <w:tcW w:w="1104" w:type="dxa"/>
                  <w:vAlign w:val="center"/>
                </w:tcPr>
                <w:p w14:paraId="1051DBCE">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达标情况</w:t>
                  </w:r>
                </w:p>
              </w:tc>
            </w:tr>
            <w:tr w14:paraId="3AF1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2" w:type="dxa"/>
                  <w:vAlign w:val="center"/>
                </w:tcPr>
                <w:p w14:paraId="5844BFD9">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东厂界</w:t>
                  </w:r>
                </w:p>
              </w:tc>
              <w:tc>
                <w:tcPr>
                  <w:tcW w:w="1326" w:type="dxa"/>
                  <w:vAlign w:val="center"/>
                </w:tcPr>
                <w:p w14:paraId="77D25264">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764" w:type="dxa"/>
                  <w:vMerge w:val="restart"/>
                  <w:vAlign w:val="center"/>
                </w:tcPr>
                <w:p w14:paraId="5B8748BA">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昼间</w:t>
                  </w:r>
                </w:p>
              </w:tc>
              <w:tc>
                <w:tcPr>
                  <w:tcW w:w="2482" w:type="dxa"/>
                  <w:vAlign w:val="center"/>
                </w:tcPr>
                <w:p w14:paraId="03F1239D">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55.38</w:t>
                  </w:r>
                </w:p>
              </w:tc>
              <w:tc>
                <w:tcPr>
                  <w:tcW w:w="1991" w:type="dxa"/>
                  <w:vAlign w:val="center"/>
                </w:tcPr>
                <w:p w14:paraId="5EC46C1B">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≤70</w:t>
                  </w:r>
                </w:p>
              </w:tc>
              <w:tc>
                <w:tcPr>
                  <w:tcW w:w="1104" w:type="dxa"/>
                  <w:vAlign w:val="center"/>
                </w:tcPr>
                <w:p w14:paraId="3C5AD6DE">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r>
            <w:tr w14:paraId="2FEA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2" w:type="dxa"/>
                  <w:vAlign w:val="center"/>
                </w:tcPr>
                <w:p w14:paraId="38EDF59C">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南厂界</w:t>
                  </w:r>
                </w:p>
              </w:tc>
              <w:tc>
                <w:tcPr>
                  <w:tcW w:w="1326" w:type="dxa"/>
                  <w:vAlign w:val="center"/>
                </w:tcPr>
                <w:p w14:paraId="01B45160">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764" w:type="dxa"/>
                  <w:vMerge w:val="continue"/>
                  <w:vAlign w:val="center"/>
                </w:tcPr>
                <w:p w14:paraId="5A881260">
                  <w:pPr>
                    <w:autoSpaceDE w:val="0"/>
                    <w:autoSpaceDN w:val="0"/>
                    <w:jc w:val="center"/>
                    <w:rPr>
                      <w:rFonts w:hint="default" w:ascii="Times New Roman" w:hAnsi="Times New Roman" w:cs="Times New Roman"/>
                      <w:bCs/>
                      <w:color w:val="auto"/>
                      <w:szCs w:val="21"/>
                      <w:highlight w:val="none"/>
                    </w:rPr>
                  </w:pPr>
                </w:p>
              </w:tc>
              <w:tc>
                <w:tcPr>
                  <w:tcW w:w="2482" w:type="dxa"/>
                  <w:vAlign w:val="center"/>
                </w:tcPr>
                <w:p w14:paraId="65E93C27">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47.78</w:t>
                  </w:r>
                </w:p>
              </w:tc>
              <w:tc>
                <w:tcPr>
                  <w:tcW w:w="1991" w:type="dxa"/>
                  <w:vAlign w:val="center"/>
                </w:tcPr>
                <w:p w14:paraId="34E3BC3A">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w:t>
                  </w:r>
                </w:p>
              </w:tc>
              <w:tc>
                <w:tcPr>
                  <w:tcW w:w="1104" w:type="dxa"/>
                  <w:vAlign w:val="center"/>
                </w:tcPr>
                <w:p w14:paraId="12260798">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r>
            <w:tr w14:paraId="3C6D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2" w:type="dxa"/>
                  <w:vAlign w:val="center"/>
                </w:tcPr>
                <w:p w14:paraId="28B0D949">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西厂界</w:t>
                  </w:r>
                </w:p>
              </w:tc>
              <w:tc>
                <w:tcPr>
                  <w:tcW w:w="1326" w:type="dxa"/>
                  <w:vAlign w:val="center"/>
                </w:tcPr>
                <w:p w14:paraId="7DC5591B">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764" w:type="dxa"/>
                  <w:vMerge w:val="continue"/>
                  <w:vAlign w:val="center"/>
                </w:tcPr>
                <w:p w14:paraId="7E2622C0">
                  <w:pPr>
                    <w:autoSpaceDE w:val="0"/>
                    <w:autoSpaceDN w:val="0"/>
                    <w:jc w:val="center"/>
                    <w:rPr>
                      <w:rFonts w:hint="default" w:ascii="Times New Roman" w:hAnsi="Times New Roman" w:cs="Times New Roman"/>
                      <w:bCs/>
                      <w:color w:val="auto"/>
                      <w:szCs w:val="21"/>
                      <w:highlight w:val="none"/>
                    </w:rPr>
                  </w:pPr>
                </w:p>
              </w:tc>
              <w:tc>
                <w:tcPr>
                  <w:tcW w:w="2482" w:type="dxa"/>
                  <w:vAlign w:val="center"/>
                </w:tcPr>
                <w:p w14:paraId="0579053E">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54.97</w:t>
                  </w:r>
                </w:p>
              </w:tc>
              <w:tc>
                <w:tcPr>
                  <w:tcW w:w="1991" w:type="dxa"/>
                  <w:vAlign w:val="center"/>
                </w:tcPr>
                <w:p w14:paraId="7497327C">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w:t>
                  </w:r>
                </w:p>
              </w:tc>
              <w:tc>
                <w:tcPr>
                  <w:tcW w:w="1104" w:type="dxa"/>
                  <w:vAlign w:val="center"/>
                </w:tcPr>
                <w:p w14:paraId="7AF249D4">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r>
            <w:tr w14:paraId="4A52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62" w:type="dxa"/>
                  <w:vAlign w:val="center"/>
                </w:tcPr>
                <w:p w14:paraId="7D69D003">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北厂界</w:t>
                  </w:r>
                </w:p>
              </w:tc>
              <w:tc>
                <w:tcPr>
                  <w:tcW w:w="1326" w:type="dxa"/>
                  <w:vAlign w:val="center"/>
                </w:tcPr>
                <w:p w14:paraId="2FC4F7C5">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764" w:type="dxa"/>
                  <w:vMerge w:val="continue"/>
                  <w:vAlign w:val="center"/>
                </w:tcPr>
                <w:p w14:paraId="7F6C1ABA">
                  <w:pPr>
                    <w:autoSpaceDE w:val="0"/>
                    <w:autoSpaceDN w:val="0"/>
                    <w:jc w:val="center"/>
                    <w:rPr>
                      <w:rFonts w:hint="default" w:ascii="Times New Roman" w:hAnsi="Times New Roman" w:cs="Times New Roman"/>
                      <w:bCs/>
                      <w:color w:val="auto"/>
                      <w:szCs w:val="21"/>
                      <w:highlight w:val="none"/>
                    </w:rPr>
                  </w:pPr>
                </w:p>
              </w:tc>
              <w:tc>
                <w:tcPr>
                  <w:tcW w:w="2482" w:type="dxa"/>
                  <w:vAlign w:val="center"/>
                </w:tcPr>
                <w:p w14:paraId="05329556">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54.41</w:t>
                  </w:r>
                </w:p>
              </w:tc>
              <w:tc>
                <w:tcPr>
                  <w:tcW w:w="1991" w:type="dxa"/>
                  <w:vAlign w:val="center"/>
                </w:tcPr>
                <w:p w14:paraId="1E9E203B">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≤70</w:t>
                  </w:r>
                </w:p>
              </w:tc>
              <w:tc>
                <w:tcPr>
                  <w:tcW w:w="1104" w:type="dxa"/>
                  <w:vAlign w:val="center"/>
                </w:tcPr>
                <w:p w14:paraId="28F6B5FF">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r>
          </w:tbl>
          <w:p w14:paraId="6AADA4A0">
            <w:pPr>
              <w:autoSpaceDE w:val="0"/>
              <w:autoSpaceDN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表</w:t>
            </w:r>
            <w:r>
              <w:rPr>
                <w:rFonts w:hint="default" w:ascii="Times New Roman" w:hAnsi="Times New Roman" w:cs="Times New Roman"/>
                <w:b/>
                <w:color w:val="auto"/>
                <w:kern w:val="24"/>
                <w:szCs w:val="21"/>
                <w:highlight w:val="none"/>
              </w:rPr>
              <w:t xml:space="preserve">4-20 </w:t>
            </w:r>
            <w:r>
              <w:rPr>
                <w:rFonts w:hint="default" w:ascii="Times New Roman" w:hAnsi="Times New Roman" w:cs="Times New Roman"/>
                <w:b/>
                <w:color w:val="auto"/>
                <w:szCs w:val="21"/>
                <w:highlight w:val="none"/>
              </w:rPr>
              <w:t>项目声环境保护目标预测值及达标分析   单位：dB（A）</w:t>
            </w:r>
          </w:p>
          <w:tbl>
            <w:tblPr>
              <w:tblStyle w:val="33"/>
              <w:tblW w:w="8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8"/>
              <w:gridCol w:w="859"/>
              <w:gridCol w:w="627"/>
              <w:gridCol w:w="1350"/>
              <w:gridCol w:w="1187"/>
              <w:gridCol w:w="1145"/>
              <w:gridCol w:w="689"/>
            </w:tblGrid>
            <w:tr w14:paraId="5FB1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608" w:type="dxa"/>
                  <w:vAlign w:val="center"/>
                </w:tcPr>
                <w:p w14:paraId="75D82D6A">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预测点</w:t>
                  </w:r>
                </w:p>
              </w:tc>
              <w:tc>
                <w:tcPr>
                  <w:tcW w:w="859" w:type="dxa"/>
                  <w:vAlign w:val="center"/>
                </w:tcPr>
                <w:p w14:paraId="56F0E480">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离地高度/m</w:t>
                  </w:r>
                </w:p>
              </w:tc>
              <w:tc>
                <w:tcPr>
                  <w:tcW w:w="627" w:type="dxa"/>
                  <w:vAlign w:val="center"/>
                </w:tcPr>
                <w:p w14:paraId="3381829A">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时段</w:t>
                  </w:r>
                </w:p>
              </w:tc>
              <w:tc>
                <w:tcPr>
                  <w:tcW w:w="1350" w:type="dxa"/>
                  <w:vAlign w:val="center"/>
                </w:tcPr>
                <w:p w14:paraId="67683BBB">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环境噪声背景值/dB（A）</w:t>
                  </w:r>
                </w:p>
              </w:tc>
              <w:tc>
                <w:tcPr>
                  <w:tcW w:w="1187" w:type="dxa"/>
                  <w:vAlign w:val="center"/>
                </w:tcPr>
                <w:p w14:paraId="0483609E">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噪声预测值/dB（A）</w:t>
                  </w:r>
                </w:p>
              </w:tc>
              <w:tc>
                <w:tcPr>
                  <w:tcW w:w="1145" w:type="dxa"/>
                  <w:vAlign w:val="center"/>
                </w:tcPr>
                <w:p w14:paraId="797E50EA">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噪声标准值/dB（A）</w:t>
                  </w:r>
                </w:p>
              </w:tc>
              <w:tc>
                <w:tcPr>
                  <w:tcW w:w="689" w:type="dxa"/>
                  <w:vAlign w:val="center"/>
                </w:tcPr>
                <w:p w14:paraId="399D700B">
                  <w:pPr>
                    <w:autoSpaceDE w:val="0"/>
                    <w:autoSpaceDN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达标情况</w:t>
                  </w:r>
                </w:p>
              </w:tc>
            </w:tr>
            <w:tr w14:paraId="1333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608" w:type="dxa"/>
                  <w:vAlign w:val="center"/>
                </w:tcPr>
                <w:p w14:paraId="25D15AB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菜园村</w:t>
                  </w:r>
                </w:p>
              </w:tc>
              <w:tc>
                <w:tcPr>
                  <w:tcW w:w="859" w:type="dxa"/>
                  <w:vAlign w:val="center"/>
                </w:tcPr>
                <w:p w14:paraId="4CBBC861">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627" w:type="dxa"/>
                  <w:vMerge w:val="restart"/>
                  <w:vAlign w:val="center"/>
                </w:tcPr>
                <w:p w14:paraId="2E739CE9">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昼间</w:t>
                  </w:r>
                </w:p>
              </w:tc>
              <w:tc>
                <w:tcPr>
                  <w:tcW w:w="1350" w:type="dxa"/>
                  <w:vAlign w:val="center"/>
                </w:tcPr>
                <w:p w14:paraId="22297568">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52</w:t>
                  </w:r>
                </w:p>
              </w:tc>
              <w:tc>
                <w:tcPr>
                  <w:tcW w:w="1187" w:type="dxa"/>
                  <w:vAlign w:val="center"/>
                </w:tcPr>
                <w:p w14:paraId="22FC153A">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54.96</w:t>
                  </w:r>
                </w:p>
              </w:tc>
              <w:tc>
                <w:tcPr>
                  <w:tcW w:w="1145" w:type="dxa"/>
                  <w:vAlign w:val="center"/>
                </w:tcPr>
                <w:p w14:paraId="001EBE07">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≤60</w:t>
                  </w:r>
                </w:p>
              </w:tc>
              <w:tc>
                <w:tcPr>
                  <w:tcW w:w="689" w:type="dxa"/>
                  <w:vAlign w:val="center"/>
                </w:tcPr>
                <w:p w14:paraId="281E696D">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r>
            <w:tr w14:paraId="5BB5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608" w:type="dxa"/>
                  <w:vAlign w:val="center"/>
                </w:tcPr>
                <w:p w14:paraId="0178CBE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祭祀坛</w:t>
                  </w:r>
                </w:p>
              </w:tc>
              <w:tc>
                <w:tcPr>
                  <w:tcW w:w="859" w:type="dxa"/>
                  <w:vAlign w:val="center"/>
                </w:tcPr>
                <w:p w14:paraId="5530E17F">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627" w:type="dxa"/>
                  <w:vMerge w:val="continue"/>
                  <w:vAlign w:val="center"/>
                </w:tcPr>
                <w:p w14:paraId="35ED9EBB">
                  <w:pPr>
                    <w:autoSpaceDE w:val="0"/>
                    <w:autoSpaceDN w:val="0"/>
                    <w:jc w:val="center"/>
                    <w:rPr>
                      <w:rFonts w:hint="default" w:ascii="Times New Roman" w:hAnsi="Times New Roman" w:cs="Times New Roman"/>
                      <w:bCs/>
                      <w:color w:val="auto"/>
                      <w:szCs w:val="21"/>
                      <w:highlight w:val="none"/>
                    </w:rPr>
                  </w:pPr>
                </w:p>
              </w:tc>
              <w:tc>
                <w:tcPr>
                  <w:tcW w:w="1350" w:type="dxa"/>
                  <w:vAlign w:val="center"/>
                </w:tcPr>
                <w:p w14:paraId="1C3F7782">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w:t>
                  </w:r>
                </w:p>
              </w:tc>
              <w:tc>
                <w:tcPr>
                  <w:tcW w:w="1187" w:type="dxa"/>
                  <w:vAlign w:val="center"/>
                </w:tcPr>
                <w:p w14:paraId="185E91A6">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54.35</w:t>
                  </w:r>
                </w:p>
              </w:tc>
              <w:tc>
                <w:tcPr>
                  <w:tcW w:w="1145" w:type="dxa"/>
                  <w:vAlign w:val="center"/>
                </w:tcPr>
                <w:p w14:paraId="754E9CE0">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w:t>
                  </w:r>
                </w:p>
              </w:tc>
              <w:tc>
                <w:tcPr>
                  <w:tcW w:w="689" w:type="dxa"/>
                  <w:vAlign w:val="center"/>
                </w:tcPr>
                <w:p w14:paraId="030E06FF">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r>
            <w:tr w14:paraId="51E6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608" w:type="dxa"/>
                  <w:vAlign w:val="center"/>
                </w:tcPr>
                <w:p w14:paraId="127D221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甸尾村</w:t>
                  </w:r>
                </w:p>
              </w:tc>
              <w:tc>
                <w:tcPr>
                  <w:tcW w:w="859" w:type="dxa"/>
                  <w:vAlign w:val="center"/>
                </w:tcPr>
                <w:p w14:paraId="68CD9B89">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627" w:type="dxa"/>
                  <w:vMerge w:val="continue"/>
                  <w:vAlign w:val="center"/>
                </w:tcPr>
                <w:p w14:paraId="744806A3">
                  <w:pPr>
                    <w:autoSpaceDE w:val="0"/>
                    <w:autoSpaceDN w:val="0"/>
                    <w:jc w:val="center"/>
                    <w:rPr>
                      <w:rFonts w:hint="default" w:ascii="Times New Roman" w:hAnsi="Times New Roman" w:cs="Times New Roman"/>
                      <w:bCs/>
                      <w:color w:val="auto"/>
                      <w:szCs w:val="21"/>
                      <w:highlight w:val="none"/>
                    </w:rPr>
                  </w:pPr>
                </w:p>
              </w:tc>
              <w:tc>
                <w:tcPr>
                  <w:tcW w:w="1350" w:type="dxa"/>
                  <w:vAlign w:val="center"/>
                </w:tcPr>
                <w:p w14:paraId="2C9C4067">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w:t>
                  </w:r>
                </w:p>
              </w:tc>
              <w:tc>
                <w:tcPr>
                  <w:tcW w:w="1187" w:type="dxa"/>
                  <w:vAlign w:val="center"/>
                </w:tcPr>
                <w:p w14:paraId="5C795E93">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54.9</w:t>
                  </w:r>
                </w:p>
              </w:tc>
              <w:tc>
                <w:tcPr>
                  <w:tcW w:w="1145" w:type="dxa"/>
                  <w:vAlign w:val="center"/>
                </w:tcPr>
                <w:p w14:paraId="6FF2F97B">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w:t>
                  </w:r>
                </w:p>
              </w:tc>
              <w:tc>
                <w:tcPr>
                  <w:tcW w:w="689" w:type="dxa"/>
                  <w:vAlign w:val="center"/>
                </w:tcPr>
                <w:p w14:paraId="75FAE034">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r>
            <w:tr w14:paraId="12BB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608" w:type="dxa"/>
                  <w:vAlign w:val="center"/>
                </w:tcPr>
                <w:p w14:paraId="5CE0271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城关1队</w:t>
                  </w:r>
                </w:p>
              </w:tc>
              <w:tc>
                <w:tcPr>
                  <w:tcW w:w="859" w:type="dxa"/>
                  <w:vAlign w:val="center"/>
                </w:tcPr>
                <w:p w14:paraId="24B0ED74">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1.2</w:t>
                  </w:r>
                </w:p>
              </w:tc>
              <w:tc>
                <w:tcPr>
                  <w:tcW w:w="627" w:type="dxa"/>
                  <w:vMerge w:val="continue"/>
                  <w:vAlign w:val="center"/>
                </w:tcPr>
                <w:p w14:paraId="510EE7C0">
                  <w:pPr>
                    <w:autoSpaceDE w:val="0"/>
                    <w:autoSpaceDN w:val="0"/>
                    <w:jc w:val="center"/>
                    <w:rPr>
                      <w:rFonts w:hint="default" w:ascii="Times New Roman" w:hAnsi="Times New Roman" w:cs="Times New Roman"/>
                      <w:bCs/>
                      <w:color w:val="auto"/>
                      <w:szCs w:val="21"/>
                      <w:highlight w:val="none"/>
                    </w:rPr>
                  </w:pPr>
                </w:p>
              </w:tc>
              <w:tc>
                <w:tcPr>
                  <w:tcW w:w="1350" w:type="dxa"/>
                  <w:vAlign w:val="center"/>
                </w:tcPr>
                <w:p w14:paraId="22E72B59">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w:t>
                  </w:r>
                </w:p>
              </w:tc>
              <w:tc>
                <w:tcPr>
                  <w:tcW w:w="1187" w:type="dxa"/>
                  <w:vAlign w:val="center"/>
                </w:tcPr>
                <w:p w14:paraId="125C5986">
                  <w:pPr>
                    <w:adjustRightInd w:val="0"/>
                    <w:snapToGrid w:val="0"/>
                    <w:spacing w:line="288" w:lineRule="auto"/>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54.19</w:t>
                  </w:r>
                </w:p>
              </w:tc>
              <w:tc>
                <w:tcPr>
                  <w:tcW w:w="1145" w:type="dxa"/>
                  <w:vAlign w:val="center"/>
                </w:tcPr>
                <w:p w14:paraId="49C3DF0A">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w:t>
                  </w:r>
                </w:p>
              </w:tc>
              <w:tc>
                <w:tcPr>
                  <w:tcW w:w="689" w:type="dxa"/>
                  <w:vAlign w:val="center"/>
                </w:tcPr>
                <w:p w14:paraId="53477B66">
                  <w:pPr>
                    <w:autoSpaceDE w:val="0"/>
                    <w:autoSpaceDN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达标</w:t>
                  </w:r>
                </w:p>
              </w:tc>
            </w:tr>
            <w:tr w14:paraId="1668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65" w:type="dxa"/>
                  <w:gridSpan w:val="7"/>
                  <w:vAlign w:val="center"/>
                </w:tcPr>
                <w:p w14:paraId="354CC52A">
                  <w:pPr>
                    <w:autoSpaceDE w:val="0"/>
                    <w:autoSpaceDN w:val="0"/>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备注</w:t>
                  </w:r>
                  <w:r>
                    <w:rPr>
                      <w:rFonts w:hint="default" w:ascii="Times New Roman" w:hAnsi="Times New Roman" w:cs="Times New Roman"/>
                      <w:color w:val="auto"/>
                      <w:highlight w:val="none"/>
                    </w:rPr>
                    <w:t>：</w:t>
                  </w:r>
                  <w:r>
                    <w:rPr>
                      <w:rFonts w:hint="default" w:ascii="Times New Roman" w:hAnsi="Times New Roman" w:cs="Times New Roman"/>
                      <w:color w:val="auto"/>
                      <w:szCs w:val="21"/>
                      <w:highlight w:val="none"/>
                    </w:rPr>
                    <w:t>祭祀坛、甸尾村环境噪声背景值参照就近点城关1队环境噪声背景值；</w:t>
                  </w:r>
                  <w:r>
                    <w:rPr>
                      <w:rFonts w:hint="default" w:ascii="Times New Roman" w:hAnsi="Times New Roman" w:cs="Times New Roman"/>
                      <w:bCs/>
                      <w:color w:val="auto"/>
                      <w:szCs w:val="21"/>
                      <w:highlight w:val="none"/>
                    </w:rPr>
                    <w:t xml:space="preserve"> </w:t>
                  </w:r>
                </w:p>
              </w:tc>
            </w:tr>
          </w:tbl>
          <w:p w14:paraId="5FF94A78">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根据上表，</w:t>
            </w:r>
            <w:r>
              <w:rPr>
                <w:rFonts w:hint="default" w:ascii="Times New Roman" w:hAnsi="Times New Roman" w:cs="Times New Roman"/>
                <w:bCs/>
                <w:color w:val="auto"/>
                <w:sz w:val="24"/>
                <w:highlight w:val="none"/>
              </w:rPr>
              <w:t>项目运营期北侧、东侧厂界噪声贡献值满足《工业企业厂界环境噪声排放标准》（GB12348-2008）中4类标准限值要求，其余厂界噪声贡献值满足到2类标准限值要求。项目声环境保护目标噪声预测值相应声环境功能区划要求的环境噪声限值要求。</w:t>
            </w:r>
          </w:p>
          <w:p w14:paraId="783B43DD">
            <w:pPr>
              <w:pStyle w:val="85"/>
              <w:adjustRightInd w:val="0"/>
              <w:snapToGrid w:val="0"/>
              <w:ind w:firstLine="482" w:firstLineChars="200"/>
              <w:rPr>
                <w:rFonts w:hint="default" w:ascii="Times New Roman" w:hAnsi="Times New Roman" w:cs="Times New Roman"/>
                <w:bCs/>
                <w:color w:val="auto"/>
                <w:kern w:val="0"/>
                <w:highlight w:val="none"/>
                <w:lang w:bidi="ar"/>
              </w:rPr>
            </w:pPr>
            <w:r>
              <w:rPr>
                <w:rFonts w:hint="default" w:ascii="Times New Roman" w:hAnsi="Times New Roman" w:cs="Times New Roman"/>
                <w:bCs/>
                <w:color w:val="auto"/>
                <w:kern w:val="0"/>
                <w:highlight w:val="none"/>
                <w:lang w:bidi="ar"/>
              </w:rPr>
              <w:t>4、措施</w:t>
            </w:r>
          </w:p>
          <w:p w14:paraId="026E3BB4">
            <w:pPr>
              <w:widowControl/>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项目噪声主要来源于</w:t>
            </w:r>
            <w:r>
              <w:rPr>
                <w:rFonts w:hint="default" w:ascii="Times New Roman" w:hAnsi="Times New Roman" w:cs="Times New Roman"/>
                <w:color w:val="auto"/>
                <w:sz w:val="24"/>
                <w:highlight w:val="none"/>
              </w:rPr>
              <w:t>通风柜、空调系统、风机、水泵和发电机</w:t>
            </w:r>
            <w:r>
              <w:rPr>
                <w:rFonts w:hint="default" w:ascii="Times New Roman" w:hAnsi="Times New Roman" w:cs="Times New Roman"/>
                <w:color w:val="auto"/>
                <w:kern w:val="0"/>
                <w:sz w:val="24"/>
                <w:highlight w:val="none"/>
                <w:lang w:bidi="ar"/>
              </w:rPr>
              <w:t>。</w:t>
            </w:r>
            <w:r>
              <w:rPr>
                <w:rFonts w:hint="default" w:ascii="Times New Roman" w:hAnsi="Times New Roman" w:cs="Times New Roman"/>
                <w:color w:val="auto"/>
                <w:sz w:val="24"/>
                <w:highlight w:val="none"/>
              </w:rPr>
              <w:t>为降低项目噪声对所在区域声环境的影响</w:t>
            </w:r>
            <w:r>
              <w:rPr>
                <w:rFonts w:hint="default" w:ascii="Times New Roman" w:hAnsi="Times New Roman" w:cs="Times New Roman"/>
                <w:color w:val="auto"/>
                <w:kern w:val="0"/>
                <w:sz w:val="24"/>
                <w:highlight w:val="none"/>
                <w:lang w:bidi="ar"/>
              </w:rPr>
              <w:t>，建设单位采取的降噪措施如下：</w:t>
            </w:r>
          </w:p>
          <w:p w14:paraId="72C0B8B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（1）从噪声源入手，在采购设备时选择低噪声、低振动的设备；</w:t>
            </w:r>
          </w:p>
          <w:p w14:paraId="24086B7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（2）安装减振垫以降低设备振动噪声；</w:t>
            </w:r>
          </w:p>
          <w:p w14:paraId="2B9DCFD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（3）将设备安装于房间内，利用墙壁的隔声作用降低噪声值；</w:t>
            </w:r>
          </w:p>
          <w:p w14:paraId="34B0E3D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（4）加强产噪设备的维护管理，避免因不正常运行所导致的噪声增大；</w:t>
            </w:r>
          </w:p>
          <w:p w14:paraId="02C2DA9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（5）风机出口设置消声器，在风机底座与建筑结构之间安装减振器。</w:t>
            </w:r>
          </w:p>
          <w:p w14:paraId="646B40EE">
            <w:pPr>
              <w:widowControl/>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5、结论</w:t>
            </w:r>
          </w:p>
          <w:p w14:paraId="0002688C">
            <w:pPr>
              <w:widowControl/>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sz w:val="24"/>
                <w:highlight w:val="none"/>
              </w:rPr>
              <w:t>通过采取以上噪声治理措施后，厂界噪声经预测能够达到《工业企业厂界环境噪声排放标准》（GB12348-2008）2类标准和4类标准要求，厂界噪声达标排放，经几何衰减后，对周边声环境保护目标影响不大</w:t>
            </w:r>
            <w:r>
              <w:rPr>
                <w:rFonts w:hint="default" w:ascii="Times New Roman" w:hAnsi="Times New Roman" w:cs="Times New Roman"/>
                <w:color w:val="auto"/>
                <w:kern w:val="0"/>
                <w:sz w:val="24"/>
                <w:highlight w:val="none"/>
                <w:lang w:bidi="ar"/>
              </w:rPr>
              <w:t>。</w:t>
            </w:r>
          </w:p>
          <w:p w14:paraId="60CA6097">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6、监测要求</w:t>
            </w:r>
          </w:p>
          <w:p w14:paraId="0BF7595E">
            <w:pPr>
              <w:widowControl/>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bidi="ar"/>
              </w:rPr>
              <w:t>根据</w:t>
            </w:r>
            <w:r>
              <w:rPr>
                <w:rFonts w:hint="default" w:ascii="Times New Roman" w:hAnsi="Times New Roman" w:cs="Times New Roman"/>
                <w:color w:val="auto"/>
                <w:sz w:val="24"/>
                <w:highlight w:val="none"/>
              </w:rPr>
              <w:t>《排污单位自行监测技术指南</w:t>
            </w:r>
            <w:r>
              <w:rPr>
                <w:rFonts w:hint="default" w:ascii="Times New Roman" w:hAnsi="Times New Roman" w:cs="Times New Roman"/>
                <w:color w:val="auto"/>
                <w:highlight w:val="none"/>
              </w:rPr>
              <w:t xml:space="preserve"> </w:t>
            </w:r>
            <w:r>
              <w:rPr>
                <w:rFonts w:hint="default" w:ascii="Times New Roman" w:hAnsi="Times New Roman" w:cs="Times New Roman"/>
                <w:color w:val="auto"/>
                <w:sz w:val="24"/>
                <w:highlight w:val="none"/>
              </w:rPr>
              <w:t>总则》（HJ819-2017）</w:t>
            </w:r>
            <w:r>
              <w:rPr>
                <w:rFonts w:hint="default" w:ascii="Times New Roman" w:hAnsi="Times New Roman" w:cs="Times New Roman"/>
                <w:color w:val="auto"/>
                <w:kern w:val="0"/>
                <w:sz w:val="24"/>
                <w:highlight w:val="none"/>
                <w:lang w:bidi="ar"/>
              </w:rPr>
              <w:t>，项目投产后，企业应定期组织噪声监测。若企业不具备监测条件，需委托当地具有监测资质的单位开展噪声监测。项目监测计划具体如下表所示。</w:t>
            </w:r>
          </w:p>
          <w:p w14:paraId="4919612A">
            <w:pPr>
              <w:spacing w:before="120" w:beforeLines="50"/>
              <w:ind w:firstLine="422" w:firstLineChars="200"/>
              <w:jc w:val="center"/>
              <w:rPr>
                <w:rStyle w:val="39"/>
                <w:rFonts w:hint="default" w:ascii="Times New Roman" w:hAnsi="Times New Roman" w:cs="Times New Roman"/>
                <w:b/>
                <w:bCs/>
                <w:color w:val="auto"/>
                <w:szCs w:val="21"/>
                <w:highlight w:val="none"/>
              </w:rPr>
            </w:pPr>
            <w:r>
              <w:rPr>
                <w:rStyle w:val="39"/>
                <w:rFonts w:hint="default" w:ascii="Times New Roman" w:hAnsi="Times New Roman" w:cs="Times New Roman"/>
                <w:b/>
                <w:bCs/>
                <w:color w:val="auto"/>
                <w:szCs w:val="21"/>
                <w:highlight w:val="none"/>
              </w:rPr>
              <w:t>表4-21 噪声监测计划表</w:t>
            </w:r>
          </w:p>
          <w:tbl>
            <w:tblPr>
              <w:tblStyle w:val="33"/>
              <w:tblW w:w="8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285"/>
              <w:gridCol w:w="1378"/>
              <w:gridCol w:w="1200"/>
              <w:gridCol w:w="3774"/>
            </w:tblGrid>
            <w:tr w14:paraId="6277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5" w:type="dxa"/>
                  <w:vAlign w:val="center"/>
                </w:tcPr>
                <w:p w14:paraId="2513446D">
                  <w:pPr>
                    <w:adjustRightInd w:val="0"/>
                    <w:snapToGrid w:val="0"/>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污染源</w:t>
                  </w:r>
                </w:p>
              </w:tc>
              <w:tc>
                <w:tcPr>
                  <w:tcW w:w="1285" w:type="dxa"/>
                  <w:vAlign w:val="center"/>
                </w:tcPr>
                <w:p w14:paraId="19C70FE4">
                  <w:pPr>
                    <w:adjustRightInd w:val="0"/>
                    <w:snapToGrid w:val="0"/>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监测点位</w:t>
                  </w:r>
                </w:p>
              </w:tc>
              <w:tc>
                <w:tcPr>
                  <w:tcW w:w="1378" w:type="dxa"/>
                  <w:vAlign w:val="center"/>
                </w:tcPr>
                <w:p w14:paraId="5FFFC10A">
                  <w:pPr>
                    <w:adjustRightInd w:val="0"/>
                    <w:snapToGrid w:val="0"/>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监测项目</w:t>
                  </w:r>
                </w:p>
              </w:tc>
              <w:tc>
                <w:tcPr>
                  <w:tcW w:w="1200" w:type="dxa"/>
                  <w:vAlign w:val="center"/>
                </w:tcPr>
                <w:p w14:paraId="7057D2B5">
                  <w:pPr>
                    <w:adjustRightInd w:val="0"/>
                    <w:snapToGrid w:val="0"/>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监测频次</w:t>
                  </w:r>
                </w:p>
              </w:tc>
              <w:tc>
                <w:tcPr>
                  <w:tcW w:w="3774" w:type="dxa"/>
                  <w:vAlign w:val="center"/>
                </w:tcPr>
                <w:p w14:paraId="7880F403">
                  <w:pPr>
                    <w:adjustRightInd w:val="0"/>
                    <w:snapToGrid w:val="0"/>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执行排放标准</w:t>
                  </w:r>
                </w:p>
              </w:tc>
            </w:tr>
            <w:tr w14:paraId="3A78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865" w:type="dxa"/>
                  <w:vAlign w:val="center"/>
                </w:tcPr>
                <w:p w14:paraId="7A5E4C8B">
                  <w:pPr>
                    <w:spacing w:line="288" w:lineRule="auto"/>
                    <w:jc w:val="center"/>
                    <w:rPr>
                      <w:rStyle w:val="39"/>
                      <w:rFonts w:hint="default" w:ascii="Times New Roman" w:hAnsi="Times New Roman" w:cs="Times New Roman"/>
                      <w:b/>
                      <w:bCs/>
                      <w:color w:val="auto"/>
                      <w:szCs w:val="21"/>
                      <w:highlight w:val="none"/>
                    </w:rPr>
                  </w:pPr>
                  <w:r>
                    <w:rPr>
                      <w:rStyle w:val="39"/>
                      <w:rFonts w:hint="default" w:ascii="Times New Roman" w:hAnsi="Times New Roman" w:cs="Times New Roman"/>
                      <w:color w:val="auto"/>
                      <w:szCs w:val="21"/>
                      <w:highlight w:val="none"/>
                    </w:rPr>
                    <w:t>噪声</w:t>
                  </w:r>
                </w:p>
              </w:tc>
              <w:tc>
                <w:tcPr>
                  <w:tcW w:w="1285" w:type="dxa"/>
                  <w:vAlign w:val="center"/>
                </w:tcPr>
                <w:p w14:paraId="7D0CE582">
                  <w:pPr>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color w:val="auto"/>
                      <w:highlight w:val="none"/>
                    </w:rPr>
                    <w:t>厂界四周</w:t>
                  </w:r>
                </w:p>
              </w:tc>
              <w:tc>
                <w:tcPr>
                  <w:tcW w:w="1378" w:type="dxa"/>
                  <w:vAlign w:val="center"/>
                </w:tcPr>
                <w:p w14:paraId="1A19931F">
                  <w:pPr>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等效声级LegdB（A）</w:t>
                  </w:r>
                </w:p>
              </w:tc>
              <w:tc>
                <w:tcPr>
                  <w:tcW w:w="1200" w:type="dxa"/>
                  <w:vAlign w:val="center"/>
                </w:tcPr>
                <w:p w14:paraId="7DC2EC44">
                  <w:pPr>
                    <w:widowControl/>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color w:val="auto"/>
                      <w:kern w:val="0"/>
                      <w:szCs w:val="21"/>
                      <w:highlight w:val="none"/>
                      <w:lang w:bidi="ar"/>
                    </w:rPr>
                    <w:t>1次/季度</w:t>
                  </w:r>
                </w:p>
              </w:tc>
              <w:tc>
                <w:tcPr>
                  <w:tcW w:w="3774" w:type="dxa"/>
                  <w:vAlign w:val="center"/>
                </w:tcPr>
                <w:p w14:paraId="53B39176">
                  <w:pPr>
                    <w:widowControl/>
                    <w:spacing w:line="288" w:lineRule="auto"/>
                    <w:jc w:val="center"/>
                    <w:rPr>
                      <w:rStyle w:val="39"/>
                      <w:rFonts w:hint="default" w:ascii="Times New Roman" w:hAnsi="Times New Roman" w:cs="Times New Roman"/>
                      <w:b/>
                      <w:bCs/>
                      <w:color w:val="auto"/>
                      <w:szCs w:val="21"/>
                      <w:highlight w:val="none"/>
                    </w:rPr>
                  </w:pPr>
                  <w:r>
                    <w:rPr>
                      <w:rFonts w:hint="default" w:ascii="Times New Roman" w:hAnsi="Times New Roman" w:cs="Times New Roman"/>
                      <w:color w:val="auto"/>
                      <w:kern w:val="0"/>
                      <w:szCs w:val="21"/>
                      <w:highlight w:val="none"/>
                      <w:lang w:bidi="ar"/>
                    </w:rPr>
                    <w:t>《工业企业厂界环境噪声排放标准》（GB12348-2008）表1中2类标准和4类标准</w:t>
                  </w:r>
                </w:p>
              </w:tc>
            </w:tr>
          </w:tbl>
          <w:p w14:paraId="2D3D0EE1">
            <w:pPr>
              <w:widowControl/>
              <w:spacing w:line="360" w:lineRule="auto"/>
              <w:jc w:val="left"/>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kern w:val="0"/>
                <w:sz w:val="28"/>
                <w:szCs w:val="28"/>
                <w:highlight w:val="none"/>
                <w:lang w:bidi="ar"/>
              </w:rPr>
              <w:t xml:space="preserve">4.2.4 </w:t>
            </w:r>
            <w:r>
              <w:rPr>
                <w:rFonts w:hint="default" w:ascii="Times New Roman" w:hAnsi="Times New Roman" w:cs="Times New Roman"/>
                <w:b/>
                <w:bCs/>
                <w:color w:val="auto"/>
                <w:sz w:val="28"/>
                <w:szCs w:val="28"/>
                <w:highlight w:val="none"/>
              </w:rPr>
              <w:t>固体废物</w:t>
            </w:r>
          </w:p>
          <w:p w14:paraId="5EFB422F">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1、产排情况及处置措施</w:t>
            </w:r>
          </w:p>
          <w:p w14:paraId="6ECFDE1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根据建设单位提供资料情况，项目运营期产生的固体废物及处置措施如下：</w:t>
            </w:r>
          </w:p>
          <w:p w14:paraId="3E1B2F03">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（1）微生物实验室废物（S</w:t>
            </w:r>
            <w:r>
              <w:rPr>
                <w:rFonts w:hint="default" w:ascii="Times New Roman" w:hAnsi="Times New Roman" w:cs="Times New Roman"/>
                <w:b/>
                <w:bCs/>
                <w:color w:val="auto"/>
                <w:sz w:val="24"/>
                <w:highlight w:val="none"/>
                <w:vertAlign w:val="subscript"/>
              </w:rPr>
              <w:t>1</w:t>
            </w:r>
            <w:r>
              <w:rPr>
                <w:rFonts w:hint="default" w:ascii="Times New Roman" w:hAnsi="Times New Roman" w:cs="Times New Roman"/>
                <w:b/>
                <w:bCs/>
                <w:color w:val="auto"/>
                <w:sz w:val="24"/>
                <w:highlight w:val="none"/>
              </w:rPr>
              <w:t>）</w:t>
            </w:r>
          </w:p>
          <w:p w14:paraId="47EEDE6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微生物实验室产生的废物主要为废培养基、废标本、废实验用品、多余样品等。根据建设单位提供的资料，废培养基、废标本、废实验用品（一次性吸管、塑料板、吸头、培养瓶）、多余样品等微生物实验室废物产生量约为1t/a。</w:t>
            </w:r>
          </w:p>
          <w:p w14:paraId="190CC0D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国家危险废物名录（2025年版）》，废培养基、废标本、废实验用品、多余样品属于HW01医疗废物，感染性废物（废物代码：841-001-01）。微生物实验室废物分类收集经消毒灭菌后，暂存于医疗固废暂存间，定期交由玉溪兴洁垃圾处理有限公司处理。</w:t>
            </w:r>
          </w:p>
          <w:p w14:paraId="355363C8">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（2）理化实验室废物（S</w:t>
            </w:r>
            <w:r>
              <w:rPr>
                <w:rFonts w:hint="default" w:ascii="Times New Roman" w:hAnsi="Times New Roman" w:cs="Times New Roman"/>
                <w:b/>
                <w:bCs/>
                <w:color w:val="auto"/>
                <w:sz w:val="24"/>
                <w:highlight w:val="none"/>
                <w:vertAlign w:val="subscript"/>
              </w:rPr>
              <w:t>2</w:t>
            </w:r>
            <w:r>
              <w:rPr>
                <w:rFonts w:hint="default" w:ascii="Times New Roman" w:hAnsi="Times New Roman" w:cs="Times New Roman"/>
                <w:b/>
                <w:bCs/>
                <w:color w:val="auto"/>
                <w:sz w:val="24"/>
                <w:highlight w:val="none"/>
              </w:rPr>
              <w:t>）</w:t>
            </w:r>
          </w:p>
          <w:p w14:paraId="06EE32A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理化实验室产生的废物主要为检毕样品、废弃样品、废实验用品、吸收废气碱液等废物。根据建设单位提供的资料，理化实验室废物产生量约为0.8t/a。</w:t>
            </w:r>
          </w:p>
          <w:p w14:paraId="6FCD648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国家危险废物名录（2025年版）》，检毕样品、废弃样品、废实验用品、吸收废气碱液属于HW01医疗废物，化学性废物（废物代码：841-004-01）。单独收集密封暂存于医疗固废暂存间，定期交由玉溪兴洁垃圾处理有限公司处理。</w:t>
            </w:r>
          </w:p>
          <w:p w14:paraId="1341CFD1">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（3）废活性炭（S</w:t>
            </w:r>
            <w:r>
              <w:rPr>
                <w:rFonts w:hint="default" w:ascii="Times New Roman" w:hAnsi="Times New Roman" w:cs="Times New Roman"/>
                <w:b/>
                <w:bCs/>
                <w:color w:val="auto"/>
                <w:sz w:val="24"/>
                <w:highlight w:val="none"/>
                <w:vertAlign w:val="subscript"/>
              </w:rPr>
              <w:t>3</w:t>
            </w:r>
            <w:r>
              <w:rPr>
                <w:rFonts w:hint="default" w:ascii="Times New Roman" w:hAnsi="Times New Roman" w:cs="Times New Roman"/>
                <w:b/>
                <w:bCs/>
                <w:color w:val="auto"/>
                <w:sz w:val="24"/>
                <w:highlight w:val="none"/>
              </w:rPr>
              <w:t>）</w:t>
            </w:r>
          </w:p>
          <w:p w14:paraId="2F2E5A9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理化实验室产生的废气经二级活性炭吸附处理后通过1根23m高的排气筒（DA001）排放，根据前文计算，项目理化实验室废气产生量为0.5923kg/a，根据《挥发性有机物污染治理实用手册》，一般单级活性炭的动态吸附量为15%，即100kg活性炭可吸附15kg废气。根据建设单位提供的资料，本项目用于废气处理的活性炭吸附箱单级活性炭填充量为25kg，二级活性炭箱填充量为50kg，按理论计算，项目活性炭吸附饱和可吸附7.5kg废气，但考虑为保障活性炭吸附的高效性，本环评要求建设单位每半年更换一次，因此，每年废活性炭产生量约为0.1t/a（忽略吸收废气增加的重量）。</w:t>
            </w:r>
          </w:p>
          <w:p w14:paraId="26820C2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根据《国家危险废物名录（2025年版）》，废活性炭属于HW49其他废物（废物代码：900-039-49）。暂存于医疗固废暂存间，定期交由有相应危废处置资质单位清运处置。</w:t>
            </w:r>
          </w:p>
          <w:p w14:paraId="5F4E11F4">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（4）废滤膜（S</w:t>
            </w:r>
            <w:r>
              <w:rPr>
                <w:rFonts w:hint="default" w:ascii="Times New Roman" w:hAnsi="Times New Roman" w:cs="Times New Roman"/>
                <w:b/>
                <w:bCs/>
                <w:color w:val="auto"/>
                <w:szCs w:val="24"/>
                <w:highlight w:val="none"/>
                <w:vertAlign w:val="subscript"/>
              </w:rPr>
              <w:t>4</w:t>
            </w:r>
            <w:r>
              <w:rPr>
                <w:rFonts w:hint="default" w:ascii="Times New Roman" w:hAnsi="Times New Roman" w:cs="Times New Roman"/>
                <w:b/>
                <w:bCs/>
                <w:color w:val="auto"/>
                <w:szCs w:val="24"/>
                <w:highlight w:val="none"/>
              </w:rPr>
              <w:t>）</w:t>
            </w:r>
          </w:p>
          <w:p w14:paraId="478E9191">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highlight w:val="none"/>
              </w:rPr>
              <w:t>根据建设单位提供的资料，项目微生物实验室生物安全柜的排风系统自带的高效过滤器滤膜每季度更换一次，每次更换的废滤膜重约50kg，则每年产生0.2t/a。</w:t>
            </w:r>
          </w:p>
          <w:p w14:paraId="4C86E59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根据《国家危险废物名录（2025年版）》，废滤膜属于HW49其他废物（废物代码：900-041-49）。经消毒灭菌后，暂存于医疗固废暂存间，定期交由有相应危废处置资质单位清运处置。</w:t>
            </w:r>
          </w:p>
          <w:p w14:paraId="3E78321E">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（5）含重金属废水预处理污泥（S</w:t>
            </w:r>
            <w:r>
              <w:rPr>
                <w:rFonts w:hint="default" w:ascii="Times New Roman" w:hAnsi="Times New Roman" w:cs="Times New Roman"/>
                <w:b/>
                <w:bCs/>
                <w:color w:val="auto"/>
                <w:szCs w:val="24"/>
                <w:highlight w:val="none"/>
                <w:vertAlign w:val="subscript"/>
              </w:rPr>
              <w:t>5</w:t>
            </w:r>
            <w:r>
              <w:rPr>
                <w:rFonts w:hint="default" w:ascii="Times New Roman" w:hAnsi="Times New Roman" w:cs="Times New Roman"/>
                <w:b/>
                <w:bCs/>
                <w:color w:val="auto"/>
                <w:szCs w:val="24"/>
                <w:highlight w:val="none"/>
              </w:rPr>
              <w:t>）</w:t>
            </w:r>
          </w:p>
          <w:p w14:paraId="09E0939E">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项目理化实验室废水化学沉淀法预处理过程会产生含少量重金属污泥，</w:t>
            </w:r>
            <w:r>
              <w:rPr>
                <w:rFonts w:hint="default" w:ascii="Times New Roman" w:hAnsi="Times New Roman" w:cs="Times New Roman"/>
                <w:color w:val="auto"/>
                <w:highlight w:val="none"/>
              </w:rPr>
              <w:t>根据建设单位提供的资料，产生量约为0.01t/a。</w:t>
            </w:r>
          </w:p>
          <w:p w14:paraId="433D7FDC">
            <w:pPr>
              <w:pStyle w:val="10"/>
              <w:ind w:firstLine="480"/>
              <w:rPr>
                <w:rFonts w:hint="default" w:ascii="Times New Roman" w:hAnsi="Times New Roman" w:cs="Times New Roman"/>
                <w:b/>
                <w:bCs/>
                <w:color w:val="auto"/>
                <w:szCs w:val="24"/>
                <w:highlight w:val="none"/>
              </w:rPr>
            </w:pPr>
            <w:r>
              <w:rPr>
                <w:rFonts w:hint="default" w:ascii="Times New Roman" w:hAnsi="Times New Roman" w:cs="Times New Roman"/>
                <w:color w:val="auto"/>
                <w:highlight w:val="none"/>
              </w:rPr>
              <w:t>根据《国家危险废物名录（2025年版）》，含重金属污泥属于HW49其他废物（废物代码：</w:t>
            </w:r>
            <w:r>
              <w:rPr>
                <w:rFonts w:hint="default" w:ascii="Times New Roman" w:hAnsi="Times New Roman" w:cs="Times New Roman"/>
                <w:color w:val="auto"/>
                <w:szCs w:val="21"/>
                <w:highlight w:val="none"/>
              </w:rPr>
              <w:t>772-006-49</w:t>
            </w:r>
            <w:r>
              <w:rPr>
                <w:rFonts w:hint="default" w:ascii="Times New Roman" w:hAnsi="Times New Roman" w:cs="Times New Roman"/>
                <w:color w:val="auto"/>
                <w:highlight w:val="none"/>
              </w:rPr>
              <w:t>）。经实验人员脱水后，暂存于医疗固废暂存间，定期交由有相应危废处置资质单位清运处置。</w:t>
            </w:r>
          </w:p>
          <w:p w14:paraId="7BCB705B">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（6）污水处理站格栅渣（S</w:t>
            </w:r>
            <w:r>
              <w:rPr>
                <w:rFonts w:hint="default" w:ascii="Times New Roman" w:hAnsi="Times New Roman" w:cs="Times New Roman"/>
                <w:b/>
                <w:bCs/>
                <w:color w:val="auto"/>
                <w:szCs w:val="24"/>
                <w:highlight w:val="none"/>
                <w:vertAlign w:val="subscript"/>
              </w:rPr>
              <w:t>6</w:t>
            </w:r>
            <w:r>
              <w:rPr>
                <w:rFonts w:hint="default" w:ascii="Times New Roman" w:hAnsi="Times New Roman" w:cs="Times New Roman"/>
                <w:b/>
                <w:bCs/>
                <w:color w:val="auto"/>
                <w:szCs w:val="24"/>
                <w:highlight w:val="none"/>
              </w:rPr>
              <w:t>）</w:t>
            </w:r>
          </w:p>
          <w:p w14:paraId="0F8378DB">
            <w:pPr>
              <w:pStyle w:val="10"/>
              <w:ind w:firstLine="480"/>
              <w:rPr>
                <w:rFonts w:hint="default" w:ascii="Times New Roman" w:hAnsi="Times New Roman" w:cs="Times New Roman"/>
                <w:b/>
                <w:bCs/>
                <w:color w:val="auto"/>
                <w:szCs w:val="24"/>
                <w:highlight w:val="none"/>
              </w:rPr>
            </w:pPr>
            <w:r>
              <w:rPr>
                <w:rFonts w:hint="default" w:ascii="Times New Roman" w:hAnsi="Times New Roman" w:cs="Times New Roman"/>
                <w:color w:val="auto"/>
                <w:szCs w:val="24"/>
                <w:highlight w:val="none"/>
              </w:rPr>
              <w:t>污水经污水处理站格栅池处理后，会产生少量的格栅渣，根据建设单位提供的资料，格栅渣产生量约0.01t/a，滤水消毒后暂存于医废暂存间</w:t>
            </w:r>
            <w:r>
              <w:rPr>
                <w:rFonts w:hint="default" w:ascii="Times New Roman" w:hAnsi="Times New Roman" w:cs="Times New Roman"/>
                <w:color w:val="auto"/>
                <w:highlight w:val="none"/>
              </w:rPr>
              <w:t>定期交由有相应危废处置资质单位清运处置。</w:t>
            </w:r>
          </w:p>
          <w:p w14:paraId="456811AB">
            <w:pPr>
              <w:pStyle w:val="10"/>
              <w:ind w:firstLine="480"/>
              <w:rPr>
                <w:rFonts w:hint="default" w:ascii="Times New Roman" w:hAnsi="Times New Roman" w:cs="Times New Roman"/>
                <w:b/>
                <w:bCs/>
                <w:color w:val="auto"/>
                <w:szCs w:val="24"/>
                <w:highlight w:val="none"/>
              </w:rPr>
            </w:pPr>
            <w:r>
              <w:rPr>
                <w:rFonts w:hint="default" w:ascii="Times New Roman" w:hAnsi="Times New Roman" w:cs="Times New Roman"/>
                <w:color w:val="auto"/>
                <w:highlight w:val="none"/>
              </w:rPr>
              <w:t>根据《国家危险废物名录（2025年版）》，污水处理站格栅渣属于HW49其他废物（废物代码：</w:t>
            </w:r>
            <w:r>
              <w:rPr>
                <w:rFonts w:hint="default" w:ascii="Times New Roman" w:hAnsi="Times New Roman" w:cs="Times New Roman"/>
                <w:color w:val="auto"/>
                <w:szCs w:val="21"/>
                <w:highlight w:val="none"/>
              </w:rPr>
              <w:t>772-006-49</w:t>
            </w:r>
            <w:r>
              <w:rPr>
                <w:rFonts w:hint="default" w:ascii="Times New Roman" w:hAnsi="Times New Roman" w:cs="Times New Roman"/>
                <w:color w:val="auto"/>
                <w:highlight w:val="none"/>
              </w:rPr>
              <w:t>）。</w:t>
            </w:r>
          </w:p>
          <w:p w14:paraId="0B7AA526">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（7）污水处理站污泥（S</w:t>
            </w:r>
            <w:r>
              <w:rPr>
                <w:rFonts w:hint="default" w:ascii="Times New Roman" w:hAnsi="Times New Roman" w:cs="Times New Roman"/>
                <w:b/>
                <w:bCs/>
                <w:color w:val="auto"/>
                <w:szCs w:val="24"/>
                <w:highlight w:val="none"/>
                <w:vertAlign w:val="subscript"/>
              </w:rPr>
              <w:t>7</w:t>
            </w:r>
            <w:r>
              <w:rPr>
                <w:rFonts w:hint="default" w:ascii="Times New Roman" w:hAnsi="Times New Roman" w:cs="Times New Roman"/>
                <w:b/>
                <w:bCs/>
                <w:color w:val="auto"/>
                <w:szCs w:val="24"/>
                <w:highlight w:val="none"/>
              </w:rPr>
              <w:t>）</w:t>
            </w:r>
          </w:p>
          <w:p w14:paraId="37FC285F">
            <w:pPr>
              <w:pStyle w:val="1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污水处理站污泥量估算可根据一般污水处理厂污泥平均产生量进行核算，即每处理10000m</w:t>
            </w:r>
            <w:r>
              <w:rPr>
                <w:rFonts w:hint="default" w:ascii="Times New Roman" w:hAnsi="Times New Roman" w:cs="Times New Roman"/>
                <w:color w:val="auto"/>
                <w:szCs w:val="24"/>
                <w:highlight w:val="none"/>
                <w:vertAlign w:val="superscript"/>
              </w:rPr>
              <w:t>3</w:t>
            </w:r>
            <w:r>
              <w:rPr>
                <w:rFonts w:hint="default" w:ascii="Times New Roman" w:hAnsi="Times New Roman" w:cs="Times New Roman"/>
                <w:color w:val="auto"/>
                <w:szCs w:val="24"/>
                <w:highlight w:val="none"/>
              </w:rPr>
              <w:t>污水，将产生干污泥量1t。本项目污水处理站处理废水约128t/a，计算产生污泥量约0.0128t/a。</w:t>
            </w:r>
          </w:p>
          <w:p w14:paraId="023915E2">
            <w:pPr>
              <w:pStyle w:val="10"/>
              <w:ind w:firstLine="480"/>
              <w:rPr>
                <w:rFonts w:hint="default" w:ascii="Times New Roman" w:hAnsi="Times New Roman" w:cs="Times New Roman"/>
                <w:b/>
                <w:bCs/>
                <w:color w:val="auto"/>
                <w:szCs w:val="24"/>
                <w:highlight w:val="none"/>
              </w:rPr>
            </w:pPr>
            <w:r>
              <w:rPr>
                <w:rFonts w:hint="default" w:ascii="Times New Roman" w:hAnsi="Times New Roman" w:cs="Times New Roman"/>
                <w:color w:val="auto"/>
                <w:highlight w:val="none"/>
              </w:rPr>
              <w:t>根据《国家危险废物名录（2025年版）》，污水处理站污泥属于HW49其他废物（废物代码：</w:t>
            </w:r>
            <w:r>
              <w:rPr>
                <w:rFonts w:hint="default" w:ascii="Times New Roman" w:hAnsi="Times New Roman" w:cs="Times New Roman"/>
                <w:color w:val="auto"/>
                <w:szCs w:val="21"/>
                <w:highlight w:val="none"/>
              </w:rPr>
              <w:t>772-006-49</w:t>
            </w:r>
            <w:r>
              <w:rPr>
                <w:rFonts w:hint="default" w:ascii="Times New Roman" w:hAnsi="Times New Roman" w:cs="Times New Roman"/>
                <w:color w:val="auto"/>
                <w:highlight w:val="none"/>
              </w:rPr>
              <w:t>）。污泥经在污水处理站污泥池脱水后，废水回流自污水处理站调节池，脱水-次氯酸钠消毒后的污泥暂存医废暂存间定期交由有相应危废处置资质单位清运处置。</w:t>
            </w:r>
          </w:p>
          <w:p w14:paraId="1041633E">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（8）废反渗透膜（S</w:t>
            </w:r>
            <w:r>
              <w:rPr>
                <w:rFonts w:hint="default" w:ascii="Times New Roman" w:hAnsi="Times New Roman" w:cs="Times New Roman"/>
                <w:b/>
                <w:bCs/>
                <w:color w:val="auto"/>
                <w:szCs w:val="24"/>
                <w:highlight w:val="none"/>
                <w:vertAlign w:val="subscript"/>
              </w:rPr>
              <w:t>8</w:t>
            </w:r>
            <w:r>
              <w:rPr>
                <w:rFonts w:hint="default" w:ascii="Times New Roman" w:hAnsi="Times New Roman" w:cs="Times New Roman"/>
                <w:b/>
                <w:bCs/>
                <w:color w:val="auto"/>
                <w:szCs w:val="24"/>
                <w:highlight w:val="none"/>
              </w:rPr>
              <w:t>）</w:t>
            </w:r>
          </w:p>
          <w:p w14:paraId="4AAD3661">
            <w:pPr>
              <w:pStyle w:val="10"/>
              <w:ind w:firstLine="480"/>
              <w:rPr>
                <w:rFonts w:hint="default" w:ascii="Times New Roman" w:hAnsi="Times New Roman" w:cs="Times New Roman"/>
                <w:b/>
                <w:bCs/>
                <w:color w:val="auto"/>
                <w:szCs w:val="24"/>
                <w:highlight w:val="none"/>
              </w:rPr>
            </w:pPr>
            <w:r>
              <w:rPr>
                <w:rFonts w:hint="default" w:ascii="Times New Roman" w:hAnsi="Times New Roman" w:cs="Times New Roman"/>
                <w:color w:val="auto"/>
                <w:highlight w:val="none"/>
              </w:rPr>
              <w:t>实验室所用纯水由2台纯水制备系统制备，纯水制备产生的废反渗透膜为一般工业固体废物，产生量约为0.5t/a，由供货商上门回收。</w:t>
            </w:r>
          </w:p>
          <w:p w14:paraId="0C6D34E6">
            <w:pPr>
              <w:pStyle w:val="1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（9）化粪池污泥（S</w:t>
            </w:r>
            <w:r>
              <w:rPr>
                <w:rFonts w:hint="default" w:ascii="Times New Roman" w:hAnsi="Times New Roman" w:cs="Times New Roman"/>
                <w:b/>
                <w:bCs/>
                <w:color w:val="auto"/>
                <w:szCs w:val="24"/>
                <w:highlight w:val="none"/>
                <w:vertAlign w:val="subscript"/>
              </w:rPr>
              <w:t>9</w:t>
            </w:r>
            <w:r>
              <w:rPr>
                <w:rFonts w:hint="default" w:ascii="Times New Roman" w:hAnsi="Times New Roman" w:cs="Times New Roman"/>
                <w:b/>
                <w:bCs/>
                <w:color w:val="auto"/>
                <w:szCs w:val="24"/>
                <w:highlight w:val="none"/>
              </w:rPr>
              <w:t>）</w:t>
            </w:r>
          </w:p>
          <w:p w14:paraId="6DAD518E">
            <w:pPr>
              <w:pStyle w:val="10"/>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目前疾控中心内现有在职在编人员53人，编外人员5人，公益性岗位人员2人。本项目建成后，人员编制不增加，因此本项目无新增生活污水。</w:t>
            </w:r>
            <w:r>
              <w:rPr>
                <w:rFonts w:hint="default" w:ascii="Times New Roman" w:hAnsi="Times New Roman" w:cs="Times New Roman"/>
                <w:color w:val="auto"/>
                <w:highlight w:val="none"/>
              </w:rPr>
              <w:t>根据《华宁县疾病预防控制中心应急物资、疫苗冷链综合储备库建设项目竣工环境保护验收监测报告表》，华宁县疾控中心现有生活污水128m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a，现有项目主要为门诊以及工作人员的一般生活污水进入化粪池，无实验室废水进入。一般化粪池污泥产生量为废水处理量的0.05%，污泥主要成分不含重金属以及传染性病原体，属于一般工业固体废物，则化粪池污泥产生量为0.064t/a，定期委托环卫部门进行清掏处理。</w:t>
            </w:r>
          </w:p>
          <w:p w14:paraId="4A4EAB98">
            <w:pPr>
              <w:pStyle w:val="10"/>
              <w:keepNext w:val="0"/>
              <w:keepLines w:val="0"/>
              <w:pageBreakBefore w:val="0"/>
              <w:widowControl w:val="0"/>
              <w:kinsoku/>
              <w:wordWrap/>
              <w:overflowPunct/>
              <w:topLinePunct w:val="0"/>
              <w:autoSpaceDE/>
              <w:autoSpaceDN/>
              <w:bidi w:val="0"/>
              <w:adjustRightInd/>
              <w:snapToGrid/>
              <w:ind w:firstLine="482"/>
              <w:textAlignment w:val="auto"/>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（10）生活垃圾（S</w:t>
            </w:r>
            <w:r>
              <w:rPr>
                <w:rFonts w:hint="default" w:ascii="Times New Roman" w:hAnsi="Times New Roman" w:cs="Times New Roman"/>
                <w:b/>
                <w:bCs/>
                <w:color w:val="auto"/>
                <w:szCs w:val="24"/>
                <w:highlight w:val="none"/>
                <w:vertAlign w:val="subscript"/>
              </w:rPr>
              <w:t>10</w:t>
            </w:r>
            <w:r>
              <w:rPr>
                <w:rFonts w:hint="default" w:ascii="Times New Roman" w:hAnsi="Times New Roman" w:cs="Times New Roman"/>
                <w:b/>
                <w:bCs/>
                <w:color w:val="auto"/>
                <w:szCs w:val="24"/>
                <w:highlight w:val="none"/>
              </w:rPr>
              <w:t>）</w:t>
            </w:r>
          </w:p>
          <w:p w14:paraId="66C53AC8">
            <w:pPr>
              <w:pStyle w:val="10"/>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b/>
                <w:bCs/>
                <w:color w:val="auto"/>
                <w:szCs w:val="24"/>
                <w:highlight w:val="none"/>
              </w:rPr>
            </w:pPr>
            <w:r>
              <w:rPr>
                <w:rFonts w:hint="default" w:ascii="Times New Roman" w:hAnsi="Times New Roman" w:cs="Times New Roman"/>
                <w:color w:val="auto"/>
                <w:szCs w:val="24"/>
                <w:highlight w:val="none"/>
              </w:rPr>
              <w:t>目前疾控中心内现有在职在编人员53人，编外人员5人，公益性岗位人员2人。本项目建成后，人员编制不增加，因此本项目无新增生活垃圾。</w:t>
            </w:r>
          </w:p>
          <w:p w14:paraId="75626DC9">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表4-22 危险废物产生情况及处置措施  单位：t/a</w:t>
            </w:r>
          </w:p>
          <w:tbl>
            <w:tblPr>
              <w:tblStyle w:val="33"/>
              <w:tblW w:w="85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18"/>
              <w:gridCol w:w="915"/>
              <w:gridCol w:w="1312"/>
              <w:gridCol w:w="1404"/>
              <w:gridCol w:w="1241"/>
              <w:gridCol w:w="982"/>
              <w:gridCol w:w="2290"/>
            </w:tblGrid>
            <w:tr w14:paraId="01D0A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8" w:type="dxa"/>
                  <w:vAlign w:val="center"/>
                </w:tcPr>
                <w:p w14:paraId="7DD12C1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915" w:type="dxa"/>
                  <w:vAlign w:val="center"/>
                </w:tcPr>
                <w:p w14:paraId="72D2392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污染源</w:t>
                  </w:r>
                </w:p>
              </w:tc>
              <w:tc>
                <w:tcPr>
                  <w:tcW w:w="1312" w:type="dxa"/>
                  <w:vAlign w:val="center"/>
                </w:tcPr>
                <w:p w14:paraId="14B1D34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固废名称</w:t>
                  </w:r>
                </w:p>
              </w:tc>
              <w:tc>
                <w:tcPr>
                  <w:tcW w:w="1404" w:type="dxa"/>
                  <w:vAlign w:val="center"/>
                </w:tcPr>
                <w:p w14:paraId="3613DEE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固废代码</w:t>
                  </w:r>
                </w:p>
              </w:tc>
              <w:tc>
                <w:tcPr>
                  <w:tcW w:w="1241" w:type="dxa"/>
                  <w:vAlign w:val="center"/>
                </w:tcPr>
                <w:p w14:paraId="3CEDD93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危险废物</w:t>
                  </w:r>
                </w:p>
                <w:p w14:paraId="6E39D64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编号</w:t>
                  </w:r>
                </w:p>
              </w:tc>
              <w:tc>
                <w:tcPr>
                  <w:tcW w:w="982" w:type="dxa"/>
                  <w:vAlign w:val="center"/>
                </w:tcPr>
                <w:p w14:paraId="1C981B8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产生量</w:t>
                  </w:r>
                </w:p>
              </w:tc>
              <w:tc>
                <w:tcPr>
                  <w:tcW w:w="2290" w:type="dxa"/>
                  <w:vAlign w:val="center"/>
                </w:tcPr>
                <w:p w14:paraId="55BACD25">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处置措施</w:t>
                  </w:r>
                </w:p>
              </w:tc>
            </w:tr>
            <w:tr w14:paraId="373E8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418" w:type="dxa"/>
                  <w:vAlign w:val="center"/>
                </w:tcPr>
                <w:p w14:paraId="10A3A59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1</w:t>
                  </w:r>
                </w:p>
              </w:tc>
              <w:tc>
                <w:tcPr>
                  <w:tcW w:w="915" w:type="dxa"/>
                  <w:vAlign w:val="center"/>
                </w:tcPr>
                <w:p w14:paraId="1C1914A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微生物</w:t>
                  </w:r>
                </w:p>
                <w:p w14:paraId="57F5FE1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w:t>
                  </w:r>
                </w:p>
              </w:tc>
              <w:tc>
                <w:tcPr>
                  <w:tcW w:w="1312" w:type="dxa"/>
                  <w:vAlign w:val="center"/>
                </w:tcPr>
                <w:p w14:paraId="1515765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废培养基、废标本、废实验用品、多余样品</w:t>
                  </w:r>
                </w:p>
              </w:tc>
              <w:tc>
                <w:tcPr>
                  <w:tcW w:w="1404" w:type="dxa"/>
                  <w:vAlign w:val="center"/>
                </w:tcPr>
                <w:p w14:paraId="6F720F3E">
                  <w:pPr>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 xml:space="preserve">SW92 </w:t>
                  </w:r>
                  <w:r>
                    <w:rPr>
                      <w:rFonts w:hint="default" w:ascii="Times New Roman" w:hAnsi="Times New Roman" w:cs="Times New Roman"/>
                      <w:color w:val="auto"/>
                      <w:szCs w:val="21"/>
                      <w:highlight w:val="none"/>
                    </w:rPr>
                    <w:t>900-001-S92</w:t>
                  </w:r>
                </w:p>
              </w:tc>
              <w:tc>
                <w:tcPr>
                  <w:tcW w:w="1241" w:type="dxa"/>
                  <w:vAlign w:val="center"/>
                </w:tcPr>
                <w:p w14:paraId="53F7105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HW01</w:t>
                  </w:r>
                </w:p>
                <w:p w14:paraId="5128D63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841-001-01</w:t>
                  </w:r>
                </w:p>
              </w:tc>
              <w:tc>
                <w:tcPr>
                  <w:tcW w:w="982" w:type="dxa"/>
                  <w:vAlign w:val="center"/>
                </w:tcPr>
                <w:p w14:paraId="4ED92C2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290" w:type="dxa"/>
                  <w:vAlign w:val="center"/>
                </w:tcPr>
                <w:p w14:paraId="4CD7005A">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分类收集经消毒灭菌后，暂存于现有项目医疗固废暂存间，定期交由玉溪兴洁垃圾处理有限公司处理。</w:t>
                  </w:r>
                </w:p>
              </w:tc>
            </w:tr>
            <w:tr w14:paraId="282A5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418" w:type="dxa"/>
                  <w:vAlign w:val="center"/>
                </w:tcPr>
                <w:p w14:paraId="024D8772">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2</w:t>
                  </w:r>
                </w:p>
              </w:tc>
              <w:tc>
                <w:tcPr>
                  <w:tcW w:w="915" w:type="dxa"/>
                  <w:vAlign w:val="center"/>
                </w:tcPr>
                <w:p w14:paraId="5039A97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理化</w:t>
                  </w:r>
                </w:p>
                <w:p w14:paraId="65D7683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w:t>
                  </w:r>
                </w:p>
              </w:tc>
              <w:tc>
                <w:tcPr>
                  <w:tcW w:w="1312" w:type="dxa"/>
                  <w:vAlign w:val="center"/>
                </w:tcPr>
                <w:p w14:paraId="6C14822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检毕样品、废弃样品、废实验用品、吸收废气碱液</w:t>
                  </w:r>
                </w:p>
              </w:tc>
              <w:tc>
                <w:tcPr>
                  <w:tcW w:w="1404" w:type="dxa"/>
                  <w:vAlign w:val="center"/>
                </w:tcPr>
                <w:p w14:paraId="618A19FC">
                  <w:pPr>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 xml:space="preserve">SW92 </w:t>
                  </w:r>
                  <w:r>
                    <w:rPr>
                      <w:rFonts w:hint="default" w:ascii="Times New Roman" w:hAnsi="Times New Roman" w:cs="Times New Roman"/>
                      <w:color w:val="auto"/>
                      <w:szCs w:val="21"/>
                      <w:highlight w:val="none"/>
                    </w:rPr>
                    <w:t>900-001-S92</w:t>
                  </w:r>
                </w:p>
              </w:tc>
              <w:tc>
                <w:tcPr>
                  <w:tcW w:w="1241" w:type="dxa"/>
                  <w:vAlign w:val="center"/>
                </w:tcPr>
                <w:p w14:paraId="0EB93B8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HW01</w:t>
                  </w:r>
                </w:p>
                <w:p w14:paraId="4FB2DF7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841-004-01</w:t>
                  </w:r>
                </w:p>
              </w:tc>
              <w:tc>
                <w:tcPr>
                  <w:tcW w:w="982" w:type="dxa"/>
                  <w:vAlign w:val="center"/>
                </w:tcPr>
                <w:p w14:paraId="211CA21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0.8</w:t>
                  </w:r>
                </w:p>
              </w:tc>
              <w:tc>
                <w:tcPr>
                  <w:tcW w:w="2290" w:type="dxa"/>
                  <w:vAlign w:val="center"/>
                </w:tcPr>
                <w:p w14:paraId="3FC66E6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单独收集密封暂存于现有项目医疗固废暂存间，定期交由玉溪兴洁垃圾处理有限公司处理。</w:t>
                  </w:r>
                </w:p>
              </w:tc>
            </w:tr>
            <w:tr w14:paraId="1FD03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 w:hRule="atLeast"/>
                <w:jc w:val="center"/>
              </w:trPr>
              <w:tc>
                <w:tcPr>
                  <w:tcW w:w="418" w:type="dxa"/>
                  <w:vAlign w:val="center"/>
                </w:tcPr>
                <w:p w14:paraId="602607E4">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3</w:t>
                  </w:r>
                </w:p>
              </w:tc>
              <w:tc>
                <w:tcPr>
                  <w:tcW w:w="915" w:type="dxa"/>
                  <w:vAlign w:val="center"/>
                </w:tcPr>
                <w:p w14:paraId="02E97E9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活性炭</w:t>
                  </w:r>
                </w:p>
              </w:tc>
              <w:tc>
                <w:tcPr>
                  <w:tcW w:w="1312" w:type="dxa"/>
                  <w:vAlign w:val="center"/>
                </w:tcPr>
                <w:p w14:paraId="6BE10B1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废活性炭</w:t>
                  </w:r>
                </w:p>
              </w:tc>
              <w:tc>
                <w:tcPr>
                  <w:tcW w:w="1404" w:type="dxa"/>
                  <w:vAlign w:val="center"/>
                </w:tcPr>
                <w:p w14:paraId="4D41F99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 xml:space="preserve">SW59 </w:t>
                  </w:r>
                  <w:r>
                    <w:rPr>
                      <w:rFonts w:hint="default" w:ascii="Times New Roman" w:hAnsi="Times New Roman" w:cs="Times New Roman"/>
                      <w:color w:val="auto"/>
                      <w:szCs w:val="21"/>
                      <w:highlight w:val="none"/>
                    </w:rPr>
                    <w:t>900-008-S59</w:t>
                  </w:r>
                </w:p>
              </w:tc>
              <w:tc>
                <w:tcPr>
                  <w:tcW w:w="1241" w:type="dxa"/>
                  <w:vAlign w:val="center"/>
                </w:tcPr>
                <w:p w14:paraId="634D1A7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w:t>
                  </w:r>
                </w:p>
                <w:p w14:paraId="6BDBCA1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900-039-49</w:t>
                  </w:r>
                </w:p>
              </w:tc>
              <w:tc>
                <w:tcPr>
                  <w:tcW w:w="982" w:type="dxa"/>
                  <w:vAlign w:val="center"/>
                </w:tcPr>
                <w:p w14:paraId="170056F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w:t>
                  </w:r>
                </w:p>
              </w:tc>
              <w:tc>
                <w:tcPr>
                  <w:tcW w:w="2290" w:type="dxa"/>
                  <w:vAlign w:val="center"/>
                </w:tcPr>
                <w:p w14:paraId="1091FFC2">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暂存于现有项目医疗固废暂存间，定期交由有相应危废处置资质单位清运处置。</w:t>
                  </w:r>
                </w:p>
              </w:tc>
            </w:tr>
            <w:tr w14:paraId="1DAE2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 w:hRule="atLeast"/>
                <w:jc w:val="center"/>
              </w:trPr>
              <w:tc>
                <w:tcPr>
                  <w:tcW w:w="418" w:type="dxa"/>
                  <w:vAlign w:val="center"/>
                </w:tcPr>
                <w:p w14:paraId="0951555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4</w:t>
                  </w:r>
                </w:p>
              </w:tc>
              <w:tc>
                <w:tcPr>
                  <w:tcW w:w="915" w:type="dxa"/>
                  <w:vAlign w:val="center"/>
                </w:tcPr>
                <w:p w14:paraId="47903F4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高效过滤器</w:t>
                  </w:r>
                </w:p>
              </w:tc>
              <w:tc>
                <w:tcPr>
                  <w:tcW w:w="1312" w:type="dxa"/>
                  <w:vAlign w:val="center"/>
                </w:tcPr>
                <w:p w14:paraId="23BE8CD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废滤膜</w:t>
                  </w:r>
                </w:p>
              </w:tc>
              <w:tc>
                <w:tcPr>
                  <w:tcW w:w="1404" w:type="dxa"/>
                  <w:vAlign w:val="center"/>
                </w:tcPr>
                <w:p w14:paraId="2F37FF3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 xml:space="preserve">SW59 </w:t>
                  </w:r>
                  <w:r>
                    <w:rPr>
                      <w:rFonts w:hint="default" w:ascii="Times New Roman" w:hAnsi="Times New Roman" w:cs="Times New Roman"/>
                      <w:color w:val="auto"/>
                      <w:szCs w:val="21"/>
                      <w:highlight w:val="none"/>
                    </w:rPr>
                    <w:t>900-009-S59</w:t>
                  </w:r>
                </w:p>
              </w:tc>
              <w:tc>
                <w:tcPr>
                  <w:tcW w:w="1241" w:type="dxa"/>
                  <w:vAlign w:val="center"/>
                </w:tcPr>
                <w:p w14:paraId="6A444C4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w:t>
                  </w:r>
                </w:p>
                <w:p w14:paraId="0B1C45F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900-041-49</w:t>
                  </w:r>
                </w:p>
              </w:tc>
              <w:tc>
                <w:tcPr>
                  <w:tcW w:w="982" w:type="dxa"/>
                  <w:vAlign w:val="center"/>
                </w:tcPr>
                <w:p w14:paraId="300A906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0.2</w:t>
                  </w:r>
                </w:p>
              </w:tc>
              <w:tc>
                <w:tcPr>
                  <w:tcW w:w="2290" w:type="dxa"/>
                  <w:vAlign w:val="center"/>
                </w:tcPr>
                <w:p w14:paraId="244CE145">
                  <w:pP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经消毒灭菌后，暂存于现有项目医疗固废暂存间，定期交由有相应危废处置资质单位清运处置。</w:t>
                  </w:r>
                </w:p>
              </w:tc>
            </w:tr>
            <w:tr w14:paraId="408F0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 w:hRule="atLeast"/>
                <w:jc w:val="center"/>
              </w:trPr>
              <w:tc>
                <w:tcPr>
                  <w:tcW w:w="418" w:type="dxa"/>
                  <w:vAlign w:val="center"/>
                </w:tcPr>
                <w:p w14:paraId="44D347F4">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5</w:t>
                  </w:r>
                </w:p>
              </w:tc>
              <w:tc>
                <w:tcPr>
                  <w:tcW w:w="915" w:type="dxa"/>
                  <w:vAlign w:val="center"/>
                </w:tcPr>
                <w:p w14:paraId="11A2479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理化</w:t>
                  </w:r>
                </w:p>
                <w:p w14:paraId="59E233B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w:t>
                  </w:r>
                </w:p>
              </w:tc>
              <w:tc>
                <w:tcPr>
                  <w:tcW w:w="1312" w:type="dxa"/>
                  <w:vAlign w:val="center"/>
                </w:tcPr>
                <w:p w14:paraId="5E2D2F8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重金属污泥</w:t>
                  </w:r>
                </w:p>
              </w:tc>
              <w:tc>
                <w:tcPr>
                  <w:tcW w:w="1404" w:type="dxa"/>
                  <w:vAlign w:val="center"/>
                </w:tcPr>
                <w:p w14:paraId="4FD6F7E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SW07</w:t>
                  </w:r>
                </w:p>
                <w:p w14:paraId="3D5B365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900-099-S07</w:t>
                  </w:r>
                </w:p>
              </w:tc>
              <w:tc>
                <w:tcPr>
                  <w:tcW w:w="1241" w:type="dxa"/>
                  <w:vAlign w:val="center"/>
                </w:tcPr>
                <w:p w14:paraId="51763D2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w:t>
                  </w:r>
                </w:p>
                <w:p w14:paraId="46B7964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772-006-49</w:t>
                  </w:r>
                </w:p>
              </w:tc>
              <w:tc>
                <w:tcPr>
                  <w:tcW w:w="982" w:type="dxa"/>
                  <w:vAlign w:val="center"/>
                </w:tcPr>
                <w:p w14:paraId="64D0926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w:t>
                  </w:r>
                </w:p>
              </w:tc>
              <w:tc>
                <w:tcPr>
                  <w:tcW w:w="2290" w:type="dxa"/>
                  <w:vAlign w:val="center"/>
                </w:tcPr>
                <w:p w14:paraId="49E3AE0D">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经实验人员脱水后，暂存于现有项目医疗固废暂存间，定期交由有相应危废处置资质单位清运处置。</w:t>
                  </w:r>
                </w:p>
              </w:tc>
            </w:tr>
            <w:tr w14:paraId="1245E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 w:hRule="atLeast"/>
                <w:jc w:val="center"/>
              </w:trPr>
              <w:tc>
                <w:tcPr>
                  <w:tcW w:w="418" w:type="dxa"/>
                  <w:vAlign w:val="center"/>
                </w:tcPr>
                <w:p w14:paraId="0A2546EF">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6</w:t>
                  </w:r>
                </w:p>
              </w:tc>
              <w:tc>
                <w:tcPr>
                  <w:tcW w:w="915" w:type="dxa"/>
                  <w:vMerge w:val="restart"/>
                  <w:vAlign w:val="center"/>
                </w:tcPr>
                <w:p w14:paraId="008662A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w:t>
                  </w:r>
                </w:p>
              </w:tc>
              <w:tc>
                <w:tcPr>
                  <w:tcW w:w="1312" w:type="dxa"/>
                  <w:vAlign w:val="center"/>
                </w:tcPr>
                <w:p w14:paraId="7B61D7A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格栅渣</w:t>
                  </w:r>
                </w:p>
              </w:tc>
              <w:tc>
                <w:tcPr>
                  <w:tcW w:w="1404" w:type="dxa"/>
                  <w:vAlign w:val="center"/>
                </w:tcPr>
                <w:p w14:paraId="1DC6B941">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SW07</w:t>
                  </w:r>
                </w:p>
                <w:p w14:paraId="74395C4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900-099-S07</w:t>
                  </w:r>
                </w:p>
              </w:tc>
              <w:tc>
                <w:tcPr>
                  <w:tcW w:w="1241" w:type="dxa"/>
                  <w:vAlign w:val="center"/>
                </w:tcPr>
                <w:p w14:paraId="0D21D27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w:t>
                  </w:r>
                </w:p>
                <w:p w14:paraId="479B6BC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772-006-49</w:t>
                  </w:r>
                </w:p>
              </w:tc>
              <w:tc>
                <w:tcPr>
                  <w:tcW w:w="982" w:type="dxa"/>
                  <w:vAlign w:val="center"/>
                </w:tcPr>
                <w:p w14:paraId="55E177A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w:t>
                  </w:r>
                </w:p>
              </w:tc>
              <w:tc>
                <w:tcPr>
                  <w:tcW w:w="2290" w:type="dxa"/>
                  <w:vAlign w:val="center"/>
                </w:tcPr>
                <w:p w14:paraId="524358C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滤水、消毒后暂存于现有项目医废暂存间，定期交由有相应危废处置资质单位清运处置。</w:t>
                  </w:r>
                </w:p>
              </w:tc>
            </w:tr>
            <w:tr w14:paraId="2EA29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 w:hRule="atLeast"/>
                <w:jc w:val="center"/>
              </w:trPr>
              <w:tc>
                <w:tcPr>
                  <w:tcW w:w="418" w:type="dxa"/>
                  <w:vAlign w:val="center"/>
                </w:tcPr>
                <w:p w14:paraId="4F6A6F3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7</w:t>
                  </w:r>
                </w:p>
              </w:tc>
              <w:tc>
                <w:tcPr>
                  <w:tcW w:w="915" w:type="dxa"/>
                  <w:vMerge w:val="continue"/>
                  <w:vAlign w:val="center"/>
                </w:tcPr>
                <w:p w14:paraId="6582AC03">
                  <w:pPr>
                    <w:jc w:val="center"/>
                    <w:rPr>
                      <w:rFonts w:hint="default" w:ascii="Times New Roman" w:hAnsi="Times New Roman" w:cs="Times New Roman"/>
                      <w:color w:val="auto"/>
                      <w:szCs w:val="21"/>
                      <w:highlight w:val="none"/>
                    </w:rPr>
                  </w:pPr>
                </w:p>
              </w:tc>
              <w:tc>
                <w:tcPr>
                  <w:tcW w:w="1312" w:type="dxa"/>
                  <w:vAlign w:val="center"/>
                </w:tcPr>
                <w:p w14:paraId="5F718EB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污泥</w:t>
                  </w:r>
                </w:p>
              </w:tc>
              <w:tc>
                <w:tcPr>
                  <w:tcW w:w="1404" w:type="dxa"/>
                  <w:vAlign w:val="center"/>
                </w:tcPr>
                <w:p w14:paraId="2BFCE4AF">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SW07</w:t>
                  </w:r>
                </w:p>
                <w:p w14:paraId="36BBDC7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900-099-S07</w:t>
                  </w:r>
                </w:p>
              </w:tc>
              <w:tc>
                <w:tcPr>
                  <w:tcW w:w="1241" w:type="dxa"/>
                  <w:vAlign w:val="center"/>
                </w:tcPr>
                <w:p w14:paraId="443F861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HW49</w:t>
                  </w:r>
                </w:p>
                <w:p w14:paraId="155C093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772-006-49</w:t>
                  </w:r>
                </w:p>
              </w:tc>
              <w:tc>
                <w:tcPr>
                  <w:tcW w:w="982" w:type="dxa"/>
                  <w:vAlign w:val="center"/>
                </w:tcPr>
                <w:p w14:paraId="396576C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0.0128</w:t>
                  </w:r>
                </w:p>
              </w:tc>
              <w:tc>
                <w:tcPr>
                  <w:tcW w:w="2290" w:type="dxa"/>
                  <w:vAlign w:val="center"/>
                </w:tcPr>
                <w:p w14:paraId="0D2DFE31">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经在污水处理站污泥池内脱水后，废水回流自污水处理站调节池，脱水-消毒后暂存于现有项目医废暂存间定期交由有相应危废处置资质单位清运处置。</w:t>
                  </w:r>
                </w:p>
              </w:tc>
            </w:tr>
          </w:tbl>
          <w:p w14:paraId="55A7073C">
            <w:pPr>
              <w:spacing w:before="120" w:beforeLines="5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表4-23  一般工业固体废物产生情况及处置措施  单位：t/a</w:t>
            </w:r>
          </w:p>
          <w:tbl>
            <w:tblPr>
              <w:tblStyle w:val="33"/>
              <w:tblW w:w="845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18"/>
              <w:gridCol w:w="915"/>
              <w:gridCol w:w="1410"/>
              <w:gridCol w:w="1470"/>
              <w:gridCol w:w="930"/>
              <w:gridCol w:w="3316"/>
            </w:tblGrid>
            <w:tr w14:paraId="04CCC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8" w:type="dxa"/>
                  <w:vAlign w:val="center"/>
                </w:tcPr>
                <w:p w14:paraId="52E1576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915" w:type="dxa"/>
                  <w:vAlign w:val="center"/>
                </w:tcPr>
                <w:p w14:paraId="1E9B66D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污染源</w:t>
                  </w:r>
                </w:p>
              </w:tc>
              <w:tc>
                <w:tcPr>
                  <w:tcW w:w="1410" w:type="dxa"/>
                  <w:vAlign w:val="center"/>
                </w:tcPr>
                <w:p w14:paraId="67F65462">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固废名称</w:t>
                  </w:r>
                </w:p>
              </w:tc>
              <w:tc>
                <w:tcPr>
                  <w:tcW w:w="1470" w:type="dxa"/>
                  <w:vAlign w:val="center"/>
                </w:tcPr>
                <w:p w14:paraId="1128B48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固废代码</w:t>
                  </w:r>
                </w:p>
              </w:tc>
              <w:tc>
                <w:tcPr>
                  <w:tcW w:w="930" w:type="dxa"/>
                  <w:vAlign w:val="center"/>
                </w:tcPr>
                <w:p w14:paraId="2B4298A9">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产生量</w:t>
                  </w:r>
                </w:p>
              </w:tc>
              <w:tc>
                <w:tcPr>
                  <w:tcW w:w="3316" w:type="dxa"/>
                  <w:vAlign w:val="center"/>
                </w:tcPr>
                <w:p w14:paraId="2F843FA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处置措施</w:t>
                  </w:r>
                </w:p>
              </w:tc>
            </w:tr>
            <w:tr w14:paraId="7CC1A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418" w:type="dxa"/>
                  <w:vAlign w:val="center"/>
                </w:tcPr>
                <w:p w14:paraId="07C4B88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1</w:t>
                  </w:r>
                </w:p>
              </w:tc>
              <w:tc>
                <w:tcPr>
                  <w:tcW w:w="915" w:type="dxa"/>
                  <w:vAlign w:val="center"/>
                </w:tcPr>
                <w:p w14:paraId="679C79F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纯水制备系统</w:t>
                  </w:r>
                </w:p>
              </w:tc>
              <w:tc>
                <w:tcPr>
                  <w:tcW w:w="1410" w:type="dxa"/>
                  <w:vAlign w:val="center"/>
                </w:tcPr>
                <w:p w14:paraId="4D6E289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废反渗透膜</w:t>
                  </w:r>
                </w:p>
              </w:tc>
              <w:tc>
                <w:tcPr>
                  <w:tcW w:w="1470" w:type="dxa"/>
                  <w:vAlign w:val="center"/>
                </w:tcPr>
                <w:p w14:paraId="4369EDD9">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SW59</w:t>
                  </w:r>
                </w:p>
                <w:p w14:paraId="4B59230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900-009-S59</w:t>
                  </w:r>
                </w:p>
              </w:tc>
              <w:tc>
                <w:tcPr>
                  <w:tcW w:w="930" w:type="dxa"/>
                  <w:vAlign w:val="center"/>
                </w:tcPr>
                <w:p w14:paraId="3DE3BEA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0.5</w:t>
                  </w:r>
                </w:p>
              </w:tc>
              <w:tc>
                <w:tcPr>
                  <w:tcW w:w="3316" w:type="dxa"/>
                  <w:vAlign w:val="center"/>
                </w:tcPr>
                <w:p w14:paraId="2C61599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由供货商上门回收。</w:t>
                  </w:r>
                </w:p>
              </w:tc>
            </w:tr>
            <w:tr w14:paraId="78AD0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418" w:type="dxa"/>
                  <w:vAlign w:val="center"/>
                </w:tcPr>
                <w:p w14:paraId="3978921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2</w:t>
                  </w:r>
                </w:p>
              </w:tc>
              <w:tc>
                <w:tcPr>
                  <w:tcW w:w="915" w:type="dxa"/>
                  <w:vAlign w:val="center"/>
                </w:tcPr>
                <w:p w14:paraId="4A95A9F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化粪池</w:t>
                  </w:r>
                </w:p>
              </w:tc>
              <w:tc>
                <w:tcPr>
                  <w:tcW w:w="1410" w:type="dxa"/>
                  <w:vAlign w:val="center"/>
                </w:tcPr>
                <w:p w14:paraId="77A46DC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化粪池污泥</w:t>
                  </w:r>
                </w:p>
              </w:tc>
              <w:tc>
                <w:tcPr>
                  <w:tcW w:w="1470" w:type="dxa"/>
                  <w:vAlign w:val="center"/>
                </w:tcPr>
                <w:p w14:paraId="72BB5016">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SW07</w:t>
                  </w:r>
                </w:p>
                <w:p w14:paraId="5EB4D97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900-099-S07</w:t>
                  </w:r>
                </w:p>
              </w:tc>
              <w:tc>
                <w:tcPr>
                  <w:tcW w:w="930" w:type="dxa"/>
                  <w:vAlign w:val="center"/>
                </w:tcPr>
                <w:p w14:paraId="67618D2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0.064</w:t>
                  </w:r>
                </w:p>
              </w:tc>
              <w:tc>
                <w:tcPr>
                  <w:tcW w:w="3316" w:type="dxa"/>
                  <w:vAlign w:val="center"/>
                </w:tcPr>
                <w:p w14:paraId="1BCC5C44">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定期委托环卫部门进行清掏处理。</w:t>
                  </w:r>
                </w:p>
              </w:tc>
            </w:tr>
          </w:tbl>
          <w:p w14:paraId="24529EA3">
            <w:pPr>
              <w:spacing w:line="360" w:lineRule="auto"/>
              <w:ind w:firstLine="442" w:firstLineChars="200"/>
              <w:rPr>
                <w:rFonts w:hint="default" w:ascii="Times New Roman" w:hAnsi="Times New Roman" w:cs="Times New Roman"/>
                <w:b/>
                <w:bCs/>
                <w:color w:val="auto"/>
                <w:spacing w:val="-10"/>
                <w:sz w:val="24"/>
                <w:highlight w:val="none"/>
              </w:rPr>
            </w:pPr>
            <w:r>
              <w:rPr>
                <w:rFonts w:hint="default" w:ascii="Times New Roman" w:hAnsi="Times New Roman" w:cs="Times New Roman"/>
                <w:b/>
                <w:bCs/>
                <w:color w:val="auto"/>
                <w:spacing w:val="-10"/>
                <w:sz w:val="24"/>
                <w:highlight w:val="none"/>
              </w:rPr>
              <w:t>2、环境管理要求</w:t>
            </w:r>
          </w:p>
          <w:p w14:paraId="1E67F40C">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（1）依托现有医疗固废暂存间可行性分析</w:t>
            </w:r>
          </w:p>
          <w:p w14:paraId="2A552C52">
            <w:pPr>
              <w:spacing w:line="360" w:lineRule="auto"/>
              <w:ind w:firstLine="480"/>
              <w:rPr>
                <w:rFonts w:hint="default" w:ascii="Times New Roman" w:hAnsi="Times New Roman" w:cs="Times New Roman"/>
                <w:color w:val="auto"/>
                <w:sz w:val="24"/>
                <w:highlight w:val="none"/>
                <w:shd w:val="clear" w:color="auto" w:fill="FFFFFF"/>
              </w:rPr>
            </w:pPr>
            <w:r>
              <w:rPr>
                <w:rFonts w:hint="default" w:ascii="Times New Roman" w:hAnsi="Times New Roman" w:cs="Times New Roman"/>
                <w:color w:val="auto"/>
                <w:sz w:val="24"/>
                <w:highlight w:val="none"/>
              </w:rPr>
              <w:t>根据现场调查，华宁县疾控中心现有医疗固废暂存间1间，面积3.5m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，位于院内西南角。现有医疗固废暂存间已</w:t>
            </w:r>
            <w:r>
              <w:rPr>
                <w:rFonts w:hint="default" w:ascii="Times New Roman" w:hAnsi="Times New Roman" w:cs="Times New Roman"/>
                <w:color w:val="auto"/>
                <w:sz w:val="24"/>
                <w:highlight w:val="none"/>
                <w:shd w:val="clear" w:color="auto" w:fill="FFFFFF"/>
              </w:rPr>
              <w:t>与生活垃圾存放地分开，有防雨淋的装置，地基高度能确保设施内不受雨洪冲击或浸泡；与医疗区和人员活动密集区隔开，方便医疗废物的装卸、装卸人员及运送车辆的出入；有严密的封闭措施，设专人管理，禁止非工作人员进出，有防鼠、防蚊蝇、防蟑螂、防盗以及预防儿童接触等安全措施；</w:t>
            </w:r>
            <w:r>
              <w:rPr>
                <w:rFonts w:hint="default" w:ascii="Times New Roman" w:hAnsi="Times New Roman" w:cs="Times New Roman"/>
                <w:color w:val="auto"/>
                <w:sz w:val="24"/>
                <w:highlight w:val="none"/>
              </w:rPr>
              <w:t>医疗固废暂存间内部</w:t>
            </w:r>
            <w:r>
              <w:rPr>
                <w:rFonts w:hint="default" w:ascii="Times New Roman" w:hAnsi="Times New Roman" w:cs="Times New Roman"/>
                <w:color w:val="auto"/>
                <w:sz w:val="24"/>
                <w:highlight w:val="none"/>
                <w:shd w:val="clear" w:color="auto" w:fill="FFFFFF"/>
              </w:rPr>
              <w:t>地面和1.0米高的墙裙已进行防渗处理，地面有良好的排水性能，易于清洁和消毒；能避免阳光直射库内，有良好的照明设备和通风条件；在</w:t>
            </w:r>
            <w:r>
              <w:rPr>
                <w:rFonts w:hint="default" w:ascii="Times New Roman" w:hAnsi="Times New Roman" w:cs="Times New Roman"/>
                <w:color w:val="auto"/>
                <w:sz w:val="24"/>
                <w:highlight w:val="none"/>
              </w:rPr>
              <w:t>医疗固废暂存间</w:t>
            </w:r>
            <w:r>
              <w:rPr>
                <w:rFonts w:hint="default" w:ascii="Times New Roman" w:hAnsi="Times New Roman" w:cs="Times New Roman"/>
                <w:color w:val="auto"/>
                <w:sz w:val="24"/>
                <w:highlight w:val="none"/>
                <w:shd w:val="clear" w:color="auto" w:fill="FFFFFF"/>
              </w:rPr>
              <w:t>外设有明显危险废物和医疗废物的警示标识。</w:t>
            </w:r>
          </w:p>
          <w:p w14:paraId="02D494A5">
            <w:pPr>
              <w:spacing w:line="360" w:lineRule="auto"/>
              <w:ind w:firstLine="480"/>
              <w:rPr>
                <w:rFonts w:hint="default" w:ascii="Times New Roman" w:hAnsi="Times New Roman" w:cs="Times New Roman"/>
                <w:color w:val="auto"/>
                <w:sz w:val="24"/>
                <w:highlight w:val="none"/>
                <w:shd w:val="clear" w:color="auto" w:fill="FFFFFF"/>
              </w:rPr>
            </w:pPr>
            <w:r>
              <w:rPr>
                <w:rFonts w:hint="default" w:ascii="Times New Roman" w:hAnsi="Times New Roman" w:cs="Times New Roman"/>
                <w:color w:val="auto"/>
                <w:sz w:val="24"/>
                <w:highlight w:val="none"/>
                <w:shd w:val="clear" w:color="auto" w:fill="FFFFFF"/>
              </w:rPr>
              <w:t>根据现场调查及查阅现有项目危废管理台账、竣工环保验收等资料，现有项目医疗固废产生量为3.66t/a，污水处理污泥产生量为0.33t/a。现有项目危险废物采用专用医废收集箱分类收集暂存，易腐败的废物约2天委托玉溪兴洁垃圾处理有限公司清运一次，其余废物约10-20天清运一次。现有危废暂存间剩余库存较大，完全能满足改扩建项目新增废物的暂存量。</w:t>
            </w:r>
          </w:p>
          <w:p w14:paraId="00BB71FC">
            <w:pPr>
              <w:spacing w:line="360" w:lineRule="auto"/>
              <w:ind w:firstLine="480"/>
              <w:rPr>
                <w:rFonts w:hint="default" w:ascii="Times New Roman" w:hAnsi="Times New Roman" w:cs="Times New Roman"/>
                <w:color w:val="auto"/>
                <w:sz w:val="24"/>
                <w:highlight w:val="none"/>
                <w:shd w:val="clear" w:color="auto" w:fill="FFFFFF"/>
              </w:rPr>
            </w:pPr>
            <w:r>
              <w:rPr>
                <w:rFonts w:hint="default" w:ascii="Times New Roman" w:hAnsi="Times New Roman" w:cs="Times New Roman"/>
                <w:color w:val="auto"/>
                <w:sz w:val="24"/>
                <w:highlight w:val="none"/>
                <w:shd w:val="clear" w:color="auto" w:fill="FFFFFF"/>
              </w:rPr>
              <w:t>现有</w:t>
            </w:r>
            <w:r>
              <w:rPr>
                <w:rFonts w:hint="default" w:ascii="Times New Roman" w:hAnsi="Times New Roman" w:cs="Times New Roman"/>
                <w:color w:val="auto"/>
                <w:sz w:val="24"/>
                <w:highlight w:val="none"/>
              </w:rPr>
              <w:t>医疗固废暂存间符合《医疗废物管理条例》及《危险废物贮存污染控制标准》（GB 18597-2023），已按要求设置标志牌、台账，已对医疗固废暂存间做好防渗处理，现有危废暂存间剩余库存量较大。因此本项目依托现有医疗固废暂存间可行。</w:t>
            </w:r>
          </w:p>
          <w:p w14:paraId="67971FE8">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（2）一般固废收集贮存要求</w:t>
            </w:r>
          </w:p>
          <w:p w14:paraId="38884631">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color w:val="auto"/>
                <w:sz w:val="24"/>
                <w:highlight w:val="none"/>
              </w:rPr>
              <w:t>一般固体废物严格按《一般工业固体废物贮存和填埋污染控制标准》（GB18599-2020）中相关要求进行厂内贮存。固体废物贮存、处置场按《环境保护图形标志 固体废物贮存（处置）场》（GB15562.2-1995）及其修改单设置图形标志。</w:t>
            </w:r>
          </w:p>
          <w:p w14:paraId="51DCC7C1">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（3）危险废物收集贮存运营管理要求</w:t>
            </w:r>
          </w:p>
          <w:p w14:paraId="72644B6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为防止因不规范运营导致危险废物泄露污染外环境，传染疾病影响人群健康，危废暂存间在后续运营过程中应严格按照以下要求进行管理:</w:t>
            </w:r>
          </w:p>
          <w:p w14:paraId="46274A36">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1）贮存设施污染控制要求</w:t>
            </w:r>
          </w:p>
          <w:p w14:paraId="4CE0F38F">
            <w:p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①一般规定</w:t>
            </w:r>
          </w:p>
          <w:p w14:paraId="7890159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A.贮存设施应根据危险废物的形态、物理化学性质、包装形式和污染物迁移途径，采取必要的防风、防晒、防雨、防漏、防渗、防腐以及其他环境污染防治措施，不应露天堆放危险废物。</w:t>
            </w:r>
          </w:p>
          <w:p w14:paraId="5352548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B.贮存设施应根据危险废物的类别、数量、形态、物理化学性质和污染防治等要求设置必要的贮存分区，避免不相容的危险废物接触、混合。</w:t>
            </w:r>
          </w:p>
          <w:p w14:paraId="2152E0A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C.贮存设施应采取技术和管理措施防止无关人员进入。</w:t>
            </w:r>
          </w:p>
          <w:p w14:paraId="58045D08">
            <w:p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②贮存库</w:t>
            </w:r>
          </w:p>
          <w:p w14:paraId="6482083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A.贮存库内不同贮存分区之间应采取隔离措施。隔离措施可根据危险废物特性采用过道、隔板或隔墙等方式。</w:t>
            </w:r>
          </w:p>
          <w:p w14:paraId="627D85F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p w14:paraId="17AB1C8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C.贮存易产生粉尘、VOCs、酸雾、有毒有害大气污染物和刺激性气味气体的危险废物贮存库，应设置气体收集装置和气体净化设施，或采用密封包装保存。</w:t>
            </w:r>
          </w:p>
          <w:p w14:paraId="2A7B52D1">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2）容器和包装物污染控制要求</w:t>
            </w:r>
          </w:p>
          <w:p w14:paraId="3C2D32F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 容器和包装物材质、内衬应与盛装的危险废物相容。</w:t>
            </w:r>
          </w:p>
          <w:p w14:paraId="01DC8E9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②针对不同类别、形态、物理化学性质的危险废物，其容器和包装物应满足相应的防渗、防漏、防腐和强度等要求。</w:t>
            </w:r>
          </w:p>
          <w:p w14:paraId="170CE99B">
            <w:p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③硬质容器和包装物及其支护结构堆叠码放时不应有明显变形，无破损泄漏。</w:t>
            </w:r>
          </w:p>
          <w:p w14:paraId="5C74E331">
            <w:p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④柔性容器和包装物堆叠码放时应封口严密，无破损泄漏。</w:t>
            </w:r>
          </w:p>
          <w:p w14:paraId="233FDF13">
            <w:p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⑤使用容器盛装液态、半固态危险废物时，容器内部应留有适当的空间，以适应因温度变化等可能引发的收缩和膨胀，防止其导致容器渗漏或永久变形。</w:t>
            </w:r>
          </w:p>
          <w:p w14:paraId="744F00D8">
            <w:pPr>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⑥容器和包装物外表面应保持清洁。</w:t>
            </w:r>
          </w:p>
          <w:p w14:paraId="115B01C8">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3）贮存过程污染控制要求</w:t>
            </w:r>
          </w:p>
          <w:p w14:paraId="3D8BD15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①一般规定</w:t>
            </w:r>
          </w:p>
          <w:p w14:paraId="2AB842D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A.在常温常压下不易水解、不易挥发的固态危险废物可分类堆放贮存，其他固态危险废物应装入容器或包装物内贮存。</w:t>
            </w:r>
          </w:p>
          <w:p w14:paraId="4587B1F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B.液态危险废物应装入容器内贮存，或直接采用贮存池、贮存罐区贮存。</w:t>
            </w:r>
          </w:p>
          <w:p w14:paraId="02B23BB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C.半固态危险废物应装入容器或包装袋内贮存，或直接采用贮存池贮存。</w:t>
            </w:r>
          </w:p>
          <w:p w14:paraId="678E9D5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D.具有热塑性的危险废物应装入容器或包装袋内进行贮存。</w:t>
            </w:r>
          </w:p>
          <w:p w14:paraId="52A7A12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E.易产生粉尘、VOCs、酸雾、有毒有害大气污染物和刺激性气味气体的危险废物应装入闭口容器或包装物内贮存。</w:t>
            </w:r>
          </w:p>
          <w:p w14:paraId="05F6033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F.危险废物贮存过程中易产生粉尘等无组织排放的，应采取尘等有效措施。</w:t>
            </w:r>
          </w:p>
          <w:p w14:paraId="3790642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②贮存设施运行环境管理要求</w:t>
            </w:r>
          </w:p>
          <w:p w14:paraId="74C6EEE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A.危险废物存入贮存设施前应对危险废物类别和特性与危险废物标签等危险废物识别标志的一致性进行核验，不一致的或类别、特性不明的不应存入。</w:t>
            </w:r>
          </w:p>
          <w:p w14:paraId="1EC9790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B.应定期检查危险废物的贮存状况，及时清理贮存设施地面，更换破损泄漏的危险废物贮存容器和包装物，保证堆存危险废物的防雨、防风、防扬尘等设施功能完好。</w:t>
            </w:r>
          </w:p>
          <w:p w14:paraId="7B21494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C.作业设备及车辆等结束作业离开贮存设施时，应对其残留的危险废物进行清理，清理的废物或清洗废水应收集处理。</w:t>
            </w:r>
          </w:p>
          <w:p w14:paraId="37B4035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D.贮存设施运行期间，应按国家有关标准和规定建立危险废物管理台账并保存。</w:t>
            </w:r>
          </w:p>
          <w:p w14:paraId="5DC94E6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E.贮存设施所有者或运营者应建立贮存设施环境管理制度、管理人员岗位职责制度、设施运行操作制度、人员岗位培训制度等。</w:t>
            </w:r>
          </w:p>
          <w:p w14:paraId="3FEDF93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F.贮存设施所有者或运营者应依据国家土壤和地下水污染防治的有关规定，结合贮存设施特点建立土壤和地下水污染隐患排查制度，并定期开展隐患排查；发现隐患应及时采取措施消除隐患，并建立档案。</w:t>
            </w:r>
          </w:p>
          <w:p w14:paraId="78570C6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G.贮存设施所有者或运营者应建立贮存设施全部档案，包括设计、施工、验收、运行、监测和环境应急等，应按国家有关档案管理的法律法规进行整理和归档。</w:t>
            </w:r>
          </w:p>
          <w:p w14:paraId="16623C2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③贮存点环境管理要求</w:t>
            </w:r>
          </w:p>
          <w:p w14:paraId="2183AD5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A.贮存点应具有固定的区域边界，并应采取与其他区域进行隔离的措施。</w:t>
            </w:r>
          </w:p>
          <w:p w14:paraId="61DAF9B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B.贮存点应采取防风、防雨、防晒和防止危险废物流失、扬散等措施。</w:t>
            </w:r>
          </w:p>
          <w:p w14:paraId="6760246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C.贮存点贮存的危险废物应置于容器或包装物中，不应直接散堆。</w:t>
            </w:r>
          </w:p>
          <w:p w14:paraId="3249DF7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D.贮存点应根据危险废物的形态、物理化学性质、包装形式等，采取防渗、防漏等污染防治措施或采用具有相应功能的装置。</w:t>
            </w:r>
          </w:p>
          <w:p w14:paraId="1E3C5394">
            <w:pPr>
              <w:adjustRightInd w:val="0"/>
              <w:snapToGrid w:val="0"/>
              <w:spacing w:line="360" w:lineRule="auto"/>
              <w:ind w:firstLine="480" w:firstLineChars="200"/>
              <w:rPr>
                <w:rFonts w:hint="default" w:ascii="Times New Roman" w:hAnsi="Times New Roman" w:cs="Times New Roman"/>
                <w:b/>
                <w:bCs/>
                <w:color w:val="auto"/>
                <w:sz w:val="24"/>
                <w:highlight w:val="none"/>
              </w:rPr>
            </w:pPr>
            <w:r>
              <w:rPr>
                <w:rFonts w:hint="default" w:ascii="Times New Roman" w:hAnsi="Times New Roman" w:cs="Times New Roman"/>
                <w:color w:val="auto"/>
                <w:sz w:val="24"/>
                <w:highlight w:val="none"/>
              </w:rPr>
              <w:t>E.贮存点应及时清运贮存的危险废物，实时贮存量不应超过3吨。</w:t>
            </w:r>
          </w:p>
          <w:p w14:paraId="18C282DB">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（4）医疗固废暂存间管理要求</w:t>
            </w:r>
          </w:p>
          <w:p w14:paraId="60D9C51E">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 xml:space="preserve">1）医疗废物的暂时贮存 </w:t>
            </w:r>
          </w:p>
          <w:p w14:paraId="388B443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①库房</w:t>
            </w:r>
          </w:p>
          <w:p w14:paraId="49369D8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具有住院病床的医疗卫生机构应建立专门的医疗废物暂时贮存库房，并应满足下述要求：</w:t>
            </w:r>
          </w:p>
          <w:p w14:paraId="73F956C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A.必须与生活垃圾存放地分开，有防雨淋的装置，地基高度应确保设施内不受雨洪冲击或浸泡；</w:t>
            </w:r>
          </w:p>
          <w:p w14:paraId="4FE62F2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B.必须与医疗区、食品加工区和人员活动密集区隔开，方便医疗废物的装卸、装卸人员及运送车辆的出入；</w:t>
            </w:r>
          </w:p>
          <w:p w14:paraId="5C586576">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C.应有严密的封闭措施，设专人管理，避免非工作人员进出，以及防鼠、防蚊蝇、防蟑螂、防盗以及预防儿童接触等安全措施；</w:t>
            </w:r>
          </w:p>
          <w:p w14:paraId="7DAE4BF6">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D.地面和1.0米高的墙裙须进行防渗处理，地面有良好的排水性能，易于清洁和消毒，产生的废水应采用管道直接排入医疗卫生机构内的医疗废水消毒、处理系统，禁止将产生的废水直接排入外环境；</w:t>
            </w:r>
          </w:p>
          <w:p w14:paraId="5F203F6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E.库房外宜设有供水龙头，以供暂时贮存库房的清洗用；</w:t>
            </w:r>
          </w:p>
          <w:p w14:paraId="765566A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F.避免阳光直射库内，应有良好的照明设备和通风条件；</w:t>
            </w:r>
          </w:p>
          <w:p w14:paraId="33202F7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G.库房内应张“禁止吸烟、饮食”的警示标识；</w:t>
            </w:r>
          </w:p>
          <w:p w14:paraId="12CFA36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H.应按GB15562.2和卫生、环保部门制定的专用医疗废物警示标识要求，在库房外的明显处同时设置危险废物和医疗废物的警示标识。</w:t>
            </w:r>
          </w:p>
          <w:p w14:paraId="0F7779E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②专用暂时贮存柜（箱）</w:t>
            </w:r>
          </w:p>
          <w:p w14:paraId="250D08C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不设住院病床的医疗卫生机构，如门诊部、诊所、医疗教学、科研机构，当难以设置独立的医疗废物暂时贮存库房时，应设立专门的医疗废物专用暂时贮存柜（箱），并应满足下述要求：</w:t>
            </w:r>
          </w:p>
          <w:p w14:paraId="029E70F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A.医疗废物暂时贮存柜（箱）必须与生活垃圾存放地分开，并有防雨淋、防扬散措施，同时符合消防安全要求； </w:t>
            </w:r>
          </w:p>
          <w:p w14:paraId="05381D7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B.将分类包装的医疗废物盛放在周转箱内后，置于专用暂时贮存柜（箱）中。柜（箱）应密闭并采取安全措施，如加锁和固定装置，做到无关人员不可移动，外部应按照GB15562.2和附录A要求设置警示标识；</w:t>
            </w:r>
          </w:p>
          <w:p w14:paraId="3790F53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C.可用冷藏柜（箱）作为医疗废物专用暂时贮存柜（箱）；也可用金属或硬制塑料制作，具有一定的强度，防渗漏。</w:t>
            </w:r>
          </w:p>
          <w:p w14:paraId="2164177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③卫生要求 </w:t>
            </w:r>
          </w:p>
          <w:p w14:paraId="22D3E9B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A.医疗废物暂时贮存库房每天应在废物清运之后消毒冲洗，冲洗液应排入医疗卫生机构内的医疗废水消毒、处理系统。 </w:t>
            </w:r>
          </w:p>
          <w:p w14:paraId="30C13D5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B.医疗废物暂时贮存柜（箱）应每天消毒一次。</w:t>
            </w:r>
          </w:p>
          <w:p w14:paraId="31F8B0A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④暂时贮存时间</w:t>
            </w:r>
          </w:p>
          <w:p w14:paraId="7864D1B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A.应防止医疗废物在暂时贮存库房和专用暂时贮存柜（箱）中腐败散发恶臭，尽量做到日产日清。 </w:t>
            </w:r>
          </w:p>
          <w:p w14:paraId="115EECB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B.确实不能做到日产日清，且当地最高气温高于25℃时，应将医疗废物低温暂时贮存，暂时贮存温度应低于20℃，时间最长不超过48小时。</w:t>
            </w:r>
          </w:p>
          <w:p w14:paraId="2814E2D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⑤管理制度 </w:t>
            </w:r>
          </w:p>
          <w:p w14:paraId="4485D3A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A.医疗卫生机构应制定医疗废物暂时贮存管理的有关规章制度、工作程序及应急处理措施。  </w:t>
            </w:r>
          </w:p>
          <w:p w14:paraId="0FE08BF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B.医疗卫生机构的暂时贮存库房和医疗废物专用暂时贮存柜（箱）存放地，应当接受当地环保和卫生主管部门的监督检查。</w:t>
            </w:r>
          </w:p>
          <w:p w14:paraId="3AD4B05C">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2）医疗废物的交接</w:t>
            </w:r>
          </w:p>
          <w:p w14:paraId="5C513B0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①医疗废物运送人员在接收医疗废物时，应外观检查医疗卫生机构是否按规定进行包装、标识，并盛装于周转箱内，不得打开包装袋取出医疗废物。对包装破损、包装外表污染或未盛装于周转箱内的医疗废物，医疗废物运送人员应当要求医疗卫生机构重新包装、标识，并盛装于周转箱内。拒不按规定对医疗废物进行包装的，运送人员有权拒绝运送，并向当地环保部门报告。 </w:t>
            </w:r>
          </w:p>
          <w:p w14:paraId="24C61F6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化学性医疗废物应由医疗卫生机构委托有经营资格的危险废物处置单位处置，未取得相应许可的处置单位医疗废物运送人员不得接收化学性医疗废物。</w:t>
            </w:r>
          </w:p>
          <w:p w14:paraId="2788F39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医疗卫生机构交予处置的废物采用危险废物转移联单管理。设区的市环保部门对医疗废物转移计划进行审批。转移计划批准后，医疗废物产生单位和处置单位的日常医疗废物交接可采用简化的《危险废物转移联单》（医疗废物专用）。在医疗卫生机构、处置单位及运送方式变化后，应对医疗废物转移计划进行重新审批。</w:t>
            </w:r>
          </w:p>
          <w:p w14:paraId="60E6409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《危险废物转移联单》（医疗废物专用）一式两份，每月一张，由处置单位医疗废物运送人员和医疗卫生机构医疗废物管理人员交接时共同填写，医疗卫生机构和处置单位分别保存，保存时间为5年。</w:t>
            </w:r>
          </w:p>
          <w:p w14:paraId="4BBD05B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③每车每次运送的医疗废物采用《医疗废物运送登记卡》管理，一车一卡，由医疗卫生机构医疗废物管理人员交接时填写并签字。</w:t>
            </w:r>
          </w:p>
          <w:p w14:paraId="0CB146E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当医疗废物运至处置单位时，处置厂接收人员确认该登记卡上填写的医疗废物数量真实、准确后签收。</w:t>
            </w:r>
          </w:p>
          <w:p w14:paraId="598F325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④医疗废物处置单位应当填报医疗废物处置月报表，报当地环保主管部门。</w:t>
            </w:r>
          </w:p>
          <w:p w14:paraId="2BFDB26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医疗废物产生单位和处置单位应当填报医疗废物产生和处置的年报表，并于每年1月份向当地环保主管部门报送上一年度的产生和处置情况年报表。</w:t>
            </w:r>
          </w:p>
          <w:p w14:paraId="29F92FF0">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3）医疗废物的运送</w:t>
            </w:r>
          </w:p>
          <w:p w14:paraId="1338BC4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①运送车辆要求</w:t>
            </w:r>
          </w:p>
          <w:p w14:paraId="6E061BB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A.医疗废物运送应当使用专用车辆。车辆厢体应与驾驶室分离并密闭；厢体应达到气密性要求，内壁光滑平整，易于清洗消毒；厢体材料防水、耐腐蚀；厢体底部防液体渗漏，并设清洗污水的排水收集装置。 </w:t>
            </w:r>
          </w:p>
          <w:p w14:paraId="6F27038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运送车辆应符合《医疗废物转运车技术要求》（GB19217）。</w:t>
            </w:r>
          </w:p>
          <w:p w14:paraId="025B7BB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B.运送车辆应配备</w:t>
            </w:r>
          </w:p>
          <w:p w14:paraId="58855FE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a.本规范文本；</w:t>
            </w:r>
          </w:p>
          <w:p w14:paraId="4FE408F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b.《危险废物转移联单》（医疗废物专用）；</w:t>
            </w:r>
          </w:p>
          <w:p w14:paraId="3813A3A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c.《医疗废物运送登记卡》；</w:t>
            </w:r>
          </w:p>
          <w:p w14:paraId="607D699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d.运送路线图；</w:t>
            </w:r>
          </w:p>
          <w:p w14:paraId="04BC4AB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e.通讯设备；</w:t>
            </w:r>
          </w:p>
          <w:p w14:paraId="0D72CB9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f.医疗废物产生单位及其管理人员名单与电话号码；</w:t>
            </w:r>
          </w:p>
          <w:p w14:paraId="4F4E826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g.事故应急预案及联络单位和人员的名单、电话号码；</w:t>
            </w:r>
          </w:p>
          <w:p w14:paraId="495E379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h.收集医疗废物的工具、消毒器具与药品；</w:t>
            </w:r>
          </w:p>
          <w:p w14:paraId="0CB7EE1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i.备用的医疗废物专用袋和利器盒；</w:t>
            </w:r>
          </w:p>
          <w:p w14:paraId="406F061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j.备用的人员防护用品。</w:t>
            </w:r>
          </w:p>
          <w:p w14:paraId="7FA6B14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C.图形和文字标识 </w:t>
            </w:r>
          </w:p>
          <w:p w14:paraId="38675AB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a.医疗废物运送车辆必须在车辆前部和后部、车厢两侧设置专用警示标识； </w:t>
            </w:r>
          </w:p>
          <w:p w14:paraId="48C2253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b.运送车辆驾驶室两侧喷涂医疗废物处置单位的名称和运送车辆编号。</w:t>
            </w:r>
          </w:p>
          <w:p w14:paraId="1CDF68F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D.医疗废物运送车如需改作其他用途，应经彻底消毒处置，并经环保部门同意，取消车辆的医疗废物运送车辆编号，按照公安交通管理规定重新办理车辆用途变更手续。</w:t>
            </w:r>
          </w:p>
          <w:p w14:paraId="675BDCF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②运送要求</w:t>
            </w:r>
          </w:p>
          <w:p w14:paraId="736577A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A.医疗废物处置单位应当根据总体医疗废物处置方案，配备足够数量的运送车辆和备用应急车辆。</w:t>
            </w:r>
          </w:p>
          <w:p w14:paraId="111B611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医疗废物处置单位应为每辆运送车指定负责人，对医疗废物运送过程负责。</w:t>
            </w:r>
          </w:p>
          <w:p w14:paraId="74ACEB96">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运送频次：对于有住院病床的医疗卫生机构，处置单位必须每天派车上门收集，做到日产日清；对于确实无法做到日产日清的有住院病床的医疗卫生机构，确实不能做到日产日清，且当地最高气温高于25℃时，应将医疗废物低温暂时贮存，暂时贮存温度应低于20℃，时间最长不超过48小时。</w:t>
            </w:r>
          </w:p>
          <w:p w14:paraId="41D83F1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对于无住院病床的医疗卫生机构，如门诊部、诊所，医疗废物处置单位至少2天收集一次医疗废物。</w:t>
            </w:r>
          </w:p>
          <w:p w14:paraId="29E0A336">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C.运送路线：尽量避开人口密集区域和交通拥堵道路。</w:t>
            </w:r>
          </w:p>
          <w:p w14:paraId="6FAB0446">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D.经包装的医疗废物应盛放于可重复使用的专用周转箱（桶）或一次性专用包装容器内。专用周转箱（桶）或一次性专用包装容器应符合《医疗废物专用包装物、容器标准和警示标识规定》。</w:t>
            </w:r>
          </w:p>
          <w:p w14:paraId="62C7640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E.医疗废物装卸载尽可能采用机械作业，将周转箱整齐地装入车内，尽量减少人工操作；如需手工操作应做好人员防护。</w:t>
            </w:r>
          </w:p>
          <w:p w14:paraId="39E8796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F.医疗废物运送前，处置单位必须对每辆运送车的车况进行检查，确保车况良好后方可出车。运送车辆负责人应对每辆运送车是否配备所要求的辅助物品进行检查，确保完备。</w:t>
            </w:r>
          </w:p>
          <w:p w14:paraId="515FBA6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G.医疗废物运送车辆不得搭乘其他无关人员，不得装载或混装其他货物和动植物。</w:t>
            </w:r>
          </w:p>
          <w:p w14:paraId="74B15AE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H.车辆行驶时应锁闭车厢门，确保安全，不得丢失、遗撒和打开包装取出医疗废物。</w:t>
            </w:r>
          </w:p>
          <w:p w14:paraId="44469EE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③消毒和清洗要求</w:t>
            </w:r>
          </w:p>
          <w:p w14:paraId="1A5C1B7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A.医疗废物处置单位必须设置医疗废物运送车辆清洗场所和污水收集消毒处理设施。  </w:t>
            </w:r>
          </w:p>
          <w:p w14:paraId="2682B4D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医疗废物运送专用车每次运送完毕，应在处置单位内对车厢内壁进行消毒，喷洒消毒液后密封至少30分钟。 </w:t>
            </w:r>
          </w:p>
          <w:p w14:paraId="3D6BAA0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医疗废物运送的重复使用周转箱每次运送完毕，应在医疗卫生机构或医疗废物处置单位内对周转箱进行消毒、清洗。 </w:t>
            </w:r>
          </w:p>
          <w:p w14:paraId="72E5E08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B.医疗废物运送车辆应至少2天清洗一次（北方冬季、缺水地区可适当减少清洗次数），或当车厢内壁或（和）外表面被污染后，应立刻进行清洗。禁止在社会车辆清洗场所清洗医疗废物运送车辆。 </w:t>
            </w:r>
          </w:p>
          <w:p w14:paraId="0B268D3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C.清洗污水应收集入污水消毒处理设施，不可在不具备污水收集消毒处理条件时清洗内壁，禁止任意向环境排放清洗污水。车辆清洗晾干后方可再次投入使用。 </w:t>
            </w:r>
          </w:p>
          <w:p w14:paraId="6630543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④运送人员专业技能与职业卫生防护 </w:t>
            </w:r>
          </w:p>
          <w:p w14:paraId="054A764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医疗废物处置单位应对运送人员进行有关专业技能和职业卫生防护的培训，并达到如下要求：</w:t>
            </w:r>
          </w:p>
          <w:p w14:paraId="3A899E96">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A.专业技能</w:t>
            </w:r>
          </w:p>
          <w:p w14:paraId="5F7C5C8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a.熟悉有关的环保法律法规，掌握环保部门制定的医疗废物管理的规章制度； </w:t>
            </w:r>
          </w:p>
          <w:p w14:paraId="15D029C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b.熟知本岗位的职责和理解本规范的重要性；</w:t>
            </w:r>
          </w:p>
          <w:p w14:paraId="3A5C473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c.熟悉医疗废物分类与包装标识要求，装卸、搬运医疗废物容器（如包装袋、利器盒等）、周转箱（桶）的正确操作程序； </w:t>
            </w:r>
          </w:p>
          <w:p w14:paraId="73E562B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d.在运送途中一旦发生医疗废物外溢、散落等应急情况时，知道如何采取应急措施，并及时报告。</w:t>
            </w:r>
          </w:p>
          <w:p w14:paraId="58B7355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B.职业卫生防护</w:t>
            </w:r>
          </w:p>
          <w:p w14:paraId="29324C8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a.了解医疗废物对环境和健康的危害性，以及坚持使用个人卫生防护用品的重要性； </w:t>
            </w:r>
          </w:p>
          <w:p w14:paraId="15B4BF5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b.运送人员在运送过程中须穿戴防护手套、口罩、工作服、靴等防护用品；</w:t>
            </w:r>
          </w:p>
          <w:p w14:paraId="6D68F9C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c.运送人员体检：2次/年，必要时进行预防性免疫接种。 </w:t>
            </w:r>
          </w:p>
          <w:p w14:paraId="07E089A5">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⑤应急措施</w:t>
            </w:r>
          </w:p>
          <w:p w14:paraId="41B9BAC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运送过程中当发生翻车、撞车（沉船、翻船）导致医疗废物大量溢出、散落时，运送人员应立即向本单位应急事故小组取得联系，请求当地公安交警、环境保护或城市应急联动中心的支持。同时，运送人员应采取下述应急措施： </w:t>
            </w:r>
          </w:p>
          <w:p w14:paraId="1E5EF12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a.立即请求公安交通警察在受污染地区设立隔离区，禁止其他车辆和行人穿过，避免污染物扩散和对行人造成伤害；</w:t>
            </w:r>
          </w:p>
          <w:p w14:paraId="373EE85A">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b.对溢出、散落的医疗废物迅速进行收集、清理和消毒处理。对于液体溢出物采用吸附材料吸收处理； </w:t>
            </w:r>
          </w:p>
          <w:p w14:paraId="7322BC1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c.清理人员在进行清理工作时须穿戴防护服、手套、口罩、靴等防护用品，清理工作结束后，用具和防护用品均须进行消毒处理； </w:t>
            </w:r>
          </w:p>
          <w:p w14:paraId="405A493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d.如果在操作中，清理人员的身体（皮肤）不慎受到伤害，应及时采取处理措施，并到医院接受救治； </w:t>
            </w:r>
          </w:p>
          <w:p w14:paraId="53DC99D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e.清洁人员还须对被污染的现场地面进行消毒和清洁处理。 </w:t>
            </w:r>
          </w:p>
          <w:p w14:paraId="4FF3743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B.对发生的事故采取上述应急措施的同时，处置单位必须向当地环保和卫生部门报告事故发生情况。事故处理完毕后，处置单位要向上述两个部门写出书面报告，报告的内容包括： </w:t>
            </w:r>
          </w:p>
          <w:p w14:paraId="7E012DD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a.事故发生的时间、地点、原因及其简要经过； </w:t>
            </w:r>
          </w:p>
          <w:p w14:paraId="05DE4D1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b.泄露、散落医疗废物的类型和数量、受污染的原因及医疗废物产生单位名称；</w:t>
            </w:r>
          </w:p>
          <w:p w14:paraId="5E611BB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c.医疗废物泄露、散落已造成的危害和潜在影响；</w:t>
            </w:r>
          </w:p>
          <w:p w14:paraId="61B1550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d.已采取的应急处理措施和处理结果。</w:t>
            </w:r>
          </w:p>
          <w:p w14:paraId="71C69579">
            <w:pPr>
              <w:adjustRightInd w:val="0"/>
              <w:snapToGrid w:val="0"/>
              <w:spacing w:line="360" w:lineRule="auto"/>
              <w:ind w:firstLine="482" w:firstLineChars="200"/>
              <w:rPr>
                <w:rFonts w:hint="default" w:ascii="Times New Roman" w:hAnsi="Times New Roman" w:cs="Times New Roman"/>
                <w:b/>
                <w:bCs/>
                <w:color w:val="auto"/>
                <w:kern w:val="0"/>
                <w:sz w:val="24"/>
                <w:highlight w:val="none"/>
                <w:lang w:val="zh-CN"/>
              </w:rPr>
            </w:pPr>
            <w:r>
              <w:rPr>
                <w:rFonts w:hint="default" w:ascii="Times New Roman" w:hAnsi="Times New Roman" w:cs="Times New Roman"/>
                <w:b/>
                <w:bCs/>
                <w:color w:val="auto"/>
                <w:sz w:val="24"/>
                <w:highlight w:val="none"/>
              </w:rPr>
              <w:t>3、固体废物环境影响分析</w:t>
            </w:r>
          </w:p>
          <w:p w14:paraId="73F21E7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本项目依托现有医疗固废暂存间，根据现场调查，</w:t>
            </w:r>
            <w:r>
              <w:rPr>
                <w:rFonts w:hint="default" w:ascii="Times New Roman" w:hAnsi="Times New Roman" w:cs="Times New Roman"/>
                <w:color w:val="auto"/>
                <w:sz w:val="24"/>
                <w:highlight w:val="none"/>
                <w:shd w:val="clear" w:color="auto" w:fill="FFFFFF"/>
              </w:rPr>
              <w:t>现有</w:t>
            </w:r>
            <w:r>
              <w:rPr>
                <w:rFonts w:hint="default" w:ascii="Times New Roman" w:hAnsi="Times New Roman" w:cs="Times New Roman"/>
                <w:color w:val="auto"/>
                <w:sz w:val="24"/>
                <w:highlight w:val="none"/>
              </w:rPr>
              <w:t>医疗固废暂存间符合《医疗废物管理条例》及《危险废物贮存污染控制标准》（GB 18597-2023）。建设项目根据要求分类处理固体废物，严格落实固体废物收集、处置措施。项目运营过程中产生的各项固体废物均可得到妥善处置，不会对周围环境造成大的影响。</w:t>
            </w:r>
          </w:p>
          <w:p w14:paraId="04444F5D">
            <w:pPr>
              <w:widowControl/>
              <w:spacing w:line="360" w:lineRule="auto"/>
              <w:jc w:val="left"/>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kern w:val="0"/>
                <w:sz w:val="28"/>
                <w:szCs w:val="28"/>
                <w:highlight w:val="none"/>
                <w:lang w:bidi="ar"/>
              </w:rPr>
              <w:t xml:space="preserve">4.2.5 </w:t>
            </w:r>
            <w:r>
              <w:rPr>
                <w:rFonts w:hint="default" w:ascii="Times New Roman" w:hAnsi="Times New Roman" w:cs="Times New Roman"/>
                <w:b/>
                <w:bCs/>
                <w:color w:val="auto"/>
                <w:sz w:val="28"/>
                <w:szCs w:val="28"/>
                <w:highlight w:val="none"/>
              </w:rPr>
              <w:t>地下水环境影响分析及保护措施</w:t>
            </w:r>
          </w:p>
          <w:p w14:paraId="387E68C9">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szCs w:val="24"/>
                <w:highlight w:val="none"/>
                <w:lang w:bidi="ar"/>
              </w:rPr>
              <w:t>对照《环境影响评价技术导则 地下水环境）》（HJ610-2016）附录A，本项目为“163、专业实验室”，属于Ⅳ类项目，不开展地下水环境影响评价，无跟踪监测要求。</w:t>
            </w:r>
          </w:p>
          <w:p w14:paraId="63E406E5">
            <w:pPr>
              <w:pStyle w:val="10"/>
              <w:ind w:firstLine="480"/>
              <w:rPr>
                <w:rFonts w:hint="default" w:ascii="Times New Roman" w:hAnsi="Times New Roman" w:cs="Times New Roman"/>
                <w:color w:val="auto"/>
                <w:szCs w:val="24"/>
                <w:highlight w:val="none"/>
                <w:lang w:bidi="ar"/>
              </w:rPr>
            </w:pPr>
            <w:r>
              <w:rPr>
                <w:rFonts w:hint="default" w:ascii="Times New Roman" w:hAnsi="Times New Roman" w:cs="Times New Roman"/>
                <w:color w:val="auto"/>
                <w:szCs w:val="24"/>
                <w:highlight w:val="none"/>
                <w:lang w:bidi="ar"/>
              </w:rPr>
              <w:t>根据《环境影响评价技术导则 地下水环境）》（HJ610-2016），各类分区防渗设置技术要求如下：</w:t>
            </w:r>
          </w:p>
          <w:p w14:paraId="6325F8D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表4-24  项目分区防渗设置要求及落实情况</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1325"/>
              <w:gridCol w:w="2908"/>
              <w:gridCol w:w="2117"/>
            </w:tblGrid>
            <w:tr w14:paraId="1867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Align w:val="center"/>
                </w:tcPr>
                <w:p w14:paraId="469AFF09">
                  <w:pPr>
                    <w:pStyle w:val="11"/>
                    <w:jc w:val="center"/>
                    <w:rPr>
                      <w:rFonts w:hint="default" w:ascii="Times New Roman" w:hAnsi="Times New Roman" w:cs="Times New Roman"/>
                      <w:b/>
                      <w:bCs/>
                      <w:color w:val="auto"/>
                      <w:sz w:val="21"/>
                      <w:highlight w:val="none"/>
                      <w:lang w:bidi="ar"/>
                    </w:rPr>
                  </w:pPr>
                  <w:r>
                    <w:rPr>
                      <w:rFonts w:hint="default" w:ascii="Times New Roman" w:hAnsi="Times New Roman" w:cs="Times New Roman"/>
                      <w:b/>
                      <w:bCs/>
                      <w:color w:val="auto"/>
                      <w:sz w:val="21"/>
                      <w:highlight w:val="none"/>
                      <w:lang w:bidi="ar"/>
                    </w:rPr>
                    <w:t>防渗分区</w:t>
                  </w:r>
                </w:p>
              </w:tc>
              <w:tc>
                <w:tcPr>
                  <w:tcW w:w="1325" w:type="dxa"/>
                  <w:vAlign w:val="center"/>
                </w:tcPr>
                <w:p w14:paraId="3DEEA9DB">
                  <w:pPr>
                    <w:pStyle w:val="11"/>
                    <w:jc w:val="center"/>
                    <w:rPr>
                      <w:rFonts w:hint="default" w:ascii="Times New Roman" w:hAnsi="Times New Roman" w:cs="Times New Roman"/>
                      <w:b/>
                      <w:bCs/>
                      <w:color w:val="auto"/>
                      <w:sz w:val="21"/>
                      <w:highlight w:val="none"/>
                      <w:lang w:bidi="ar"/>
                    </w:rPr>
                  </w:pPr>
                  <w:r>
                    <w:rPr>
                      <w:rFonts w:hint="default" w:ascii="Times New Roman" w:hAnsi="Times New Roman" w:cs="Times New Roman"/>
                      <w:b/>
                      <w:bCs/>
                      <w:color w:val="auto"/>
                      <w:sz w:val="21"/>
                      <w:highlight w:val="none"/>
                      <w:lang w:bidi="ar"/>
                    </w:rPr>
                    <w:t>项目区域</w:t>
                  </w:r>
                </w:p>
              </w:tc>
              <w:tc>
                <w:tcPr>
                  <w:tcW w:w="2908" w:type="dxa"/>
                  <w:vAlign w:val="center"/>
                </w:tcPr>
                <w:p w14:paraId="52CB193F">
                  <w:pPr>
                    <w:pStyle w:val="11"/>
                    <w:jc w:val="center"/>
                    <w:rPr>
                      <w:rFonts w:hint="default" w:ascii="Times New Roman" w:hAnsi="Times New Roman" w:cs="Times New Roman"/>
                      <w:b/>
                      <w:bCs/>
                      <w:color w:val="auto"/>
                      <w:sz w:val="21"/>
                      <w:highlight w:val="none"/>
                      <w:lang w:bidi="ar"/>
                    </w:rPr>
                  </w:pPr>
                  <w:r>
                    <w:rPr>
                      <w:rFonts w:hint="default" w:ascii="Times New Roman" w:hAnsi="Times New Roman" w:cs="Times New Roman"/>
                      <w:b/>
                      <w:bCs/>
                      <w:color w:val="auto"/>
                      <w:sz w:val="21"/>
                      <w:highlight w:val="none"/>
                      <w:lang w:bidi="ar"/>
                    </w:rPr>
                    <w:t>设置技术要求</w:t>
                  </w:r>
                </w:p>
              </w:tc>
              <w:tc>
                <w:tcPr>
                  <w:tcW w:w="2117" w:type="dxa"/>
                  <w:vAlign w:val="center"/>
                </w:tcPr>
                <w:p w14:paraId="38984E5B">
                  <w:pPr>
                    <w:pStyle w:val="11"/>
                    <w:jc w:val="center"/>
                    <w:rPr>
                      <w:rFonts w:hint="default" w:ascii="Times New Roman" w:hAnsi="Times New Roman" w:cs="Times New Roman"/>
                      <w:b/>
                      <w:bCs/>
                      <w:color w:val="auto"/>
                      <w:sz w:val="21"/>
                      <w:highlight w:val="none"/>
                      <w:lang w:bidi="ar"/>
                    </w:rPr>
                  </w:pPr>
                  <w:r>
                    <w:rPr>
                      <w:rFonts w:hint="default" w:ascii="Times New Roman" w:hAnsi="Times New Roman" w:cs="Times New Roman"/>
                      <w:b/>
                      <w:bCs/>
                      <w:color w:val="auto"/>
                      <w:sz w:val="21"/>
                      <w:highlight w:val="none"/>
                      <w:lang w:bidi="ar"/>
                    </w:rPr>
                    <w:t>本项目情况</w:t>
                  </w:r>
                </w:p>
              </w:tc>
            </w:tr>
            <w:tr w14:paraId="68E4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Align w:val="center"/>
                </w:tcPr>
                <w:p w14:paraId="155C28B5">
                  <w:pPr>
                    <w:pStyle w:val="11"/>
                    <w:jc w:val="center"/>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重点防渗区</w:t>
                  </w:r>
                </w:p>
              </w:tc>
              <w:tc>
                <w:tcPr>
                  <w:tcW w:w="1325" w:type="dxa"/>
                  <w:vAlign w:val="center"/>
                </w:tcPr>
                <w:p w14:paraId="48193674">
                  <w:pPr>
                    <w:pStyle w:val="11"/>
                    <w:jc w:val="center"/>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医疗固废暂存间</w:t>
                  </w:r>
                </w:p>
              </w:tc>
              <w:tc>
                <w:tcPr>
                  <w:tcW w:w="2908" w:type="dxa"/>
                  <w:vAlign w:val="center"/>
                </w:tcPr>
                <w:p w14:paraId="19352A47">
                  <w:pPr>
                    <w:pStyle w:val="11"/>
                    <w:jc w:val="center"/>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防渗层至少为1m厚黏土层（渗系数≤1×10</w:t>
                  </w:r>
                  <w:r>
                    <w:rPr>
                      <w:rFonts w:hint="default" w:ascii="Times New Roman" w:hAnsi="Times New Roman" w:cs="Times New Roman"/>
                      <w:color w:val="auto"/>
                      <w:sz w:val="21"/>
                      <w:highlight w:val="none"/>
                      <w:vertAlign w:val="superscript"/>
                      <w:lang w:bidi="ar"/>
                    </w:rPr>
                    <w:t>-7</w:t>
                  </w:r>
                  <w:r>
                    <w:rPr>
                      <w:rFonts w:hint="default" w:ascii="Times New Roman" w:hAnsi="Times New Roman" w:cs="Times New Roman"/>
                      <w:color w:val="auto"/>
                      <w:sz w:val="21"/>
                      <w:highlight w:val="none"/>
                      <w:lang w:bidi="ar"/>
                    </w:rPr>
                    <w:t>cm/s），或至少2mm厚高密度聚乙烯膜等人工防渗材料（渗系数≤1×10</w:t>
                  </w:r>
                  <w:r>
                    <w:rPr>
                      <w:rFonts w:hint="default" w:ascii="Times New Roman" w:hAnsi="Times New Roman" w:cs="Times New Roman"/>
                      <w:color w:val="auto"/>
                      <w:sz w:val="21"/>
                      <w:highlight w:val="none"/>
                      <w:vertAlign w:val="superscript"/>
                      <w:lang w:bidi="ar"/>
                    </w:rPr>
                    <w:t>-10</w:t>
                  </w:r>
                  <w:r>
                    <w:rPr>
                      <w:rFonts w:hint="default" w:ascii="Times New Roman" w:hAnsi="Times New Roman" w:cs="Times New Roman"/>
                      <w:color w:val="auto"/>
                      <w:sz w:val="21"/>
                      <w:highlight w:val="none"/>
                      <w:lang w:bidi="ar"/>
                    </w:rPr>
                    <w:t>cm/s），或其它防渗性能等效的材料；或参照GB 18598 执行</w:t>
                  </w:r>
                </w:p>
              </w:tc>
              <w:tc>
                <w:tcPr>
                  <w:tcW w:w="2117" w:type="dxa"/>
                  <w:vAlign w:val="center"/>
                </w:tcPr>
                <w:p w14:paraId="5D0BBC49">
                  <w:pPr>
                    <w:pStyle w:val="11"/>
                    <w:jc w:val="center"/>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本项目依托现有项目医废暂存间，经现场调查，危废暂存间防渗满足该技术要求</w:t>
                  </w:r>
                </w:p>
              </w:tc>
            </w:tr>
            <w:tr w14:paraId="73BD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Align w:val="center"/>
                </w:tcPr>
                <w:p w14:paraId="4EBE627D">
                  <w:pPr>
                    <w:pStyle w:val="11"/>
                    <w:jc w:val="center"/>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一般防渗区</w:t>
                  </w:r>
                </w:p>
              </w:tc>
              <w:tc>
                <w:tcPr>
                  <w:tcW w:w="1325" w:type="dxa"/>
                  <w:vAlign w:val="center"/>
                </w:tcPr>
                <w:p w14:paraId="47BA3F9A">
                  <w:pPr>
                    <w:pStyle w:val="11"/>
                    <w:jc w:val="center"/>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化粪池、污水处理站、一般固体废物暂存间</w:t>
                  </w:r>
                </w:p>
              </w:tc>
              <w:tc>
                <w:tcPr>
                  <w:tcW w:w="2908" w:type="dxa"/>
                  <w:vAlign w:val="center"/>
                </w:tcPr>
                <w:p w14:paraId="04E2C3C3">
                  <w:pPr>
                    <w:pStyle w:val="11"/>
                    <w:jc w:val="center"/>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等效黏土防渗层 Mb≥1.5m，K≤1.0× 10</w:t>
                  </w:r>
                  <w:r>
                    <w:rPr>
                      <w:rFonts w:hint="default" w:ascii="Times New Roman" w:hAnsi="Times New Roman" w:cs="Times New Roman"/>
                      <w:color w:val="auto"/>
                      <w:sz w:val="21"/>
                      <w:highlight w:val="none"/>
                      <w:vertAlign w:val="superscript"/>
                      <w:lang w:bidi="ar"/>
                    </w:rPr>
                    <w:t>-7</w:t>
                  </w:r>
                  <w:r>
                    <w:rPr>
                      <w:rFonts w:hint="default" w:ascii="Times New Roman" w:hAnsi="Times New Roman" w:cs="Times New Roman"/>
                      <w:color w:val="auto"/>
                      <w:sz w:val="21"/>
                      <w:highlight w:val="none"/>
                      <w:lang w:bidi="ar"/>
                    </w:rPr>
                    <w:t xml:space="preserve"> cm/s；或参照 GB 16889 执行</w:t>
                  </w:r>
                </w:p>
              </w:tc>
              <w:tc>
                <w:tcPr>
                  <w:tcW w:w="2117" w:type="dxa"/>
                  <w:vAlign w:val="center"/>
                </w:tcPr>
                <w:p w14:paraId="41D30175">
                  <w:pPr>
                    <w:pStyle w:val="11"/>
                    <w:jc w:val="center"/>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本项目依托现有项目化粪池、污水处理站该区域防渗要求能达到该技术要求；</w:t>
                  </w:r>
                </w:p>
              </w:tc>
            </w:tr>
            <w:tr w14:paraId="36F6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Align w:val="center"/>
                </w:tcPr>
                <w:p w14:paraId="4866B25B">
                  <w:pPr>
                    <w:pStyle w:val="11"/>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简单防渗区</w:t>
                  </w:r>
                </w:p>
              </w:tc>
              <w:tc>
                <w:tcPr>
                  <w:tcW w:w="1325" w:type="dxa"/>
                  <w:vAlign w:val="center"/>
                </w:tcPr>
                <w:p w14:paraId="70FA6018">
                  <w:pPr>
                    <w:pStyle w:val="11"/>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项目区除绿化外其它区域</w:t>
                  </w:r>
                </w:p>
              </w:tc>
              <w:tc>
                <w:tcPr>
                  <w:tcW w:w="2908" w:type="dxa"/>
                  <w:vAlign w:val="center"/>
                </w:tcPr>
                <w:p w14:paraId="4F338D96">
                  <w:pPr>
                    <w:pStyle w:val="11"/>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一般水泥硬化</w:t>
                  </w:r>
                </w:p>
              </w:tc>
              <w:tc>
                <w:tcPr>
                  <w:tcW w:w="2117" w:type="dxa"/>
                  <w:vAlign w:val="center"/>
                </w:tcPr>
                <w:p w14:paraId="72FA7F8D">
                  <w:pPr>
                    <w:pStyle w:val="11"/>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1"/>
                      <w:highlight w:val="none"/>
                      <w:lang w:bidi="ar"/>
                    </w:rPr>
                  </w:pPr>
                  <w:r>
                    <w:rPr>
                      <w:rFonts w:hint="default" w:ascii="Times New Roman" w:hAnsi="Times New Roman" w:cs="Times New Roman"/>
                      <w:color w:val="auto"/>
                      <w:sz w:val="21"/>
                      <w:highlight w:val="none"/>
                      <w:lang w:bidi="ar"/>
                    </w:rPr>
                    <w:t>本项目区除绿化外其它区域，要求实施一般水泥硬化</w:t>
                  </w:r>
                </w:p>
              </w:tc>
            </w:tr>
          </w:tbl>
          <w:p w14:paraId="23B530C1">
            <w:pPr>
              <w:pStyle w:val="10"/>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color w:val="auto"/>
                <w:szCs w:val="24"/>
                <w:highlight w:val="none"/>
                <w:lang w:bidi="ar"/>
              </w:rPr>
            </w:pPr>
            <w:r>
              <w:rPr>
                <w:rFonts w:hint="default" w:ascii="Times New Roman" w:hAnsi="Times New Roman" w:cs="Times New Roman"/>
                <w:color w:val="auto"/>
                <w:highlight w:val="none"/>
                <w:lang w:bidi="ar"/>
              </w:rPr>
              <w:t>综上所述，项目依托现有项目医疗废物暂存间、化粪池、污水处理站防渗要求满足上述技术要求，项目区除绿化外其它区域严格落实上述防渗要求后，可从污染源头和途径上减少废水渗漏周边地下水，不会对周边地下水环境造成不利影响。</w:t>
            </w:r>
          </w:p>
          <w:p w14:paraId="631D2935">
            <w:pPr>
              <w:widowControl/>
              <w:spacing w:line="360" w:lineRule="auto"/>
              <w:jc w:val="left"/>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kern w:val="0"/>
                <w:sz w:val="28"/>
                <w:szCs w:val="28"/>
                <w:highlight w:val="none"/>
                <w:lang w:bidi="ar"/>
              </w:rPr>
              <w:t>4.2.6 土壤</w:t>
            </w:r>
            <w:r>
              <w:rPr>
                <w:rFonts w:hint="default" w:ascii="Times New Roman" w:hAnsi="Times New Roman" w:cs="Times New Roman"/>
                <w:b/>
                <w:bCs/>
                <w:color w:val="auto"/>
                <w:sz w:val="28"/>
                <w:szCs w:val="28"/>
                <w:highlight w:val="none"/>
              </w:rPr>
              <w:t>环境影响分析及保护措施</w:t>
            </w:r>
          </w:p>
          <w:p w14:paraId="7BC704CC">
            <w:pPr>
              <w:pStyle w:val="10"/>
              <w:ind w:firstLine="480"/>
              <w:rPr>
                <w:rFonts w:hint="default" w:ascii="Times New Roman" w:hAnsi="Times New Roman" w:cs="Times New Roman"/>
                <w:b/>
                <w:bCs/>
                <w:color w:val="auto"/>
                <w:sz w:val="28"/>
                <w:szCs w:val="28"/>
                <w:highlight w:val="none"/>
                <w:lang w:bidi="ar"/>
              </w:rPr>
            </w:pPr>
            <w:r>
              <w:rPr>
                <w:rFonts w:hint="default" w:ascii="Times New Roman" w:hAnsi="Times New Roman" w:cs="Times New Roman"/>
                <w:color w:val="auto"/>
                <w:szCs w:val="24"/>
                <w:highlight w:val="none"/>
                <w:lang w:bidi="ar"/>
              </w:rPr>
              <w:t>对照《环境影响评价技术导则 土壤环境（试行）》（HJ964-2018）附录A，本项目为“其他行业”，属于Ⅳ类项目，可不开展土壤环境影响评价。</w:t>
            </w:r>
          </w:p>
          <w:p w14:paraId="36BE4761">
            <w:pPr>
              <w:pStyle w:val="10"/>
              <w:ind w:firstLine="480"/>
              <w:rPr>
                <w:rFonts w:hint="default" w:ascii="Times New Roman" w:hAnsi="Times New Roman" w:cs="Times New Roman"/>
                <w:color w:val="auto"/>
                <w:szCs w:val="24"/>
                <w:highlight w:val="none"/>
                <w:lang w:bidi="ar"/>
              </w:rPr>
            </w:pPr>
            <w:r>
              <w:rPr>
                <w:rFonts w:hint="default" w:ascii="Times New Roman" w:hAnsi="Times New Roman" w:cs="Times New Roman"/>
                <w:color w:val="auto"/>
                <w:szCs w:val="24"/>
                <w:highlight w:val="none"/>
                <w:lang w:bidi="ar"/>
              </w:rPr>
              <w:t>本项目为污染影响类项目，土壤的污染途径主要是通过大气沉降、垂直入渗等方式进入土壤。环评建议采取以下措施：</w:t>
            </w:r>
          </w:p>
          <w:p w14:paraId="652C8DA8">
            <w:pPr>
              <w:widowControl/>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1、定期对大气污染防治设施进行维护，保证各排放口污染物稳定达标排放，防止事故排放引起环境空气中污染物浓度增加沉降至地面导致的土壤污染；其次在项目区空地设置具有较强吸附能力的绿化带减轻大气沉降对土壤的影响。</w:t>
            </w:r>
          </w:p>
          <w:p w14:paraId="3E061CDE">
            <w:pPr>
              <w:widowControl/>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2、加强医疗废物暂存间、化粪池、污水处理站的监管，防止危险废物以及项目污废水泄露、外溢等污染土壤。</w:t>
            </w:r>
          </w:p>
          <w:p w14:paraId="6F13A143">
            <w:pPr>
              <w:widowControl/>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3、严格落实上述章节提出的分区防渗</w:t>
            </w:r>
            <w:r>
              <w:rPr>
                <w:rFonts w:hint="default" w:ascii="Times New Roman" w:hAnsi="Times New Roman" w:cs="Times New Roman"/>
                <w:color w:val="auto"/>
                <w:kern w:val="0"/>
                <w:sz w:val="24"/>
                <w:szCs w:val="20"/>
                <w:highlight w:val="none"/>
                <w:lang w:bidi="ar"/>
              </w:rPr>
              <w:t>。</w:t>
            </w:r>
          </w:p>
          <w:p w14:paraId="4ADF964B">
            <w:pPr>
              <w:widowControl/>
              <w:spacing w:line="360" w:lineRule="auto"/>
              <w:ind w:firstLine="480" w:firstLineChars="200"/>
              <w:rPr>
                <w:rFonts w:hint="default" w:ascii="Times New Roman" w:hAnsi="Times New Roman" w:cs="Times New Roman"/>
                <w:color w:val="auto"/>
                <w:kern w:val="0"/>
                <w:sz w:val="24"/>
                <w:szCs w:val="20"/>
                <w:highlight w:val="none"/>
                <w:lang w:bidi="ar"/>
              </w:rPr>
            </w:pPr>
            <w:r>
              <w:rPr>
                <w:rFonts w:hint="default" w:ascii="Times New Roman" w:hAnsi="Times New Roman" w:cs="Times New Roman"/>
                <w:color w:val="auto"/>
                <w:kern w:val="0"/>
                <w:sz w:val="24"/>
                <w:szCs w:val="20"/>
                <w:highlight w:val="none"/>
                <w:lang w:bidi="ar"/>
              </w:rPr>
              <w:t>采取上述治理措施后，可进一步减缓大气沉降对周围土壤环境产生的不良环境影响。</w:t>
            </w:r>
          </w:p>
          <w:p w14:paraId="4B01459E">
            <w:pPr>
              <w:widowControl/>
              <w:spacing w:line="360" w:lineRule="auto"/>
              <w:jc w:val="left"/>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kern w:val="0"/>
                <w:sz w:val="28"/>
                <w:szCs w:val="28"/>
                <w:highlight w:val="none"/>
                <w:lang w:bidi="ar"/>
              </w:rPr>
              <w:t xml:space="preserve">4.2.7 </w:t>
            </w:r>
            <w:r>
              <w:rPr>
                <w:rFonts w:hint="default" w:ascii="Times New Roman" w:hAnsi="Times New Roman" w:cs="Times New Roman"/>
                <w:b/>
                <w:bCs/>
                <w:color w:val="auto"/>
                <w:sz w:val="28"/>
                <w:szCs w:val="28"/>
                <w:highlight w:val="none"/>
              </w:rPr>
              <w:t>环境风险分析</w:t>
            </w:r>
          </w:p>
          <w:p w14:paraId="3BE2AFD5">
            <w:pPr>
              <w:spacing w:line="360" w:lineRule="auto"/>
              <w:ind w:firstLine="482" w:firstLineChars="200"/>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1、风险物质识别</w:t>
            </w:r>
          </w:p>
          <w:p w14:paraId="50018EFF">
            <w:pPr>
              <w:spacing w:line="360" w:lineRule="auto"/>
              <w:ind w:firstLine="480" w:firstLineChars="200"/>
              <w:rPr>
                <w:rStyle w:val="52"/>
                <w:rFonts w:hint="default" w:ascii="Times New Roman" w:hAnsi="Times New Roman" w:cs="Times New Roman"/>
                <w:b/>
                <w:bCs/>
                <w:color w:val="auto"/>
                <w:sz w:val="21"/>
                <w:szCs w:val="21"/>
                <w:highlight w:val="none"/>
              </w:rPr>
            </w:pPr>
            <w:r>
              <w:rPr>
                <w:rStyle w:val="52"/>
                <w:rFonts w:hint="default" w:ascii="Times New Roman" w:hAnsi="Times New Roman" w:cs="Times New Roman"/>
                <w:color w:val="auto"/>
                <w:highlight w:val="none"/>
              </w:rPr>
              <w:t>项目主要环境风险为化学试剂的泄漏污染，实验室固废在收集、贮存、运输过程中的泄漏污染遇和建筑物火灾风险。据《建设项目环境风险评价技术导则》（HJ 169-2018）附录 B，本项目使用化学试剂，且需重点关注的危险物质临界量见下表：</w:t>
            </w:r>
          </w:p>
          <w:p w14:paraId="15AF6178">
            <w:pPr>
              <w:pStyle w:val="19"/>
              <w:jc w:val="center"/>
              <w:rPr>
                <w:rStyle w:val="52"/>
                <w:rFonts w:hint="default" w:ascii="Times New Roman" w:hAnsi="Times New Roman" w:cs="Times New Roman"/>
                <w:b/>
                <w:bCs/>
                <w:color w:val="auto"/>
                <w:sz w:val="21"/>
                <w:szCs w:val="21"/>
                <w:highlight w:val="none"/>
              </w:rPr>
            </w:pPr>
            <w:r>
              <w:rPr>
                <w:rStyle w:val="52"/>
                <w:rFonts w:hint="default" w:ascii="Times New Roman" w:hAnsi="Times New Roman" w:cs="Times New Roman"/>
                <w:b/>
                <w:bCs/>
                <w:color w:val="auto"/>
                <w:sz w:val="21"/>
                <w:szCs w:val="21"/>
                <w:highlight w:val="none"/>
              </w:rPr>
              <w:t>表4-24 危险物质最大存放量及临界量</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8"/>
              <w:gridCol w:w="3510"/>
              <w:gridCol w:w="1695"/>
              <w:gridCol w:w="1968"/>
            </w:tblGrid>
            <w:tr w14:paraId="0BB0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Merge w:val="restart"/>
                  <w:vAlign w:val="center"/>
                </w:tcPr>
                <w:p w14:paraId="666F7C6B">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名称</w:t>
                  </w:r>
                </w:p>
              </w:tc>
              <w:tc>
                <w:tcPr>
                  <w:tcW w:w="3510" w:type="dxa"/>
                  <w:vAlign w:val="center"/>
                </w:tcPr>
                <w:p w14:paraId="1334645C">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《建设项目环境风险评价技术导则》</w:t>
                  </w:r>
                </w:p>
                <w:p w14:paraId="448FB17E">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（HJ169-2018）附录 B</w:t>
                  </w:r>
                </w:p>
              </w:tc>
              <w:tc>
                <w:tcPr>
                  <w:tcW w:w="1695" w:type="dxa"/>
                  <w:vMerge w:val="restart"/>
                  <w:vAlign w:val="center"/>
                </w:tcPr>
                <w:p w14:paraId="09844147">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最大存在量/t</w:t>
                  </w:r>
                </w:p>
              </w:tc>
              <w:tc>
                <w:tcPr>
                  <w:tcW w:w="1968" w:type="dxa"/>
                  <w:vMerge w:val="restart"/>
                  <w:vAlign w:val="center"/>
                </w:tcPr>
                <w:p w14:paraId="0F281FEE">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Q</w:t>
                  </w:r>
                </w:p>
              </w:tc>
            </w:tr>
            <w:tr w14:paraId="027F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Merge w:val="continue"/>
                  <w:vAlign w:val="center"/>
                </w:tcPr>
                <w:p w14:paraId="1E9F9FA3">
                  <w:pPr>
                    <w:spacing w:line="288" w:lineRule="auto"/>
                    <w:jc w:val="center"/>
                    <w:rPr>
                      <w:rFonts w:hint="default" w:ascii="Times New Roman" w:hAnsi="Times New Roman" w:cs="Times New Roman"/>
                      <w:color w:val="auto"/>
                      <w:szCs w:val="21"/>
                      <w:highlight w:val="none"/>
                    </w:rPr>
                  </w:pPr>
                </w:p>
              </w:tc>
              <w:tc>
                <w:tcPr>
                  <w:tcW w:w="3510" w:type="dxa"/>
                  <w:vAlign w:val="center"/>
                </w:tcPr>
                <w:p w14:paraId="5B30CEF8">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临界量/t</w:t>
                  </w:r>
                </w:p>
              </w:tc>
              <w:tc>
                <w:tcPr>
                  <w:tcW w:w="1695" w:type="dxa"/>
                  <w:vMerge w:val="continue"/>
                  <w:vAlign w:val="center"/>
                </w:tcPr>
                <w:p w14:paraId="575DE7AD">
                  <w:pPr>
                    <w:spacing w:line="288" w:lineRule="auto"/>
                    <w:jc w:val="center"/>
                    <w:rPr>
                      <w:rFonts w:hint="default" w:ascii="Times New Roman" w:hAnsi="Times New Roman" w:cs="Times New Roman"/>
                      <w:color w:val="auto"/>
                      <w:szCs w:val="21"/>
                      <w:highlight w:val="none"/>
                    </w:rPr>
                  </w:pPr>
                </w:p>
              </w:tc>
              <w:tc>
                <w:tcPr>
                  <w:tcW w:w="1968" w:type="dxa"/>
                  <w:vMerge w:val="continue"/>
                  <w:vAlign w:val="center"/>
                </w:tcPr>
                <w:p w14:paraId="16019453">
                  <w:pPr>
                    <w:spacing w:line="288" w:lineRule="auto"/>
                    <w:jc w:val="center"/>
                    <w:rPr>
                      <w:rFonts w:hint="default" w:ascii="Times New Roman" w:hAnsi="Times New Roman" w:cs="Times New Roman"/>
                      <w:color w:val="auto"/>
                      <w:szCs w:val="21"/>
                      <w:highlight w:val="none"/>
                    </w:rPr>
                  </w:pPr>
                </w:p>
              </w:tc>
            </w:tr>
            <w:tr w14:paraId="6D6D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18345205">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硝酸</w:t>
                  </w:r>
                </w:p>
              </w:tc>
              <w:tc>
                <w:tcPr>
                  <w:tcW w:w="3510" w:type="dxa"/>
                  <w:vAlign w:val="center"/>
                </w:tcPr>
                <w:p w14:paraId="00956293">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7.5</w:t>
                  </w:r>
                </w:p>
              </w:tc>
              <w:tc>
                <w:tcPr>
                  <w:tcW w:w="1695" w:type="dxa"/>
                  <w:vAlign w:val="center"/>
                </w:tcPr>
                <w:p w14:paraId="3A56E230">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0.006345</w:t>
                  </w:r>
                </w:p>
              </w:tc>
              <w:tc>
                <w:tcPr>
                  <w:tcW w:w="1968" w:type="dxa"/>
                  <w:vAlign w:val="center"/>
                </w:tcPr>
                <w:p w14:paraId="28805A0F">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0.000846</w:t>
                  </w:r>
                </w:p>
              </w:tc>
            </w:tr>
            <w:tr w14:paraId="6D1D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558137E8">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甲醇</w:t>
                  </w:r>
                </w:p>
              </w:tc>
              <w:tc>
                <w:tcPr>
                  <w:tcW w:w="3510" w:type="dxa"/>
                  <w:vAlign w:val="center"/>
                </w:tcPr>
                <w:p w14:paraId="4888480F">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95" w:type="dxa"/>
                  <w:vAlign w:val="center"/>
                </w:tcPr>
                <w:p w14:paraId="3674BDE5">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0.000014</w:t>
                  </w:r>
                </w:p>
              </w:tc>
              <w:tc>
                <w:tcPr>
                  <w:tcW w:w="1968" w:type="dxa"/>
                  <w:vAlign w:val="center"/>
                </w:tcPr>
                <w:p w14:paraId="1F5AE242">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0.0000014</w:t>
                  </w:r>
                </w:p>
              </w:tc>
            </w:tr>
            <w:tr w14:paraId="784F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62767E18">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四氯化碳</w:t>
                  </w:r>
                </w:p>
              </w:tc>
              <w:tc>
                <w:tcPr>
                  <w:tcW w:w="3510" w:type="dxa"/>
                  <w:vAlign w:val="center"/>
                </w:tcPr>
                <w:p w14:paraId="07274921">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7.5</w:t>
                  </w:r>
                </w:p>
              </w:tc>
              <w:tc>
                <w:tcPr>
                  <w:tcW w:w="1695" w:type="dxa"/>
                  <w:vAlign w:val="center"/>
                </w:tcPr>
                <w:p w14:paraId="0B692ECF">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0.000006</w:t>
                  </w:r>
                </w:p>
              </w:tc>
              <w:tc>
                <w:tcPr>
                  <w:tcW w:w="1968" w:type="dxa"/>
                  <w:vAlign w:val="center"/>
                </w:tcPr>
                <w:p w14:paraId="16DCFDB7">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0.0000008</w:t>
                  </w:r>
                </w:p>
              </w:tc>
            </w:tr>
            <w:tr w14:paraId="35E1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75F0B54D">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正己烷</w:t>
                  </w:r>
                </w:p>
              </w:tc>
              <w:tc>
                <w:tcPr>
                  <w:tcW w:w="3510" w:type="dxa"/>
                  <w:vAlign w:val="center"/>
                </w:tcPr>
                <w:p w14:paraId="641D5DE4">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95" w:type="dxa"/>
                  <w:vAlign w:val="center"/>
                </w:tcPr>
                <w:p w14:paraId="629D65B3">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0.000001</w:t>
                  </w:r>
                </w:p>
              </w:tc>
              <w:tc>
                <w:tcPr>
                  <w:tcW w:w="1968" w:type="dxa"/>
                  <w:vAlign w:val="center"/>
                </w:tcPr>
                <w:p w14:paraId="54D3B676">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0.0000001</w:t>
                  </w:r>
                </w:p>
              </w:tc>
            </w:tr>
            <w:tr w14:paraId="1082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299E9466">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硫酸</w:t>
                  </w:r>
                </w:p>
              </w:tc>
              <w:tc>
                <w:tcPr>
                  <w:tcW w:w="3510" w:type="dxa"/>
                  <w:vAlign w:val="center"/>
                </w:tcPr>
                <w:p w14:paraId="3793AD47">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95" w:type="dxa"/>
                  <w:vAlign w:val="center"/>
                </w:tcPr>
                <w:p w14:paraId="7C2BE057">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0.000758</w:t>
                  </w:r>
                </w:p>
              </w:tc>
              <w:tc>
                <w:tcPr>
                  <w:tcW w:w="1968" w:type="dxa"/>
                  <w:vAlign w:val="center"/>
                </w:tcPr>
                <w:p w14:paraId="764F97AB">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0.0000758</w:t>
                  </w:r>
                </w:p>
              </w:tc>
            </w:tr>
            <w:tr w14:paraId="68AD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799A6427">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丙酮</w:t>
                  </w:r>
                </w:p>
              </w:tc>
              <w:tc>
                <w:tcPr>
                  <w:tcW w:w="3510" w:type="dxa"/>
                  <w:vAlign w:val="center"/>
                </w:tcPr>
                <w:p w14:paraId="3F5B55AB">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95" w:type="dxa"/>
                  <w:vAlign w:val="center"/>
                </w:tcPr>
                <w:p w14:paraId="0F187A3E">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0.000237</w:t>
                  </w:r>
                </w:p>
              </w:tc>
              <w:tc>
                <w:tcPr>
                  <w:tcW w:w="1968" w:type="dxa"/>
                  <w:vAlign w:val="center"/>
                </w:tcPr>
                <w:p w14:paraId="6648C09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0.0000237</w:t>
                  </w:r>
                </w:p>
              </w:tc>
            </w:tr>
            <w:tr w14:paraId="2C0D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031A62B9">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盐酸</w:t>
                  </w:r>
                </w:p>
              </w:tc>
              <w:tc>
                <w:tcPr>
                  <w:tcW w:w="3510" w:type="dxa"/>
                  <w:vAlign w:val="center"/>
                </w:tcPr>
                <w:p w14:paraId="26E2B457">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7.5</w:t>
                  </w:r>
                </w:p>
              </w:tc>
              <w:tc>
                <w:tcPr>
                  <w:tcW w:w="1695" w:type="dxa"/>
                  <w:vAlign w:val="center"/>
                </w:tcPr>
                <w:p w14:paraId="02B0CB78">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0.001782</w:t>
                  </w:r>
                </w:p>
              </w:tc>
              <w:tc>
                <w:tcPr>
                  <w:tcW w:w="1968" w:type="dxa"/>
                  <w:vAlign w:val="center"/>
                </w:tcPr>
                <w:p w14:paraId="2D94D30A">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0.0002376</w:t>
                  </w:r>
                </w:p>
              </w:tc>
            </w:tr>
            <w:tr w14:paraId="58E9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32B3BA95">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磷酸</w:t>
                  </w:r>
                </w:p>
              </w:tc>
              <w:tc>
                <w:tcPr>
                  <w:tcW w:w="3510" w:type="dxa"/>
                  <w:vAlign w:val="center"/>
                </w:tcPr>
                <w:p w14:paraId="3EF09AE3">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95" w:type="dxa"/>
                  <w:vAlign w:val="center"/>
                </w:tcPr>
                <w:p w14:paraId="3047F45E">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0.000169</w:t>
                  </w:r>
                </w:p>
              </w:tc>
              <w:tc>
                <w:tcPr>
                  <w:tcW w:w="1968" w:type="dxa"/>
                  <w:vAlign w:val="center"/>
                </w:tcPr>
                <w:p w14:paraId="1BE9D5B7">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0.0000169</w:t>
                  </w:r>
                </w:p>
              </w:tc>
            </w:tr>
            <w:tr w14:paraId="22B1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351CF22B">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无水乙醇</w:t>
                  </w:r>
                </w:p>
              </w:tc>
              <w:tc>
                <w:tcPr>
                  <w:tcW w:w="3510" w:type="dxa"/>
                  <w:vAlign w:val="center"/>
                </w:tcPr>
                <w:p w14:paraId="77C3F6CF">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500</w:t>
                  </w:r>
                </w:p>
              </w:tc>
              <w:tc>
                <w:tcPr>
                  <w:tcW w:w="1695" w:type="dxa"/>
                  <w:vAlign w:val="center"/>
                </w:tcPr>
                <w:p w14:paraId="3E6F62C5">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0.000316</w:t>
                  </w:r>
                </w:p>
              </w:tc>
              <w:tc>
                <w:tcPr>
                  <w:tcW w:w="1968" w:type="dxa"/>
                  <w:vAlign w:val="center"/>
                </w:tcPr>
                <w:p w14:paraId="2FA08C07">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0.000000632</w:t>
                  </w:r>
                </w:p>
              </w:tc>
            </w:tr>
            <w:tr w14:paraId="2261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23218AA2">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异丙醇</w:t>
                  </w:r>
                </w:p>
              </w:tc>
              <w:tc>
                <w:tcPr>
                  <w:tcW w:w="3510" w:type="dxa"/>
                  <w:vAlign w:val="center"/>
                </w:tcPr>
                <w:p w14:paraId="2887961C">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95" w:type="dxa"/>
                  <w:vAlign w:val="center"/>
                </w:tcPr>
                <w:p w14:paraId="5A799CCE">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0.000157</w:t>
                  </w:r>
                </w:p>
              </w:tc>
              <w:tc>
                <w:tcPr>
                  <w:tcW w:w="1968" w:type="dxa"/>
                  <w:vAlign w:val="center"/>
                </w:tcPr>
                <w:p w14:paraId="144A9BAC">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0.0000157</w:t>
                  </w:r>
                </w:p>
              </w:tc>
            </w:tr>
            <w:tr w14:paraId="423C8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61846066">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氨水</w:t>
                  </w:r>
                </w:p>
              </w:tc>
              <w:tc>
                <w:tcPr>
                  <w:tcW w:w="3510" w:type="dxa"/>
                  <w:vAlign w:val="center"/>
                </w:tcPr>
                <w:p w14:paraId="5C23EEE2">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95" w:type="dxa"/>
                  <w:vAlign w:val="center"/>
                </w:tcPr>
                <w:p w14:paraId="2EA5E953">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0.000182</w:t>
                  </w:r>
                </w:p>
              </w:tc>
              <w:tc>
                <w:tcPr>
                  <w:tcW w:w="1968" w:type="dxa"/>
                  <w:vAlign w:val="center"/>
                </w:tcPr>
                <w:p w14:paraId="721FE8F9">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0.0000182</w:t>
                  </w:r>
                </w:p>
              </w:tc>
            </w:tr>
            <w:tr w14:paraId="5C9D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8" w:type="dxa"/>
                  <w:vAlign w:val="center"/>
                </w:tcPr>
                <w:p w14:paraId="21FAE2E3">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乙腈</w:t>
                  </w:r>
                </w:p>
              </w:tc>
              <w:tc>
                <w:tcPr>
                  <w:tcW w:w="3510" w:type="dxa"/>
                  <w:vAlign w:val="center"/>
                </w:tcPr>
                <w:p w14:paraId="7408A9B7">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695" w:type="dxa"/>
                  <w:vAlign w:val="center"/>
                </w:tcPr>
                <w:p w14:paraId="05727754">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0.000786</w:t>
                  </w:r>
                </w:p>
              </w:tc>
              <w:tc>
                <w:tcPr>
                  <w:tcW w:w="1968" w:type="dxa"/>
                  <w:vAlign w:val="center"/>
                </w:tcPr>
                <w:p w14:paraId="4B962D0B">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0.0000786</w:t>
                  </w:r>
                </w:p>
              </w:tc>
            </w:tr>
          </w:tbl>
          <w:p w14:paraId="1AEDA893">
            <w:pPr>
              <w:spacing w:line="360" w:lineRule="auto"/>
              <w:ind w:firstLine="480" w:firstLineChars="200"/>
              <w:rPr>
                <w:rStyle w:val="52"/>
                <w:rFonts w:hint="default" w:ascii="Times New Roman" w:hAnsi="Times New Roman" w:cs="Times New Roman"/>
                <w:color w:val="auto"/>
                <w:highlight w:val="none"/>
              </w:rPr>
            </w:pPr>
            <w:r>
              <w:rPr>
                <w:rStyle w:val="52"/>
                <w:rFonts w:hint="default" w:ascii="Times New Roman" w:hAnsi="Times New Roman" w:cs="Times New Roman"/>
                <w:color w:val="auto"/>
                <w:highlight w:val="none"/>
              </w:rPr>
              <w:t>危险物质数量与临界量比值（Q）按照下式计算：</w:t>
            </w:r>
          </w:p>
          <w:p w14:paraId="28E935C9">
            <w:pPr>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Q=q</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n</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n</w:t>
            </w:r>
          </w:p>
          <w:p w14:paraId="715D92E8">
            <w:pPr>
              <w:pStyle w:val="19"/>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式中：q</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n</w:t>
            </w:r>
            <w:r>
              <w:rPr>
                <w:rFonts w:hint="default" w:ascii="Times New Roman" w:hAnsi="Times New Roman" w:cs="Times New Roman"/>
                <w:color w:val="auto"/>
                <w:sz w:val="24"/>
                <w:highlight w:val="none"/>
              </w:rPr>
              <w:t>—每种危险物质的最大存在总量，t</w:t>
            </w:r>
          </w:p>
          <w:p w14:paraId="7AF97485">
            <w:pPr>
              <w:pStyle w:val="19"/>
              <w:spacing w:line="360" w:lineRule="auto"/>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、Q</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，....，Qn—每种危险物质的临界量，t</w:t>
            </w:r>
          </w:p>
          <w:p w14:paraId="5EB49758">
            <w:pPr>
              <w:pStyle w:val="19"/>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当Q＜1时，该项目环境风险潜势为I；当Q≥1时，将Q值划分为：</w:t>
            </w:r>
          </w:p>
          <w:p w14:paraId="0E39A854">
            <w:pPr>
              <w:pStyle w:val="19"/>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1）1≤Q＜10；2）10≤Q＜100；3）Q≥100。</w:t>
            </w:r>
          </w:p>
          <w:p w14:paraId="29B70990">
            <w:pPr>
              <w:spacing w:line="360" w:lineRule="auto"/>
              <w:ind w:firstLine="480" w:firstLineChars="200"/>
              <w:rPr>
                <w:rFonts w:hint="default" w:ascii="Times New Roman" w:hAnsi="Times New Roman" w:cs="Times New Roman"/>
                <w:color w:val="auto"/>
                <w:kern w:val="0"/>
                <w:sz w:val="24"/>
                <w:highlight w:val="none"/>
              </w:rPr>
            </w:pPr>
            <w:r>
              <w:rPr>
                <w:rStyle w:val="52"/>
                <w:rFonts w:hint="default" w:ascii="Times New Roman" w:hAnsi="Times New Roman" w:cs="Times New Roman"/>
                <w:color w:val="auto"/>
                <w:highlight w:val="none"/>
              </w:rPr>
              <w:t>经计算，项目Q=0.001315432</w:t>
            </w:r>
            <w:r>
              <w:rPr>
                <w:rFonts w:hint="default" w:ascii="Times New Roman" w:hAnsi="Times New Roman" w:cs="Times New Roman"/>
                <w:color w:val="auto"/>
                <w:sz w:val="24"/>
                <w:highlight w:val="none"/>
              </w:rPr>
              <w:t>＜</w:t>
            </w:r>
            <w:r>
              <w:rPr>
                <w:rStyle w:val="52"/>
                <w:rFonts w:hint="default" w:ascii="Times New Roman" w:hAnsi="Times New Roman" w:cs="Times New Roman"/>
                <w:color w:val="auto"/>
                <w:highlight w:val="none"/>
              </w:rPr>
              <w:t>1，</w:t>
            </w:r>
            <w:r>
              <w:rPr>
                <w:rFonts w:hint="default" w:ascii="Times New Roman" w:hAnsi="Times New Roman" w:cs="Times New Roman"/>
                <w:color w:val="auto"/>
                <w:sz w:val="24"/>
                <w:highlight w:val="none"/>
              </w:rPr>
              <w:t>按照《建设项目环境风险评价技术导则》（HJ169-2018），环境风险潜势为Ⅰ，并确定项目环境风险评价等级为简单分析。</w:t>
            </w:r>
          </w:p>
          <w:p w14:paraId="4FAAFA1E">
            <w:pPr>
              <w:spacing w:line="360" w:lineRule="auto"/>
              <w:ind w:firstLine="482" w:firstLineChars="200"/>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2、风险源分布情况及影响途径</w:t>
            </w:r>
          </w:p>
          <w:p w14:paraId="06707A37">
            <w:pPr>
              <w:pStyle w:val="19"/>
              <w:jc w:val="center"/>
              <w:rPr>
                <w:rStyle w:val="52"/>
                <w:rFonts w:hint="default" w:ascii="Times New Roman" w:hAnsi="Times New Roman" w:cs="Times New Roman"/>
                <w:b/>
                <w:bCs/>
                <w:color w:val="auto"/>
                <w:sz w:val="21"/>
                <w:szCs w:val="21"/>
                <w:highlight w:val="none"/>
              </w:rPr>
            </w:pPr>
            <w:r>
              <w:rPr>
                <w:rStyle w:val="52"/>
                <w:rFonts w:hint="default" w:ascii="Times New Roman" w:hAnsi="Times New Roman" w:cs="Times New Roman"/>
                <w:b/>
                <w:bCs/>
                <w:color w:val="auto"/>
                <w:sz w:val="21"/>
                <w:szCs w:val="21"/>
                <w:highlight w:val="none"/>
              </w:rPr>
              <w:t>表4-25 风险源分布及影响途径</w:t>
            </w:r>
          </w:p>
          <w:tbl>
            <w:tblPr>
              <w:tblStyle w:val="33"/>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091"/>
              <w:gridCol w:w="2348"/>
              <w:gridCol w:w="1527"/>
              <w:gridCol w:w="2823"/>
            </w:tblGrid>
            <w:tr w14:paraId="752B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87" w:type="dxa"/>
                  <w:vAlign w:val="center"/>
                </w:tcPr>
                <w:p w14:paraId="310ED425">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1091" w:type="dxa"/>
                  <w:vAlign w:val="center"/>
                </w:tcPr>
                <w:p w14:paraId="5CB7CB1B">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风险源</w:t>
                  </w:r>
                </w:p>
              </w:tc>
              <w:tc>
                <w:tcPr>
                  <w:tcW w:w="2348" w:type="dxa"/>
                  <w:vAlign w:val="center"/>
                </w:tcPr>
                <w:p w14:paraId="2FFCA84F">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主要危险物质</w:t>
                  </w:r>
                </w:p>
              </w:tc>
              <w:tc>
                <w:tcPr>
                  <w:tcW w:w="1527" w:type="dxa"/>
                  <w:vAlign w:val="center"/>
                </w:tcPr>
                <w:p w14:paraId="406A88F7">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环境风险类型</w:t>
                  </w:r>
                </w:p>
              </w:tc>
              <w:tc>
                <w:tcPr>
                  <w:tcW w:w="2823" w:type="dxa"/>
                  <w:vAlign w:val="center"/>
                </w:tcPr>
                <w:p w14:paraId="0468262C">
                  <w:pPr>
                    <w:spacing w:line="288"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环境影响途径</w:t>
                  </w:r>
                </w:p>
              </w:tc>
            </w:tr>
            <w:tr w14:paraId="34E1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687" w:type="dxa"/>
                  <w:vAlign w:val="center"/>
                </w:tcPr>
                <w:p w14:paraId="38C0A0D9">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91" w:type="dxa"/>
                  <w:vAlign w:val="center"/>
                </w:tcPr>
                <w:p w14:paraId="268CC503">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试剂室</w:t>
                  </w:r>
                </w:p>
              </w:tc>
              <w:tc>
                <w:tcPr>
                  <w:tcW w:w="2348" w:type="dxa"/>
                  <w:vAlign w:val="center"/>
                </w:tcPr>
                <w:p w14:paraId="1AF170D9">
                  <w:pPr>
                    <w:spacing w:line="288"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硝酸、甲醇、四氯化碳、正己烷、硫酸、丙酮、盐酸、磷酸、无水乙醇、异丙醇、氨水、乙腈</w:t>
                  </w:r>
                </w:p>
              </w:tc>
              <w:tc>
                <w:tcPr>
                  <w:tcW w:w="1527" w:type="dxa"/>
                  <w:vAlign w:val="center"/>
                </w:tcPr>
                <w:p w14:paraId="6763592F">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泄漏</w:t>
                  </w:r>
                </w:p>
              </w:tc>
              <w:tc>
                <w:tcPr>
                  <w:tcW w:w="2823" w:type="dxa"/>
                  <w:vAlign w:val="center"/>
                </w:tcPr>
                <w:p w14:paraId="6FB86556">
                  <w:pPr>
                    <w:widowControl/>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泄漏后随地表径流汇入地表水、地下水，造成地表水、地下水污染；渗入土壤，造成土壤污染。</w:t>
                  </w:r>
                </w:p>
              </w:tc>
            </w:tr>
            <w:tr w14:paraId="12E5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687" w:type="dxa"/>
                  <w:vAlign w:val="center"/>
                </w:tcPr>
                <w:p w14:paraId="195CEC86">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091" w:type="dxa"/>
                  <w:vAlign w:val="center"/>
                </w:tcPr>
                <w:p w14:paraId="73FF007B">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医疗固废暂存间</w:t>
                  </w:r>
                </w:p>
              </w:tc>
              <w:tc>
                <w:tcPr>
                  <w:tcW w:w="2348" w:type="dxa"/>
                  <w:vAlign w:val="center"/>
                </w:tcPr>
                <w:p w14:paraId="4F33C1D0">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w:t>
                  </w:r>
                </w:p>
              </w:tc>
              <w:tc>
                <w:tcPr>
                  <w:tcW w:w="1527" w:type="dxa"/>
                  <w:vAlign w:val="center"/>
                </w:tcPr>
                <w:p w14:paraId="369C64AA">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泄漏</w:t>
                  </w:r>
                </w:p>
              </w:tc>
              <w:tc>
                <w:tcPr>
                  <w:tcW w:w="2823" w:type="dxa"/>
                  <w:vAlign w:val="center"/>
                </w:tcPr>
                <w:p w14:paraId="12F24593">
                  <w:pPr>
                    <w:widowControl/>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存在被医疗废物刺伤、擦伤时细菌侵入皮肤风险，对周边环境和人群的健康产生影响。</w:t>
                  </w:r>
                </w:p>
              </w:tc>
            </w:tr>
            <w:tr w14:paraId="2234F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687" w:type="dxa"/>
                  <w:vAlign w:val="center"/>
                </w:tcPr>
                <w:p w14:paraId="28E6E6A2">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091" w:type="dxa"/>
                  <w:vAlign w:val="center"/>
                </w:tcPr>
                <w:p w14:paraId="524F8463">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实验楼</w:t>
                  </w:r>
                </w:p>
              </w:tc>
              <w:tc>
                <w:tcPr>
                  <w:tcW w:w="2348" w:type="dxa"/>
                  <w:vAlign w:val="center"/>
                </w:tcPr>
                <w:p w14:paraId="00E70733">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27" w:type="dxa"/>
                  <w:vAlign w:val="center"/>
                </w:tcPr>
                <w:p w14:paraId="1AF5CF02">
                  <w:pPr>
                    <w:spacing w:line="288"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火灾、爆炸</w:t>
                  </w:r>
                </w:p>
              </w:tc>
              <w:tc>
                <w:tcPr>
                  <w:tcW w:w="2823" w:type="dxa"/>
                  <w:vAlign w:val="center"/>
                </w:tcPr>
                <w:p w14:paraId="7ED47602">
                  <w:pPr>
                    <w:widowControl/>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火灾时产生大量CO、氮氧化物等有害气体，污染大气及周边人体健康。</w:t>
                  </w:r>
                </w:p>
              </w:tc>
            </w:tr>
          </w:tbl>
          <w:p w14:paraId="061AD0C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实验室化学试剂瓶罐破裂、化学试剂发生泄漏，进而对疾控中心操作人员带来毒性、腐蚀性等不利影响。本项目危险化学试剂瓶罐均在项目实验楼试剂室，项目针对医用化学试剂制定严格的安全操作管理规定，最大限度地杜绝化学试剂瓶罐破裂泄漏现象的发生，不会对项目外环境带来显著不利影响。</w:t>
            </w:r>
          </w:p>
          <w:p w14:paraId="047745F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（2）本项目实验室固废在分类收集、预处理等过程中存在被医疗废物刺伤、擦伤时细菌侵入皮肤风险，在运送、暂时贮存过程中存在发生流失、泄漏、扩散和意外等事故，将对周边环境和人群的健康产生影响。</w:t>
            </w:r>
          </w:p>
          <w:p w14:paraId="240BFA3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（3）项目实验楼由于建筑面积较大，功能复杂，人员集中，内部装修易燃材料多，火灾隐患大。因此，工作人员一定要加强管理，提高警惕，预防实验楼建筑火灾事故的发生。</w:t>
            </w:r>
          </w:p>
          <w:p w14:paraId="3005877C">
            <w:pPr>
              <w:spacing w:line="360" w:lineRule="auto"/>
              <w:ind w:firstLine="482" w:firstLineChars="200"/>
              <w:rPr>
                <w:rStyle w:val="52"/>
                <w:rFonts w:hint="default" w:ascii="Times New Roman" w:hAnsi="Times New Roman" w:cs="Times New Roman"/>
                <w:b/>
                <w:color w:val="auto"/>
                <w:highlight w:val="none"/>
              </w:rPr>
            </w:pPr>
            <w:r>
              <w:rPr>
                <w:rStyle w:val="52"/>
                <w:rFonts w:hint="default" w:ascii="Times New Roman" w:hAnsi="Times New Roman" w:cs="Times New Roman"/>
                <w:b/>
                <w:color w:val="auto"/>
                <w:highlight w:val="none"/>
              </w:rPr>
              <w:t>3、环境风险防范措施</w:t>
            </w:r>
          </w:p>
          <w:p w14:paraId="04DC4338">
            <w:pPr>
              <w:pStyle w:val="31"/>
              <w:ind w:right="113" w:firstLine="482" w:firstLineChars="200"/>
              <w:rPr>
                <w:rStyle w:val="52"/>
                <w:rFonts w:hint="default" w:ascii="Times New Roman" w:hAnsi="Times New Roman" w:cs="Times New Roman"/>
                <w:bCs/>
                <w:color w:val="auto"/>
                <w:szCs w:val="24"/>
                <w:highlight w:val="none"/>
              </w:rPr>
            </w:pPr>
            <w:r>
              <w:rPr>
                <w:rStyle w:val="52"/>
                <w:rFonts w:hint="default" w:ascii="Times New Roman" w:hAnsi="Times New Roman" w:cs="Times New Roman"/>
                <w:b/>
                <w:color w:val="auto"/>
                <w:szCs w:val="24"/>
                <w:highlight w:val="none"/>
              </w:rPr>
              <w:t>（1）实验室化学试剂风险防范措施</w:t>
            </w:r>
          </w:p>
          <w:p w14:paraId="45F6ADA2">
            <w:pPr>
              <w:pStyle w:val="31"/>
              <w:ind w:right="113" w:firstLine="480" w:firstLineChars="200"/>
              <w:rPr>
                <w:rStyle w:val="52"/>
                <w:rFonts w:hint="default" w:ascii="Times New Roman" w:hAnsi="Times New Roman" w:cs="Times New Roman"/>
                <w:bCs/>
                <w:color w:val="auto"/>
                <w:szCs w:val="24"/>
                <w:highlight w:val="none"/>
              </w:rPr>
            </w:pPr>
            <w:r>
              <w:rPr>
                <w:rFonts w:hint="default" w:ascii="Times New Roman" w:hAnsi="Times New Roman" w:cs="Times New Roman"/>
                <w:color w:val="auto"/>
                <w:szCs w:val="24"/>
                <w:highlight w:val="none"/>
              </w:rPr>
              <w:t>1）实验室制定安全操作管理规程，每日安排专人对化学试剂的安全存放、使用进行检查，努力确保化学试剂不发生泄漏及火灾爆炸</w:t>
            </w:r>
            <w:r>
              <w:rPr>
                <w:rStyle w:val="52"/>
                <w:rFonts w:hint="default" w:ascii="Times New Roman" w:hAnsi="Times New Roman" w:cs="Times New Roman"/>
                <w:bCs/>
                <w:color w:val="auto"/>
                <w:szCs w:val="24"/>
                <w:highlight w:val="none"/>
              </w:rPr>
              <w:t>；</w:t>
            </w:r>
          </w:p>
          <w:p w14:paraId="02282D13">
            <w:pPr>
              <w:pStyle w:val="31"/>
              <w:ind w:right="113" w:firstLine="48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2）加强对实验室操作人员的环境安全宣传教育，严格按操作规程操作，杜绝化学试剂瓶罐破裂现象的发生，不使用化学试剂时要及时将瓶罐口封闭</w:t>
            </w:r>
            <w:r>
              <w:rPr>
                <w:rStyle w:val="52"/>
                <w:rFonts w:hint="default" w:ascii="Times New Roman" w:hAnsi="Times New Roman" w:cs="Times New Roman"/>
                <w:bCs/>
                <w:color w:val="auto"/>
                <w:szCs w:val="24"/>
                <w:highlight w:val="none"/>
              </w:rPr>
              <w:t>；</w:t>
            </w:r>
          </w:p>
          <w:p w14:paraId="2505B22B">
            <w:pPr>
              <w:pStyle w:val="31"/>
              <w:ind w:right="113" w:firstLine="48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3）存在化学试剂的科室应远离明火，最大限度地杜绝火灾爆炸现象的发生；</w:t>
            </w:r>
          </w:p>
          <w:p w14:paraId="7758FA48">
            <w:pPr>
              <w:pStyle w:val="31"/>
              <w:ind w:right="113" w:firstLine="480" w:firstLineChars="200"/>
              <w:rPr>
                <w:rStyle w:val="52"/>
                <w:rFonts w:hint="default" w:ascii="Times New Roman" w:hAnsi="Times New Roman" w:cs="Times New Roman"/>
                <w:bCs/>
                <w:color w:val="auto"/>
                <w:szCs w:val="24"/>
                <w:highlight w:val="none"/>
              </w:rPr>
            </w:pPr>
            <w:r>
              <w:rPr>
                <w:rFonts w:hint="default" w:ascii="Times New Roman" w:hAnsi="Times New Roman" w:cs="Times New Roman"/>
                <w:color w:val="auto"/>
                <w:szCs w:val="24"/>
                <w:highlight w:val="none"/>
              </w:rPr>
              <w:t>4）结合化学试剂的理化性质，严格控制存在化学试剂的科室的室内温度，当室内温度较高时，应尽量减少使用或不用易挥发的化学试剂</w:t>
            </w:r>
            <w:r>
              <w:rPr>
                <w:rStyle w:val="52"/>
                <w:rFonts w:hint="default" w:ascii="Times New Roman" w:hAnsi="Times New Roman" w:cs="Times New Roman"/>
                <w:bCs/>
                <w:color w:val="auto"/>
                <w:szCs w:val="24"/>
                <w:highlight w:val="none"/>
              </w:rPr>
              <w:t>；</w:t>
            </w:r>
          </w:p>
          <w:p w14:paraId="6FAB8BD9">
            <w:pPr>
              <w:pStyle w:val="31"/>
              <w:ind w:right="113" w:firstLine="480" w:firstLineChars="200"/>
              <w:rPr>
                <w:rStyle w:val="52"/>
                <w:rFonts w:hint="default" w:ascii="Times New Roman" w:hAnsi="Times New Roman" w:cs="Times New Roman"/>
                <w:bCs/>
                <w:color w:val="auto"/>
                <w:szCs w:val="24"/>
                <w:highlight w:val="none"/>
              </w:rPr>
            </w:pPr>
            <w:r>
              <w:rPr>
                <w:rStyle w:val="52"/>
                <w:rFonts w:hint="default" w:ascii="Times New Roman" w:hAnsi="Times New Roman" w:cs="Times New Roman"/>
                <w:bCs/>
                <w:color w:val="auto"/>
                <w:szCs w:val="24"/>
                <w:highlight w:val="none"/>
              </w:rPr>
              <w:t>5）</w:t>
            </w:r>
            <w:r>
              <w:rPr>
                <w:rFonts w:hint="default" w:ascii="Times New Roman" w:hAnsi="Times New Roman" w:cs="Times New Roman"/>
                <w:color w:val="auto"/>
                <w:szCs w:val="24"/>
                <w:highlight w:val="none"/>
              </w:rPr>
              <w:t>加强对化学试剂操作人员个体防护，如穿防护工作服、戴口罩及手套等</w:t>
            </w:r>
            <w:r>
              <w:rPr>
                <w:rStyle w:val="52"/>
                <w:rFonts w:hint="default" w:ascii="Times New Roman" w:hAnsi="Times New Roman" w:cs="Times New Roman"/>
                <w:bCs/>
                <w:color w:val="auto"/>
                <w:szCs w:val="24"/>
                <w:highlight w:val="none"/>
              </w:rPr>
              <w:t>；</w:t>
            </w:r>
          </w:p>
          <w:p w14:paraId="3EC971AC">
            <w:pPr>
              <w:pStyle w:val="31"/>
              <w:ind w:right="113" w:firstLine="480" w:firstLineChars="200"/>
              <w:rPr>
                <w:rStyle w:val="52"/>
                <w:rFonts w:hint="default" w:ascii="Times New Roman" w:hAnsi="Times New Roman" w:cs="Times New Roman"/>
                <w:bCs/>
                <w:color w:val="auto"/>
                <w:szCs w:val="24"/>
                <w:highlight w:val="none"/>
              </w:rPr>
            </w:pPr>
            <w:r>
              <w:rPr>
                <w:rStyle w:val="52"/>
                <w:rFonts w:hint="default" w:ascii="Times New Roman" w:hAnsi="Times New Roman" w:cs="Times New Roman"/>
                <w:bCs/>
                <w:color w:val="auto"/>
                <w:szCs w:val="24"/>
                <w:highlight w:val="none"/>
              </w:rPr>
              <w:t>6）</w:t>
            </w:r>
            <w:r>
              <w:rPr>
                <w:rFonts w:hint="default" w:ascii="Times New Roman" w:hAnsi="Times New Roman" w:cs="Times New Roman"/>
                <w:color w:val="auto"/>
                <w:szCs w:val="24"/>
                <w:highlight w:val="none"/>
              </w:rPr>
              <w:t>各使用部门领取危险化学品必须指定专人负责，领取人要当面点清品种和数量</w:t>
            </w:r>
            <w:r>
              <w:rPr>
                <w:rStyle w:val="52"/>
                <w:rFonts w:hint="default" w:ascii="Times New Roman" w:hAnsi="Times New Roman" w:cs="Times New Roman"/>
                <w:bCs/>
                <w:color w:val="auto"/>
                <w:szCs w:val="24"/>
                <w:highlight w:val="none"/>
              </w:rPr>
              <w:t>。</w:t>
            </w:r>
          </w:p>
          <w:p w14:paraId="05FB5D9D">
            <w:pPr>
              <w:pStyle w:val="31"/>
              <w:ind w:right="113" w:firstLine="482" w:firstLineChars="200"/>
              <w:rPr>
                <w:rStyle w:val="52"/>
                <w:rFonts w:hint="default" w:ascii="Times New Roman" w:hAnsi="Times New Roman" w:cs="Times New Roman"/>
                <w:b/>
                <w:color w:val="auto"/>
                <w:szCs w:val="24"/>
                <w:highlight w:val="none"/>
              </w:rPr>
            </w:pPr>
            <w:r>
              <w:rPr>
                <w:rStyle w:val="52"/>
                <w:rFonts w:hint="default" w:ascii="Times New Roman" w:hAnsi="Times New Roman" w:cs="Times New Roman"/>
                <w:b/>
                <w:color w:val="auto"/>
                <w:szCs w:val="24"/>
                <w:highlight w:val="none"/>
              </w:rPr>
              <w:t>（2）实验室固废在收集、贮存、运送过程中的风险防范措施</w:t>
            </w:r>
          </w:p>
          <w:p w14:paraId="6E1C9F4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1）实验室固废事故应急措施</w:t>
            </w:r>
          </w:p>
          <w:p w14:paraId="34B3216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若发生实验室固废流失、泄漏、扩散和意外事故时，应当按照以下要求及时采取紧急处理措施：</w:t>
            </w:r>
          </w:p>
          <w:p w14:paraId="4F1E8D4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①确定流失、泄漏、扩散的实验室固废的类别、数量、发生时间、影响范围及严重程度；组织有关人员尽快按照应急方案，对发生实验室固废泄漏、扩散的现场进行处理；</w:t>
            </w:r>
          </w:p>
          <w:p w14:paraId="6983BA4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②采取适当的安全处置措施，对泄漏物及受污染的区域、物品进行消毒或者其他无害化处置，必要时封锁污染区域，尽可能减少对医务人员、其它现场人员及环境的影响，以防扩大污染；</w:t>
            </w:r>
          </w:p>
          <w:p w14:paraId="7D2200F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③对感染性废物污染区域进行消毒时，消毒工作从污染最轻区域向污染最严重区域进行，对可能被污染的使用过的工具也须进行消毒；</w:t>
            </w:r>
          </w:p>
          <w:p w14:paraId="5C9AF0C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④处理工作结束后，工作人员应当做好卫生安全防护后进行工作，医疗卫生机构应当对事件的起因进行调查，并采取有效的防范措施预防类似事件的发生。</w:t>
            </w:r>
          </w:p>
          <w:p w14:paraId="2E35BD6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2）人员安全防护</w:t>
            </w:r>
          </w:p>
          <w:p w14:paraId="1E046B0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实验室固废相关工作人员和管理人员应当达到以下要求：</w:t>
            </w:r>
          </w:p>
          <w:p w14:paraId="5D04F35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①掌握国家相关法律、法规、规章和有关规范性文件的规定，熟悉本机构制定的实验室固废管理的规章制度、工作流程和各项工作要求；</w:t>
            </w:r>
          </w:p>
          <w:p w14:paraId="5ECD1EC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②掌握实验室固废分类收集、运送、暂时贮存的正确方法和操作程序；掌握在实验室固废分类收集、运送、暂时贮存及处置过程中预防被医疗废物刺伤、擦伤等伤害的措施及发生后的处理措施；</w:t>
            </w:r>
          </w:p>
          <w:p w14:paraId="367054D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③掌握发生实验室固废流失、泄漏、扩散和意外事故情况时的紧急处理措施。</w:t>
            </w:r>
          </w:p>
          <w:p w14:paraId="267F87C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3）运输过程中风险防范措施</w:t>
            </w:r>
          </w:p>
          <w:p w14:paraId="0FBB933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①运送线路避开人口密集区域和交通拥堵道路；</w:t>
            </w:r>
          </w:p>
          <w:p w14:paraId="149A5F4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②检查好车况；</w:t>
            </w:r>
          </w:p>
          <w:p w14:paraId="1C54170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③不得搭乘无关人员，不得装载或混装其它货物和动植物；</w:t>
            </w:r>
          </w:p>
          <w:p w14:paraId="7078D86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④车辆行驶时应锁闭车厢门确保安全，不得丢失、遗撒和打开包装取出实验室固废等。</w:t>
            </w:r>
          </w:p>
          <w:p w14:paraId="29E8A6B0">
            <w:pPr>
              <w:pStyle w:val="31"/>
              <w:ind w:right="113" w:firstLine="482" w:firstLineChars="200"/>
              <w:rPr>
                <w:rStyle w:val="52"/>
                <w:rFonts w:hint="default" w:ascii="Times New Roman" w:hAnsi="Times New Roman" w:cs="Times New Roman"/>
                <w:b/>
                <w:color w:val="auto"/>
                <w:szCs w:val="24"/>
                <w:highlight w:val="none"/>
              </w:rPr>
            </w:pPr>
            <w:r>
              <w:rPr>
                <w:rStyle w:val="52"/>
                <w:rFonts w:hint="default" w:ascii="Times New Roman" w:hAnsi="Times New Roman" w:cs="Times New Roman"/>
                <w:b/>
                <w:color w:val="auto"/>
                <w:szCs w:val="24"/>
                <w:highlight w:val="none"/>
              </w:rPr>
              <w:t>（3）火灾风险事故防范措施</w:t>
            </w:r>
          </w:p>
          <w:p w14:paraId="2EFD098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Style w:val="52"/>
                <w:rFonts w:hint="default" w:ascii="Times New Roman" w:hAnsi="Times New Roman" w:cs="Times New Roman"/>
                <w:bCs/>
                <w:color w:val="auto"/>
                <w:highlight w:val="none"/>
              </w:rPr>
              <w:t>项目区按照《建筑灭火器配置设计规范》（GB50140-2010）的要求设置消防设施及灭火器材，灭火器材应放在明显、易取的地方，并定期对消防设施及灭火器材进行检查、维护；</w:t>
            </w:r>
          </w:p>
          <w:p w14:paraId="17D0645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易燃、易爆危险品存放地点严禁烟火，分类存放，经常检查，防止因变质、分解造成自然和爆炸事故；遇水易发生爆炸、燃烧的化学物品，不准放置在潮湿或者易积水、漏水的地点；受阳光照射容易引爆的危险品，要存放在阴凉地点；易燃易爆危险品搬运过程要轻拿轻放，防止震动、撞击、重压、倾倒和摩擦。</w:t>
            </w:r>
          </w:p>
          <w:p w14:paraId="02AAE3B0">
            <w:pPr>
              <w:pStyle w:val="31"/>
              <w:ind w:right="113" w:firstLine="482" w:firstLineChars="200"/>
              <w:rPr>
                <w:rStyle w:val="52"/>
                <w:rFonts w:hint="default" w:ascii="Times New Roman" w:hAnsi="Times New Roman" w:cs="Times New Roman"/>
                <w:b/>
                <w:color w:val="auto"/>
                <w:highlight w:val="none"/>
              </w:rPr>
            </w:pPr>
            <w:r>
              <w:rPr>
                <w:rStyle w:val="43"/>
                <w:rFonts w:hint="default" w:ascii="Times New Roman" w:hAnsi="Times New Roman" w:cs="Times New Roman"/>
                <w:b/>
                <w:color w:val="auto"/>
                <w:szCs w:val="24"/>
                <w:highlight w:val="none"/>
              </w:rPr>
              <w:t>（4）</w:t>
            </w:r>
            <w:r>
              <w:rPr>
                <w:rStyle w:val="52"/>
                <w:rFonts w:hint="default" w:ascii="Times New Roman" w:hAnsi="Times New Roman" w:cs="Times New Roman"/>
                <w:b/>
                <w:color w:val="auto"/>
                <w:highlight w:val="none"/>
              </w:rPr>
              <w:t>运营过程预防措施</w:t>
            </w:r>
          </w:p>
          <w:p w14:paraId="3BBFEAA3">
            <w:pPr>
              <w:pStyle w:val="31"/>
              <w:ind w:right="113" w:firstLine="480" w:firstLineChars="200"/>
              <w:rPr>
                <w:rStyle w:val="43"/>
                <w:rFonts w:hint="default" w:ascii="Times New Roman" w:hAnsi="Times New Roman" w:cs="Times New Roman"/>
                <w:bCs/>
                <w:color w:val="auto"/>
                <w:szCs w:val="24"/>
                <w:highlight w:val="none"/>
              </w:rPr>
            </w:pPr>
            <w:r>
              <w:rPr>
                <w:rStyle w:val="52"/>
                <w:rFonts w:hint="default" w:ascii="Times New Roman" w:hAnsi="Times New Roman" w:cs="Times New Roman"/>
                <w:bCs/>
                <w:color w:val="auto"/>
                <w:highlight w:val="none"/>
              </w:rPr>
              <w:t>建议企业根据生态环境部《企业事业单位突发环境事件应急预案备案管理办法（试行）》的要求，制定突发环境事件应急预案，并报玉溪市生态环境局华宁分局备案；建设单位定期演练、适时更新。</w:t>
            </w:r>
          </w:p>
          <w:p w14:paraId="683AD633">
            <w:pPr>
              <w:spacing w:line="360" w:lineRule="auto"/>
              <w:rPr>
                <w:rFonts w:hint="default" w:ascii="Times New Roman" w:hAnsi="Times New Roman" w:cs="Times New Roman"/>
                <w:b/>
                <w:bCs/>
                <w:color w:val="auto"/>
                <w:sz w:val="28"/>
                <w:szCs w:val="28"/>
                <w:highlight w:val="none"/>
              </w:rPr>
            </w:pPr>
            <w:r>
              <w:rPr>
                <w:rFonts w:hint="default" w:ascii="Times New Roman" w:hAnsi="Times New Roman" w:cs="Times New Roman"/>
                <w:b/>
                <w:bCs/>
                <w:color w:val="auto"/>
                <w:sz w:val="28"/>
                <w:szCs w:val="28"/>
                <w:highlight w:val="none"/>
              </w:rPr>
              <w:t>4.2.8 环境保护竣工验收</w:t>
            </w:r>
          </w:p>
          <w:p w14:paraId="0AA9C0B7">
            <w:pPr>
              <w:pStyle w:val="32"/>
              <w:spacing w:after="0" w:line="360" w:lineRule="auto"/>
              <w:ind w:left="0" w:leftChars="0" w:firstLine="480"/>
              <w:rPr>
                <w:rStyle w:val="58"/>
                <w:rFonts w:hint="default" w:ascii="Times New Roman" w:hAnsi="Times New Roman" w:cs="Times New Roman"/>
                <w:color w:val="auto"/>
                <w:sz w:val="24"/>
                <w:highlight w:val="none"/>
                <w:lang w:val="zh-CN"/>
              </w:rPr>
            </w:pPr>
            <w:r>
              <w:rPr>
                <w:rStyle w:val="58"/>
                <w:rFonts w:hint="default" w:ascii="Times New Roman" w:hAnsi="Times New Roman" w:cs="Times New Roman"/>
                <w:color w:val="auto"/>
                <w:sz w:val="24"/>
                <w:highlight w:val="none"/>
                <w:lang w:val="zh-CN"/>
              </w:rPr>
              <w:t>根据《建设项目环境保护管理条例》（国务院第682号令）、《建设项目竣工环境保护验收暂行办法》（国环规环评（2017）4号）的相关要求：项目建成后，应进行竣工环境保护验收，建设项目在试运营期间，建设单位应当依据环评文件及其审批意见，委托第三方机构或自行编制建设项目环境保护设施竣工验收报告，向社会公开并向环保部门备案。</w:t>
            </w:r>
          </w:p>
          <w:p w14:paraId="44819138">
            <w:pPr>
              <w:pStyle w:val="32"/>
              <w:spacing w:after="0" w:line="360" w:lineRule="auto"/>
              <w:ind w:left="0" w:leftChars="0" w:firstLine="480"/>
              <w:rPr>
                <w:rStyle w:val="58"/>
                <w:rFonts w:hint="default" w:ascii="Times New Roman" w:hAnsi="Times New Roman" w:cs="Times New Roman"/>
                <w:color w:val="auto"/>
                <w:sz w:val="24"/>
                <w:highlight w:val="none"/>
                <w:lang w:val="zh-CN"/>
              </w:rPr>
            </w:pPr>
            <w:r>
              <w:rPr>
                <w:rStyle w:val="58"/>
                <w:rFonts w:hint="default" w:ascii="Times New Roman" w:hAnsi="Times New Roman" w:cs="Times New Roman"/>
                <w:color w:val="auto"/>
                <w:sz w:val="24"/>
                <w:highlight w:val="none"/>
                <w:lang w:val="zh-CN"/>
              </w:rPr>
              <w:t>根据该项目的污染特征以及本报告表规定的环境保护措施，项目竣工环境保护验收和监测计划一览表如下：</w:t>
            </w:r>
          </w:p>
          <w:p w14:paraId="3B4D236B">
            <w:pPr>
              <w:pStyle w:val="13"/>
              <w:spacing w:before="120" w:beforeLines="50" w:after="0"/>
              <w:ind w:left="0" w:left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4-26 竣工环境保护验收一览表</w:t>
            </w:r>
          </w:p>
          <w:tbl>
            <w:tblPr>
              <w:tblStyle w:val="33"/>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
              <w:gridCol w:w="431"/>
              <w:gridCol w:w="1238"/>
              <w:gridCol w:w="1092"/>
              <w:gridCol w:w="2186"/>
              <w:gridCol w:w="1060"/>
              <w:gridCol w:w="2073"/>
            </w:tblGrid>
            <w:tr w14:paraId="495E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67" w:type="dxa"/>
                  <w:gridSpan w:val="3"/>
                  <w:vAlign w:val="center"/>
                </w:tcPr>
                <w:p w14:paraId="08650F58">
                  <w:pPr>
                    <w:pStyle w:val="13"/>
                    <w:spacing w:after="0"/>
                    <w:ind w:left="0" w:leftChars="0"/>
                    <w:jc w:val="center"/>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项目</w:t>
                  </w:r>
                </w:p>
              </w:tc>
              <w:tc>
                <w:tcPr>
                  <w:tcW w:w="4338" w:type="dxa"/>
                  <w:gridSpan w:val="3"/>
                  <w:vAlign w:val="center"/>
                </w:tcPr>
                <w:p w14:paraId="2680878E">
                  <w:pPr>
                    <w:pStyle w:val="13"/>
                    <w:spacing w:after="0"/>
                    <w:ind w:left="0" w:leftChars="0"/>
                    <w:jc w:val="center"/>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处置措施及规模</w:t>
                  </w:r>
                </w:p>
              </w:tc>
              <w:tc>
                <w:tcPr>
                  <w:tcW w:w="2073" w:type="dxa"/>
                  <w:vAlign w:val="center"/>
                </w:tcPr>
                <w:p w14:paraId="568A36EB">
                  <w:pPr>
                    <w:pStyle w:val="13"/>
                    <w:spacing w:after="0"/>
                    <w:ind w:left="0" w:leftChars="0"/>
                    <w:jc w:val="center"/>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验收标准</w:t>
                  </w:r>
                </w:p>
              </w:tc>
            </w:tr>
            <w:tr w14:paraId="7045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8" w:type="dxa"/>
                  <w:vMerge w:val="restart"/>
                  <w:vAlign w:val="center"/>
                </w:tcPr>
                <w:p w14:paraId="1AFFCDB1">
                  <w:pPr>
                    <w:pStyle w:val="13"/>
                    <w:spacing w:after="0"/>
                    <w:ind w:left="0" w:leftChars="0"/>
                    <w:jc w:val="center"/>
                    <w:rPr>
                      <w:rFonts w:hint="default" w:ascii="Times New Roman" w:hAnsi="Times New Roman" w:cs="Times New Roman"/>
                      <w:bCs/>
                      <w:color w:val="auto"/>
                      <w:sz w:val="21"/>
                      <w:highlight w:val="none"/>
                    </w:rPr>
                  </w:pPr>
                  <w:r>
                    <w:rPr>
                      <w:rFonts w:hint="default" w:ascii="Times New Roman" w:hAnsi="Times New Roman" w:cs="Times New Roman"/>
                      <w:bCs/>
                      <w:color w:val="auto"/>
                      <w:sz w:val="21"/>
                      <w:highlight w:val="none"/>
                    </w:rPr>
                    <w:t>废气</w:t>
                  </w:r>
                </w:p>
              </w:tc>
              <w:tc>
                <w:tcPr>
                  <w:tcW w:w="431" w:type="dxa"/>
                  <w:vMerge w:val="restart"/>
                  <w:vAlign w:val="center"/>
                </w:tcPr>
                <w:p w14:paraId="67295E14">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理化实验室废气</w:t>
                  </w:r>
                </w:p>
              </w:tc>
              <w:tc>
                <w:tcPr>
                  <w:tcW w:w="1238" w:type="dxa"/>
                  <w:vAlign w:val="center"/>
                </w:tcPr>
                <w:p w14:paraId="08ADA08F">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氨气、有机废气（以非甲烷总烃计）、臭气浓度</w:t>
                  </w:r>
                </w:p>
              </w:tc>
              <w:tc>
                <w:tcPr>
                  <w:tcW w:w="3278" w:type="dxa"/>
                  <w:gridSpan w:val="2"/>
                  <w:vAlign w:val="center"/>
                </w:tcPr>
                <w:p w14:paraId="30042B49">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实验室通风柜密封收集+二级活性炭吸附+1根23m高排气筒排放（DA001）</w:t>
                  </w:r>
                </w:p>
              </w:tc>
              <w:tc>
                <w:tcPr>
                  <w:tcW w:w="1060" w:type="dxa"/>
                  <w:vMerge w:val="restart"/>
                  <w:vAlign w:val="center"/>
                </w:tcPr>
                <w:p w14:paraId="6EDCDF4D">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c>
                <w:tcPr>
                  <w:tcW w:w="2073" w:type="dxa"/>
                  <w:vMerge w:val="restart"/>
                  <w:vAlign w:val="center"/>
                </w:tcPr>
                <w:p w14:paraId="0382827D">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《大气污染物综合排放标准》（GB16297-1996）表2；《恶臭污染物排放标准》（GB14554-93）表2</w:t>
                  </w:r>
                </w:p>
              </w:tc>
            </w:tr>
            <w:tr w14:paraId="4A2D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98" w:type="dxa"/>
                  <w:vMerge w:val="continue"/>
                  <w:vAlign w:val="center"/>
                </w:tcPr>
                <w:p w14:paraId="39362120">
                  <w:pPr>
                    <w:pStyle w:val="13"/>
                    <w:spacing w:after="0"/>
                    <w:ind w:left="0" w:leftChars="0"/>
                    <w:jc w:val="center"/>
                    <w:rPr>
                      <w:rFonts w:hint="default" w:ascii="Times New Roman" w:hAnsi="Times New Roman" w:cs="Times New Roman"/>
                      <w:bCs/>
                      <w:color w:val="auto"/>
                      <w:sz w:val="21"/>
                      <w:highlight w:val="none"/>
                    </w:rPr>
                  </w:pPr>
                </w:p>
              </w:tc>
              <w:tc>
                <w:tcPr>
                  <w:tcW w:w="431" w:type="dxa"/>
                  <w:vMerge w:val="continue"/>
                  <w:vAlign w:val="center"/>
                </w:tcPr>
                <w:p w14:paraId="30FD67DD">
                  <w:pPr>
                    <w:pStyle w:val="13"/>
                    <w:spacing w:after="0"/>
                    <w:ind w:left="0" w:leftChars="0"/>
                    <w:jc w:val="center"/>
                    <w:rPr>
                      <w:rFonts w:hint="default" w:ascii="Times New Roman" w:hAnsi="Times New Roman" w:cs="Times New Roman"/>
                      <w:color w:val="auto"/>
                      <w:sz w:val="21"/>
                      <w:highlight w:val="none"/>
                    </w:rPr>
                  </w:pPr>
                </w:p>
              </w:tc>
              <w:tc>
                <w:tcPr>
                  <w:tcW w:w="1238" w:type="dxa"/>
                  <w:vAlign w:val="center"/>
                </w:tcPr>
                <w:p w14:paraId="75410908">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NO</w:t>
                  </w:r>
                  <w:r>
                    <w:rPr>
                      <w:rFonts w:hint="default" w:ascii="Times New Roman" w:hAnsi="Times New Roman" w:cs="Times New Roman"/>
                      <w:color w:val="auto"/>
                      <w:sz w:val="21"/>
                      <w:highlight w:val="none"/>
                      <w:vertAlign w:val="subscript"/>
                    </w:rPr>
                    <w:t>2</w:t>
                  </w:r>
                  <w:r>
                    <w:rPr>
                      <w:rFonts w:hint="default" w:ascii="Times New Roman" w:hAnsi="Times New Roman" w:cs="Times New Roman"/>
                      <w:color w:val="auto"/>
                      <w:sz w:val="21"/>
                      <w:highlight w:val="none"/>
                    </w:rPr>
                    <w:t>、硫酸雾、HCl</w:t>
                  </w:r>
                </w:p>
              </w:tc>
              <w:tc>
                <w:tcPr>
                  <w:tcW w:w="3278" w:type="dxa"/>
                  <w:gridSpan w:val="2"/>
                  <w:vAlign w:val="center"/>
                </w:tcPr>
                <w:p w14:paraId="21CDB3C2">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实验室通风柜密封收集+碱液吸收+烟气干燥+活性炭吸附+1根23m高排气筒排放（DA001）</w:t>
                  </w:r>
                </w:p>
              </w:tc>
              <w:tc>
                <w:tcPr>
                  <w:tcW w:w="1060" w:type="dxa"/>
                  <w:vMerge w:val="continue"/>
                  <w:vAlign w:val="center"/>
                </w:tcPr>
                <w:p w14:paraId="512DAD16">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516EF4DC">
                  <w:pPr>
                    <w:pStyle w:val="13"/>
                    <w:spacing w:after="0"/>
                    <w:ind w:left="0" w:leftChars="0"/>
                    <w:jc w:val="center"/>
                    <w:rPr>
                      <w:rFonts w:hint="default" w:ascii="Times New Roman" w:hAnsi="Times New Roman" w:cs="Times New Roman"/>
                      <w:color w:val="auto"/>
                      <w:sz w:val="21"/>
                      <w:highlight w:val="none"/>
                    </w:rPr>
                  </w:pPr>
                </w:p>
              </w:tc>
            </w:tr>
            <w:tr w14:paraId="34BC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42B6306B">
                  <w:pPr>
                    <w:pStyle w:val="13"/>
                    <w:spacing w:after="0"/>
                    <w:ind w:left="0" w:leftChars="0"/>
                    <w:jc w:val="center"/>
                    <w:rPr>
                      <w:rFonts w:hint="default" w:ascii="Times New Roman" w:hAnsi="Times New Roman" w:cs="Times New Roman"/>
                      <w:bCs/>
                      <w:color w:val="auto"/>
                      <w:sz w:val="21"/>
                      <w:highlight w:val="none"/>
                    </w:rPr>
                  </w:pPr>
                </w:p>
              </w:tc>
              <w:tc>
                <w:tcPr>
                  <w:tcW w:w="431" w:type="dxa"/>
                  <w:vAlign w:val="center"/>
                </w:tcPr>
                <w:p w14:paraId="6F99F7DC">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微生物实验室废气</w:t>
                  </w:r>
                </w:p>
              </w:tc>
              <w:tc>
                <w:tcPr>
                  <w:tcW w:w="1238" w:type="dxa"/>
                  <w:vAlign w:val="center"/>
                </w:tcPr>
                <w:p w14:paraId="5608F761">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颗粒物（含细菌气溶胶团）</w:t>
                  </w:r>
                </w:p>
              </w:tc>
              <w:tc>
                <w:tcPr>
                  <w:tcW w:w="3278" w:type="dxa"/>
                  <w:gridSpan w:val="2"/>
                  <w:vAlign w:val="center"/>
                </w:tcPr>
                <w:p w14:paraId="2E47BBFB">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生物安全柜（含高效过滤器）+紫外消毒装置</w:t>
                  </w:r>
                </w:p>
              </w:tc>
              <w:tc>
                <w:tcPr>
                  <w:tcW w:w="1060" w:type="dxa"/>
                  <w:vAlign w:val="center"/>
                </w:tcPr>
                <w:p w14:paraId="5BEB5330">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c>
                <w:tcPr>
                  <w:tcW w:w="2073" w:type="dxa"/>
                  <w:vAlign w:val="center"/>
                </w:tcPr>
                <w:p w14:paraId="4E740834">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《大气污染物综合排放标准》（GB16297-1996）表2</w:t>
                  </w:r>
                </w:p>
              </w:tc>
            </w:tr>
            <w:tr w14:paraId="58F6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4FC3CA68">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1DCACA67">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污水处理站臭气（氨、硫化氢、臭气浓度）</w:t>
                  </w:r>
                </w:p>
              </w:tc>
              <w:tc>
                <w:tcPr>
                  <w:tcW w:w="3278" w:type="dxa"/>
                  <w:gridSpan w:val="2"/>
                  <w:vAlign w:val="center"/>
                </w:tcPr>
                <w:p w14:paraId="2E1374A1">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污水处理站为地埋式，各处理设施池体加盖，合理布置安放地点，采用密闭方式、投加除臭剂等</w:t>
                  </w:r>
                </w:p>
              </w:tc>
              <w:tc>
                <w:tcPr>
                  <w:tcW w:w="1060" w:type="dxa"/>
                  <w:vAlign w:val="center"/>
                </w:tcPr>
                <w:p w14:paraId="14EB3E10">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c>
                <w:tcPr>
                  <w:tcW w:w="2073" w:type="dxa"/>
                  <w:vAlign w:val="center"/>
                </w:tcPr>
                <w:p w14:paraId="326911A8">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《恶臭污染物排放标准》（GB14554-93）表1</w:t>
                  </w:r>
                </w:p>
              </w:tc>
            </w:tr>
            <w:tr w14:paraId="143BB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jc w:val="center"/>
              </w:trPr>
              <w:tc>
                <w:tcPr>
                  <w:tcW w:w="398" w:type="dxa"/>
                  <w:vMerge w:val="restart"/>
                  <w:vAlign w:val="center"/>
                </w:tcPr>
                <w:p w14:paraId="4D6A571B">
                  <w:pPr>
                    <w:pStyle w:val="13"/>
                    <w:spacing w:after="0"/>
                    <w:ind w:left="0" w:leftChars="0"/>
                    <w:jc w:val="center"/>
                    <w:rPr>
                      <w:rFonts w:hint="default" w:ascii="Times New Roman" w:hAnsi="Times New Roman" w:cs="Times New Roman"/>
                      <w:bCs/>
                      <w:color w:val="auto"/>
                      <w:sz w:val="21"/>
                      <w:highlight w:val="none"/>
                    </w:rPr>
                  </w:pPr>
                  <w:r>
                    <w:rPr>
                      <w:rFonts w:hint="default" w:ascii="Times New Roman" w:hAnsi="Times New Roman" w:cs="Times New Roman"/>
                      <w:bCs/>
                      <w:color w:val="auto"/>
                      <w:sz w:val="21"/>
                      <w:highlight w:val="none"/>
                    </w:rPr>
                    <w:t>废水</w:t>
                  </w:r>
                </w:p>
              </w:tc>
              <w:tc>
                <w:tcPr>
                  <w:tcW w:w="1669" w:type="dxa"/>
                  <w:gridSpan w:val="2"/>
                  <w:vMerge w:val="restart"/>
                  <w:vAlign w:val="center"/>
                </w:tcPr>
                <w:p w14:paraId="1ABB7984">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理化实验室</w:t>
                  </w:r>
                </w:p>
                <w:p w14:paraId="598C609F">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废水</w:t>
                  </w:r>
                </w:p>
              </w:tc>
              <w:tc>
                <w:tcPr>
                  <w:tcW w:w="1092" w:type="dxa"/>
                  <w:vAlign w:val="center"/>
                </w:tcPr>
                <w:p w14:paraId="3C2E3481">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酸碱废水</w:t>
                  </w:r>
                </w:p>
              </w:tc>
              <w:tc>
                <w:tcPr>
                  <w:tcW w:w="2186" w:type="dxa"/>
                  <w:vAlign w:val="center"/>
                </w:tcPr>
                <w:p w14:paraId="38F4CC9D">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1m</w:t>
                  </w:r>
                  <w:r>
                    <w:rPr>
                      <w:rFonts w:hint="default" w:ascii="Times New Roman" w:hAnsi="Times New Roman" w:cs="Times New Roman"/>
                      <w:color w:val="auto"/>
                      <w:sz w:val="21"/>
                      <w:highlight w:val="none"/>
                      <w:vertAlign w:val="superscript"/>
                    </w:rPr>
                    <w:t>3</w:t>
                  </w:r>
                  <w:r>
                    <w:rPr>
                      <w:rFonts w:hint="default" w:ascii="Times New Roman" w:hAnsi="Times New Roman" w:cs="Times New Roman"/>
                      <w:color w:val="auto"/>
                      <w:sz w:val="21"/>
                      <w:highlight w:val="none"/>
                    </w:rPr>
                    <w:t>的酸碱中和预处理设施，经酸碱中和调节，可使进入污水处理站生化工艺的废水pH值在6-9之间后进入现有项目改造后的污水处理站</w:t>
                  </w:r>
                </w:p>
              </w:tc>
              <w:tc>
                <w:tcPr>
                  <w:tcW w:w="1060" w:type="dxa"/>
                  <w:vMerge w:val="restart"/>
                  <w:vAlign w:val="center"/>
                </w:tcPr>
                <w:p w14:paraId="2CAC51DB">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依托现有的1个10m</w:t>
                  </w:r>
                  <w:r>
                    <w:rPr>
                      <w:rFonts w:hint="default" w:ascii="Times New Roman" w:hAnsi="Times New Roman" w:cs="Times New Roman"/>
                      <w:color w:val="auto"/>
                      <w:sz w:val="21"/>
                      <w:highlight w:val="none"/>
                      <w:vertAlign w:val="superscript"/>
                    </w:rPr>
                    <w:t>3</w:t>
                  </w:r>
                  <w:r>
                    <w:rPr>
                      <w:rFonts w:hint="default" w:ascii="Times New Roman" w:hAnsi="Times New Roman" w:cs="Times New Roman"/>
                      <w:color w:val="auto"/>
                      <w:sz w:val="21"/>
                      <w:highlight w:val="none"/>
                    </w:rPr>
                    <w:t>/d“缺氧+接触氧化+MBR+次氯酸钠消毒”工艺的污水处理站</w:t>
                  </w:r>
                </w:p>
              </w:tc>
              <w:tc>
                <w:tcPr>
                  <w:tcW w:w="2073" w:type="dxa"/>
                  <w:vMerge w:val="restart"/>
                  <w:vAlign w:val="center"/>
                </w:tcPr>
                <w:p w14:paraId="4C317FA3">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《医疗机构水污染物排放标准》</w:t>
                  </w:r>
                  <w:r>
                    <w:rPr>
                      <w:rFonts w:hint="eastAsia" w:ascii="Times New Roman" w:hAnsi="Times New Roman" w:cs="Times New Roman"/>
                      <w:color w:val="auto"/>
                      <w:sz w:val="21"/>
                      <w:highlight w:val="none"/>
                      <w:lang w:eastAsia="zh-CN"/>
                    </w:rPr>
                    <w:t>（GB18466-2005，含2026年第1号修改单）</w:t>
                  </w:r>
                  <w:r>
                    <w:rPr>
                      <w:rFonts w:hint="default" w:ascii="Times New Roman" w:hAnsi="Times New Roman" w:cs="Times New Roman"/>
                      <w:color w:val="auto"/>
                      <w:sz w:val="21"/>
                      <w:highlight w:val="none"/>
                    </w:rPr>
                    <w:t>中表2综合医疗机构和其他医疗机构水污染物排放限值预处理标准</w:t>
                  </w:r>
                </w:p>
              </w:tc>
            </w:tr>
            <w:tr w14:paraId="06CD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398" w:type="dxa"/>
                  <w:vMerge w:val="continue"/>
                  <w:vAlign w:val="center"/>
                </w:tcPr>
                <w:p w14:paraId="298DD562">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Merge w:val="continue"/>
                  <w:vAlign w:val="center"/>
                </w:tcPr>
                <w:p w14:paraId="193C3167">
                  <w:pPr>
                    <w:pStyle w:val="13"/>
                    <w:spacing w:after="0"/>
                    <w:ind w:left="0" w:leftChars="0"/>
                    <w:jc w:val="center"/>
                    <w:rPr>
                      <w:rFonts w:hint="default" w:ascii="Times New Roman" w:hAnsi="Times New Roman" w:cs="Times New Roman"/>
                      <w:color w:val="auto"/>
                      <w:sz w:val="21"/>
                      <w:highlight w:val="none"/>
                    </w:rPr>
                  </w:pPr>
                </w:p>
              </w:tc>
              <w:tc>
                <w:tcPr>
                  <w:tcW w:w="1092" w:type="dxa"/>
                  <w:vAlign w:val="center"/>
                </w:tcPr>
                <w:p w14:paraId="096163FB">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含重金属废水</w:t>
                  </w:r>
                </w:p>
              </w:tc>
              <w:tc>
                <w:tcPr>
                  <w:tcW w:w="2186" w:type="dxa"/>
                  <w:vAlign w:val="center"/>
                </w:tcPr>
                <w:p w14:paraId="399DD84C">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在理化实验室内设置一个1m</w:t>
                  </w:r>
                  <w:r>
                    <w:rPr>
                      <w:rFonts w:hint="default" w:ascii="Times New Roman" w:hAnsi="Times New Roman" w:cs="Times New Roman"/>
                      <w:color w:val="auto"/>
                      <w:sz w:val="21"/>
                      <w:highlight w:val="none"/>
                      <w:vertAlign w:val="superscript"/>
                    </w:rPr>
                    <w:t>3</w:t>
                  </w:r>
                  <w:r>
                    <w:rPr>
                      <w:rFonts w:hint="default" w:ascii="Times New Roman" w:hAnsi="Times New Roman" w:cs="Times New Roman"/>
                      <w:color w:val="auto"/>
                      <w:sz w:val="21"/>
                      <w:highlight w:val="none"/>
                    </w:rPr>
                    <w:t>的化学沉淀池设施，含重金属废水直接进入单独的化学沉淀池设施，通过投加碱液及絮凝剂使重金属在预处理设施排放口达标后进入现有项目改造后的污水处理站</w:t>
                  </w:r>
                </w:p>
              </w:tc>
              <w:tc>
                <w:tcPr>
                  <w:tcW w:w="1060" w:type="dxa"/>
                  <w:vMerge w:val="continue"/>
                  <w:vAlign w:val="center"/>
                </w:tcPr>
                <w:p w14:paraId="493C7851">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39E946FA">
                  <w:pPr>
                    <w:pStyle w:val="13"/>
                    <w:spacing w:after="0"/>
                    <w:ind w:left="0" w:leftChars="0"/>
                    <w:jc w:val="center"/>
                    <w:rPr>
                      <w:rFonts w:hint="default" w:ascii="Times New Roman" w:hAnsi="Times New Roman" w:cs="Times New Roman"/>
                      <w:color w:val="auto"/>
                      <w:sz w:val="21"/>
                      <w:highlight w:val="none"/>
                    </w:rPr>
                  </w:pPr>
                </w:p>
              </w:tc>
            </w:tr>
            <w:tr w14:paraId="0404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398" w:type="dxa"/>
                  <w:vMerge w:val="continue"/>
                  <w:vAlign w:val="center"/>
                </w:tcPr>
                <w:p w14:paraId="5E7388B8">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Merge w:val="continue"/>
                  <w:vAlign w:val="center"/>
                </w:tcPr>
                <w:p w14:paraId="2B9279D9">
                  <w:pPr>
                    <w:pStyle w:val="13"/>
                    <w:spacing w:after="0"/>
                    <w:ind w:left="0" w:leftChars="0"/>
                    <w:jc w:val="center"/>
                    <w:rPr>
                      <w:rFonts w:hint="default" w:ascii="Times New Roman" w:hAnsi="Times New Roman" w:cs="Times New Roman"/>
                      <w:color w:val="auto"/>
                      <w:sz w:val="21"/>
                      <w:highlight w:val="none"/>
                    </w:rPr>
                  </w:pPr>
                </w:p>
              </w:tc>
              <w:tc>
                <w:tcPr>
                  <w:tcW w:w="1092" w:type="dxa"/>
                  <w:vAlign w:val="center"/>
                </w:tcPr>
                <w:p w14:paraId="60C85FA4">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含氰化物废水</w:t>
                  </w:r>
                </w:p>
              </w:tc>
              <w:tc>
                <w:tcPr>
                  <w:tcW w:w="2186" w:type="dxa"/>
                  <w:vAlign w:val="center"/>
                </w:tcPr>
                <w:p w14:paraId="7FED2FEF">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在实验室内建设一个1m</w:t>
                  </w:r>
                  <w:r>
                    <w:rPr>
                      <w:rFonts w:hint="default" w:ascii="Times New Roman" w:hAnsi="Times New Roman" w:cs="Times New Roman"/>
                      <w:color w:val="auto"/>
                      <w:sz w:val="21"/>
                      <w:highlight w:val="none"/>
                      <w:vertAlign w:val="superscript"/>
                    </w:rPr>
                    <w:t>3</w:t>
                  </w:r>
                  <w:r>
                    <w:rPr>
                      <w:rFonts w:hint="default" w:ascii="Times New Roman" w:hAnsi="Times New Roman" w:cs="Times New Roman"/>
                      <w:color w:val="auto"/>
                      <w:sz w:val="21"/>
                      <w:highlight w:val="none"/>
                    </w:rPr>
                    <w:t>的碱性氯化法破氰槽，在碱性条件下通过氯化法对氰化物进行去除后进入污水处理站</w:t>
                  </w:r>
                </w:p>
              </w:tc>
              <w:tc>
                <w:tcPr>
                  <w:tcW w:w="1060" w:type="dxa"/>
                  <w:vMerge w:val="continue"/>
                  <w:vAlign w:val="center"/>
                </w:tcPr>
                <w:p w14:paraId="5897450A">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13CBDF6F">
                  <w:pPr>
                    <w:pStyle w:val="13"/>
                    <w:spacing w:after="0"/>
                    <w:ind w:left="0" w:leftChars="0"/>
                    <w:jc w:val="center"/>
                    <w:rPr>
                      <w:rFonts w:hint="default" w:ascii="Times New Roman" w:hAnsi="Times New Roman" w:cs="Times New Roman"/>
                      <w:color w:val="auto"/>
                      <w:sz w:val="21"/>
                      <w:highlight w:val="none"/>
                    </w:rPr>
                  </w:pPr>
                </w:p>
              </w:tc>
            </w:tr>
            <w:tr w14:paraId="541C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398" w:type="dxa"/>
                  <w:vMerge w:val="continue"/>
                  <w:vAlign w:val="center"/>
                </w:tcPr>
                <w:p w14:paraId="5B8B672B">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06FD1A1D">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微生物实验室废水</w:t>
                  </w:r>
                </w:p>
              </w:tc>
              <w:tc>
                <w:tcPr>
                  <w:tcW w:w="3278" w:type="dxa"/>
                  <w:gridSpan w:val="2"/>
                  <w:vAlign w:val="center"/>
                </w:tcPr>
                <w:p w14:paraId="7E72A102">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在微生物实验室内设置一个1m</w:t>
                  </w:r>
                  <w:r>
                    <w:rPr>
                      <w:rFonts w:hint="default" w:ascii="Times New Roman" w:hAnsi="Times New Roman" w:cs="Times New Roman"/>
                      <w:color w:val="auto"/>
                      <w:sz w:val="21"/>
                      <w:highlight w:val="none"/>
                      <w:vertAlign w:val="superscript"/>
                    </w:rPr>
                    <w:t>3</w:t>
                  </w:r>
                  <w:r>
                    <w:rPr>
                      <w:rFonts w:hint="default" w:ascii="Times New Roman" w:hAnsi="Times New Roman" w:cs="Times New Roman"/>
                      <w:color w:val="auto"/>
                      <w:sz w:val="21"/>
                      <w:highlight w:val="none"/>
                    </w:rPr>
                    <w:t>的预消毒设施，通过次氯酸钠消毒工序，将细菌病原体杀灭后再进入污水处理站</w:t>
                  </w:r>
                </w:p>
              </w:tc>
              <w:tc>
                <w:tcPr>
                  <w:tcW w:w="1060" w:type="dxa"/>
                  <w:vMerge w:val="continue"/>
                  <w:vAlign w:val="center"/>
                </w:tcPr>
                <w:p w14:paraId="6CF17041">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374F4912">
                  <w:pPr>
                    <w:pStyle w:val="13"/>
                    <w:spacing w:after="0"/>
                    <w:ind w:left="0" w:leftChars="0"/>
                    <w:jc w:val="center"/>
                    <w:rPr>
                      <w:rFonts w:hint="default" w:ascii="Times New Roman" w:hAnsi="Times New Roman" w:cs="Times New Roman"/>
                      <w:color w:val="auto"/>
                      <w:sz w:val="21"/>
                      <w:highlight w:val="none"/>
                    </w:rPr>
                  </w:pPr>
                </w:p>
              </w:tc>
            </w:tr>
            <w:tr w14:paraId="5C30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5F06AF0E">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61F73D17">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纯水制备系统产生的浓水</w:t>
                  </w:r>
                </w:p>
              </w:tc>
              <w:tc>
                <w:tcPr>
                  <w:tcW w:w="3278" w:type="dxa"/>
                  <w:gridSpan w:val="2"/>
                  <w:vAlign w:val="center"/>
                </w:tcPr>
                <w:p w14:paraId="2120E0B9">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直接进入现有的污水处理站</w:t>
                  </w:r>
                </w:p>
              </w:tc>
              <w:tc>
                <w:tcPr>
                  <w:tcW w:w="1060" w:type="dxa"/>
                  <w:vMerge w:val="continue"/>
                  <w:vAlign w:val="center"/>
                </w:tcPr>
                <w:p w14:paraId="2AD1E8C9">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215E81BC">
                  <w:pPr>
                    <w:pStyle w:val="13"/>
                    <w:spacing w:after="0"/>
                    <w:ind w:left="0" w:leftChars="0"/>
                    <w:jc w:val="center"/>
                    <w:rPr>
                      <w:rFonts w:hint="default" w:ascii="Times New Roman" w:hAnsi="Times New Roman" w:cs="Times New Roman"/>
                      <w:color w:val="auto"/>
                      <w:sz w:val="21"/>
                      <w:highlight w:val="none"/>
                    </w:rPr>
                  </w:pPr>
                </w:p>
              </w:tc>
            </w:tr>
            <w:tr w14:paraId="0FC0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09DEF9B9">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1BDF4F3E">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生活污水</w:t>
                  </w:r>
                </w:p>
              </w:tc>
              <w:tc>
                <w:tcPr>
                  <w:tcW w:w="3278" w:type="dxa"/>
                  <w:gridSpan w:val="2"/>
                  <w:vAlign w:val="center"/>
                </w:tcPr>
                <w:p w14:paraId="70BB2CC7">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化粪池</w:t>
                  </w:r>
                </w:p>
              </w:tc>
              <w:tc>
                <w:tcPr>
                  <w:tcW w:w="1060" w:type="dxa"/>
                  <w:vAlign w:val="center"/>
                </w:tcPr>
                <w:p w14:paraId="35F3D3C0">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依托现有1个9m</w:t>
                  </w:r>
                  <w:r>
                    <w:rPr>
                      <w:rFonts w:hint="default" w:ascii="Times New Roman" w:hAnsi="Times New Roman" w:cs="Times New Roman"/>
                      <w:color w:val="auto"/>
                      <w:sz w:val="21"/>
                      <w:highlight w:val="none"/>
                      <w:vertAlign w:val="superscript"/>
                    </w:rPr>
                    <w:t>3</w:t>
                  </w:r>
                  <w:r>
                    <w:rPr>
                      <w:rFonts w:hint="default" w:ascii="Times New Roman" w:hAnsi="Times New Roman" w:cs="Times New Roman"/>
                      <w:color w:val="auto"/>
                      <w:sz w:val="21"/>
                      <w:highlight w:val="none"/>
                    </w:rPr>
                    <w:t>化粪池</w:t>
                  </w:r>
                </w:p>
              </w:tc>
              <w:tc>
                <w:tcPr>
                  <w:tcW w:w="2073" w:type="dxa"/>
                  <w:vMerge w:val="continue"/>
                  <w:vAlign w:val="center"/>
                </w:tcPr>
                <w:p w14:paraId="128FE682">
                  <w:pPr>
                    <w:pStyle w:val="13"/>
                    <w:spacing w:after="0"/>
                    <w:ind w:left="0" w:leftChars="0"/>
                    <w:jc w:val="center"/>
                    <w:rPr>
                      <w:rFonts w:hint="default" w:ascii="Times New Roman" w:hAnsi="Times New Roman" w:cs="Times New Roman"/>
                      <w:color w:val="auto"/>
                      <w:sz w:val="21"/>
                      <w:highlight w:val="none"/>
                    </w:rPr>
                  </w:pPr>
                </w:p>
              </w:tc>
            </w:tr>
            <w:tr w14:paraId="61B5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Align w:val="center"/>
                </w:tcPr>
                <w:p w14:paraId="6F05B0B5">
                  <w:pPr>
                    <w:pStyle w:val="13"/>
                    <w:spacing w:after="0"/>
                    <w:ind w:left="0" w:leftChars="0"/>
                    <w:jc w:val="center"/>
                    <w:rPr>
                      <w:rFonts w:hint="default" w:ascii="Times New Roman" w:hAnsi="Times New Roman" w:cs="Times New Roman"/>
                      <w:bCs/>
                      <w:color w:val="auto"/>
                      <w:sz w:val="21"/>
                      <w:highlight w:val="none"/>
                    </w:rPr>
                  </w:pPr>
                  <w:r>
                    <w:rPr>
                      <w:rFonts w:hint="default" w:ascii="Times New Roman" w:hAnsi="Times New Roman" w:cs="Times New Roman"/>
                      <w:bCs/>
                      <w:color w:val="auto"/>
                      <w:sz w:val="21"/>
                      <w:highlight w:val="none"/>
                    </w:rPr>
                    <w:t>噪声</w:t>
                  </w:r>
                </w:p>
              </w:tc>
              <w:tc>
                <w:tcPr>
                  <w:tcW w:w="1669" w:type="dxa"/>
                  <w:gridSpan w:val="2"/>
                  <w:vAlign w:val="center"/>
                </w:tcPr>
                <w:p w14:paraId="55D989DB">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设备噪声</w:t>
                  </w:r>
                </w:p>
              </w:tc>
              <w:tc>
                <w:tcPr>
                  <w:tcW w:w="3278" w:type="dxa"/>
                  <w:gridSpan w:val="2"/>
                  <w:vAlign w:val="center"/>
                </w:tcPr>
                <w:p w14:paraId="7CE2D38F">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建筑结构隔声、设备减震措施、风机消声等</w:t>
                  </w:r>
                </w:p>
              </w:tc>
              <w:tc>
                <w:tcPr>
                  <w:tcW w:w="1060" w:type="dxa"/>
                  <w:vAlign w:val="center"/>
                </w:tcPr>
                <w:p w14:paraId="5EA0F2A8">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c>
                <w:tcPr>
                  <w:tcW w:w="2073" w:type="dxa"/>
                  <w:vAlign w:val="center"/>
                </w:tcPr>
                <w:p w14:paraId="01116CD3">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《工业企业厂界环境噪声排放标准》（GB12348-2008）表1中2类标准和4类标准</w:t>
                  </w:r>
                </w:p>
              </w:tc>
            </w:tr>
            <w:tr w14:paraId="170F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restart"/>
                  <w:vAlign w:val="center"/>
                </w:tcPr>
                <w:p w14:paraId="520186C5">
                  <w:pPr>
                    <w:pStyle w:val="13"/>
                    <w:spacing w:after="0"/>
                    <w:ind w:left="0" w:leftChars="0"/>
                    <w:jc w:val="center"/>
                    <w:rPr>
                      <w:rFonts w:hint="default" w:ascii="Times New Roman" w:hAnsi="Times New Roman" w:cs="Times New Roman"/>
                      <w:bCs/>
                      <w:color w:val="auto"/>
                      <w:sz w:val="21"/>
                      <w:highlight w:val="none"/>
                    </w:rPr>
                  </w:pPr>
                  <w:r>
                    <w:rPr>
                      <w:rFonts w:hint="default" w:ascii="Times New Roman" w:hAnsi="Times New Roman" w:cs="Times New Roman"/>
                      <w:bCs/>
                      <w:color w:val="auto"/>
                      <w:sz w:val="21"/>
                      <w:highlight w:val="none"/>
                    </w:rPr>
                    <w:t>固废</w:t>
                  </w:r>
                </w:p>
              </w:tc>
              <w:tc>
                <w:tcPr>
                  <w:tcW w:w="431" w:type="dxa"/>
                  <w:vAlign w:val="center"/>
                </w:tcPr>
                <w:p w14:paraId="34A588B6">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微生物实验室废物</w:t>
                  </w:r>
                </w:p>
              </w:tc>
              <w:tc>
                <w:tcPr>
                  <w:tcW w:w="1238" w:type="dxa"/>
                  <w:vAlign w:val="center"/>
                </w:tcPr>
                <w:p w14:paraId="752D1842">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废培养基、废标本、废实验用品、多余样品</w:t>
                  </w:r>
                </w:p>
              </w:tc>
              <w:tc>
                <w:tcPr>
                  <w:tcW w:w="3278" w:type="dxa"/>
                  <w:gridSpan w:val="2"/>
                  <w:vAlign w:val="center"/>
                </w:tcPr>
                <w:p w14:paraId="2A1C41B5">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分类收集经消毒灭菌后，暂存于现有项目医疗固废暂存间，定期交由玉溪兴洁垃圾处理有限公司处理。</w:t>
                  </w:r>
                </w:p>
              </w:tc>
              <w:tc>
                <w:tcPr>
                  <w:tcW w:w="1060" w:type="dxa"/>
                  <w:vMerge w:val="restart"/>
                  <w:vAlign w:val="center"/>
                </w:tcPr>
                <w:p w14:paraId="02A4FFD1">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依托现有1间3.5m</w:t>
                  </w:r>
                  <w:r>
                    <w:rPr>
                      <w:rFonts w:hint="default" w:ascii="Times New Roman" w:hAnsi="Times New Roman" w:cs="Times New Roman"/>
                      <w:color w:val="auto"/>
                      <w:sz w:val="21"/>
                      <w:highlight w:val="none"/>
                      <w:vertAlign w:val="superscript"/>
                    </w:rPr>
                    <w:t>2</w:t>
                  </w:r>
                  <w:r>
                    <w:rPr>
                      <w:rFonts w:hint="default" w:ascii="Times New Roman" w:hAnsi="Times New Roman" w:cs="Times New Roman"/>
                      <w:color w:val="auto"/>
                      <w:sz w:val="21"/>
                      <w:highlight w:val="none"/>
                    </w:rPr>
                    <w:t>的医疗固废暂存间</w:t>
                  </w:r>
                </w:p>
              </w:tc>
              <w:tc>
                <w:tcPr>
                  <w:tcW w:w="2073" w:type="dxa"/>
                  <w:vMerge w:val="restart"/>
                  <w:vAlign w:val="center"/>
                </w:tcPr>
                <w:p w14:paraId="58AB99EA">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（1）医疗废物按照《危险废物贮存污染控制标准》（GB 18597-2023）、《医疗废物转运车技术要求》（GB19217-2003）及《医疗废物专用包装袋、容器和警示标志标准》（HJ421-2008）的相关要求执行。（2）危险废物执行《危险废物贮存污染控制标准》（GB 18597-2023）、《危险废物转移管理办法》（2022年版）和《危险废物识别标志设置技术规范》（HJ 1276-2022）中的有关要求。（3）医疗废物贮存、转运执行《医疗废物处理处置污染控制标准》（GB39707-2020）和《医疗废物转运车技术要求（试行）》（GB19217-2003）及其修改单。（4）一般固体废物执行《一般工业固体废物贮存和填埋污染控制标准》（GB18599-2020）中的有关规定。</w:t>
                  </w:r>
                </w:p>
              </w:tc>
            </w:tr>
            <w:tr w14:paraId="071D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4D142A58">
                  <w:pPr>
                    <w:pStyle w:val="13"/>
                    <w:spacing w:after="0"/>
                    <w:ind w:left="0" w:leftChars="0"/>
                    <w:jc w:val="center"/>
                    <w:rPr>
                      <w:rFonts w:hint="default" w:ascii="Times New Roman" w:hAnsi="Times New Roman" w:cs="Times New Roman"/>
                      <w:bCs/>
                      <w:color w:val="auto"/>
                      <w:sz w:val="21"/>
                      <w:highlight w:val="none"/>
                    </w:rPr>
                  </w:pPr>
                </w:p>
              </w:tc>
              <w:tc>
                <w:tcPr>
                  <w:tcW w:w="431" w:type="dxa"/>
                  <w:vAlign w:val="center"/>
                </w:tcPr>
                <w:p w14:paraId="45C1D1AA">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理化实验室废物</w:t>
                  </w:r>
                </w:p>
              </w:tc>
              <w:tc>
                <w:tcPr>
                  <w:tcW w:w="1238" w:type="dxa"/>
                  <w:vAlign w:val="center"/>
                </w:tcPr>
                <w:p w14:paraId="5F3BEB5F">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检毕样品、废弃样品、废实验用品、吸收废气碱液</w:t>
                  </w:r>
                </w:p>
              </w:tc>
              <w:tc>
                <w:tcPr>
                  <w:tcW w:w="3278" w:type="dxa"/>
                  <w:gridSpan w:val="2"/>
                  <w:vAlign w:val="center"/>
                </w:tcPr>
                <w:p w14:paraId="04696516">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单独收集密封暂存于现有项目医疗固废暂存间，定期交由玉溪兴洁垃圾处理有限公司处理。</w:t>
                  </w:r>
                </w:p>
              </w:tc>
              <w:tc>
                <w:tcPr>
                  <w:tcW w:w="1060" w:type="dxa"/>
                  <w:vMerge w:val="continue"/>
                  <w:vAlign w:val="center"/>
                </w:tcPr>
                <w:p w14:paraId="16CB1D60">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68B8CD26">
                  <w:pPr>
                    <w:pStyle w:val="13"/>
                    <w:spacing w:after="0"/>
                    <w:ind w:left="0" w:leftChars="0"/>
                    <w:jc w:val="center"/>
                    <w:rPr>
                      <w:rFonts w:hint="default" w:ascii="Times New Roman" w:hAnsi="Times New Roman" w:cs="Times New Roman"/>
                      <w:color w:val="auto"/>
                      <w:sz w:val="21"/>
                      <w:highlight w:val="none"/>
                    </w:rPr>
                  </w:pPr>
                </w:p>
              </w:tc>
            </w:tr>
            <w:tr w14:paraId="5B35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398" w:type="dxa"/>
                  <w:vMerge w:val="continue"/>
                  <w:vAlign w:val="center"/>
                </w:tcPr>
                <w:p w14:paraId="3FD8932B">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5435D0BE">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废活性炭</w:t>
                  </w:r>
                </w:p>
              </w:tc>
              <w:tc>
                <w:tcPr>
                  <w:tcW w:w="3278" w:type="dxa"/>
                  <w:gridSpan w:val="2"/>
                  <w:vAlign w:val="center"/>
                </w:tcPr>
                <w:p w14:paraId="54C57BEB">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暂存于现有项目医疗固废暂存间，定期交由有相应危废处置资质单位清运处置。</w:t>
                  </w:r>
                </w:p>
              </w:tc>
              <w:tc>
                <w:tcPr>
                  <w:tcW w:w="1060" w:type="dxa"/>
                  <w:vMerge w:val="continue"/>
                  <w:vAlign w:val="center"/>
                </w:tcPr>
                <w:p w14:paraId="6389C840">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3CD341D0">
                  <w:pPr>
                    <w:pStyle w:val="13"/>
                    <w:spacing w:after="0"/>
                    <w:ind w:left="0" w:leftChars="0"/>
                    <w:jc w:val="center"/>
                    <w:rPr>
                      <w:rFonts w:hint="default" w:ascii="Times New Roman" w:hAnsi="Times New Roman" w:cs="Times New Roman"/>
                      <w:color w:val="auto"/>
                      <w:sz w:val="21"/>
                      <w:highlight w:val="none"/>
                    </w:rPr>
                  </w:pPr>
                </w:p>
              </w:tc>
            </w:tr>
            <w:tr w14:paraId="73E2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39D09402">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383E7341">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高效过滤器废滤膜</w:t>
                  </w:r>
                </w:p>
              </w:tc>
              <w:tc>
                <w:tcPr>
                  <w:tcW w:w="3278" w:type="dxa"/>
                  <w:gridSpan w:val="2"/>
                  <w:vAlign w:val="center"/>
                </w:tcPr>
                <w:p w14:paraId="736B5348">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经消毒灭菌后，暂存于现有项目医疗固废暂存间，定期交由有相应危废处置资质单位清运处置。</w:t>
                  </w:r>
                </w:p>
              </w:tc>
              <w:tc>
                <w:tcPr>
                  <w:tcW w:w="1060" w:type="dxa"/>
                  <w:vMerge w:val="continue"/>
                  <w:vAlign w:val="center"/>
                </w:tcPr>
                <w:p w14:paraId="379A03E6">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07F4B549">
                  <w:pPr>
                    <w:pStyle w:val="13"/>
                    <w:spacing w:after="0"/>
                    <w:ind w:left="0" w:leftChars="0"/>
                    <w:jc w:val="center"/>
                    <w:rPr>
                      <w:rFonts w:hint="default" w:ascii="Times New Roman" w:hAnsi="Times New Roman" w:cs="Times New Roman"/>
                      <w:color w:val="auto"/>
                      <w:sz w:val="21"/>
                      <w:highlight w:val="none"/>
                    </w:rPr>
                  </w:pPr>
                </w:p>
              </w:tc>
            </w:tr>
            <w:tr w14:paraId="32FF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4ABAAC0A">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29DE624B">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含重金属废水预处理污泥</w:t>
                  </w:r>
                </w:p>
              </w:tc>
              <w:tc>
                <w:tcPr>
                  <w:tcW w:w="3278" w:type="dxa"/>
                  <w:gridSpan w:val="2"/>
                  <w:vAlign w:val="center"/>
                </w:tcPr>
                <w:p w14:paraId="6849CDF1">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经实验人员脱水后，暂存于现有项目医疗固废暂存间，定期交由有相应危废处置资质单位清运处置。</w:t>
                  </w:r>
                </w:p>
              </w:tc>
              <w:tc>
                <w:tcPr>
                  <w:tcW w:w="1060" w:type="dxa"/>
                  <w:vMerge w:val="continue"/>
                  <w:vAlign w:val="center"/>
                </w:tcPr>
                <w:p w14:paraId="74A483D8">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29DB370C">
                  <w:pPr>
                    <w:pStyle w:val="13"/>
                    <w:spacing w:after="0"/>
                    <w:ind w:left="0" w:leftChars="0"/>
                    <w:jc w:val="center"/>
                    <w:rPr>
                      <w:rFonts w:hint="default" w:ascii="Times New Roman" w:hAnsi="Times New Roman" w:cs="Times New Roman"/>
                      <w:color w:val="auto"/>
                      <w:sz w:val="21"/>
                      <w:highlight w:val="none"/>
                    </w:rPr>
                  </w:pPr>
                </w:p>
              </w:tc>
            </w:tr>
            <w:tr w14:paraId="4FEB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39C010DF">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1418ED26">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污水处理站格栅渣</w:t>
                  </w:r>
                </w:p>
              </w:tc>
              <w:tc>
                <w:tcPr>
                  <w:tcW w:w="3278" w:type="dxa"/>
                  <w:gridSpan w:val="2"/>
                  <w:vAlign w:val="center"/>
                </w:tcPr>
                <w:p w14:paraId="09A62057">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滤水、消毒后暂存于现有项目危废暂存间，定期交由有相应危废处置资质单位清运处置。</w:t>
                  </w:r>
                </w:p>
              </w:tc>
              <w:tc>
                <w:tcPr>
                  <w:tcW w:w="1060" w:type="dxa"/>
                  <w:vMerge w:val="continue"/>
                  <w:vAlign w:val="center"/>
                </w:tcPr>
                <w:p w14:paraId="4CD0EFC8">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25D0B3A6">
                  <w:pPr>
                    <w:pStyle w:val="13"/>
                    <w:spacing w:after="0"/>
                    <w:ind w:left="0" w:leftChars="0"/>
                    <w:jc w:val="center"/>
                    <w:rPr>
                      <w:rFonts w:hint="default" w:ascii="Times New Roman" w:hAnsi="Times New Roman" w:cs="Times New Roman"/>
                      <w:color w:val="auto"/>
                      <w:sz w:val="21"/>
                      <w:highlight w:val="none"/>
                    </w:rPr>
                  </w:pPr>
                </w:p>
              </w:tc>
            </w:tr>
            <w:tr w14:paraId="33BB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194E1F85">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470B0DD0">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污水处理站污泥</w:t>
                  </w:r>
                </w:p>
              </w:tc>
              <w:tc>
                <w:tcPr>
                  <w:tcW w:w="3278" w:type="dxa"/>
                  <w:gridSpan w:val="2"/>
                  <w:vAlign w:val="center"/>
                </w:tcPr>
                <w:p w14:paraId="09AAF7A6">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经在污水处理站区域内脱水后，废水回流自污水处理站调节池，脱水-消毒后暂存于现有项目危废暂存间定期交由有相应危废处置资质单位清运处置。</w:t>
                  </w:r>
                </w:p>
              </w:tc>
              <w:tc>
                <w:tcPr>
                  <w:tcW w:w="1060" w:type="dxa"/>
                  <w:vMerge w:val="continue"/>
                  <w:vAlign w:val="center"/>
                </w:tcPr>
                <w:p w14:paraId="77BAC781">
                  <w:pPr>
                    <w:pStyle w:val="13"/>
                    <w:spacing w:after="0"/>
                    <w:ind w:left="0" w:leftChars="0"/>
                    <w:jc w:val="center"/>
                    <w:rPr>
                      <w:rFonts w:hint="default" w:ascii="Times New Roman" w:hAnsi="Times New Roman" w:cs="Times New Roman"/>
                      <w:color w:val="auto"/>
                      <w:sz w:val="21"/>
                      <w:highlight w:val="none"/>
                    </w:rPr>
                  </w:pPr>
                </w:p>
              </w:tc>
              <w:tc>
                <w:tcPr>
                  <w:tcW w:w="2073" w:type="dxa"/>
                  <w:vMerge w:val="continue"/>
                  <w:vAlign w:val="center"/>
                </w:tcPr>
                <w:p w14:paraId="28337FAE">
                  <w:pPr>
                    <w:pStyle w:val="13"/>
                    <w:spacing w:after="0"/>
                    <w:ind w:left="0" w:leftChars="0"/>
                    <w:jc w:val="center"/>
                    <w:rPr>
                      <w:rFonts w:hint="default" w:ascii="Times New Roman" w:hAnsi="Times New Roman" w:cs="Times New Roman"/>
                      <w:color w:val="auto"/>
                      <w:sz w:val="21"/>
                      <w:highlight w:val="none"/>
                    </w:rPr>
                  </w:pPr>
                </w:p>
              </w:tc>
            </w:tr>
            <w:tr w14:paraId="03DD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0E55A459">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7F24CED4">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废反渗透膜</w:t>
                  </w:r>
                </w:p>
              </w:tc>
              <w:tc>
                <w:tcPr>
                  <w:tcW w:w="3278" w:type="dxa"/>
                  <w:gridSpan w:val="2"/>
                  <w:vAlign w:val="center"/>
                </w:tcPr>
                <w:p w14:paraId="7AE0EE0A">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供货商上门回收</w:t>
                  </w:r>
                </w:p>
              </w:tc>
              <w:tc>
                <w:tcPr>
                  <w:tcW w:w="1060" w:type="dxa"/>
                  <w:vAlign w:val="center"/>
                </w:tcPr>
                <w:p w14:paraId="6D69C403">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c>
                <w:tcPr>
                  <w:tcW w:w="2073" w:type="dxa"/>
                  <w:vMerge w:val="continue"/>
                  <w:vAlign w:val="center"/>
                </w:tcPr>
                <w:p w14:paraId="6A18A8BA">
                  <w:pPr>
                    <w:pStyle w:val="13"/>
                    <w:spacing w:after="0"/>
                    <w:ind w:left="0" w:leftChars="0"/>
                    <w:jc w:val="center"/>
                    <w:rPr>
                      <w:rFonts w:hint="default" w:ascii="Times New Roman" w:hAnsi="Times New Roman" w:cs="Times New Roman"/>
                      <w:color w:val="auto"/>
                      <w:sz w:val="21"/>
                      <w:highlight w:val="none"/>
                    </w:rPr>
                  </w:pPr>
                </w:p>
              </w:tc>
            </w:tr>
            <w:tr w14:paraId="536E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8" w:type="dxa"/>
                  <w:vMerge w:val="continue"/>
                  <w:vAlign w:val="center"/>
                </w:tcPr>
                <w:p w14:paraId="31B0C525">
                  <w:pPr>
                    <w:pStyle w:val="13"/>
                    <w:spacing w:after="0"/>
                    <w:ind w:left="0" w:leftChars="0"/>
                    <w:jc w:val="center"/>
                    <w:rPr>
                      <w:rFonts w:hint="default" w:ascii="Times New Roman" w:hAnsi="Times New Roman" w:cs="Times New Roman"/>
                      <w:bCs/>
                      <w:color w:val="auto"/>
                      <w:sz w:val="21"/>
                      <w:highlight w:val="none"/>
                    </w:rPr>
                  </w:pPr>
                </w:p>
              </w:tc>
              <w:tc>
                <w:tcPr>
                  <w:tcW w:w="1669" w:type="dxa"/>
                  <w:gridSpan w:val="2"/>
                  <w:vAlign w:val="center"/>
                </w:tcPr>
                <w:p w14:paraId="663417EB">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化粪池污泥</w:t>
                  </w:r>
                </w:p>
              </w:tc>
              <w:tc>
                <w:tcPr>
                  <w:tcW w:w="3278" w:type="dxa"/>
                  <w:gridSpan w:val="2"/>
                  <w:vAlign w:val="center"/>
                </w:tcPr>
                <w:p w14:paraId="184BDE05">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定期委托环卫部门进行清掏</w:t>
                  </w:r>
                </w:p>
                <w:p w14:paraId="111AB0DE">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处理</w:t>
                  </w:r>
                </w:p>
              </w:tc>
              <w:tc>
                <w:tcPr>
                  <w:tcW w:w="1060" w:type="dxa"/>
                  <w:vAlign w:val="center"/>
                </w:tcPr>
                <w:p w14:paraId="1DC3736E">
                  <w:pPr>
                    <w:pStyle w:val="13"/>
                    <w:spacing w:after="0"/>
                    <w:ind w:left="0" w:left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c>
                <w:tcPr>
                  <w:tcW w:w="2073" w:type="dxa"/>
                  <w:vMerge w:val="continue"/>
                  <w:vAlign w:val="center"/>
                </w:tcPr>
                <w:p w14:paraId="177ECEF0">
                  <w:pPr>
                    <w:pStyle w:val="13"/>
                    <w:spacing w:after="0"/>
                    <w:ind w:left="0" w:leftChars="0"/>
                    <w:jc w:val="center"/>
                    <w:rPr>
                      <w:rFonts w:hint="default" w:ascii="Times New Roman" w:hAnsi="Times New Roman" w:cs="Times New Roman"/>
                      <w:color w:val="auto"/>
                      <w:sz w:val="21"/>
                      <w:highlight w:val="none"/>
                    </w:rPr>
                  </w:pPr>
                </w:p>
              </w:tc>
            </w:tr>
          </w:tbl>
          <w:p w14:paraId="10538BA4">
            <w:pPr>
              <w:pStyle w:val="11"/>
              <w:rPr>
                <w:rFonts w:hint="default" w:ascii="Times New Roman" w:hAnsi="Times New Roman" w:cs="Times New Roman"/>
              </w:rPr>
            </w:pPr>
          </w:p>
          <w:p w14:paraId="43D8CA86">
            <w:pPr>
              <w:pStyle w:val="12"/>
              <w:rPr>
                <w:rFonts w:hint="default" w:ascii="Times New Roman" w:hAnsi="Times New Roman" w:cs="Times New Roman"/>
              </w:rPr>
            </w:pPr>
          </w:p>
          <w:p w14:paraId="46FD04F5">
            <w:pPr>
              <w:rPr>
                <w:rFonts w:hint="default" w:ascii="Times New Roman" w:hAnsi="Times New Roman" w:cs="Times New Roman"/>
              </w:rPr>
            </w:pPr>
          </w:p>
          <w:p w14:paraId="5AEFC336">
            <w:pPr>
              <w:rPr>
                <w:rFonts w:hint="default" w:ascii="Times New Roman" w:hAnsi="Times New Roman" w:cs="Times New Roman"/>
              </w:rPr>
            </w:pPr>
          </w:p>
          <w:p w14:paraId="76F80CC0">
            <w:pPr>
              <w:rPr>
                <w:rFonts w:hint="default" w:ascii="Times New Roman" w:hAnsi="Times New Roman" w:cs="Times New Roman"/>
              </w:rPr>
            </w:pPr>
          </w:p>
          <w:p w14:paraId="2A09749F">
            <w:pPr>
              <w:rPr>
                <w:rFonts w:hint="default" w:ascii="Times New Roman" w:hAnsi="Times New Roman" w:cs="Times New Roman"/>
              </w:rPr>
            </w:pPr>
          </w:p>
          <w:p w14:paraId="0BDF49A1">
            <w:pPr>
              <w:rPr>
                <w:rFonts w:hint="default" w:ascii="Times New Roman" w:hAnsi="Times New Roman" w:cs="Times New Roman"/>
              </w:rPr>
            </w:pPr>
          </w:p>
          <w:p w14:paraId="68492748">
            <w:pPr>
              <w:rPr>
                <w:rFonts w:hint="default" w:ascii="Times New Roman" w:hAnsi="Times New Roman" w:cs="Times New Roman"/>
              </w:rPr>
            </w:pPr>
          </w:p>
          <w:p w14:paraId="316C6ECF">
            <w:pPr>
              <w:rPr>
                <w:rFonts w:hint="default" w:ascii="Times New Roman" w:hAnsi="Times New Roman" w:cs="Times New Roman"/>
              </w:rPr>
            </w:pPr>
          </w:p>
          <w:p w14:paraId="24F2A757">
            <w:pPr>
              <w:rPr>
                <w:rFonts w:hint="default" w:ascii="Times New Roman" w:hAnsi="Times New Roman" w:cs="Times New Roman"/>
              </w:rPr>
            </w:pPr>
          </w:p>
          <w:p w14:paraId="691F5C37">
            <w:pPr>
              <w:rPr>
                <w:rFonts w:hint="default" w:ascii="Times New Roman" w:hAnsi="Times New Roman" w:cs="Times New Roman"/>
              </w:rPr>
            </w:pPr>
          </w:p>
          <w:p w14:paraId="77E76C83">
            <w:pPr>
              <w:rPr>
                <w:rFonts w:hint="default" w:ascii="Times New Roman" w:hAnsi="Times New Roman" w:cs="Times New Roman"/>
              </w:rPr>
            </w:pPr>
          </w:p>
          <w:p w14:paraId="1D8DA90F">
            <w:pPr>
              <w:rPr>
                <w:rFonts w:hint="default" w:ascii="Times New Roman" w:hAnsi="Times New Roman" w:cs="Times New Roman"/>
              </w:rPr>
            </w:pPr>
          </w:p>
          <w:p w14:paraId="086253FB">
            <w:pPr>
              <w:rPr>
                <w:rFonts w:hint="default" w:ascii="Times New Roman" w:hAnsi="Times New Roman" w:cs="Times New Roman"/>
              </w:rPr>
            </w:pPr>
          </w:p>
          <w:p w14:paraId="1E42EF8C">
            <w:pPr>
              <w:rPr>
                <w:rFonts w:hint="default" w:ascii="Times New Roman" w:hAnsi="Times New Roman" w:cs="Times New Roman"/>
              </w:rPr>
            </w:pPr>
          </w:p>
          <w:p w14:paraId="42AE181F">
            <w:pPr>
              <w:rPr>
                <w:rFonts w:hint="default" w:ascii="Times New Roman" w:hAnsi="Times New Roman" w:cs="Times New Roman"/>
              </w:rPr>
            </w:pPr>
          </w:p>
          <w:p w14:paraId="6CAFE019">
            <w:pPr>
              <w:rPr>
                <w:rFonts w:hint="default" w:ascii="Times New Roman" w:hAnsi="Times New Roman" w:cs="Times New Roman"/>
              </w:rPr>
            </w:pPr>
          </w:p>
          <w:p w14:paraId="4168BFE9">
            <w:pPr>
              <w:rPr>
                <w:rFonts w:hint="default" w:ascii="Times New Roman" w:hAnsi="Times New Roman" w:cs="Times New Roman"/>
              </w:rPr>
            </w:pPr>
          </w:p>
          <w:p w14:paraId="1B628180">
            <w:pPr>
              <w:rPr>
                <w:rFonts w:hint="default" w:ascii="Times New Roman" w:hAnsi="Times New Roman" w:cs="Times New Roman"/>
              </w:rPr>
            </w:pPr>
          </w:p>
          <w:p w14:paraId="639C92EF">
            <w:pPr>
              <w:rPr>
                <w:rFonts w:hint="default" w:ascii="Times New Roman" w:hAnsi="Times New Roman" w:cs="Times New Roman"/>
              </w:rPr>
            </w:pPr>
          </w:p>
          <w:p w14:paraId="201B52A0">
            <w:pPr>
              <w:rPr>
                <w:rFonts w:hint="default" w:ascii="Times New Roman" w:hAnsi="Times New Roman" w:cs="Times New Roman"/>
              </w:rPr>
            </w:pPr>
          </w:p>
          <w:p w14:paraId="431C68FC">
            <w:pPr>
              <w:rPr>
                <w:rFonts w:hint="default" w:ascii="Times New Roman" w:hAnsi="Times New Roman" w:cs="Times New Roman"/>
              </w:rPr>
            </w:pPr>
          </w:p>
          <w:p w14:paraId="23F3E657">
            <w:pPr>
              <w:pStyle w:val="12"/>
              <w:rPr>
                <w:rFonts w:hint="default"/>
              </w:rPr>
            </w:pPr>
          </w:p>
        </w:tc>
      </w:tr>
    </w:tbl>
    <w:p w14:paraId="4D48513E">
      <w:pPr>
        <w:pStyle w:val="20"/>
        <w:rPr>
          <w:rFonts w:hint="default" w:ascii="Times New Roman" w:hAnsi="Times New Roman" w:cs="Times New Roman"/>
          <w:color w:val="auto"/>
          <w:highlight w:val="none"/>
        </w:rPr>
        <w:sectPr>
          <w:pgSz w:w="11907" w:h="16840"/>
          <w:pgMar w:top="1361" w:right="1361" w:bottom="1361" w:left="1361" w:header="851" w:footer="851" w:gutter="0"/>
          <w:cols w:space="720" w:num="1"/>
          <w:docGrid w:linePitch="312" w:charSpace="0"/>
        </w:sectPr>
      </w:pPr>
    </w:p>
    <w:p w14:paraId="37E45409">
      <w:pPr>
        <w:pStyle w:val="28"/>
        <w:jc w:val="center"/>
        <w:outlineLvl w:val="0"/>
        <w:rPr>
          <w:rFonts w:hint="default" w:ascii="Times New Roman" w:hAnsi="Times New Roman" w:cs="Times New Roman"/>
          <w:color w:val="auto"/>
          <w:highlight w:val="none"/>
        </w:rPr>
      </w:pPr>
      <w:bookmarkStart w:id="16" w:name="_Toc221181288"/>
      <w:r>
        <w:rPr>
          <w:rFonts w:hint="default" w:ascii="Times New Roman" w:hAnsi="Times New Roman" w:cs="Times New Roman"/>
          <w:b/>
          <w:snapToGrid w:val="0"/>
          <w:color w:val="auto"/>
          <w:sz w:val="30"/>
          <w:szCs w:val="30"/>
          <w:highlight w:val="none"/>
        </w:rPr>
        <w:t>五、环境保护措施监督检查清单</w:t>
      </w:r>
      <w:bookmarkEnd w:id="16"/>
    </w:p>
    <w:tbl>
      <w:tblPr>
        <w:tblStyle w:val="33"/>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980"/>
        <w:gridCol w:w="2366"/>
        <w:gridCol w:w="2626"/>
        <w:gridCol w:w="2508"/>
      </w:tblGrid>
      <w:tr w14:paraId="2943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82" w:type="pct"/>
            <w:vAlign w:val="center"/>
          </w:tcPr>
          <w:p w14:paraId="4D78B0E4">
            <w:pPr>
              <w:adjustRightInd w:val="0"/>
              <w:snapToGrid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要素</w:t>
            </w:r>
          </w:p>
          <w:p w14:paraId="2A26E994">
            <w:pPr>
              <w:adjustRightInd w:val="0"/>
              <w:snapToGrid w:val="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内容</w:t>
            </w:r>
          </w:p>
        </w:tc>
        <w:tc>
          <w:tcPr>
            <w:tcW w:w="522" w:type="pct"/>
            <w:vAlign w:val="center"/>
          </w:tcPr>
          <w:p w14:paraId="31DBA8EF">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排放口(编号、</w:t>
            </w:r>
          </w:p>
          <w:p w14:paraId="52ECAE5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b/>
                <w:bCs/>
                <w:color w:val="auto"/>
                <w:szCs w:val="21"/>
                <w:highlight w:val="none"/>
              </w:rPr>
              <w:t>名称)/污染源</w:t>
            </w:r>
          </w:p>
        </w:tc>
        <w:tc>
          <w:tcPr>
            <w:tcW w:w="1260" w:type="pct"/>
            <w:vAlign w:val="center"/>
          </w:tcPr>
          <w:p w14:paraId="5CE83CEE">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b/>
                <w:bCs/>
                <w:color w:val="auto"/>
                <w:szCs w:val="21"/>
                <w:highlight w:val="none"/>
              </w:rPr>
              <w:t>污染物项目</w:t>
            </w:r>
          </w:p>
        </w:tc>
        <w:tc>
          <w:tcPr>
            <w:tcW w:w="1399" w:type="pct"/>
            <w:vAlign w:val="center"/>
          </w:tcPr>
          <w:p w14:paraId="547658B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b/>
                <w:bCs/>
                <w:color w:val="auto"/>
                <w:szCs w:val="21"/>
                <w:highlight w:val="none"/>
              </w:rPr>
              <w:t>环境保护措施</w:t>
            </w:r>
          </w:p>
        </w:tc>
        <w:tc>
          <w:tcPr>
            <w:tcW w:w="1335" w:type="pct"/>
            <w:vAlign w:val="center"/>
          </w:tcPr>
          <w:p w14:paraId="5B355D29">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b/>
                <w:bCs/>
                <w:color w:val="auto"/>
                <w:szCs w:val="21"/>
                <w:highlight w:val="none"/>
              </w:rPr>
              <w:t>执行标准</w:t>
            </w:r>
          </w:p>
        </w:tc>
      </w:tr>
      <w:tr w14:paraId="3468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vMerge w:val="restart"/>
            <w:vAlign w:val="center"/>
          </w:tcPr>
          <w:p w14:paraId="28130BD1">
            <w:pPr>
              <w:pStyle w:val="5"/>
              <w:ind w:lef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大气环境</w:t>
            </w:r>
          </w:p>
        </w:tc>
        <w:tc>
          <w:tcPr>
            <w:tcW w:w="522" w:type="pct"/>
            <w:vMerge w:val="restart"/>
            <w:vAlign w:val="center"/>
          </w:tcPr>
          <w:p w14:paraId="7DB911E3">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理化实验室</w:t>
            </w:r>
          </w:p>
          <w:p w14:paraId="3FF01DD0">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废气</w:t>
            </w:r>
          </w:p>
        </w:tc>
        <w:tc>
          <w:tcPr>
            <w:tcW w:w="1260" w:type="pct"/>
            <w:vAlign w:val="center"/>
          </w:tcPr>
          <w:p w14:paraId="79B48136">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氨气和有机废气（以非甲烷总烃计）、臭气浓度</w:t>
            </w:r>
          </w:p>
        </w:tc>
        <w:tc>
          <w:tcPr>
            <w:tcW w:w="1399" w:type="pct"/>
            <w:vAlign w:val="center"/>
          </w:tcPr>
          <w:p w14:paraId="1CCDEDDB">
            <w:pPr>
              <w:widowControl/>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实验室通风柜密封收集+二级活性炭吸附+1根23m高排气筒排放（DA001）</w:t>
            </w:r>
          </w:p>
        </w:tc>
        <w:tc>
          <w:tcPr>
            <w:tcW w:w="1335" w:type="pct"/>
            <w:vMerge w:val="restart"/>
            <w:vAlign w:val="center"/>
          </w:tcPr>
          <w:p w14:paraId="232A9A24">
            <w:pPr>
              <w:pStyle w:val="5"/>
              <w:ind w:left="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《大气污染物综合排放标准》（GB16297-1996）表2；《恶臭污染物排放标准》（GB14554-93）表2</w:t>
            </w:r>
          </w:p>
        </w:tc>
      </w:tr>
      <w:tr w14:paraId="1984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vMerge w:val="continue"/>
            <w:vAlign w:val="center"/>
          </w:tcPr>
          <w:p w14:paraId="1860C4A1">
            <w:pPr>
              <w:pStyle w:val="5"/>
              <w:ind w:left="0" w:firstLine="0"/>
              <w:jc w:val="center"/>
              <w:rPr>
                <w:rFonts w:hint="default" w:ascii="Times New Roman" w:hAnsi="Times New Roman" w:cs="Times New Roman"/>
                <w:b/>
                <w:bCs/>
                <w:color w:val="auto"/>
                <w:highlight w:val="none"/>
              </w:rPr>
            </w:pPr>
          </w:p>
        </w:tc>
        <w:tc>
          <w:tcPr>
            <w:tcW w:w="522" w:type="pct"/>
            <w:vMerge w:val="continue"/>
            <w:vAlign w:val="center"/>
          </w:tcPr>
          <w:p w14:paraId="53640F3B">
            <w:pPr>
              <w:widowControl/>
              <w:jc w:val="center"/>
              <w:textAlignment w:val="center"/>
              <w:rPr>
                <w:rFonts w:hint="default" w:ascii="Times New Roman" w:hAnsi="Times New Roman" w:cs="Times New Roman"/>
                <w:color w:val="auto"/>
                <w:kern w:val="0"/>
                <w:szCs w:val="21"/>
                <w:highlight w:val="none"/>
                <w:lang w:bidi="ar"/>
              </w:rPr>
            </w:pPr>
          </w:p>
        </w:tc>
        <w:tc>
          <w:tcPr>
            <w:tcW w:w="1260" w:type="pct"/>
            <w:vAlign w:val="center"/>
          </w:tcPr>
          <w:p w14:paraId="40A933DC">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NO</w:t>
            </w:r>
            <w:r>
              <w:rPr>
                <w:rFonts w:hint="default" w:ascii="Times New Roman" w:hAnsi="Times New Roman" w:cs="Times New Roman"/>
                <w:color w:val="auto"/>
                <w:kern w:val="0"/>
                <w:szCs w:val="21"/>
                <w:highlight w:val="none"/>
                <w:vertAlign w:val="subscript"/>
                <w:lang w:bidi="ar"/>
              </w:rPr>
              <w:t>2</w:t>
            </w:r>
            <w:r>
              <w:rPr>
                <w:rFonts w:hint="default" w:ascii="Times New Roman" w:hAnsi="Times New Roman" w:cs="Times New Roman"/>
                <w:color w:val="auto"/>
                <w:kern w:val="0"/>
                <w:szCs w:val="21"/>
                <w:highlight w:val="none"/>
                <w:lang w:bidi="ar"/>
              </w:rPr>
              <w:t>、硫酸雾、HCl</w:t>
            </w:r>
          </w:p>
        </w:tc>
        <w:tc>
          <w:tcPr>
            <w:tcW w:w="1399" w:type="pct"/>
            <w:vAlign w:val="center"/>
          </w:tcPr>
          <w:p w14:paraId="36374834">
            <w:pPr>
              <w:widowControl/>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实验室通风柜密封收集+碱液吸收+烟气干燥+二级活性炭吸附+1根23m排气筒排放（DA001）</w:t>
            </w:r>
          </w:p>
        </w:tc>
        <w:tc>
          <w:tcPr>
            <w:tcW w:w="1335" w:type="pct"/>
            <w:vMerge w:val="continue"/>
            <w:vAlign w:val="center"/>
          </w:tcPr>
          <w:p w14:paraId="01D9BF19">
            <w:pPr>
              <w:pStyle w:val="5"/>
              <w:ind w:left="0" w:firstLine="0"/>
              <w:rPr>
                <w:rFonts w:hint="default" w:ascii="Times New Roman" w:hAnsi="Times New Roman" w:cs="Times New Roman"/>
                <w:snapToGrid w:val="0"/>
                <w:color w:val="auto"/>
                <w:kern w:val="0"/>
                <w:szCs w:val="21"/>
                <w:highlight w:val="none"/>
              </w:rPr>
            </w:pPr>
          </w:p>
        </w:tc>
      </w:tr>
      <w:tr w14:paraId="2F61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vMerge w:val="continue"/>
            <w:vAlign w:val="center"/>
          </w:tcPr>
          <w:p w14:paraId="1672129A">
            <w:pPr>
              <w:pStyle w:val="5"/>
              <w:ind w:left="0" w:firstLine="0"/>
              <w:jc w:val="center"/>
              <w:rPr>
                <w:rFonts w:hint="default" w:ascii="Times New Roman" w:hAnsi="Times New Roman" w:cs="Times New Roman"/>
                <w:b/>
                <w:bCs/>
                <w:color w:val="auto"/>
                <w:highlight w:val="none"/>
              </w:rPr>
            </w:pPr>
          </w:p>
        </w:tc>
        <w:tc>
          <w:tcPr>
            <w:tcW w:w="522" w:type="pct"/>
            <w:vAlign w:val="center"/>
          </w:tcPr>
          <w:p w14:paraId="3140655A">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微生物实验室</w:t>
            </w:r>
          </w:p>
          <w:p w14:paraId="0E7D0B82">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废气</w:t>
            </w:r>
          </w:p>
        </w:tc>
        <w:tc>
          <w:tcPr>
            <w:tcW w:w="1260" w:type="pct"/>
            <w:vAlign w:val="center"/>
          </w:tcPr>
          <w:p w14:paraId="6E2F3D96">
            <w:pPr>
              <w:adjustRightInd w:val="0"/>
              <w:snapToGrid w:val="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颗粒物（含细菌气溶胶团）</w:t>
            </w:r>
          </w:p>
        </w:tc>
        <w:tc>
          <w:tcPr>
            <w:tcW w:w="1399" w:type="pct"/>
            <w:vAlign w:val="center"/>
          </w:tcPr>
          <w:p w14:paraId="255A88A6">
            <w:pPr>
              <w:adjustRightInd w:val="0"/>
              <w:snapToGrid w:val="0"/>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生物安全柜（含高效过滤器）+紫外消毒装置</w:t>
            </w:r>
          </w:p>
        </w:tc>
        <w:tc>
          <w:tcPr>
            <w:tcW w:w="1335" w:type="pct"/>
            <w:vAlign w:val="center"/>
          </w:tcPr>
          <w:p w14:paraId="1D39042D">
            <w:pPr>
              <w:pStyle w:val="5"/>
              <w:ind w:left="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《大气污染物综合排放标准》（GB16297-1996）表2</w:t>
            </w:r>
          </w:p>
        </w:tc>
      </w:tr>
      <w:tr w14:paraId="2ECA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vMerge w:val="continue"/>
            <w:vAlign w:val="center"/>
          </w:tcPr>
          <w:p w14:paraId="5A7B38A8">
            <w:pPr>
              <w:pStyle w:val="5"/>
              <w:ind w:left="0" w:firstLine="0"/>
              <w:jc w:val="center"/>
              <w:rPr>
                <w:rFonts w:hint="default" w:ascii="Times New Roman" w:hAnsi="Times New Roman" w:cs="Times New Roman"/>
                <w:b/>
                <w:bCs/>
                <w:color w:val="auto"/>
                <w:highlight w:val="none"/>
              </w:rPr>
            </w:pPr>
          </w:p>
        </w:tc>
        <w:tc>
          <w:tcPr>
            <w:tcW w:w="522" w:type="pct"/>
            <w:vAlign w:val="center"/>
          </w:tcPr>
          <w:p w14:paraId="44397D37">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w:t>
            </w:r>
          </w:p>
          <w:p w14:paraId="6C858E4E">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臭气</w:t>
            </w:r>
          </w:p>
        </w:tc>
        <w:tc>
          <w:tcPr>
            <w:tcW w:w="1260" w:type="pct"/>
            <w:vAlign w:val="center"/>
          </w:tcPr>
          <w:p w14:paraId="5AB132A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氨、硫化氢、</w:t>
            </w:r>
          </w:p>
          <w:p w14:paraId="5AF2303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臭气</w:t>
            </w:r>
          </w:p>
        </w:tc>
        <w:tc>
          <w:tcPr>
            <w:tcW w:w="1399" w:type="pct"/>
            <w:vAlign w:val="center"/>
          </w:tcPr>
          <w:p w14:paraId="1830F3F2">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污水处理站为地埋式，各处理设施池体加盖，合理布置安放地点，采用密闭方式</w:t>
            </w:r>
          </w:p>
        </w:tc>
        <w:tc>
          <w:tcPr>
            <w:tcW w:w="1335" w:type="pct"/>
            <w:vAlign w:val="center"/>
          </w:tcPr>
          <w:p w14:paraId="290B3A58">
            <w:pPr>
              <w:pStyle w:val="5"/>
              <w:ind w:left="0" w:firstLine="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《恶臭污染物排放标准》（GB14554-93）表1</w:t>
            </w:r>
          </w:p>
        </w:tc>
      </w:tr>
      <w:tr w14:paraId="63EC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vMerge w:val="restart"/>
            <w:vAlign w:val="center"/>
          </w:tcPr>
          <w:p w14:paraId="1A7A074C">
            <w:pPr>
              <w:pStyle w:val="5"/>
              <w:ind w:lef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地表水环境</w:t>
            </w:r>
          </w:p>
        </w:tc>
        <w:tc>
          <w:tcPr>
            <w:tcW w:w="522" w:type="pct"/>
            <w:vAlign w:val="center"/>
          </w:tcPr>
          <w:p w14:paraId="5676A89A">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实验室废水</w:t>
            </w:r>
          </w:p>
        </w:tc>
        <w:tc>
          <w:tcPr>
            <w:tcW w:w="1260" w:type="pct"/>
            <w:vAlign w:val="center"/>
          </w:tcPr>
          <w:p w14:paraId="212F0C6A">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粪大肠菌群数、肠道致病菌、pH、COD、BOD、SS、氨氮、动植物油、石油类、阴离子表面活性剂、色度、挥发酚、总氰化物、总汞、总镉、总铬、六价铬、总砷、总铅、总银、总余氯</w:t>
            </w:r>
          </w:p>
        </w:tc>
        <w:tc>
          <w:tcPr>
            <w:tcW w:w="1399" w:type="pct"/>
            <w:vAlign w:val="center"/>
          </w:tcPr>
          <w:p w14:paraId="24FC0AA3">
            <w:pPr>
              <w:adjustRightInd w:val="0"/>
              <w:snapToGrid w:val="0"/>
              <w:rPr>
                <w:rFonts w:hint="default" w:ascii="Times New Roman" w:hAnsi="Times New Roman" w:cs="Times New Roman"/>
                <w:color w:val="auto"/>
                <w:highlight w:val="none"/>
              </w:rPr>
            </w:pPr>
            <w:r>
              <w:rPr>
                <w:rFonts w:hint="default" w:ascii="Times New Roman" w:hAnsi="Times New Roman" w:cs="Times New Roman"/>
                <w:color w:val="auto"/>
                <w:highlight w:val="none"/>
              </w:rPr>
              <w:t>各类废水分类收集，分质预处理使重金属等第一类水污染物达标后，进入1座处理规模为10m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/d</w:t>
            </w:r>
            <w:r>
              <w:rPr>
                <w:rFonts w:hint="default" w:ascii="Times New Roman" w:hAnsi="Times New Roman" w:cs="Times New Roman"/>
                <w:color w:val="auto"/>
                <w:szCs w:val="21"/>
                <w:highlight w:val="none"/>
              </w:rPr>
              <w:t>“缺氧+接触氧化+MBR+次氯酸钠消毒”工艺的</w:t>
            </w:r>
            <w:r>
              <w:rPr>
                <w:rFonts w:hint="default" w:ascii="Times New Roman" w:hAnsi="Times New Roman" w:cs="Times New Roman"/>
                <w:color w:val="auto"/>
                <w:highlight w:val="none"/>
              </w:rPr>
              <w:t>污水处理站处理达标后，排入市政污水管网，最终进入华宁县污水处理厂</w:t>
            </w:r>
          </w:p>
        </w:tc>
        <w:tc>
          <w:tcPr>
            <w:tcW w:w="1335" w:type="pct"/>
            <w:vMerge w:val="restart"/>
            <w:vAlign w:val="center"/>
          </w:tcPr>
          <w:p w14:paraId="7430D7AB">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《医疗机构水污染物排放标准》</w:t>
            </w:r>
            <w:r>
              <w:rPr>
                <w:rFonts w:hint="eastAsia" w:ascii="Times New Roman" w:hAnsi="Times New Roman" w:cs="Times New Roman"/>
                <w:color w:val="auto"/>
                <w:szCs w:val="21"/>
                <w:highlight w:val="none"/>
                <w:lang w:eastAsia="zh-CN"/>
              </w:rPr>
              <w:t>（GB18466-2005，含2026年第1号修改单）</w:t>
            </w:r>
            <w:r>
              <w:rPr>
                <w:rFonts w:hint="default" w:ascii="Times New Roman" w:hAnsi="Times New Roman" w:cs="Times New Roman"/>
                <w:color w:val="auto"/>
                <w:szCs w:val="21"/>
                <w:highlight w:val="none"/>
              </w:rPr>
              <w:t>中表2综合医疗机构和其他医疗机构水污染物排放限值预处理标准</w:t>
            </w:r>
          </w:p>
          <w:p w14:paraId="10CEADC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5F48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vMerge w:val="continue"/>
            <w:vAlign w:val="center"/>
          </w:tcPr>
          <w:p w14:paraId="129BC994">
            <w:pPr>
              <w:pStyle w:val="5"/>
              <w:ind w:left="0" w:firstLine="0"/>
              <w:jc w:val="center"/>
              <w:rPr>
                <w:rFonts w:hint="default" w:ascii="Times New Roman" w:hAnsi="Times New Roman" w:cs="Times New Roman"/>
                <w:b/>
                <w:bCs/>
                <w:color w:val="auto"/>
                <w:highlight w:val="none"/>
              </w:rPr>
            </w:pPr>
          </w:p>
        </w:tc>
        <w:tc>
          <w:tcPr>
            <w:tcW w:w="522" w:type="pct"/>
            <w:vAlign w:val="center"/>
          </w:tcPr>
          <w:p w14:paraId="682EC6C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纯水制备系统产生</w:t>
            </w:r>
          </w:p>
          <w:p w14:paraId="7D90DB4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浓水</w:t>
            </w:r>
          </w:p>
        </w:tc>
        <w:tc>
          <w:tcPr>
            <w:tcW w:w="1260" w:type="pct"/>
            <w:vAlign w:val="center"/>
          </w:tcPr>
          <w:p w14:paraId="3939FD1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溶解性总固体</w:t>
            </w:r>
          </w:p>
        </w:tc>
        <w:tc>
          <w:tcPr>
            <w:tcW w:w="1399" w:type="pct"/>
            <w:vAlign w:val="center"/>
          </w:tcPr>
          <w:p w14:paraId="00AEB58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经污水处理站处理达标后，排入市政污水管网，最终进入华宁县污水处理厂</w:t>
            </w:r>
          </w:p>
        </w:tc>
        <w:tc>
          <w:tcPr>
            <w:tcW w:w="1335" w:type="pct"/>
            <w:vMerge w:val="continue"/>
            <w:vAlign w:val="center"/>
          </w:tcPr>
          <w:p w14:paraId="49766D35">
            <w:pPr>
              <w:adjustRightInd w:val="0"/>
              <w:snapToGrid w:val="0"/>
              <w:jc w:val="center"/>
              <w:rPr>
                <w:rFonts w:hint="default" w:ascii="Times New Roman" w:hAnsi="Times New Roman" w:cs="Times New Roman"/>
                <w:color w:val="auto"/>
                <w:szCs w:val="21"/>
                <w:highlight w:val="none"/>
              </w:rPr>
            </w:pPr>
          </w:p>
        </w:tc>
      </w:tr>
      <w:tr w14:paraId="5A6B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482" w:type="pct"/>
            <w:vAlign w:val="center"/>
          </w:tcPr>
          <w:p w14:paraId="7CBCE07C">
            <w:pPr>
              <w:pStyle w:val="5"/>
              <w:ind w:lef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声</w:t>
            </w:r>
          </w:p>
          <w:p w14:paraId="1CDBE0BA">
            <w:pPr>
              <w:pStyle w:val="5"/>
              <w:ind w:lef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w:t>
            </w:r>
          </w:p>
          <w:p w14:paraId="77688786">
            <w:pPr>
              <w:pStyle w:val="5"/>
              <w:ind w:lef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境</w:t>
            </w:r>
          </w:p>
        </w:tc>
        <w:tc>
          <w:tcPr>
            <w:tcW w:w="522" w:type="pct"/>
            <w:vAlign w:val="center"/>
          </w:tcPr>
          <w:p w14:paraId="733A500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w:t>
            </w:r>
          </w:p>
          <w:p w14:paraId="002419F8">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设备</w:t>
            </w:r>
          </w:p>
        </w:tc>
        <w:tc>
          <w:tcPr>
            <w:tcW w:w="1260" w:type="pct"/>
            <w:vAlign w:val="center"/>
          </w:tcPr>
          <w:p w14:paraId="0404DCFE">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噪声</w:t>
            </w:r>
          </w:p>
        </w:tc>
        <w:tc>
          <w:tcPr>
            <w:tcW w:w="1399" w:type="pct"/>
            <w:vAlign w:val="center"/>
          </w:tcPr>
          <w:p w14:paraId="499EC1F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建筑结构隔声、设备减震措施</w:t>
            </w:r>
          </w:p>
        </w:tc>
        <w:tc>
          <w:tcPr>
            <w:tcW w:w="1335" w:type="pct"/>
            <w:vAlign w:val="center"/>
          </w:tcPr>
          <w:p w14:paraId="6A83B95E">
            <w:pPr>
              <w:pStyle w:val="5"/>
              <w:ind w:left="0" w:firstLine="0"/>
              <w:rPr>
                <w:rFonts w:hint="default" w:ascii="Times New Roman" w:hAnsi="Times New Roman" w:cs="Times New Roman"/>
                <w:color w:val="auto"/>
                <w:highlight w:val="none"/>
              </w:rPr>
            </w:pPr>
            <w:r>
              <w:rPr>
                <w:rFonts w:hint="default" w:ascii="Times New Roman" w:hAnsi="Times New Roman" w:cs="Times New Roman"/>
                <w:snapToGrid w:val="0"/>
                <w:color w:val="auto"/>
                <w:kern w:val="0"/>
                <w:szCs w:val="21"/>
                <w:highlight w:val="none"/>
              </w:rPr>
              <w:t>达到《工业企业厂界环境噪声排放标准》（GB12348-2008）</w:t>
            </w:r>
          </w:p>
        </w:tc>
      </w:tr>
      <w:tr w14:paraId="3CBB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482" w:type="pct"/>
            <w:vAlign w:val="center"/>
          </w:tcPr>
          <w:p w14:paraId="5C6844B8">
            <w:pPr>
              <w:pStyle w:val="5"/>
              <w:ind w:lef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电磁辐射</w:t>
            </w:r>
          </w:p>
        </w:tc>
        <w:tc>
          <w:tcPr>
            <w:tcW w:w="4517" w:type="pct"/>
            <w:gridSpan w:val="4"/>
            <w:vAlign w:val="center"/>
          </w:tcPr>
          <w:p w14:paraId="27211F56">
            <w:pPr>
              <w:pStyle w:val="5"/>
              <w:ind w:left="0" w:firstLine="0"/>
              <w:jc w:val="center"/>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w:t>
            </w:r>
          </w:p>
        </w:tc>
      </w:tr>
      <w:tr w14:paraId="15E0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atLeast"/>
          <w:jc w:val="center"/>
        </w:trPr>
        <w:tc>
          <w:tcPr>
            <w:tcW w:w="482" w:type="pct"/>
            <w:vAlign w:val="center"/>
          </w:tcPr>
          <w:p w14:paraId="1095F73F">
            <w:pPr>
              <w:pStyle w:val="5"/>
              <w:ind w:lef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固体废物</w:t>
            </w:r>
          </w:p>
        </w:tc>
        <w:tc>
          <w:tcPr>
            <w:tcW w:w="4517" w:type="pct"/>
            <w:gridSpan w:val="4"/>
            <w:vAlign w:val="center"/>
          </w:tcPr>
          <w:p w14:paraId="643AF35E">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（1）微生物实验室固废：产生量约为1t/a，分类收集经消毒灭菌后，暂存于医疗固废暂存间，定期交由玉溪兴洁垃圾处理有限公司处理。</w:t>
            </w:r>
          </w:p>
          <w:p w14:paraId="449741ED">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（2）理化实验室固废：产生量约为0.8t/a，单独收集密封暂存于医疗固废暂存间，定期交由玉溪兴洁垃圾处理有限公司处理。</w:t>
            </w:r>
          </w:p>
          <w:p w14:paraId="79C906B2">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（3）废活性炭：产生量为0.1t/a，暂存于医疗固废暂存间，定期交由有相应危废处置资质单位清运处置。</w:t>
            </w:r>
          </w:p>
          <w:p w14:paraId="3012E68E">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（4）废滤膜：产生量为0.2t/a，经消毒灭菌后，暂存于医疗固废暂存间，定期交由有相应危废处置资质单位清运处置。</w:t>
            </w:r>
          </w:p>
          <w:p w14:paraId="6023B438">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（5）含重金属废水预处理污泥：产生量为0.01t/a，经实验人员脱水后，暂存于医疗固废暂存间，定期交由有相应危废处置资质单位清运处置。</w:t>
            </w:r>
          </w:p>
          <w:p w14:paraId="54C5B1FE">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（6）污水处理站格栅渣：产生量为0.01t/a，滤水消毒后暂存于医废暂存间定期交由有相应危废处置资质单位清运处置。</w:t>
            </w:r>
          </w:p>
          <w:p w14:paraId="3F4A3B75">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（7）污水处理站污泥：产生量为0.0128t/a，经在污水处理站污泥池内脱水后，废水回流自污水处理站调节池，脱水消毒后暂存于医废暂存间定期交由有相应危废处置资质单位清运处置。</w:t>
            </w:r>
          </w:p>
          <w:p w14:paraId="1DD7DDB5">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（8）废反渗透膜：产生量约为0.5t/a，由供货商上门回收。</w:t>
            </w:r>
          </w:p>
          <w:p w14:paraId="7D61394C">
            <w:pPr>
              <w:pStyle w:val="5"/>
              <w:spacing w:line="360" w:lineRule="auto"/>
              <w:ind w:left="0"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（9）化粪池污泥：产生量为0.064t/a，定期委托环卫部门进行清掏处理。</w:t>
            </w:r>
          </w:p>
        </w:tc>
      </w:tr>
      <w:tr w14:paraId="5AAC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7" w:hRule="atLeast"/>
          <w:jc w:val="center"/>
        </w:trPr>
        <w:tc>
          <w:tcPr>
            <w:tcW w:w="482" w:type="pct"/>
            <w:vAlign w:val="center"/>
          </w:tcPr>
          <w:p w14:paraId="52A8C3ED">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szCs w:val="21"/>
                <w:highlight w:val="none"/>
              </w:rPr>
              <w:t>土壤及地下水污染防治措施</w:t>
            </w:r>
          </w:p>
        </w:tc>
        <w:tc>
          <w:tcPr>
            <w:tcW w:w="4517" w:type="pct"/>
            <w:gridSpan w:val="4"/>
            <w:vAlign w:val="center"/>
          </w:tcPr>
          <w:p w14:paraId="2F712F2B">
            <w:pPr>
              <w:pStyle w:val="5"/>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地下水环境保护措施：</w:t>
            </w:r>
          </w:p>
          <w:p w14:paraId="4E18C41F">
            <w:pPr>
              <w:widowControl/>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根据《环境影响评价技术导则 地下水环境）》（HJ610-2016），各类分区防渗设置技术要求如下：</w:t>
            </w:r>
          </w:p>
          <w:p w14:paraId="2728A5F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表5-1  项目分区防渗设置要求及落实情况</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3"/>
              <w:gridCol w:w="1293"/>
              <w:gridCol w:w="2834"/>
              <w:gridCol w:w="2064"/>
            </w:tblGrid>
            <w:tr w14:paraId="5955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5D74B4BF">
                  <w:pPr>
                    <w:widowControl/>
                    <w:jc w:val="center"/>
                    <w:rPr>
                      <w:rFonts w:hint="default" w:ascii="Times New Roman" w:hAnsi="Times New Roman" w:cs="Times New Roman"/>
                      <w:b/>
                      <w:bCs/>
                      <w:color w:val="auto"/>
                      <w:kern w:val="0"/>
                      <w:szCs w:val="21"/>
                      <w:highlight w:val="none"/>
                      <w:lang w:bidi="ar"/>
                    </w:rPr>
                  </w:pPr>
                  <w:r>
                    <w:rPr>
                      <w:rFonts w:hint="default" w:ascii="Times New Roman" w:hAnsi="Times New Roman" w:cs="Times New Roman"/>
                      <w:b/>
                      <w:bCs/>
                      <w:color w:val="auto"/>
                      <w:kern w:val="0"/>
                      <w:szCs w:val="21"/>
                      <w:highlight w:val="none"/>
                      <w:lang w:bidi="ar"/>
                    </w:rPr>
                    <w:t>防渗分区</w:t>
                  </w:r>
                </w:p>
              </w:tc>
              <w:tc>
                <w:tcPr>
                  <w:tcW w:w="783" w:type="pct"/>
                  <w:vAlign w:val="center"/>
                </w:tcPr>
                <w:p w14:paraId="6146FB6C">
                  <w:pPr>
                    <w:widowControl/>
                    <w:jc w:val="center"/>
                    <w:rPr>
                      <w:rFonts w:hint="default" w:ascii="Times New Roman" w:hAnsi="Times New Roman" w:cs="Times New Roman"/>
                      <w:b/>
                      <w:bCs/>
                      <w:color w:val="auto"/>
                      <w:kern w:val="0"/>
                      <w:szCs w:val="21"/>
                      <w:highlight w:val="none"/>
                      <w:lang w:bidi="ar"/>
                    </w:rPr>
                  </w:pPr>
                  <w:r>
                    <w:rPr>
                      <w:rFonts w:hint="default" w:ascii="Times New Roman" w:hAnsi="Times New Roman" w:cs="Times New Roman"/>
                      <w:b/>
                      <w:bCs/>
                      <w:color w:val="auto"/>
                      <w:kern w:val="0"/>
                      <w:szCs w:val="21"/>
                      <w:highlight w:val="none"/>
                      <w:lang w:bidi="ar"/>
                    </w:rPr>
                    <w:t>项目区域</w:t>
                  </w:r>
                </w:p>
              </w:tc>
              <w:tc>
                <w:tcPr>
                  <w:tcW w:w="1717" w:type="pct"/>
                  <w:vAlign w:val="center"/>
                </w:tcPr>
                <w:p w14:paraId="7B28379F">
                  <w:pPr>
                    <w:widowControl/>
                    <w:jc w:val="center"/>
                    <w:rPr>
                      <w:rFonts w:hint="default" w:ascii="Times New Roman" w:hAnsi="Times New Roman" w:cs="Times New Roman"/>
                      <w:b/>
                      <w:bCs/>
                      <w:color w:val="auto"/>
                      <w:kern w:val="0"/>
                      <w:szCs w:val="21"/>
                      <w:highlight w:val="none"/>
                      <w:lang w:bidi="ar"/>
                    </w:rPr>
                  </w:pPr>
                  <w:r>
                    <w:rPr>
                      <w:rFonts w:hint="default" w:ascii="Times New Roman" w:hAnsi="Times New Roman" w:cs="Times New Roman"/>
                      <w:b/>
                      <w:bCs/>
                      <w:color w:val="auto"/>
                      <w:kern w:val="0"/>
                      <w:szCs w:val="21"/>
                      <w:highlight w:val="none"/>
                      <w:lang w:bidi="ar"/>
                    </w:rPr>
                    <w:t>设置技术要求</w:t>
                  </w:r>
                </w:p>
              </w:tc>
              <w:tc>
                <w:tcPr>
                  <w:tcW w:w="1250" w:type="pct"/>
                  <w:vAlign w:val="center"/>
                </w:tcPr>
                <w:p w14:paraId="50EAC359">
                  <w:pPr>
                    <w:widowControl/>
                    <w:jc w:val="center"/>
                    <w:rPr>
                      <w:rFonts w:hint="default" w:ascii="Times New Roman" w:hAnsi="Times New Roman" w:cs="Times New Roman"/>
                      <w:b/>
                      <w:bCs/>
                      <w:color w:val="auto"/>
                      <w:kern w:val="0"/>
                      <w:szCs w:val="21"/>
                      <w:highlight w:val="none"/>
                      <w:lang w:bidi="ar"/>
                    </w:rPr>
                  </w:pPr>
                  <w:r>
                    <w:rPr>
                      <w:rFonts w:hint="default" w:ascii="Times New Roman" w:hAnsi="Times New Roman" w:cs="Times New Roman"/>
                      <w:b/>
                      <w:bCs/>
                      <w:color w:val="auto"/>
                      <w:kern w:val="0"/>
                      <w:szCs w:val="21"/>
                      <w:highlight w:val="none"/>
                      <w:lang w:bidi="ar"/>
                    </w:rPr>
                    <w:t>本项目情况</w:t>
                  </w:r>
                </w:p>
              </w:tc>
            </w:tr>
            <w:tr w14:paraId="2FAC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31A44AC1">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重点防渗区</w:t>
                  </w:r>
                </w:p>
              </w:tc>
              <w:tc>
                <w:tcPr>
                  <w:tcW w:w="783" w:type="pct"/>
                  <w:vAlign w:val="center"/>
                </w:tcPr>
                <w:p w14:paraId="06D4AF00">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医疗固废暂存间</w:t>
                  </w:r>
                </w:p>
              </w:tc>
              <w:tc>
                <w:tcPr>
                  <w:tcW w:w="1717" w:type="pct"/>
                  <w:vAlign w:val="center"/>
                </w:tcPr>
                <w:p w14:paraId="284A4128">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防渗层至少为1m厚黏土层（渗系数≤1×10</w:t>
                  </w:r>
                  <w:r>
                    <w:rPr>
                      <w:rFonts w:hint="default" w:ascii="Times New Roman" w:hAnsi="Times New Roman" w:cs="Times New Roman"/>
                      <w:color w:val="auto"/>
                      <w:kern w:val="0"/>
                      <w:szCs w:val="21"/>
                      <w:highlight w:val="none"/>
                      <w:vertAlign w:val="superscript"/>
                      <w:lang w:bidi="ar"/>
                    </w:rPr>
                    <w:t>-7</w:t>
                  </w:r>
                  <w:r>
                    <w:rPr>
                      <w:rFonts w:hint="default" w:ascii="Times New Roman" w:hAnsi="Times New Roman" w:cs="Times New Roman"/>
                      <w:color w:val="auto"/>
                      <w:kern w:val="0"/>
                      <w:szCs w:val="21"/>
                      <w:highlight w:val="none"/>
                      <w:lang w:bidi="ar"/>
                    </w:rPr>
                    <w:t>cm/s），或至少2mm厚高密度聚乙烯膜等人工防渗材料（渗系数≤1×10</w:t>
                  </w:r>
                  <w:r>
                    <w:rPr>
                      <w:rFonts w:hint="default" w:ascii="Times New Roman" w:hAnsi="Times New Roman" w:cs="Times New Roman"/>
                      <w:color w:val="auto"/>
                      <w:kern w:val="0"/>
                      <w:szCs w:val="21"/>
                      <w:highlight w:val="none"/>
                      <w:vertAlign w:val="superscript"/>
                      <w:lang w:bidi="ar"/>
                    </w:rPr>
                    <w:t>-10</w:t>
                  </w:r>
                  <w:r>
                    <w:rPr>
                      <w:rFonts w:hint="default" w:ascii="Times New Roman" w:hAnsi="Times New Roman" w:cs="Times New Roman"/>
                      <w:color w:val="auto"/>
                      <w:kern w:val="0"/>
                      <w:szCs w:val="21"/>
                      <w:highlight w:val="none"/>
                      <w:lang w:bidi="ar"/>
                    </w:rPr>
                    <w:t>cm/s），或其它防渗性能等效的材料；或参照GB 18598 执行</w:t>
                  </w:r>
                </w:p>
              </w:tc>
              <w:tc>
                <w:tcPr>
                  <w:tcW w:w="1250" w:type="pct"/>
                  <w:vAlign w:val="center"/>
                </w:tcPr>
                <w:p w14:paraId="43B2712D">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本项目依托现有项目医废暂存间，经现场调查，危废暂存间防渗满足该技术要求</w:t>
                  </w:r>
                </w:p>
              </w:tc>
            </w:tr>
            <w:tr w14:paraId="096E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0B13AD97">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一般防渗区</w:t>
                  </w:r>
                </w:p>
              </w:tc>
              <w:tc>
                <w:tcPr>
                  <w:tcW w:w="783" w:type="pct"/>
                  <w:vAlign w:val="center"/>
                </w:tcPr>
                <w:p w14:paraId="0CF7331B">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化粪池、污水处理站、一般固体废物暂存间</w:t>
                  </w:r>
                </w:p>
              </w:tc>
              <w:tc>
                <w:tcPr>
                  <w:tcW w:w="1717" w:type="pct"/>
                  <w:vAlign w:val="center"/>
                </w:tcPr>
                <w:p w14:paraId="02703D99">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等效黏土防渗层 Mb≥1.5m，K≤1.0× 10</w:t>
                  </w:r>
                  <w:r>
                    <w:rPr>
                      <w:rFonts w:hint="default" w:ascii="Times New Roman" w:hAnsi="Times New Roman" w:cs="Times New Roman"/>
                      <w:color w:val="auto"/>
                      <w:kern w:val="0"/>
                      <w:szCs w:val="21"/>
                      <w:highlight w:val="none"/>
                      <w:vertAlign w:val="superscript"/>
                      <w:lang w:bidi="ar"/>
                    </w:rPr>
                    <w:t>-7</w:t>
                  </w:r>
                  <w:r>
                    <w:rPr>
                      <w:rFonts w:hint="default" w:ascii="Times New Roman" w:hAnsi="Times New Roman" w:cs="Times New Roman"/>
                      <w:color w:val="auto"/>
                      <w:kern w:val="0"/>
                      <w:szCs w:val="21"/>
                      <w:highlight w:val="none"/>
                      <w:lang w:bidi="ar"/>
                    </w:rPr>
                    <w:t xml:space="preserve"> cm/s；或参照 GB 16889 执行</w:t>
                  </w:r>
                </w:p>
              </w:tc>
              <w:tc>
                <w:tcPr>
                  <w:tcW w:w="1250" w:type="pct"/>
                  <w:vAlign w:val="center"/>
                </w:tcPr>
                <w:p w14:paraId="26F7BF32">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本项目依托现有项目化粪池、污水处理站该区域防渗要求能达到该技术要求；</w:t>
                  </w:r>
                </w:p>
              </w:tc>
            </w:tr>
            <w:tr w14:paraId="54AB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74DE6281">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简单防渗区</w:t>
                  </w:r>
                </w:p>
              </w:tc>
              <w:tc>
                <w:tcPr>
                  <w:tcW w:w="783" w:type="pct"/>
                  <w:vAlign w:val="center"/>
                </w:tcPr>
                <w:p w14:paraId="1275F0CB">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项目区除绿化外其它区域</w:t>
                  </w:r>
                </w:p>
              </w:tc>
              <w:tc>
                <w:tcPr>
                  <w:tcW w:w="1717" w:type="pct"/>
                  <w:vAlign w:val="center"/>
                </w:tcPr>
                <w:p w14:paraId="51A34E06">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一般水泥硬化</w:t>
                  </w:r>
                </w:p>
              </w:tc>
              <w:tc>
                <w:tcPr>
                  <w:tcW w:w="1250" w:type="pct"/>
                  <w:vAlign w:val="center"/>
                </w:tcPr>
                <w:p w14:paraId="00F51174">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本项目项目区除绿化外其它区域，要求实施一般水泥硬化</w:t>
                  </w:r>
                </w:p>
              </w:tc>
            </w:tr>
          </w:tbl>
          <w:p w14:paraId="7FAC4F38">
            <w:pPr>
              <w:pStyle w:val="5"/>
              <w:spacing w:line="360" w:lineRule="auto"/>
              <w:ind w:left="0"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土壤环境保护措施：</w:t>
            </w:r>
          </w:p>
          <w:p w14:paraId="73FE03FC">
            <w:pPr>
              <w:widowControl/>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1、定期对大气污染防治设施进行维护，保证各排放口污染物稳定达标排放，防止事故排放引起环境空气中污染物浓度增加沉降至地面导致的土壤污染；其次在项目区空地设置具有较强吸附能力的绿化带减轻大气沉降对土壤的影响。</w:t>
            </w:r>
          </w:p>
          <w:p w14:paraId="72EBC611">
            <w:pPr>
              <w:widowControl/>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2、加强医疗废物暂存间、化粪池、污水处理站的监管，防止危险废物以及项目污废水泄露、外溢等污染土壤。</w:t>
            </w:r>
          </w:p>
          <w:p w14:paraId="01DB71E4">
            <w:pPr>
              <w:widowControl/>
              <w:spacing w:line="360" w:lineRule="auto"/>
              <w:ind w:firstLine="480" w:firstLineChars="200"/>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3、严格落实上述章节提出的分区防渗</w:t>
            </w:r>
            <w:r>
              <w:rPr>
                <w:rFonts w:hint="default" w:ascii="Times New Roman" w:hAnsi="Times New Roman" w:cs="Times New Roman"/>
                <w:color w:val="auto"/>
                <w:kern w:val="0"/>
                <w:sz w:val="24"/>
                <w:szCs w:val="20"/>
                <w:highlight w:val="none"/>
                <w:lang w:bidi="ar"/>
              </w:rPr>
              <w:t>。</w:t>
            </w:r>
          </w:p>
        </w:tc>
      </w:tr>
      <w:tr w14:paraId="7A8A4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482" w:type="pct"/>
            <w:vAlign w:val="center"/>
          </w:tcPr>
          <w:p w14:paraId="34537D76">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szCs w:val="21"/>
                <w:highlight w:val="none"/>
              </w:rPr>
              <w:t>生态保护措施</w:t>
            </w:r>
          </w:p>
        </w:tc>
        <w:tc>
          <w:tcPr>
            <w:tcW w:w="4517" w:type="pct"/>
            <w:gridSpan w:val="4"/>
            <w:vAlign w:val="center"/>
          </w:tcPr>
          <w:p w14:paraId="0200FA2D">
            <w:pPr>
              <w:pStyle w:val="5"/>
              <w:ind w:left="0" w:firstLine="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084E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vAlign w:val="center"/>
          </w:tcPr>
          <w:p w14:paraId="37F9EA21">
            <w:pPr>
              <w:jc w:val="center"/>
              <w:rPr>
                <w:rFonts w:hint="default" w:ascii="Times New Roman" w:hAnsi="Times New Roman" w:cs="Times New Roman"/>
                <w:b/>
                <w:bCs/>
                <w:color w:val="auto"/>
                <w:spacing w:val="-8"/>
                <w:szCs w:val="21"/>
                <w:highlight w:val="none"/>
              </w:rPr>
            </w:pPr>
            <w:r>
              <w:rPr>
                <w:rFonts w:hint="default" w:ascii="Times New Roman" w:hAnsi="Times New Roman" w:cs="Times New Roman"/>
                <w:b/>
                <w:bCs/>
                <w:color w:val="auto"/>
                <w:spacing w:val="-8"/>
                <w:szCs w:val="21"/>
                <w:highlight w:val="none"/>
              </w:rPr>
              <w:t>环境</w:t>
            </w:r>
          </w:p>
          <w:p w14:paraId="45E5DA20">
            <w:pPr>
              <w:jc w:val="center"/>
              <w:rPr>
                <w:rFonts w:hint="default" w:ascii="Times New Roman" w:hAnsi="Times New Roman" w:cs="Times New Roman"/>
                <w:b/>
                <w:bCs/>
                <w:color w:val="auto"/>
                <w:spacing w:val="-8"/>
                <w:szCs w:val="21"/>
                <w:highlight w:val="none"/>
              </w:rPr>
            </w:pPr>
            <w:r>
              <w:rPr>
                <w:rFonts w:hint="default" w:ascii="Times New Roman" w:hAnsi="Times New Roman" w:cs="Times New Roman"/>
                <w:b/>
                <w:bCs/>
                <w:color w:val="auto"/>
                <w:spacing w:val="-8"/>
                <w:szCs w:val="21"/>
                <w:highlight w:val="none"/>
              </w:rPr>
              <w:t>风险</w:t>
            </w:r>
          </w:p>
          <w:p w14:paraId="0BF0DDE9">
            <w:pPr>
              <w:jc w:val="center"/>
              <w:rPr>
                <w:rFonts w:hint="default" w:ascii="Times New Roman" w:hAnsi="Times New Roman" w:cs="Times New Roman"/>
                <w:b/>
                <w:bCs/>
                <w:color w:val="auto"/>
                <w:spacing w:val="-8"/>
                <w:szCs w:val="21"/>
                <w:highlight w:val="none"/>
              </w:rPr>
            </w:pPr>
            <w:r>
              <w:rPr>
                <w:rFonts w:hint="default" w:ascii="Times New Roman" w:hAnsi="Times New Roman" w:cs="Times New Roman"/>
                <w:b/>
                <w:bCs/>
                <w:color w:val="auto"/>
                <w:spacing w:val="-8"/>
                <w:szCs w:val="21"/>
                <w:highlight w:val="none"/>
              </w:rPr>
              <w:t>防范</w:t>
            </w:r>
          </w:p>
          <w:p w14:paraId="1DEDDF55">
            <w:pPr>
              <w:jc w:val="center"/>
              <w:rPr>
                <w:rFonts w:hint="default" w:ascii="Times New Roman" w:hAnsi="Times New Roman" w:cs="Times New Roman"/>
                <w:b/>
                <w:bCs/>
                <w:color w:val="auto"/>
                <w:highlight w:val="none"/>
              </w:rPr>
            </w:pPr>
            <w:r>
              <w:rPr>
                <w:rFonts w:hint="default" w:ascii="Times New Roman" w:hAnsi="Times New Roman" w:cs="Times New Roman"/>
                <w:b/>
                <w:bCs/>
                <w:color w:val="auto"/>
                <w:spacing w:val="-8"/>
                <w:szCs w:val="21"/>
                <w:highlight w:val="none"/>
              </w:rPr>
              <w:t>措施</w:t>
            </w:r>
          </w:p>
        </w:tc>
        <w:tc>
          <w:tcPr>
            <w:tcW w:w="4517" w:type="pct"/>
            <w:gridSpan w:val="4"/>
            <w:vAlign w:val="center"/>
          </w:tcPr>
          <w:p w14:paraId="499D9453">
            <w:pPr>
              <w:pStyle w:val="31"/>
              <w:ind w:right="113" w:firstLine="482" w:firstLineChars="200"/>
              <w:rPr>
                <w:rStyle w:val="52"/>
                <w:rFonts w:hint="default" w:ascii="Times New Roman" w:hAnsi="Times New Roman" w:cs="Times New Roman"/>
                <w:bCs/>
                <w:color w:val="auto"/>
                <w:szCs w:val="24"/>
                <w:highlight w:val="none"/>
              </w:rPr>
            </w:pPr>
            <w:r>
              <w:rPr>
                <w:rStyle w:val="52"/>
                <w:rFonts w:hint="default" w:ascii="Times New Roman" w:hAnsi="Times New Roman" w:cs="Times New Roman"/>
                <w:b/>
                <w:color w:val="auto"/>
                <w:szCs w:val="24"/>
                <w:highlight w:val="none"/>
              </w:rPr>
              <w:t>（1）实验室化学试剂风险防范措施</w:t>
            </w:r>
          </w:p>
          <w:p w14:paraId="3D5002D4">
            <w:pPr>
              <w:pStyle w:val="31"/>
              <w:ind w:right="113" w:firstLine="480" w:firstLineChars="200"/>
              <w:rPr>
                <w:rStyle w:val="52"/>
                <w:rFonts w:hint="default" w:ascii="Times New Roman" w:hAnsi="Times New Roman" w:cs="Times New Roman"/>
                <w:bCs/>
                <w:color w:val="auto"/>
                <w:szCs w:val="24"/>
                <w:highlight w:val="none"/>
              </w:rPr>
            </w:pPr>
            <w:r>
              <w:rPr>
                <w:rFonts w:hint="default" w:ascii="Times New Roman" w:hAnsi="Times New Roman" w:cs="Times New Roman"/>
                <w:color w:val="auto"/>
                <w:szCs w:val="24"/>
                <w:highlight w:val="none"/>
              </w:rPr>
              <w:t>1）实验室制定安全操作管理规程，每日安排专人对化学试剂的安全存放、使用进行检查，努力确保化学试剂不发生泄漏及火灾爆炸</w:t>
            </w:r>
            <w:r>
              <w:rPr>
                <w:rStyle w:val="52"/>
                <w:rFonts w:hint="default" w:ascii="Times New Roman" w:hAnsi="Times New Roman" w:cs="Times New Roman"/>
                <w:bCs/>
                <w:color w:val="auto"/>
                <w:szCs w:val="24"/>
                <w:highlight w:val="none"/>
              </w:rPr>
              <w:t>；</w:t>
            </w:r>
          </w:p>
          <w:p w14:paraId="41894E37">
            <w:pPr>
              <w:pStyle w:val="31"/>
              <w:ind w:right="113" w:firstLine="48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2）加强对实验室操作人员的环境安全宣传教育，严格按操作规程操作，杜绝化学试剂瓶罐破裂现象的发生，不使用化学试剂时要及时将瓶罐口封闭</w:t>
            </w:r>
            <w:r>
              <w:rPr>
                <w:rStyle w:val="52"/>
                <w:rFonts w:hint="default" w:ascii="Times New Roman" w:hAnsi="Times New Roman" w:cs="Times New Roman"/>
                <w:bCs/>
                <w:color w:val="auto"/>
                <w:szCs w:val="24"/>
                <w:highlight w:val="none"/>
              </w:rPr>
              <w:t>；</w:t>
            </w:r>
          </w:p>
          <w:p w14:paraId="4B8A6D98">
            <w:pPr>
              <w:pStyle w:val="31"/>
              <w:ind w:right="113" w:firstLine="48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3）存在化学试剂的科室应远离明火，最大限度地杜绝火灾爆炸现象的发生；</w:t>
            </w:r>
          </w:p>
          <w:p w14:paraId="189B435A">
            <w:pPr>
              <w:pStyle w:val="31"/>
              <w:ind w:right="113" w:firstLine="480" w:firstLineChars="200"/>
              <w:rPr>
                <w:rStyle w:val="52"/>
                <w:rFonts w:hint="default" w:ascii="Times New Roman" w:hAnsi="Times New Roman" w:cs="Times New Roman"/>
                <w:bCs/>
                <w:color w:val="auto"/>
                <w:szCs w:val="24"/>
                <w:highlight w:val="none"/>
              </w:rPr>
            </w:pPr>
            <w:r>
              <w:rPr>
                <w:rFonts w:hint="default" w:ascii="Times New Roman" w:hAnsi="Times New Roman" w:cs="Times New Roman"/>
                <w:color w:val="auto"/>
                <w:szCs w:val="24"/>
                <w:highlight w:val="none"/>
              </w:rPr>
              <w:t>4）结合化学试剂的理化性质，严格控制存在化学试剂的科室的室内温度，当室内温度较高时，应尽量减少使用或不用易挥发的化学试剂</w:t>
            </w:r>
            <w:r>
              <w:rPr>
                <w:rStyle w:val="52"/>
                <w:rFonts w:hint="default" w:ascii="Times New Roman" w:hAnsi="Times New Roman" w:cs="Times New Roman"/>
                <w:bCs/>
                <w:color w:val="auto"/>
                <w:szCs w:val="24"/>
                <w:highlight w:val="none"/>
              </w:rPr>
              <w:t>；</w:t>
            </w:r>
          </w:p>
          <w:p w14:paraId="17739316">
            <w:pPr>
              <w:pStyle w:val="31"/>
              <w:ind w:right="113" w:firstLine="480" w:firstLineChars="200"/>
              <w:rPr>
                <w:rStyle w:val="52"/>
                <w:rFonts w:hint="default" w:ascii="Times New Roman" w:hAnsi="Times New Roman" w:cs="Times New Roman"/>
                <w:bCs/>
                <w:color w:val="auto"/>
                <w:szCs w:val="24"/>
                <w:highlight w:val="none"/>
              </w:rPr>
            </w:pPr>
            <w:r>
              <w:rPr>
                <w:rStyle w:val="52"/>
                <w:rFonts w:hint="default" w:ascii="Times New Roman" w:hAnsi="Times New Roman" w:cs="Times New Roman"/>
                <w:bCs/>
                <w:color w:val="auto"/>
                <w:szCs w:val="24"/>
                <w:highlight w:val="none"/>
              </w:rPr>
              <w:t>5）</w:t>
            </w:r>
            <w:r>
              <w:rPr>
                <w:rFonts w:hint="default" w:ascii="Times New Roman" w:hAnsi="Times New Roman" w:cs="Times New Roman"/>
                <w:color w:val="auto"/>
                <w:szCs w:val="24"/>
                <w:highlight w:val="none"/>
              </w:rPr>
              <w:t>加强对化学试剂操作人员个体防护，如穿防护工作服、戴口罩及手套等</w:t>
            </w:r>
            <w:r>
              <w:rPr>
                <w:rStyle w:val="52"/>
                <w:rFonts w:hint="default" w:ascii="Times New Roman" w:hAnsi="Times New Roman" w:cs="Times New Roman"/>
                <w:bCs/>
                <w:color w:val="auto"/>
                <w:szCs w:val="24"/>
                <w:highlight w:val="none"/>
              </w:rPr>
              <w:t>；</w:t>
            </w:r>
          </w:p>
          <w:p w14:paraId="47DE8018">
            <w:pPr>
              <w:pStyle w:val="31"/>
              <w:ind w:right="113" w:firstLine="480" w:firstLineChars="200"/>
              <w:rPr>
                <w:rStyle w:val="52"/>
                <w:rFonts w:hint="default" w:ascii="Times New Roman" w:hAnsi="Times New Roman" w:cs="Times New Roman"/>
                <w:bCs/>
                <w:color w:val="auto"/>
                <w:szCs w:val="24"/>
                <w:highlight w:val="none"/>
              </w:rPr>
            </w:pPr>
            <w:r>
              <w:rPr>
                <w:rStyle w:val="52"/>
                <w:rFonts w:hint="default" w:ascii="Times New Roman" w:hAnsi="Times New Roman" w:cs="Times New Roman"/>
                <w:bCs/>
                <w:color w:val="auto"/>
                <w:szCs w:val="24"/>
                <w:highlight w:val="none"/>
              </w:rPr>
              <w:t>6）</w:t>
            </w:r>
            <w:r>
              <w:rPr>
                <w:rFonts w:hint="default" w:ascii="Times New Roman" w:hAnsi="Times New Roman" w:cs="Times New Roman"/>
                <w:color w:val="auto"/>
                <w:szCs w:val="24"/>
                <w:highlight w:val="none"/>
              </w:rPr>
              <w:t>各使用部门领取危险化学品必须指定专人负责，领取人要当面点清品种和数量</w:t>
            </w:r>
            <w:r>
              <w:rPr>
                <w:rStyle w:val="52"/>
                <w:rFonts w:hint="default" w:ascii="Times New Roman" w:hAnsi="Times New Roman" w:cs="Times New Roman"/>
                <w:bCs/>
                <w:color w:val="auto"/>
                <w:szCs w:val="24"/>
                <w:highlight w:val="none"/>
              </w:rPr>
              <w:t>。</w:t>
            </w:r>
          </w:p>
          <w:p w14:paraId="3DE4EF09">
            <w:pPr>
              <w:pStyle w:val="31"/>
              <w:ind w:right="113" w:firstLine="482" w:firstLineChars="200"/>
              <w:rPr>
                <w:rStyle w:val="52"/>
                <w:rFonts w:hint="default" w:ascii="Times New Roman" w:hAnsi="Times New Roman" w:cs="Times New Roman"/>
                <w:b/>
                <w:color w:val="auto"/>
                <w:szCs w:val="24"/>
                <w:highlight w:val="none"/>
              </w:rPr>
            </w:pPr>
            <w:r>
              <w:rPr>
                <w:rStyle w:val="52"/>
                <w:rFonts w:hint="default" w:ascii="Times New Roman" w:hAnsi="Times New Roman" w:cs="Times New Roman"/>
                <w:b/>
                <w:color w:val="auto"/>
                <w:szCs w:val="24"/>
                <w:highlight w:val="none"/>
              </w:rPr>
              <w:t>（2）实验室固废在收集、贮存、运送过程中的风险防范措施</w:t>
            </w:r>
          </w:p>
          <w:p w14:paraId="12B30FB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1）实验室固废事故应急措施</w:t>
            </w:r>
          </w:p>
          <w:p w14:paraId="7A6E214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若发生实验室固废流失、泄漏、扩散和意外事故时，应当按照以下要求及时采取紧急处理措施：</w:t>
            </w:r>
          </w:p>
          <w:p w14:paraId="6DFFF6D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①确定流失、泄漏、扩散的实验室固废的类别、数量、发生时间、影响范围及严重程度；组织有关人员尽快按照应急方案，对发生实验室固废泄漏、扩散的现场进行处理；</w:t>
            </w:r>
          </w:p>
          <w:p w14:paraId="0FAE542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②采取适当的安全处置措施，对泄漏物及受污染的区域、物品进行消毒或者其他无害化处置，必要时封锁污染区域，尽可能减少对医务人员、其它现场人员及环境的影响，以防扩大污染；</w:t>
            </w:r>
          </w:p>
          <w:p w14:paraId="2DE01EB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③对感染性废物污染区域进行消毒时，消毒工作从污染最轻区域向污染最严重区域进行，对可能被污染的使用过的工具也须进行消毒；</w:t>
            </w:r>
          </w:p>
          <w:p w14:paraId="0A07EAB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④处理工作结束后，工作人员应当做好卫生安全防护后进行工作，医疗卫生机构应当对事件的起因进行调查，并采取有效的防范措施预防类似事件的发生。</w:t>
            </w:r>
          </w:p>
          <w:p w14:paraId="6CC42ED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2）人员安全防护</w:t>
            </w:r>
          </w:p>
          <w:p w14:paraId="3D45EF6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实验室固废相关工作人员和管理人员应当达到以下要求：</w:t>
            </w:r>
          </w:p>
          <w:p w14:paraId="3EFF3C9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①掌握国家相关法律、法规、规章和有关规范性文件的规定，熟悉本机构制定的实验室固废管理的规章制度、工作流程和各项工作要求；</w:t>
            </w:r>
          </w:p>
          <w:p w14:paraId="60C3F00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②掌握实验室固废分类收集、运送、暂时贮存的正确方法和操作程序；掌握在实验室固废分类收集、运送、暂时贮存及处置过程中预防被医疗废物刺伤、擦伤等伤害的措施及发生后的处理措施；</w:t>
            </w:r>
          </w:p>
          <w:p w14:paraId="57DB21F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③掌握发生实验室固废流失、泄漏、扩散和意外事故情况时的紧急处理措施。</w:t>
            </w:r>
          </w:p>
          <w:p w14:paraId="0CB2E52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3）运输过程中风险防范措施</w:t>
            </w:r>
          </w:p>
          <w:p w14:paraId="460D327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①运送线路避开人口密集区域和交通拥堵道路；</w:t>
            </w:r>
          </w:p>
          <w:p w14:paraId="0356461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②检查好车况；</w:t>
            </w:r>
          </w:p>
          <w:p w14:paraId="1FCBBD0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③不得搭乘无关人员，不得装载或混装其它货物和动植物；</w:t>
            </w:r>
          </w:p>
          <w:p w14:paraId="66201CE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④车辆行驶时应锁闭车厢门确保安全，不得丢失、遗撒和打开包装取出实验室固废等。</w:t>
            </w:r>
          </w:p>
          <w:p w14:paraId="79025FF9">
            <w:pPr>
              <w:pStyle w:val="31"/>
              <w:ind w:right="113" w:firstLine="482" w:firstLineChars="200"/>
              <w:rPr>
                <w:rStyle w:val="52"/>
                <w:rFonts w:hint="default" w:ascii="Times New Roman" w:hAnsi="Times New Roman" w:cs="Times New Roman"/>
                <w:b/>
                <w:color w:val="auto"/>
                <w:szCs w:val="24"/>
                <w:highlight w:val="none"/>
              </w:rPr>
            </w:pPr>
            <w:r>
              <w:rPr>
                <w:rStyle w:val="52"/>
                <w:rFonts w:hint="default" w:ascii="Times New Roman" w:hAnsi="Times New Roman" w:cs="Times New Roman"/>
                <w:b/>
                <w:color w:val="auto"/>
                <w:szCs w:val="24"/>
                <w:highlight w:val="none"/>
              </w:rPr>
              <w:t>（3）火灾风险事故防范措施</w:t>
            </w:r>
          </w:p>
          <w:p w14:paraId="6B28D64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Style w:val="52"/>
                <w:rFonts w:hint="default" w:ascii="Times New Roman" w:hAnsi="Times New Roman" w:cs="Times New Roman"/>
                <w:bCs/>
                <w:color w:val="auto"/>
                <w:highlight w:val="none"/>
              </w:rPr>
              <w:t>项目区按照《建筑灭火器配置设计规范》（GB50140-2010）的要求设置消防设施及灭火器材，灭火器材应放在明显、易取的地方，并定期对消防设施及灭火器材进行检查、维护；</w:t>
            </w:r>
          </w:p>
          <w:p w14:paraId="18B167B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易燃、易爆危险品存放地点严禁烟火，分类存放，经常检查，防止因变质、分解造成自然和爆炸事故；遇水易发生爆炸、燃烧的化学物品，不准放置在潮湿或者易积水、漏水的地点；受阳光照射容易引爆的危险品，要存放在阴凉地点；易燃易爆危险品搬运过程要轻拿轻放，防止震动、撞击、重压、倾倒和摩擦。</w:t>
            </w:r>
          </w:p>
          <w:p w14:paraId="68E3BB8D">
            <w:pPr>
              <w:pStyle w:val="31"/>
              <w:ind w:right="113" w:firstLine="482" w:firstLineChars="200"/>
              <w:rPr>
                <w:rStyle w:val="52"/>
                <w:rFonts w:hint="default" w:ascii="Times New Roman" w:hAnsi="Times New Roman" w:cs="Times New Roman"/>
                <w:b/>
                <w:color w:val="auto"/>
                <w:szCs w:val="24"/>
                <w:highlight w:val="none"/>
              </w:rPr>
            </w:pPr>
            <w:r>
              <w:rPr>
                <w:rStyle w:val="43"/>
                <w:rFonts w:hint="default" w:ascii="Times New Roman" w:hAnsi="Times New Roman" w:cs="Times New Roman"/>
                <w:b/>
                <w:color w:val="auto"/>
                <w:szCs w:val="24"/>
                <w:highlight w:val="none"/>
              </w:rPr>
              <w:t>（4）</w:t>
            </w:r>
            <w:r>
              <w:rPr>
                <w:rStyle w:val="52"/>
                <w:rFonts w:hint="default" w:ascii="Times New Roman" w:hAnsi="Times New Roman" w:cs="Times New Roman"/>
                <w:b/>
                <w:color w:val="auto"/>
                <w:szCs w:val="24"/>
                <w:highlight w:val="none"/>
              </w:rPr>
              <w:t>运营过程预防措施</w:t>
            </w:r>
          </w:p>
          <w:p w14:paraId="039F10A7">
            <w:pPr>
              <w:pStyle w:val="31"/>
              <w:ind w:right="113" w:firstLine="480" w:firstLineChars="200"/>
              <w:rPr>
                <w:rFonts w:hint="default" w:ascii="Times New Roman" w:hAnsi="Times New Roman" w:cs="Times New Roman"/>
                <w:color w:val="auto"/>
                <w:szCs w:val="21"/>
                <w:highlight w:val="none"/>
              </w:rPr>
            </w:pPr>
            <w:r>
              <w:rPr>
                <w:rStyle w:val="52"/>
                <w:rFonts w:hint="default" w:ascii="Times New Roman" w:hAnsi="Times New Roman" w:cs="Times New Roman"/>
                <w:bCs/>
                <w:color w:val="auto"/>
                <w:szCs w:val="24"/>
                <w:highlight w:val="none"/>
              </w:rPr>
              <w:t>建议企业根据生态环境部《企业事业单位突发环境事件应急预案备案管理办法（试行）》的要求，制定突发环境事件应急预案，并报玉溪市生态环境局华宁分局备案；建设单位定期演练、适时更新。</w:t>
            </w:r>
          </w:p>
        </w:tc>
      </w:tr>
      <w:tr w14:paraId="5609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vAlign w:val="center"/>
          </w:tcPr>
          <w:p w14:paraId="49FF2921">
            <w:pPr>
              <w:jc w:val="center"/>
              <w:rPr>
                <w:rFonts w:hint="default" w:ascii="Times New Roman" w:hAnsi="Times New Roman" w:cs="Times New Roman"/>
                <w:b/>
                <w:bCs/>
                <w:color w:val="auto"/>
                <w:spacing w:val="-8"/>
                <w:szCs w:val="21"/>
                <w:highlight w:val="none"/>
              </w:rPr>
            </w:pPr>
            <w:r>
              <w:rPr>
                <w:rFonts w:hint="default" w:ascii="Times New Roman" w:hAnsi="Times New Roman" w:cs="Times New Roman"/>
                <w:b/>
                <w:bCs/>
                <w:color w:val="auto"/>
                <w:spacing w:val="-8"/>
                <w:szCs w:val="21"/>
                <w:highlight w:val="none"/>
              </w:rPr>
              <w:t>其他环境</w:t>
            </w:r>
          </w:p>
          <w:p w14:paraId="5CD9A656">
            <w:pPr>
              <w:jc w:val="center"/>
              <w:rPr>
                <w:rFonts w:hint="default" w:ascii="Times New Roman" w:hAnsi="Times New Roman" w:cs="Times New Roman"/>
                <w:b/>
                <w:bCs/>
                <w:color w:val="auto"/>
                <w:spacing w:val="-8"/>
                <w:szCs w:val="21"/>
                <w:highlight w:val="none"/>
              </w:rPr>
            </w:pPr>
            <w:r>
              <w:rPr>
                <w:rFonts w:hint="default" w:ascii="Times New Roman" w:hAnsi="Times New Roman" w:cs="Times New Roman"/>
                <w:b/>
                <w:bCs/>
                <w:color w:val="auto"/>
                <w:spacing w:val="-8"/>
                <w:szCs w:val="21"/>
                <w:highlight w:val="none"/>
              </w:rPr>
              <w:t>管理要求</w:t>
            </w:r>
          </w:p>
        </w:tc>
        <w:tc>
          <w:tcPr>
            <w:tcW w:w="4517" w:type="pct"/>
            <w:gridSpan w:val="4"/>
            <w:vAlign w:val="center"/>
          </w:tcPr>
          <w:p w14:paraId="24CF18CC">
            <w:pPr>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1、环境管理</w:t>
            </w:r>
          </w:p>
          <w:p w14:paraId="37F6FEA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建立环境保护管理机构，根据工程环境影响评价中提出的施工期和运营期环境保护措施，落实环境保护经费，实施环境保护对策措施；协调政府环境管理与工程环境管理间的关系，具体管理内容如下：</w:t>
            </w:r>
          </w:p>
          <w:p w14:paraId="1993735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bookmarkStart w:id="17" w:name="OLE_LINK4"/>
            <w:bookmarkStart w:id="18" w:name="OLE_LINK3"/>
            <w:r>
              <w:rPr>
                <w:rFonts w:hint="default" w:ascii="Times New Roman" w:hAnsi="Times New Roman" w:cs="Times New Roman"/>
                <w:color w:val="auto"/>
                <w:sz w:val="24"/>
                <w:highlight w:val="none"/>
              </w:rPr>
              <w:t>项目在建设和运行中应认真执行国家、地方环境保护的有关规定和要求。按照当地</w:t>
            </w:r>
            <w:r>
              <w:rPr>
                <w:rFonts w:hint="default" w:ascii="Times New Roman" w:hAnsi="Times New Roman" w:cs="Times New Roman"/>
                <w:color w:val="auto"/>
                <w:kern w:val="24"/>
                <w:sz w:val="24"/>
                <w:highlight w:val="none"/>
              </w:rPr>
              <w:t>生态环境主管部门</w:t>
            </w:r>
            <w:r>
              <w:rPr>
                <w:rFonts w:hint="default" w:ascii="Times New Roman" w:hAnsi="Times New Roman" w:cs="Times New Roman"/>
                <w:color w:val="auto"/>
                <w:sz w:val="24"/>
                <w:highlight w:val="none"/>
              </w:rPr>
              <w:t>的要求及时反映发生的环保问题，接受</w:t>
            </w:r>
            <w:r>
              <w:rPr>
                <w:rFonts w:hint="default" w:ascii="Times New Roman" w:hAnsi="Times New Roman" w:cs="Times New Roman"/>
                <w:color w:val="auto"/>
                <w:kern w:val="24"/>
                <w:sz w:val="24"/>
                <w:highlight w:val="none"/>
              </w:rPr>
              <w:t>生态环境主管部门</w:t>
            </w:r>
            <w:r>
              <w:rPr>
                <w:rFonts w:hint="default" w:ascii="Times New Roman" w:hAnsi="Times New Roman" w:cs="Times New Roman"/>
                <w:color w:val="auto"/>
                <w:sz w:val="24"/>
                <w:highlight w:val="none"/>
              </w:rPr>
              <w:t>的检查监督。</w:t>
            </w:r>
            <w:bookmarkEnd w:id="17"/>
            <w:bookmarkEnd w:id="18"/>
          </w:p>
          <w:p w14:paraId="48BD301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（2）加强宣传教育，增强施工及管理人员的环保意识。</w:t>
            </w:r>
          </w:p>
          <w:p w14:paraId="1CEBC25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（3）加强风险事故防范机制，避免污染性的突发事件发生。</w:t>
            </w:r>
          </w:p>
          <w:p w14:paraId="1B8C7754">
            <w:pPr>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2、排污许可证办理</w:t>
            </w:r>
          </w:p>
          <w:p w14:paraId="76CA898F">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根据《排污许可管理条例》（中华人民共和国国务院令 第736号），本项目为简化管理，应当在启动生产设施或者发生实际排污之前，向玉溪市生态环境局申请取得排污许可证。</w:t>
            </w:r>
          </w:p>
          <w:p w14:paraId="530C2E0E">
            <w:pPr>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3、建设项目竣工环境保护验收</w:t>
            </w:r>
          </w:p>
          <w:p w14:paraId="154FB9B6">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环保设施竣工验收由建设单位自行组织实施验收。建设单位是建设项目竣工环境保护验收的责任主体，应当按照《建设项目竣工环境保护验收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w:t>
            </w:r>
          </w:p>
          <w:p w14:paraId="2E9440CD">
            <w:pPr>
              <w:adjustRightInd w:val="0"/>
              <w:snapToGrid w:val="0"/>
              <w:spacing w:line="360" w:lineRule="auto"/>
              <w:ind w:firstLine="480" w:firstLineChars="200"/>
              <w:rPr>
                <w:rFonts w:hint="default" w:ascii="Times New Roman" w:hAnsi="Times New Roman" w:cs="Times New Roman"/>
                <w:bCs/>
                <w:color w:val="auto"/>
                <w:sz w:val="24"/>
                <w:highlight w:val="none"/>
              </w:rPr>
            </w:pPr>
          </w:p>
          <w:p w14:paraId="0886CF78">
            <w:pPr>
              <w:adjustRightInd w:val="0"/>
              <w:snapToGrid w:val="0"/>
              <w:spacing w:line="360" w:lineRule="auto"/>
              <w:ind w:firstLine="420" w:firstLineChars="200"/>
              <w:rPr>
                <w:rFonts w:hint="default" w:ascii="Times New Roman" w:hAnsi="Times New Roman" w:cs="Times New Roman"/>
                <w:bCs/>
                <w:color w:val="auto"/>
                <w:szCs w:val="21"/>
                <w:highlight w:val="none"/>
              </w:rPr>
            </w:pPr>
          </w:p>
          <w:p w14:paraId="14631BC0">
            <w:pPr>
              <w:adjustRightInd w:val="0"/>
              <w:snapToGrid w:val="0"/>
              <w:spacing w:line="360" w:lineRule="auto"/>
              <w:ind w:firstLine="420" w:firstLineChars="200"/>
              <w:rPr>
                <w:rFonts w:hint="default" w:ascii="Times New Roman" w:hAnsi="Times New Roman" w:cs="Times New Roman"/>
                <w:bCs/>
                <w:color w:val="auto"/>
                <w:szCs w:val="21"/>
                <w:highlight w:val="none"/>
              </w:rPr>
            </w:pPr>
          </w:p>
          <w:p w14:paraId="392C495A">
            <w:pPr>
              <w:adjustRightInd w:val="0"/>
              <w:snapToGrid w:val="0"/>
              <w:spacing w:line="360" w:lineRule="auto"/>
              <w:ind w:firstLine="420" w:firstLineChars="200"/>
              <w:rPr>
                <w:rFonts w:hint="default" w:ascii="Times New Roman" w:hAnsi="Times New Roman" w:cs="Times New Roman"/>
                <w:bCs/>
                <w:color w:val="auto"/>
                <w:szCs w:val="21"/>
                <w:highlight w:val="none"/>
              </w:rPr>
            </w:pPr>
          </w:p>
          <w:p w14:paraId="7306C8CD">
            <w:pPr>
              <w:adjustRightInd w:val="0"/>
              <w:snapToGrid w:val="0"/>
              <w:spacing w:line="360" w:lineRule="auto"/>
              <w:ind w:firstLine="420" w:firstLineChars="200"/>
              <w:rPr>
                <w:rFonts w:hint="default" w:ascii="Times New Roman" w:hAnsi="Times New Roman" w:cs="Times New Roman"/>
                <w:bCs/>
                <w:color w:val="auto"/>
                <w:szCs w:val="21"/>
                <w:highlight w:val="none"/>
              </w:rPr>
            </w:pPr>
          </w:p>
          <w:p w14:paraId="665248C5">
            <w:pPr>
              <w:adjustRightInd w:val="0"/>
              <w:snapToGrid w:val="0"/>
              <w:spacing w:line="360" w:lineRule="auto"/>
              <w:ind w:firstLine="420" w:firstLineChars="200"/>
              <w:rPr>
                <w:rFonts w:hint="default" w:ascii="Times New Roman" w:hAnsi="Times New Roman" w:cs="Times New Roman"/>
                <w:bCs/>
                <w:color w:val="auto"/>
                <w:szCs w:val="21"/>
                <w:highlight w:val="none"/>
              </w:rPr>
            </w:pPr>
          </w:p>
          <w:p w14:paraId="7DBEA7C5">
            <w:pPr>
              <w:adjustRightInd w:val="0"/>
              <w:snapToGrid w:val="0"/>
              <w:spacing w:line="360" w:lineRule="auto"/>
              <w:ind w:firstLine="420" w:firstLineChars="200"/>
              <w:rPr>
                <w:rFonts w:hint="default" w:ascii="Times New Roman" w:hAnsi="Times New Roman" w:cs="Times New Roman"/>
                <w:bCs/>
                <w:color w:val="auto"/>
                <w:szCs w:val="21"/>
                <w:highlight w:val="none"/>
              </w:rPr>
            </w:pPr>
          </w:p>
          <w:p w14:paraId="16373A96">
            <w:pPr>
              <w:adjustRightInd w:val="0"/>
              <w:snapToGrid w:val="0"/>
              <w:spacing w:line="360" w:lineRule="auto"/>
              <w:ind w:firstLine="420" w:firstLineChars="200"/>
              <w:rPr>
                <w:rFonts w:hint="default" w:ascii="Times New Roman" w:hAnsi="Times New Roman" w:cs="Times New Roman"/>
                <w:bCs/>
                <w:color w:val="auto"/>
                <w:szCs w:val="21"/>
                <w:highlight w:val="none"/>
              </w:rPr>
            </w:pPr>
          </w:p>
          <w:p w14:paraId="5E53F5CA">
            <w:pPr>
              <w:adjustRightInd w:val="0"/>
              <w:snapToGrid w:val="0"/>
              <w:spacing w:line="360" w:lineRule="auto"/>
              <w:rPr>
                <w:rFonts w:hint="default" w:ascii="Times New Roman" w:hAnsi="Times New Roman" w:cs="Times New Roman"/>
                <w:color w:val="auto"/>
                <w:szCs w:val="21"/>
                <w:highlight w:val="none"/>
              </w:rPr>
            </w:pPr>
          </w:p>
        </w:tc>
      </w:tr>
    </w:tbl>
    <w:p w14:paraId="52627757">
      <w:pPr>
        <w:pStyle w:val="28"/>
        <w:jc w:val="both"/>
        <w:outlineLvl w:val="0"/>
        <w:rPr>
          <w:rFonts w:hint="default" w:ascii="Times New Roman" w:hAnsi="Times New Roman" w:eastAsia="黑体" w:cs="Times New Roman"/>
          <w:snapToGrid w:val="0"/>
          <w:color w:val="auto"/>
          <w:sz w:val="30"/>
          <w:szCs w:val="30"/>
          <w:highlight w:val="none"/>
        </w:rPr>
        <w:sectPr>
          <w:pgSz w:w="11906" w:h="16838"/>
          <w:pgMar w:top="1361" w:right="1361" w:bottom="1361" w:left="1361" w:header="851" w:footer="851" w:gutter="0"/>
          <w:cols w:space="720" w:num="1"/>
          <w:docGrid w:linePitch="312" w:charSpace="0"/>
        </w:sectPr>
      </w:pPr>
    </w:p>
    <w:p w14:paraId="0D9AB589">
      <w:pPr>
        <w:pStyle w:val="28"/>
        <w:jc w:val="center"/>
        <w:outlineLvl w:val="0"/>
        <w:rPr>
          <w:rFonts w:hint="default" w:ascii="Times New Roman" w:hAnsi="Times New Roman" w:eastAsia="黑体" w:cs="Times New Roman"/>
          <w:b/>
          <w:bCs/>
          <w:snapToGrid w:val="0"/>
          <w:color w:val="auto"/>
          <w:sz w:val="30"/>
          <w:szCs w:val="30"/>
          <w:highlight w:val="none"/>
        </w:rPr>
      </w:pPr>
      <w:bookmarkStart w:id="19" w:name="_Toc221181289"/>
      <w:r>
        <w:rPr>
          <w:rFonts w:hint="default" w:ascii="Times New Roman" w:hAnsi="Times New Roman" w:eastAsia="黑体" w:cs="Times New Roman"/>
          <w:b/>
          <w:bCs/>
          <w:snapToGrid w:val="0"/>
          <w:color w:val="auto"/>
          <w:sz w:val="30"/>
          <w:szCs w:val="30"/>
          <w:highlight w:val="none"/>
        </w:rPr>
        <w:t>六、结论</w:t>
      </w:r>
      <w:bookmarkEnd w:id="19"/>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50C99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0" w:hRule="atLeast"/>
          <w:jc w:val="center"/>
        </w:trPr>
        <w:tc>
          <w:tcPr>
            <w:tcW w:w="8865" w:type="dxa"/>
          </w:tcPr>
          <w:p w14:paraId="0332F5CE">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符合国家有关产业政策，选址合理，符合相关规划；符合玉溪市“三线一单”及生态环境分区管控要求；总平面布置合理可行。落实本次评价提出的污染防治措施后，废气可做到达标排放，各类废水分类收集，分质预处理使重金属等第一类水污染物达标后，进入污水处理站处理达标后，排入市政污水管网，最终进入华宁县污水处理厂；厂界噪声通过建筑结构隔声、设备减震措施后达标排放；固体废物处置合理，不会对周边环境产生明显不利影响。在项目建设和运营管理期间，认真落实环评提出的各项污染防治措施，污染物能达标排放，对环境的影响可以接受，从环境影响的角度，本项目建设可行。</w:t>
            </w:r>
          </w:p>
          <w:p w14:paraId="39762544">
            <w:pPr>
              <w:spacing w:line="360" w:lineRule="auto"/>
              <w:ind w:firstLine="480" w:firstLineChars="200"/>
              <w:jc w:val="left"/>
              <w:rPr>
                <w:rFonts w:hint="default" w:ascii="Times New Roman" w:hAnsi="Times New Roman" w:cs="Times New Roman"/>
                <w:color w:val="auto"/>
                <w:sz w:val="24"/>
                <w:highlight w:val="none"/>
              </w:rPr>
            </w:pPr>
          </w:p>
          <w:p w14:paraId="14367184">
            <w:pPr>
              <w:spacing w:line="360" w:lineRule="auto"/>
              <w:ind w:firstLine="480" w:firstLineChars="200"/>
              <w:jc w:val="left"/>
              <w:rPr>
                <w:rFonts w:hint="default" w:ascii="Times New Roman" w:hAnsi="Times New Roman" w:cs="Times New Roman"/>
                <w:color w:val="auto"/>
                <w:sz w:val="24"/>
                <w:highlight w:val="none"/>
              </w:rPr>
            </w:pPr>
          </w:p>
          <w:p w14:paraId="30E5778A">
            <w:pPr>
              <w:spacing w:line="360" w:lineRule="auto"/>
              <w:ind w:firstLine="480" w:firstLineChars="200"/>
              <w:jc w:val="left"/>
              <w:rPr>
                <w:rFonts w:hint="default" w:ascii="Times New Roman" w:hAnsi="Times New Roman" w:cs="Times New Roman"/>
                <w:color w:val="auto"/>
                <w:sz w:val="24"/>
                <w:highlight w:val="none"/>
              </w:rPr>
            </w:pPr>
          </w:p>
          <w:p w14:paraId="42D9CF0C">
            <w:pPr>
              <w:spacing w:line="360" w:lineRule="auto"/>
              <w:ind w:firstLine="480" w:firstLineChars="200"/>
              <w:jc w:val="left"/>
              <w:rPr>
                <w:rFonts w:hint="default" w:ascii="Times New Roman" w:hAnsi="Times New Roman" w:cs="Times New Roman"/>
                <w:color w:val="auto"/>
                <w:sz w:val="24"/>
                <w:highlight w:val="none"/>
              </w:rPr>
            </w:pPr>
          </w:p>
          <w:p w14:paraId="7F99936A">
            <w:pPr>
              <w:spacing w:line="360" w:lineRule="auto"/>
              <w:ind w:firstLine="480" w:firstLineChars="200"/>
              <w:jc w:val="left"/>
              <w:rPr>
                <w:rFonts w:hint="default" w:ascii="Times New Roman" w:hAnsi="Times New Roman" w:cs="Times New Roman"/>
                <w:color w:val="auto"/>
                <w:sz w:val="24"/>
                <w:highlight w:val="none"/>
              </w:rPr>
            </w:pPr>
          </w:p>
          <w:p w14:paraId="3037FD87">
            <w:pPr>
              <w:spacing w:line="360" w:lineRule="auto"/>
              <w:ind w:firstLine="480" w:firstLineChars="200"/>
              <w:jc w:val="left"/>
              <w:rPr>
                <w:rFonts w:hint="default" w:ascii="Times New Roman" w:hAnsi="Times New Roman" w:cs="Times New Roman"/>
                <w:color w:val="auto"/>
                <w:sz w:val="24"/>
                <w:highlight w:val="none"/>
              </w:rPr>
            </w:pPr>
          </w:p>
          <w:p w14:paraId="33DE55F3">
            <w:pPr>
              <w:spacing w:line="360" w:lineRule="auto"/>
              <w:ind w:firstLine="480" w:firstLineChars="200"/>
              <w:jc w:val="left"/>
              <w:rPr>
                <w:rFonts w:hint="default" w:ascii="Times New Roman" w:hAnsi="Times New Roman" w:cs="Times New Roman"/>
                <w:color w:val="auto"/>
                <w:sz w:val="24"/>
                <w:highlight w:val="none"/>
              </w:rPr>
            </w:pPr>
          </w:p>
          <w:p w14:paraId="0D262901">
            <w:pPr>
              <w:spacing w:line="360" w:lineRule="auto"/>
              <w:ind w:firstLine="480" w:firstLineChars="200"/>
              <w:jc w:val="left"/>
              <w:rPr>
                <w:rFonts w:hint="default" w:ascii="Times New Roman" w:hAnsi="Times New Roman" w:cs="Times New Roman"/>
                <w:color w:val="auto"/>
                <w:sz w:val="24"/>
                <w:highlight w:val="none"/>
              </w:rPr>
            </w:pPr>
          </w:p>
          <w:p w14:paraId="0E44DD31">
            <w:pPr>
              <w:spacing w:line="360" w:lineRule="auto"/>
              <w:ind w:firstLine="480" w:firstLineChars="200"/>
              <w:jc w:val="left"/>
              <w:rPr>
                <w:rFonts w:hint="default" w:ascii="Times New Roman" w:hAnsi="Times New Roman" w:cs="Times New Roman"/>
                <w:color w:val="auto"/>
                <w:sz w:val="24"/>
                <w:highlight w:val="none"/>
              </w:rPr>
            </w:pPr>
          </w:p>
          <w:p w14:paraId="258D310A">
            <w:pPr>
              <w:spacing w:line="360" w:lineRule="auto"/>
              <w:ind w:firstLine="480" w:firstLineChars="200"/>
              <w:jc w:val="left"/>
              <w:rPr>
                <w:rFonts w:hint="default" w:ascii="Times New Roman" w:hAnsi="Times New Roman" w:cs="Times New Roman"/>
                <w:color w:val="auto"/>
                <w:sz w:val="24"/>
                <w:highlight w:val="none"/>
              </w:rPr>
            </w:pPr>
          </w:p>
          <w:p w14:paraId="1EDA89B1">
            <w:pPr>
              <w:spacing w:line="360" w:lineRule="auto"/>
              <w:ind w:firstLine="480" w:firstLineChars="200"/>
              <w:jc w:val="left"/>
              <w:rPr>
                <w:rFonts w:hint="default" w:ascii="Times New Roman" w:hAnsi="Times New Roman" w:cs="Times New Roman"/>
                <w:color w:val="auto"/>
                <w:sz w:val="24"/>
                <w:highlight w:val="none"/>
              </w:rPr>
            </w:pPr>
          </w:p>
          <w:p w14:paraId="252BC48B">
            <w:pPr>
              <w:spacing w:line="360" w:lineRule="auto"/>
              <w:ind w:firstLine="480" w:firstLineChars="200"/>
              <w:jc w:val="left"/>
              <w:rPr>
                <w:rFonts w:hint="default" w:ascii="Times New Roman" w:hAnsi="Times New Roman" w:cs="Times New Roman"/>
                <w:color w:val="auto"/>
                <w:sz w:val="24"/>
                <w:highlight w:val="none"/>
              </w:rPr>
            </w:pPr>
          </w:p>
          <w:p w14:paraId="2F58C8A8">
            <w:pPr>
              <w:spacing w:line="360" w:lineRule="auto"/>
              <w:ind w:firstLine="480" w:firstLineChars="200"/>
              <w:jc w:val="left"/>
              <w:rPr>
                <w:rFonts w:hint="default" w:ascii="Times New Roman" w:hAnsi="Times New Roman" w:cs="Times New Roman"/>
                <w:color w:val="auto"/>
                <w:sz w:val="24"/>
                <w:highlight w:val="none"/>
              </w:rPr>
            </w:pPr>
          </w:p>
          <w:p w14:paraId="66068D60">
            <w:pPr>
              <w:spacing w:line="360" w:lineRule="auto"/>
              <w:ind w:firstLine="480" w:firstLineChars="200"/>
              <w:jc w:val="left"/>
              <w:rPr>
                <w:rFonts w:hint="default" w:ascii="Times New Roman" w:hAnsi="Times New Roman" w:cs="Times New Roman"/>
                <w:color w:val="auto"/>
                <w:sz w:val="24"/>
                <w:highlight w:val="none"/>
              </w:rPr>
            </w:pPr>
          </w:p>
          <w:p w14:paraId="3FB58624">
            <w:pPr>
              <w:spacing w:line="360" w:lineRule="auto"/>
              <w:ind w:firstLine="480" w:firstLineChars="200"/>
              <w:jc w:val="left"/>
              <w:rPr>
                <w:rFonts w:hint="default" w:ascii="Times New Roman" w:hAnsi="Times New Roman" w:cs="Times New Roman"/>
                <w:color w:val="auto"/>
                <w:sz w:val="24"/>
                <w:highlight w:val="none"/>
              </w:rPr>
            </w:pPr>
          </w:p>
          <w:p w14:paraId="1061A4FD">
            <w:pPr>
              <w:spacing w:line="360" w:lineRule="auto"/>
              <w:ind w:firstLine="480" w:firstLineChars="200"/>
              <w:jc w:val="left"/>
              <w:rPr>
                <w:rFonts w:hint="default" w:ascii="Times New Roman" w:hAnsi="Times New Roman" w:cs="Times New Roman"/>
                <w:color w:val="auto"/>
                <w:sz w:val="24"/>
                <w:highlight w:val="none"/>
              </w:rPr>
            </w:pPr>
          </w:p>
          <w:p w14:paraId="7D1CB652">
            <w:pPr>
              <w:spacing w:line="360" w:lineRule="auto"/>
              <w:ind w:firstLine="480" w:firstLineChars="200"/>
              <w:jc w:val="left"/>
              <w:rPr>
                <w:rFonts w:hint="default" w:ascii="Times New Roman" w:hAnsi="Times New Roman" w:cs="Times New Roman"/>
                <w:color w:val="auto"/>
                <w:sz w:val="24"/>
                <w:highlight w:val="none"/>
              </w:rPr>
            </w:pPr>
          </w:p>
          <w:p w14:paraId="3576A62F">
            <w:pPr>
              <w:spacing w:line="360" w:lineRule="auto"/>
              <w:ind w:firstLine="480" w:firstLineChars="200"/>
              <w:jc w:val="left"/>
              <w:rPr>
                <w:rFonts w:hint="default" w:ascii="Times New Roman" w:hAnsi="Times New Roman" w:cs="Times New Roman"/>
                <w:color w:val="auto"/>
                <w:sz w:val="24"/>
                <w:highlight w:val="none"/>
              </w:rPr>
            </w:pPr>
          </w:p>
          <w:p w14:paraId="746EA266">
            <w:pPr>
              <w:spacing w:line="360" w:lineRule="auto"/>
              <w:ind w:firstLine="480" w:firstLineChars="200"/>
              <w:jc w:val="left"/>
              <w:rPr>
                <w:rFonts w:hint="default" w:ascii="Times New Roman" w:hAnsi="Times New Roman" w:cs="Times New Roman"/>
                <w:color w:val="auto"/>
                <w:sz w:val="24"/>
                <w:highlight w:val="none"/>
              </w:rPr>
            </w:pPr>
          </w:p>
          <w:p w14:paraId="767B0C31">
            <w:pPr>
              <w:spacing w:line="360" w:lineRule="auto"/>
              <w:ind w:firstLine="480" w:firstLineChars="200"/>
              <w:jc w:val="left"/>
              <w:rPr>
                <w:rFonts w:hint="default" w:ascii="Times New Roman" w:hAnsi="Times New Roman" w:cs="Times New Roman"/>
                <w:color w:val="auto"/>
                <w:sz w:val="24"/>
                <w:highlight w:val="none"/>
              </w:rPr>
            </w:pPr>
          </w:p>
          <w:p w14:paraId="07923D0A">
            <w:pPr>
              <w:spacing w:line="360" w:lineRule="auto"/>
              <w:ind w:firstLine="480" w:firstLineChars="200"/>
              <w:jc w:val="left"/>
              <w:rPr>
                <w:rFonts w:hint="default" w:ascii="Times New Roman" w:hAnsi="Times New Roman" w:cs="Times New Roman"/>
                <w:color w:val="auto"/>
                <w:sz w:val="24"/>
                <w:highlight w:val="none"/>
              </w:rPr>
            </w:pPr>
          </w:p>
        </w:tc>
      </w:tr>
    </w:tbl>
    <w:p w14:paraId="34155739">
      <w:pPr>
        <w:rPr>
          <w:rFonts w:hint="default" w:ascii="Times New Roman" w:hAnsi="Times New Roman" w:cs="Times New Roman"/>
          <w:color w:val="auto"/>
          <w:highlight w:val="none"/>
        </w:rPr>
        <w:sectPr>
          <w:pgSz w:w="11906" w:h="16838"/>
          <w:pgMar w:top="1701" w:right="1531" w:bottom="1701" w:left="1531" w:header="851" w:footer="851" w:gutter="0"/>
          <w:cols w:space="720" w:num="1"/>
          <w:docGrid w:linePitch="312" w:charSpace="0"/>
        </w:sectPr>
      </w:pPr>
    </w:p>
    <w:p w14:paraId="7B878664">
      <w:pPr>
        <w:rPr>
          <w:rFonts w:hint="default" w:ascii="Times New Roman" w:hAnsi="Times New Roman" w:cs="Times New Roman"/>
          <w:b/>
          <w:bCs/>
          <w:color w:val="auto"/>
          <w:highlight w:val="none"/>
        </w:rPr>
      </w:pPr>
      <w:r>
        <w:rPr>
          <w:rFonts w:hint="default" w:ascii="Times New Roman" w:hAnsi="Times New Roman" w:cs="Times New Roman"/>
          <w:b/>
          <w:bCs/>
          <w:snapToGrid w:val="0"/>
          <w:color w:val="auto"/>
          <w:sz w:val="32"/>
          <w:szCs w:val="32"/>
          <w:highlight w:val="none"/>
        </w:rPr>
        <w:t>附表</w:t>
      </w:r>
    </w:p>
    <w:p w14:paraId="193BB5B3">
      <w:pPr>
        <w:spacing w:line="360" w:lineRule="auto"/>
        <w:jc w:val="center"/>
        <w:rPr>
          <w:rFonts w:hint="default" w:ascii="Times New Roman" w:hAnsi="Times New Roman" w:cs="Times New Roman"/>
          <w:b/>
          <w:bCs/>
          <w:color w:val="auto"/>
          <w:sz w:val="32"/>
          <w:szCs w:val="32"/>
          <w:highlight w:val="none"/>
        </w:rPr>
      </w:pPr>
      <w:r>
        <w:rPr>
          <w:rFonts w:hint="default" w:ascii="Times New Roman" w:hAnsi="Times New Roman" w:cs="Times New Roman"/>
          <w:b/>
          <w:bCs/>
          <w:color w:val="auto"/>
          <w:sz w:val="32"/>
          <w:szCs w:val="32"/>
          <w:highlight w:val="none"/>
        </w:rPr>
        <w:t>建设项目污染物排放量汇总表</w:t>
      </w:r>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08"/>
        <w:gridCol w:w="1605"/>
        <w:gridCol w:w="1584"/>
        <w:gridCol w:w="1288"/>
        <w:gridCol w:w="1512"/>
        <w:gridCol w:w="1496"/>
        <w:gridCol w:w="1704"/>
        <w:gridCol w:w="1732"/>
        <w:gridCol w:w="1559"/>
      </w:tblGrid>
      <w:tr w14:paraId="183F2C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tcBorders>
              <w:tl2br w:val="single" w:color="auto" w:sz="4" w:space="0"/>
            </w:tcBorders>
            <w:tcMar>
              <w:left w:w="28" w:type="dxa"/>
              <w:right w:w="28" w:type="dxa"/>
            </w:tcMar>
            <w:vAlign w:val="center"/>
          </w:tcPr>
          <w:p w14:paraId="22B641D0">
            <w:pPr>
              <w:pStyle w:val="66"/>
              <w:spacing w:beforeLines="0" w:afterLines="0" w:line="240" w:lineRule="auto"/>
              <w:ind w:firstLine="396"/>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45077B5D">
            <w:pPr>
              <w:pStyle w:val="66"/>
              <w:spacing w:beforeLines="0" w:afterLines="0" w:line="240" w:lineRule="auto"/>
              <w:ind w:firstLine="198" w:firstLineChars="100"/>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605" w:type="dxa"/>
            <w:tcMar>
              <w:left w:w="28" w:type="dxa"/>
              <w:right w:w="28" w:type="dxa"/>
            </w:tcMar>
            <w:vAlign w:val="center"/>
          </w:tcPr>
          <w:p w14:paraId="4B147E78">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584" w:type="dxa"/>
            <w:tcMar>
              <w:left w:w="28" w:type="dxa"/>
              <w:right w:w="28" w:type="dxa"/>
            </w:tcMar>
            <w:vAlign w:val="center"/>
          </w:tcPr>
          <w:p w14:paraId="6C4499B5">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1EC9A5F9">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288" w:type="dxa"/>
            <w:tcMar>
              <w:left w:w="28" w:type="dxa"/>
              <w:right w:w="28" w:type="dxa"/>
            </w:tcMar>
            <w:vAlign w:val="center"/>
          </w:tcPr>
          <w:p w14:paraId="38F1069E">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1197A7FA">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0213EDBA">
            <w:pPr>
              <w:pStyle w:val="66"/>
              <w:spacing w:beforeLines="0" w:afterLine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512" w:type="dxa"/>
            <w:tcMar>
              <w:left w:w="28" w:type="dxa"/>
              <w:right w:w="28" w:type="dxa"/>
            </w:tcMar>
            <w:vAlign w:val="center"/>
          </w:tcPr>
          <w:p w14:paraId="5193AC1F">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293EF9E8">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496" w:type="dxa"/>
            <w:tcMar>
              <w:left w:w="28" w:type="dxa"/>
              <w:right w:w="28" w:type="dxa"/>
            </w:tcMar>
            <w:vAlign w:val="center"/>
          </w:tcPr>
          <w:p w14:paraId="7005FF30">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311BC056">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704" w:type="dxa"/>
            <w:tcMar>
              <w:left w:w="28" w:type="dxa"/>
              <w:right w:w="28" w:type="dxa"/>
            </w:tcMar>
            <w:vAlign w:val="center"/>
          </w:tcPr>
          <w:p w14:paraId="10AE6C4D">
            <w:pPr>
              <w:pStyle w:val="66"/>
              <w:spacing w:beforeLines="0" w:afterLines="0" w:line="240" w:lineRule="auto"/>
              <w:ind w:firstLine="0" w:firstLineChars="0"/>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0E7D7D46">
            <w:pPr>
              <w:pStyle w:val="66"/>
              <w:spacing w:beforeLines="0" w:afterLines="0" w:line="240" w:lineRule="auto"/>
              <w:ind w:firstLine="0" w:firstLineChars="0"/>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732" w:type="dxa"/>
            <w:tcMar>
              <w:left w:w="28" w:type="dxa"/>
              <w:right w:w="28" w:type="dxa"/>
            </w:tcMar>
            <w:vAlign w:val="center"/>
          </w:tcPr>
          <w:p w14:paraId="7F3B9BDA">
            <w:pPr>
              <w:pStyle w:val="66"/>
              <w:spacing w:beforeLines="0" w:afterLines="0" w:line="240" w:lineRule="auto"/>
              <w:ind w:firstLine="0" w:firstLineChars="0"/>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2CD6E798">
            <w:pPr>
              <w:pStyle w:val="66"/>
              <w:spacing w:beforeLines="0" w:afterLines="0" w:line="240" w:lineRule="auto"/>
              <w:ind w:firstLine="0" w:firstLineChars="0"/>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559" w:type="dxa"/>
            <w:tcMar>
              <w:left w:w="28" w:type="dxa"/>
              <w:right w:w="28" w:type="dxa"/>
            </w:tcMar>
            <w:vAlign w:val="center"/>
          </w:tcPr>
          <w:p w14:paraId="4B7F6D30">
            <w:pPr>
              <w:pStyle w:val="66"/>
              <w:spacing w:beforeLines="0" w:afterLines="0" w:line="240" w:lineRule="auto"/>
              <w:ind w:firstLine="0" w:firstLineChar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728CA267">
            <w:pPr>
              <w:pStyle w:val="66"/>
              <w:spacing w:beforeLines="0" w:afterLines="0" w:line="240" w:lineRule="auto"/>
              <w:jc w:val="both"/>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4957C1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restart"/>
            <w:vAlign w:val="center"/>
          </w:tcPr>
          <w:p w14:paraId="4AA29C6E">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605" w:type="dxa"/>
            <w:vAlign w:val="center"/>
          </w:tcPr>
          <w:p w14:paraId="5B57F3C9">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氨气</w:t>
            </w:r>
          </w:p>
        </w:tc>
        <w:tc>
          <w:tcPr>
            <w:tcW w:w="1584" w:type="dxa"/>
            <w:vAlign w:val="center"/>
          </w:tcPr>
          <w:p w14:paraId="58305F54">
            <w:pPr>
              <w:pStyle w:val="32"/>
              <w:ind w:left="0" w:leftChars="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0.1</w:t>
            </w:r>
            <w:r>
              <w:rPr>
                <w:rFonts w:hint="default" w:ascii="Times New Roman" w:hAnsi="Times New Roman" w:cs="Times New Roman"/>
                <w:color w:val="auto"/>
                <w:sz w:val="21"/>
                <w:szCs w:val="21"/>
                <w:highlight w:val="none"/>
              </w:rPr>
              <w:t>kg/a</w:t>
            </w:r>
          </w:p>
        </w:tc>
        <w:tc>
          <w:tcPr>
            <w:tcW w:w="1288" w:type="dxa"/>
            <w:vAlign w:val="center"/>
          </w:tcPr>
          <w:p w14:paraId="52C5F647">
            <w:pPr>
              <w:pStyle w:val="32"/>
              <w:ind w:firstLine="0" w:firstLineChars="0"/>
              <w:jc w:val="center"/>
              <w:rPr>
                <w:rFonts w:hint="default" w:ascii="Times New Roman" w:hAnsi="Times New Roman" w:cs="Times New Roman"/>
                <w:snapToGrid w:val="0"/>
                <w:color w:val="auto"/>
                <w:kern w:val="21"/>
                <w:szCs w:val="21"/>
                <w:highlight w:val="none"/>
              </w:rPr>
            </w:pPr>
          </w:p>
        </w:tc>
        <w:tc>
          <w:tcPr>
            <w:tcW w:w="1512" w:type="dxa"/>
            <w:vAlign w:val="center"/>
          </w:tcPr>
          <w:p w14:paraId="0F85D6B1">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1C89F01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0.0142kg/a</w:t>
            </w:r>
          </w:p>
        </w:tc>
        <w:tc>
          <w:tcPr>
            <w:tcW w:w="1704" w:type="dxa"/>
            <w:vAlign w:val="center"/>
          </w:tcPr>
          <w:p w14:paraId="72CB4C48">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7C3A6861">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0.1142kg/a</w:t>
            </w:r>
          </w:p>
        </w:tc>
        <w:tc>
          <w:tcPr>
            <w:tcW w:w="1559" w:type="dxa"/>
            <w:vAlign w:val="center"/>
          </w:tcPr>
          <w:p w14:paraId="67C345C0">
            <w:pPr>
              <w:pStyle w:val="1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0.0142kg/a</w:t>
            </w:r>
          </w:p>
        </w:tc>
      </w:tr>
      <w:tr w14:paraId="7F6D97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46B94486">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4C86A511">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584" w:type="dxa"/>
            <w:vAlign w:val="center"/>
          </w:tcPr>
          <w:p w14:paraId="64775597">
            <w:pPr>
              <w:pStyle w:val="32"/>
              <w:ind w:left="0" w:leftChars="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0.175</w:t>
            </w:r>
            <w:r>
              <w:rPr>
                <w:rFonts w:hint="default" w:ascii="Times New Roman" w:hAnsi="Times New Roman" w:cs="Times New Roman"/>
                <w:color w:val="auto"/>
                <w:sz w:val="21"/>
                <w:szCs w:val="21"/>
                <w:highlight w:val="none"/>
              </w:rPr>
              <w:t>kg/a</w:t>
            </w:r>
          </w:p>
        </w:tc>
        <w:tc>
          <w:tcPr>
            <w:tcW w:w="1288" w:type="dxa"/>
            <w:vAlign w:val="center"/>
          </w:tcPr>
          <w:p w14:paraId="511B6895">
            <w:pPr>
              <w:pStyle w:val="32"/>
              <w:ind w:firstLine="0" w:firstLineChars="0"/>
              <w:jc w:val="center"/>
              <w:rPr>
                <w:rFonts w:hint="default" w:ascii="Times New Roman" w:hAnsi="Times New Roman" w:cs="Times New Roman"/>
                <w:snapToGrid w:val="0"/>
                <w:color w:val="auto"/>
                <w:kern w:val="21"/>
                <w:szCs w:val="21"/>
                <w:highlight w:val="none"/>
              </w:rPr>
            </w:pPr>
          </w:p>
        </w:tc>
        <w:tc>
          <w:tcPr>
            <w:tcW w:w="1512" w:type="dxa"/>
            <w:vAlign w:val="center"/>
          </w:tcPr>
          <w:p w14:paraId="2387F718">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321F1AD4">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0.0268kg/a</w:t>
            </w:r>
          </w:p>
        </w:tc>
        <w:tc>
          <w:tcPr>
            <w:tcW w:w="1704" w:type="dxa"/>
            <w:vAlign w:val="center"/>
          </w:tcPr>
          <w:p w14:paraId="6E54F8F3">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4CDF7C7C">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0.2018kg/a</w:t>
            </w:r>
          </w:p>
        </w:tc>
        <w:tc>
          <w:tcPr>
            <w:tcW w:w="1559" w:type="dxa"/>
            <w:vAlign w:val="center"/>
          </w:tcPr>
          <w:p w14:paraId="34B784C7">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0.0268kg/a</w:t>
            </w:r>
          </w:p>
        </w:tc>
      </w:tr>
      <w:tr w14:paraId="6B4855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2A4939AC">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563654DF">
            <w:pPr>
              <w:pStyle w:val="10"/>
              <w:spacing w:line="240" w:lineRule="auto"/>
              <w:ind w:firstLine="0" w:firstLineChars="0"/>
              <w:jc w:val="center"/>
              <w:rPr>
                <w:rFonts w:hint="default" w:ascii="Times New Roman" w:hAnsi="Times New Roman" w:cs="Times New Roman"/>
                <w:color w:val="auto"/>
                <w:sz w:val="21"/>
                <w:szCs w:val="21"/>
                <w:highlight w:val="none"/>
                <w:lang w:bidi="ar"/>
              </w:rPr>
            </w:pPr>
            <w:r>
              <w:rPr>
                <w:rFonts w:hint="default" w:ascii="Times New Roman" w:hAnsi="Times New Roman" w:cs="Times New Roman"/>
                <w:color w:val="auto"/>
                <w:sz w:val="21"/>
                <w:szCs w:val="21"/>
                <w:highlight w:val="none"/>
              </w:rPr>
              <w:t>硫酸雾</w:t>
            </w:r>
          </w:p>
        </w:tc>
        <w:tc>
          <w:tcPr>
            <w:tcW w:w="1584" w:type="dxa"/>
            <w:vAlign w:val="center"/>
          </w:tcPr>
          <w:p w14:paraId="7D62E399">
            <w:pPr>
              <w:pStyle w:val="32"/>
              <w:ind w:left="0" w:leftChars="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0.003</w:t>
            </w:r>
            <w:r>
              <w:rPr>
                <w:rFonts w:hint="default" w:ascii="Times New Roman" w:hAnsi="Times New Roman" w:cs="Times New Roman"/>
                <w:color w:val="auto"/>
                <w:sz w:val="21"/>
                <w:szCs w:val="21"/>
                <w:highlight w:val="none"/>
              </w:rPr>
              <w:t>kg/a</w:t>
            </w:r>
          </w:p>
        </w:tc>
        <w:tc>
          <w:tcPr>
            <w:tcW w:w="1288" w:type="dxa"/>
            <w:vAlign w:val="center"/>
          </w:tcPr>
          <w:p w14:paraId="55C256B2">
            <w:pPr>
              <w:pStyle w:val="32"/>
              <w:ind w:firstLine="0" w:firstLineChars="0"/>
              <w:jc w:val="center"/>
              <w:rPr>
                <w:rFonts w:hint="default" w:ascii="Times New Roman" w:hAnsi="Times New Roman" w:cs="Times New Roman"/>
                <w:snapToGrid w:val="0"/>
                <w:color w:val="auto"/>
                <w:kern w:val="21"/>
                <w:szCs w:val="21"/>
                <w:highlight w:val="none"/>
              </w:rPr>
            </w:pPr>
          </w:p>
        </w:tc>
        <w:tc>
          <w:tcPr>
            <w:tcW w:w="1512" w:type="dxa"/>
            <w:vAlign w:val="center"/>
          </w:tcPr>
          <w:p w14:paraId="1B84DD15">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5322301E">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0.00007kg/a</w:t>
            </w:r>
          </w:p>
        </w:tc>
        <w:tc>
          <w:tcPr>
            <w:tcW w:w="1704" w:type="dxa"/>
            <w:vAlign w:val="center"/>
          </w:tcPr>
          <w:p w14:paraId="619CBF4B">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55639CA0">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0.00307kg/a</w:t>
            </w:r>
          </w:p>
        </w:tc>
        <w:tc>
          <w:tcPr>
            <w:tcW w:w="1559" w:type="dxa"/>
            <w:vAlign w:val="center"/>
          </w:tcPr>
          <w:p w14:paraId="697C940B">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0.00007kg/a</w:t>
            </w:r>
          </w:p>
        </w:tc>
      </w:tr>
      <w:tr w14:paraId="680849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510E3B81">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2A0DA9D8">
            <w:pPr>
              <w:pStyle w:val="10"/>
              <w:spacing w:line="240" w:lineRule="auto"/>
              <w:ind w:firstLine="0" w:firstLineChars="0"/>
              <w:jc w:val="center"/>
              <w:rPr>
                <w:rFonts w:hint="default" w:ascii="Times New Roman" w:hAnsi="Times New Roman" w:cs="Times New Roman"/>
                <w:color w:val="auto"/>
                <w:sz w:val="21"/>
                <w:szCs w:val="21"/>
                <w:highlight w:val="none"/>
                <w:lang w:bidi="ar"/>
              </w:rPr>
            </w:pPr>
            <w:r>
              <w:rPr>
                <w:rFonts w:hint="default" w:ascii="Times New Roman" w:hAnsi="Times New Roman" w:cs="Times New Roman"/>
                <w:color w:val="auto"/>
                <w:sz w:val="21"/>
                <w:szCs w:val="21"/>
                <w:highlight w:val="none"/>
              </w:rPr>
              <w:t>HCl</w:t>
            </w:r>
          </w:p>
        </w:tc>
        <w:tc>
          <w:tcPr>
            <w:tcW w:w="1584" w:type="dxa"/>
            <w:vAlign w:val="center"/>
          </w:tcPr>
          <w:p w14:paraId="69397F1C">
            <w:pPr>
              <w:pStyle w:val="32"/>
              <w:ind w:left="0" w:leftChars="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0.35</w:t>
            </w:r>
            <w:r>
              <w:rPr>
                <w:rFonts w:hint="default" w:ascii="Times New Roman" w:hAnsi="Times New Roman" w:cs="Times New Roman"/>
                <w:color w:val="auto"/>
                <w:sz w:val="21"/>
                <w:szCs w:val="21"/>
                <w:highlight w:val="none"/>
              </w:rPr>
              <w:t>kg/a</w:t>
            </w:r>
          </w:p>
        </w:tc>
        <w:tc>
          <w:tcPr>
            <w:tcW w:w="1288" w:type="dxa"/>
            <w:vAlign w:val="center"/>
          </w:tcPr>
          <w:p w14:paraId="5DCE457D">
            <w:pPr>
              <w:pStyle w:val="32"/>
              <w:ind w:firstLine="0" w:firstLineChars="0"/>
              <w:jc w:val="center"/>
              <w:rPr>
                <w:rFonts w:hint="default" w:ascii="Times New Roman" w:hAnsi="Times New Roman" w:cs="Times New Roman"/>
                <w:snapToGrid w:val="0"/>
                <w:color w:val="auto"/>
                <w:kern w:val="21"/>
                <w:szCs w:val="21"/>
                <w:highlight w:val="none"/>
              </w:rPr>
            </w:pPr>
          </w:p>
        </w:tc>
        <w:tc>
          <w:tcPr>
            <w:tcW w:w="1512" w:type="dxa"/>
            <w:vAlign w:val="center"/>
          </w:tcPr>
          <w:p w14:paraId="4D4CB0F7">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122DC46E">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0.0151kg/a</w:t>
            </w:r>
          </w:p>
        </w:tc>
        <w:tc>
          <w:tcPr>
            <w:tcW w:w="1704" w:type="dxa"/>
            <w:vAlign w:val="center"/>
          </w:tcPr>
          <w:p w14:paraId="00D57B7E">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18EF47D9">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0.3651kg/a</w:t>
            </w:r>
          </w:p>
        </w:tc>
        <w:tc>
          <w:tcPr>
            <w:tcW w:w="1559" w:type="dxa"/>
            <w:vAlign w:val="center"/>
          </w:tcPr>
          <w:p w14:paraId="2EA416B7">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0.0151kg/a</w:t>
            </w:r>
          </w:p>
        </w:tc>
      </w:tr>
      <w:tr w14:paraId="596CAB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20F3D6BC">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4581A6D7">
            <w:pPr>
              <w:widowControl/>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VOCs</w:t>
            </w:r>
          </w:p>
        </w:tc>
        <w:tc>
          <w:tcPr>
            <w:tcW w:w="1584" w:type="dxa"/>
            <w:vAlign w:val="center"/>
          </w:tcPr>
          <w:p w14:paraId="19EA56F5">
            <w:pPr>
              <w:pStyle w:val="32"/>
              <w:ind w:left="0" w:leftChars="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0.225</w:t>
            </w:r>
            <w:r>
              <w:rPr>
                <w:rFonts w:hint="default" w:ascii="Times New Roman" w:hAnsi="Times New Roman" w:cs="Times New Roman"/>
                <w:color w:val="auto"/>
                <w:sz w:val="21"/>
                <w:szCs w:val="21"/>
                <w:highlight w:val="none"/>
              </w:rPr>
              <w:t>kg/a</w:t>
            </w:r>
          </w:p>
        </w:tc>
        <w:tc>
          <w:tcPr>
            <w:tcW w:w="1288" w:type="dxa"/>
            <w:vAlign w:val="center"/>
          </w:tcPr>
          <w:p w14:paraId="4E16A81B">
            <w:pPr>
              <w:pStyle w:val="32"/>
              <w:ind w:firstLine="0" w:firstLineChars="0"/>
              <w:jc w:val="center"/>
              <w:rPr>
                <w:rFonts w:hint="default" w:ascii="Times New Roman" w:hAnsi="Times New Roman" w:cs="Times New Roman"/>
                <w:snapToGrid w:val="0"/>
                <w:color w:val="auto"/>
                <w:kern w:val="21"/>
                <w:szCs w:val="21"/>
                <w:highlight w:val="none"/>
              </w:rPr>
            </w:pPr>
          </w:p>
        </w:tc>
        <w:tc>
          <w:tcPr>
            <w:tcW w:w="1512" w:type="dxa"/>
            <w:vAlign w:val="center"/>
          </w:tcPr>
          <w:p w14:paraId="563BE900">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536692FE">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0.0552kg/a</w:t>
            </w:r>
          </w:p>
        </w:tc>
        <w:tc>
          <w:tcPr>
            <w:tcW w:w="1704" w:type="dxa"/>
            <w:vAlign w:val="center"/>
          </w:tcPr>
          <w:p w14:paraId="21220CFE">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32592346">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0.2802kg/a</w:t>
            </w:r>
          </w:p>
        </w:tc>
        <w:tc>
          <w:tcPr>
            <w:tcW w:w="1559" w:type="dxa"/>
            <w:vAlign w:val="center"/>
          </w:tcPr>
          <w:p w14:paraId="20AAF459">
            <w:pPr>
              <w:pStyle w:val="10"/>
              <w:spacing w:line="240" w:lineRule="auto"/>
              <w:ind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color w:val="auto"/>
                <w:sz w:val="21"/>
                <w:szCs w:val="21"/>
                <w:highlight w:val="none"/>
              </w:rPr>
              <w:t>0.0552kg/a</w:t>
            </w:r>
          </w:p>
        </w:tc>
      </w:tr>
      <w:tr w14:paraId="1FE24A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restart"/>
            <w:vAlign w:val="center"/>
          </w:tcPr>
          <w:p w14:paraId="38FB93E2">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605" w:type="dxa"/>
            <w:vAlign w:val="center"/>
          </w:tcPr>
          <w:p w14:paraId="266504CB">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排放量</w:t>
            </w:r>
          </w:p>
        </w:tc>
        <w:tc>
          <w:tcPr>
            <w:tcW w:w="1584" w:type="dxa"/>
            <w:vAlign w:val="center"/>
          </w:tcPr>
          <w:p w14:paraId="0C75A25C">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674.6t/a</w:t>
            </w:r>
          </w:p>
        </w:tc>
        <w:tc>
          <w:tcPr>
            <w:tcW w:w="1288" w:type="dxa"/>
            <w:vAlign w:val="center"/>
          </w:tcPr>
          <w:p w14:paraId="17E26942">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63ECC78A">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0DAFECAD">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128t/a</w:t>
            </w:r>
          </w:p>
        </w:tc>
        <w:tc>
          <w:tcPr>
            <w:tcW w:w="1704" w:type="dxa"/>
            <w:vAlign w:val="center"/>
          </w:tcPr>
          <w:p w14:paraId="31175FC5">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68C1E7DF">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Cs w:val="21"/>
                <w:highlight w:val="none"/>
                <w:lang w:bidi="ar"/>
              </w:rPr>
              <w:t>802.6</w:t>
            </w:r>
            <w:r>
              <w:rPr>
                <w:rFonts w:hint="default" w:ascii="Times New Roman" w:hAnsi="Times New Roman" w:cs="Times New Roman"/>
                <w:snapToGrid w:val="0"/>
                <w:color w:val="auto"/>
                <w:kern w:val="21"/>
                <w:szCs w:val="21"/>
                <w:highlight w:val="none"/>
              </w:rPr>
              <w:t>t/a</w:t>
            </w:r>
          </w:p>
        </w:tc>
        <w:tc>
          <w:tcPr>
            <w:tcW w:w="1559" w:type="dxa"/>
            <w:vAlign w:val="center"/>
          </w:tcPr>
          <w:p w14:paraId="71E95802">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128t/a</w:t>
            </w:r>
          </w:p>
        </w:tc>
      </w:tr>
      <w:tr w14:paraId="799FAA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7A886AEC">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511308BF">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pH（无量纲）</w:t>
            </w:r>
          </w:p>
        </w:tc>
        <w:tc>
          <w:tcPr>
            <w:tcW w:w="1584" w:type="dxa"/>
            <w:vAlign w:val="center"/>
          </w:tcPr>
          <w:p w14:paraId="2699D73F">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6-9</w:t>
            </w:r>
          </w:p>
        </w:tc>
        <w:tc>
          <w:tcPr>
            <w:tcW w:w="1288" w:type="dxa"/>
            <w:vAlign w:val="center"/>
          </w:tcPr>
          <w:p w14:paraId="37F6E887">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68D4213F">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37B38EC7">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6-9</w:t>
            </w:r>
          </w:p>
        </w:tc>
        <w:tc>
          <w:tcPr>
            <w:tcW w:w="1704" w:type="dxa"/>
            <w:vAlign w:val="center"/>
          </w:tcPr>
          <w:p w14:paraId="26BEC54E">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0674EAA7">
            <w:pPr>
              <w:widowControl/>
              <w:jc w:val="center"/>
              <w:textAlignment w:val="center"/>
              <w:rPr>
                <w:rFonts w:hint="default" w:ascii="Times New Roman" w:hAnsi="Times New Roman" w:cs="Times New Roman"/>
                <w:color w:val="auto"/>
                <w:kern w:val="0"/>
                <w:szCs w:val="21"/>
                <w:highlight w:val="none"/>
                <w:lang w:bidi="ar"/>
              </w:rPr>
            </w:pPr>
          </w:p>
        </w:tc>
        <w:tc>
          <w:tcPr>
            <w:tcW w:w="1559" w:type="dxa"/>
            <w:vAlign w:val="center"/>
          </w:tcPr>
          <w:p w14:paraId="56CB7D8D">
            <w:pPr>
              <w:widowControl/>
              <w:jc w:val="center"/>
              <w:textAlignment w:val="center"/>
              <w:rPr>
                <w:rFonts w:hint="default" w:ascii="Times New Roman" w:hAnsi="Times New Roman" w:cs="Times New Roman"/>
                <w:snapToGrid w:val="0"/>
                <w:color w:val="auto"/>
                <w:kern w:val="21"/>
                <w:szCs w:val="21"/>
                <w:highlight w:val="none"/>
              </w:rPr>
            </w:pPr>
          </w:p>
        </w:tc>
      </w:tr>
      <w:tr w14:paraId="0AF226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619C7C96">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4D992748">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COD</w:t>
            </w:r>
          </w:p>
        </w:tc>
        <w:tc>
          <w:tcPr>
            <w:tcW w:w="1584" w:type="dxa"/>
            <w:vAlign w:val="center"/>
          </w:tcPr>
          <w:p w14:paraId="0784D73E">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0.035618</w:t>
            </w:r>
            <w:r>
              <w:rPr>
                <w:rFonts w:hint="default" w:ascii="Times New Roman" w:hAnsi="Times New Roman" w:cs="Times New Roman"/>
                <w:snapToGrid w:val="0"/>
                <w:color w:val="auto"/>
                <w:kern w:val="21"/>
                <w:szCs w:val="21"/>
                <w:highlight w:val="none"/>
              </w:rPr>
              <w:t>t/a</w:t>
            </w:r>
          </w:p>
        </w:tc>
        <w:tc>
          <w:tcPr>
            <w:tcW w:w="1288" w:type="dxa"/>
            <w:vAlign w:val="center"/>
          </w:tcPr>
          <w:p w14:paraId="0E421016">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176FD610">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3873F4E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0.00704</w:t>
            </w:r>
            <w:r>
              <w:rPr>
                <w:rFonts w:hint="default" w:ascii="Times New Roman" w:hAnsi="Times New Roman" w:cs="Times New Roman"/>
                <w:snapToGrid w:val="0"/>
                <w:color w:val="auto"/>
                <w:kern w:val="21"/>
                <w:szCs w:val="21"/>
                <w:highlight w:val="none"/>
              </w:rPr>
              <w:t>t/a</w:t>
            </w:r>
          </w:p>
        </w:tc>
        <w:tc>
          <w:tcPr>
            <w:tcW w:w="1704" w:type="dxa"/>
            <w:vAlign w:val="center"/>
          </w:tcPr>
          <w:p w14:paraId="53867078">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67959AC9">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0.042658</w:t>
            </w:r>
            <w:r>
              <w:rPr>
                <w:rFonts w:hint="default" w:ascii="Times New Roman" w:hAnsi="Times New Roman" w:cs="Times New Roman"/>
                <w:snapToGrid w:val="0"/>
                <w:color w:val="auto"/>
                <w:kern w:val="21"/>
                <w:szCs w:val="21"/>
                <w:highlight w:val="none"/>
              </w:rPr>
              <w:t>t/a</w:t>
            </w:r>
          </w:p>
        </w:tc>
        <w:tc>
          <w:tcPr>
            <w:tcW w:w="1559" w:type="dxa"/>
            <w:vAlign w:val="center"/>
          </w:tcPr>
          <w:p w14:paraId="7160002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0.00704</w:t>
            </w:r>
            <w:r>
              <w:rPr>
                <w:rFonts w:hint="default" w:ascii="Times New Roman" w:hAnsi="Times New Roman" w:cs="Times New Roman"/>
                <w:snapToGrid w:val="0"/>
                <w:color w:val="auto"/>
                <w:kern w:val="21"/>
                <w:szCs w:val="21"/>
                <w:highlight w:val="none"/>
              </w:rPr>
              <w:t>t/a</w:t>
            </w:r>
          </w:p>
        </w:tc>
      </w:tr>
      <w:tr w14:paraId="449528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06C9D8B6">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088B6B3A">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BOD</w:t>
            </w:r>
            <w:r>
              <w:rPr>
                <w:rFonts w:hint="default" w:ascii="Times New Roman" w:hAnsi="Times New Roman" w:cs="Times New Roman"/>
                <w:color w:val="auto"/>
                <w:szCs w:val="21"/>
                <w:highlight w:val="none"/>
                <w:vertAlign w:val="subscript"/>
              </w:rPr>
              <w:t>5</w:t>
            </w:r>
          </w:p>
        </w:tc>
        <w:tc>
          <w:tcPr>
            <w:tcW w:w="1584" w:type="dxa"/>
            <w:vAlign w:val="center"/>
          </w:tcPr>
          <w:p w14:paraId="679D50E2">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0.0111387</w:t>
            </w:r>
            <w:r>
              <w:rPr>
                <w:rFonts w:hint="default" w:ascii="Times New Roman" w:hAnsi="Times New Roman" w:cs="Times New Roman"/>
                <w:snapToGrid w:val="0"/>
                <w:color w:val="auto"/>
                <w:kern w:val="21"/>
                <w:szCs w:val="21"/>
                <w:highlight w:val="none"/>
              </w:rPr>
              <w:t>t/a</w:t>
            </w:r>
          </w:p>
        </w:tc>
        <w:tc>
          <w:tcPr>
            <w:tcW w:w="1288" w:type="dxa"/>
            <w:vAlign w:val="center"/>
          </w:tcPr>
          <w:p w14:paraId="1934CC84">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19969256">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4078B16D">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0.0022016</w:t>
            </w:r>
            <w:r>
              <w:rPr>
                <w:rFonts w:hint="default" w:ascii="Times New Roman" w:hAnsi="Times New Roman" w:cs="Times New Roman"/>
                <w:snapToGrid w:val="0"/>
                <w:color w:val="auto"/>
                <w:kern w:val="21"/>
                <w:szCs w:val="21"/>
                <w:highlight w:val="none"/>
              </w:rPr>
              <w:t>t/a</w:t>
            </w:r>
          </w:p>
        </w:tc>
        <w:tc>
          <w:tcPr>
            <w:tcW w:w="1704" w:type="dxa"/>
            <w:vAlign w:val="center"/>
          </w:tcPr>
          <w:p w14:paraId="713B87AC">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13D0D2F7">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0.0133403</w:t>
            </w:r>
            <w:r>
              <w:rPr>
                <w:rFonts w:hint="default" w:ascii="Times New Roman" w:hAnsi="Times New Roman" w:cs="Times New Roman"/>
                <w:snapToGrid w:val="0"/>
                <w:color w:val="auto"/>
                <w:kern w:val="21"/>
                <w:szCs w:val="21"/>
                <w:highlight w:val="none"/>
              </w:rPr>
              <w:t>t/a</w:t>
            </w:r>
          </w:p>
        </w:tc>
        <w:tc>
          <w:tcPr>
            <w:tcW w:w="1559" w:type="dxa"/>
            <w:vAlign w:val="center"/>
          </w:tcPr>
          <w:p w14:paraId="4D39FC6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0.0022016</w:t>
            </w:r>
            <w:r>
              <w:rPr>
                <w:rFonts w:hint="default" w:ascii="Times New Roman" w:hAnsi="Times New Roman" w:cs="Times New Roman"/>
                <w:snapToGrid w:val="0"/>
                <w:color w:val="auto"/>
                <w:kern w:val="21"/>
                <w:szCs w:val="21"/>
                <w:highlight w:val="none"/>
              </w:rPr>
              <w:t>t/a</w:t>
            </w:r>
          </w:p>
        </w:tc>
      </w:tr>
      <w:tr w14:paraId="14564A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2934277D">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50DB9CA8">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SS</w:t>
            </w:r>
          </w:p>
        </w:tc>
        <w:tc>
          <w:tcPr>
            <w:tcW w:w="1584" w:type="dxa"/>
            <w:vAlign w:val="center"/>
          </w:tcPr>
          <w:p w14:paraId="1415C65B">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0.0050513</w:t>
            </w:r>
            <w:r>
              <w:rPr>
                <w:rFonts w:hint="default" w:ascii="Times New Roman" w:hAnsi="Times New Roman" w:cs="Times New Roman"/>
                <w:snapToGrid w:val="0"/>
                <w:color w:val="auto"/>
                <w:kern w:val="21"/>
                <w:szCs w:val="21"/>
                <w:highlight w:val="none"/>
              </w:rPr>
              <w:t>t/a</w:t>
            </w:r>
          </w:p>
        </w:tc>
        <w:tc>
          <w:tcPr>
            <w:tcW w:w="1288" w:type="dxa"/>
            <w:vAlign w:val="center"/>
          </w:tcPr>
          <w:p w14:paraId="22674510">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6ED12C89">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69A666AC">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0.0009984</w:t>
            </w:r>
            <w:r>
              <w:rPr>
                <w:rFonts w:hint="default" w:ascii="Times New Roman" w:hAnsi="Times New Roman" w:cs="Times New Roman"/>
                <w:snapToGrid w:val="0"/>
                <w:color w:val="auto"/>
                <w:kern w:val="21"/>
                <w:szCs w:val="21"/>
                <w:highlight w:val="none"/>
              </w:rPr>
              <w:t>t/a</w:t>
            </w:r>
          </w:p>
        </w:tc>
        <w:tc>
          <w:tcPr>
            <w:tcW w:w="1704" w:type="dxa"/>
            <w:vAlign w:val="center"/>
          </w:tcPr>
          <w:p w14:paraId="2FBDCBB2">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1F3C4521">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0.0060497</w:t>
            </w:r>
            <w:r>
              <w:rPr>
                <w:rFonts w:hint="default" w:ascii="Times New Roman" w:hAnsi="Times New Roman" w:cs="Times New Roman"/>
                <w:snapToGrid w:val="0"/>
                <w:color w:val="auto"/>
                <w:kern w:val="21"/>
                <w:szCs w:val="21"/>
                <w:highlight w:val="none"/>
              </w:rPr>
              <w:t>t/a</w:t>
            </w:r>
          </w:p>
        </w:tc>
        <w:tc>
          <w:tcPr>
            <w:tcW w:w="1559" w:type="dxa"/>
            <w:vAlign w:val="center"/>
          </w:tcPr>
          <w:p w14:paraId="6634D82E">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0.0009984</w:t>
            </w:r>
            <w:r>
              <w:rPr>
                <w:rFonts w:hint="default" w:ascii="Times New Roman" w:hAnsi="Times New Roman" w:cs="Times New Roman"/>
                <w:snapToGrid w:val="0"/>
                <w:color w:val="auto"/>
                <w:kern w:val="21"/>
                <w:szCs w:val="21"/>
                <w:highlight w:val="none"/>
              </w:rPr>
              <w:t>t/a</w:t>
            </w:r>
          </w:p>
        </w:tc>
      </w:tr>
      <w:tr w14:paraId="700CA8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4D7CCE1B">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47FBBF2B">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NH</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-N</w:t>
            </w:r>
          </w:p>
        </w:tc>
        <w:tc>
          <w:tcPr>
            <w:tcW w:w="1584" w:type="dxa"/>
            <w:vAlign w:val="center"/>
          </w:tcPr>
          <w:p w14:paraId="1FE1BAE7">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0.0081598</w:t>
            </w:r>
            <w:r>
              <w:rPr>
                <w:rFonts w:hint="default" w:ascii="Times New Roman" w:hAnsi="Times New Roman" w:cs="Times New Roman"/>
                <w:snapToGrid w:val="0"/>
                <w:color w:val="auto"/>
                <w:kern w:val="21"/>
                <w:szCs w:val="21"/>
                <w:highlight w:val="none"/>
              </w:rPr>
              <w:t>t/a</w:t>
            </w:r>
          </w:p>
        </w:tc>
        <w:tc>
          <w:tcPr>
            <w:tcW w:w="1288" w:type="dxa"/>
            <w:vAlign w:val="center"/>
          </w:tcPr>
          <w:p w14:paraId="31CBE112">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75864F5F">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3C9FD591">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0.0016128</w:t>
            </w:r>
            <w:r>
              <w:rPr>
                <w:rFonts w:hint="default" w:ascii="Times New Roman" w:hAnsi="Times New Roman" w:cs="Times New Roman"/>
                <w:snapToGrid w:val="0"/>
                <w:color w:val="auto"/>
                <w:kern w:val="21"/>
                <w:szCs w:val="21"/>
                <w:highlight w:val="none"/>
              </w:rPr>
              <w:t>t/a</w:t>
            </w:r>
          </w:p>
        </w:tc>
        <w:tc>
          <w:tcPr>
            <w:tcW w:w="1704" w:type="dxa"/>
            <w:vAlign w:val="center"/>
          </w:tcPr>
          <w:p w14:paraId="5AD0DE70">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19F24276">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0.0097726</w:t>
            </w:r>
            <w:r>
              <w:rPr>
                <w:rFonts w:hint="default" w:ascii="Times New Roman" w:hAnsi="Times New Roman" w:cs="Times New Roman"/>
                <w:snapToGrid w:val="0"/>
                <w:color w:val="auto"/>
                <w:kern w:val="21"/>
                <w:szCs w:val="21"/>
                <w:highlight w:val="none"/>
              </w:rPr>
              <w:t>t/a</w:t>
            </w:r>
          </w:p>
        </w:tc>
        <w:tc>
          <w:tcPr>
            <w:tcW w:w="1559" w:type="dxa"/>
            <w:vAlign w:val="center"/>
          </w:tcPr>
          <w:p w14:paraId="7DEC5F30">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0.0016128</w:t>
            </w:r>
            <w:r>
              <w:rPr>
                <w:rFonts w:hint="default" w:ascii="Times New Roman" w:hAnsi="Times New Roman" w:cs="Times New Roman"/>
                <w:snapToGrid w:val="0"/>
                <w:color w:val="auto"/>
                <w:kern w:val="21"/>
                <w:szCs w:val="21"/>
                <w:highlight w:val="none"/>
              </w:rPr>
              <w:t>t/a</w:t>
            </w:r>
          </w:p>
        </w:tc>
      </w:tr>
      <w:tr w14:paraId="668FE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30B1BDD0">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2DCBB11A">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粪大肠菌群</w:t>
            </w:r>
          </w:p>
        </w:tc>
        <w:tc>
          <w:tcPr>
            <w:tcW w:w="1584" w:type="dxa"/>
            <w:vAlign w:val="center"/>
          </w:tcPr>
          <w:p w14:paraId="7A55F26E">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0.0019428</w:t>
            </w:r>
            <w:r>
              <w:rPr>
                <w:rFonts w:hint="default" w:ascii="Times New Roman" w:hAnsi="Times New Roman" w:cs="Times New Roman"/>
                <w:snapToGrid w:val="0"/>
                <w:color w:val="auto"/>
                <w:kern w:val="21"/>
                <w:szCs w:val="21"/>
                <w:highlight w:val="none"/>
              </w:rPr>
              <w:t>t/a</w:t>
            </w:r>
          </w:p>
        </w:tc>
        <w:tc>
          <w:tcPr>
            <w:tcW w:w="1288" w:type="dxa"/>
            <w:vAlign w:val="center"/>
          </w:tcPr>
          <w:p w14:paraId="4E426ACF">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650862FC">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0DCA4AF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0.000384</w:t>
            </w:r>
            <w:r>
              <w:rPr>
                <w:rFonts w:hint="default" w:ascii="Times New Roman" w:hAnsi="Times New Roman" w:cs="Times New Roman"/>
                <w:snapToGrid w:val="0"/>
                <w:color w:val="auto"/>
                <w:kern w:val="21"/>
                <w:szCs w:val="21"/>
                <w:highlight w:val="none"/>
              </w:rPr>
              <w:t>t/a</w:t>
            </w:r>
          </w:p>
        </w:tc>
        <w:tc>
          <w:tcPr>
            <w:tcW w:w="1704" w:type="dxa"/>
            <w:vAlign w:val="center"/>
          </w:tcPr>
          <w:p w14:paraId="24A9E0E2">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24251612">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0.0023268</w:t>
            </w:r>
            <w:r>
              <w:rPr>
                <w:rFonts w:hint="default" w:ascii="Times New Roman" w:hAnsi="Times New Roman" w:cs="Times New Roman"/>
                <w:snapToGrid w:val="0"/>
                <w:color w:val="auto"/>
                <w:kern w:val="21"/>
                <w:szCs w:val="21"/>
                <w:highlight w:val="none"/>
              </w:rPr>
              <w:t>t/a</w:t>
            </w:r>
          </w:p>
        </w:tc>
        <w:tc>
          <w:tcPr>
            <w:tcW w:w="1559" w:type="dxa"/>
            <w:vAlign w:val="center"/>
          </w:tcPr>
          <w:p w14:paraId="3DCC6D75">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0.000384</w:t>
            </w:r>
            <w:r>
              <w:rPr>
                <w:rFonts w:hint="default" w:ascii="Times New Roman" w:hAnsi="Times New Roman" w:cs="Times New Roman"/>
                <w:snapToGrid w:val="0"/>
                <w:color w:val="auto"/>
                <w:kern w:val="21"/>
                <w:szCs w:val="21"/>
                <w:highlight w:val="none"/>
              </w:rPr>
              <w:t>t/a</w:t>
            </w:r>
          </w:p>
        </w:tc>
      </w:tr>
      <w:tr w14:paraId="0EA835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3ACA263D">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7829C939">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总余氯</w:t>
            </w:r>
          </w:p>
        </w:tc>
        <w:tc>
          <w:tcPr>
            <w:tcW w:w="1584" w:type="dxa"/>
            <w:vAlign w:val="center"/>
          </w:tcPr>
          <w:p w14:paraId="76199274">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0.0055176</w:t>
            </w:r>
            <w:r>
              <w:rPr>
                <w:rFonts w:hint="default" w:ascii="Times New Roman" w:hAnsi="Times New Roman" w:cs="Times New Roman"/>
                <w:snapToGrid w:val="0"/>
                <w:color w:val="auto"/>
                <w:kern w:val="21"/>
                <w:szCs w:val="21"/>
                <w:highlight w:val="none"/>
              </w:rPr>
              <w:t>t/a</w:t>
            </w:r>
          </w:p>
        </w:tc>
        <w:tc>
          <w:tcPr>
            <w:tcW w:w="1288" w:type="dxa"/>
            <w:vAlign w:val="center"/>
          </w:tcPr>
          <w:p w14:paraId="4E146AFE">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0059800C">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049203CF">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0.00109056</w:t>
            </w:r>
            <w:r>
              <w:rPr>
                <w:rFonts w:hint="default" w:ascii="Times New Roman" w:hAnsi="Times New Roman" w:cs="Times New Roman"/>
                <w:snapToGrid w:val="0"/>
                <w:color w:val="auto"/>
                <w:kern w:val="21"/>
                <w:szCs w:val="21"/>
                <w:highlight w:val="none"/>
              </w:rPr>
              <w:t>t/a</w:t>
            </w:r>
          </w:p>
        </w:tc>
        <w:tc>
          <w:tcPr>
            <w:tcW w:w="1704" w:type="dxa"/>
            <w:vAlign w:val="center"/>
          </w:tcPr>
          <w:p w14:paraId="70A8DF8F">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1995647A">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0.00660816</w:t>
            </w:r>
            <w:r>
              <w:rPr>
                <w:rFonts w:hint="default" w:ascii="Times New Roman" w:hAnsi="Times New Roman" w:cs="Times New Roman"/>
                <w:snapToGrid w:val="0"/>
                <w:color w:val="auto"/>
                <w:kern w:val="21"/>
                <w:szCs w:val="21"/>
                <w:highlight w:val="none"/>
              </w:rPr>
              <w:t>t/a</w:t>
            </w:r>
          </w:p>
        </w:tc>
        <w:tc>
          <w:tcPr>
            <w:tcW w:w="1559" w:type="dxa"/>
            <w:vAlign w:val="center"/>
          </w:tcPr>
          <w:p w14:paraId="133C62D5">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0.00109056</w:t>
            </w:r>
            <w:r>
              <w:rPr>
                <w:rFonts w:hint="default" w:ascii="Times New Roman" w:hAnsi="Times New Roman" w:cs="Times New Roman"/>
                <w:snapToGrid w:val="0"/>
                <w:color w:val="auto"/>
                <w:kern w:val="21"/>
                <w:szCs w:val="21"/>
                <w:highlight w:val="none"/>
              </w:rPr>
              <w:t>t/a</w:t>
            </w:r>
          </w:p>
        </w:tc>
      </w:tr>
      <w:tr w14:paraId="5EE4A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6629E046">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6F8DBE1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石油类</w:t>
            </w:r>
          </w:p>
        </w:tc>
        <w:tc>
          <w:tcPr>
            <w:tcW w:w="1584" w:type="dxa"/>
            <w:vAlign w:val="center"/>
          </w:tcPr>
          <w:p w14:paraId="2BC237F9">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0.0000389</w:t>
            </w:r>
            <w:r>
              <w:rPr>
                <w:rFonts w:hint="default" w:ascii="Times New Roman" w:hAnsi="Times New Roman" w:cs="Times New Roman"/>
                <w:snapToGrid w:val="0"/>
                <w:color w:val="auto"/>
                <w:kern w:val="21"/>
                <w:szCs w:val="21"/>
                <w:highlight w:val="none"/>
              </w:rPr>
              <w:t>t/a</w:t>
            </w:r>
          </w:p>
        </w:tc>
        <w:tc>
          <w:tcPr>
            <w:tcW w:w="1288" w:type="dxa"/>
            <w:vAlign w:val="center"/>
          </w:tcPr>
          <w:p w14:paraId="54EA072D">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31221A45">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0456A981">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0.00000768</w:t>
            </w:r>
            <w:r>
              <w:rPr>
                <w:rFonts w:hint="default" w:ascii="Times New Roman" w:hAnsi="Times New Roman" w:cs="Times New Roman"/>
                <w:snapToGrid w:val="0"/>
                <w:color w:val="auto"/>
                <w:kern w:val="21"/>
                <w:szCs w:val="21"/>
                <w:highlight w:val="none"/>
              </w:rPr>
              <w:t>t/a</w:t>
            </w:r>
          </w:p>
        </w:tc>
        <w:tc>
          <w:tcPr>
            <w:tcW w:w="1704" w:type="dxa"/>
            <w:vAlign w:val="center"/>
          </w:tcPr>
          <w:p w14:paraId="0BB16493">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2F6C236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0.00004658</w:t>
            </w:r>
            <w:r>
              <w:rPr>
                <w:rFonts w:hint="default" w:ascii="Times New Roman" w:hAnsi="Times New Roman" w:cs="Times New Roman"/>
                <w:snapToGrid w:val="0"/>
                <w:color w:val="auto"/>
                <w:kern w:val="21"/>
                <w:szCs w:val="21"/>
                <w:highlight w:val="none"/>
              </w:rPr>
              <w:t>t/a</w:t>
            </w:r>
          </w:p>
        </w:tc>
        <w:tc>
          <w:tcPr>
            <w:tcW w:w="1559" w:type="dxa"/>
            <w:vAlign w:val="center"/>
          </w:tcPr>
          <w:p w14:paraId="62973BF9">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0.00000768</w:t>
            </w:r>
            <w:r>
              <w:rPr>
                <w:rFonts w:hint="default" w:ascii="Times New Roman" w:hAnsi="Times New Roman" w:cs="Times New Roman"/>
                <w:snapToGrid w:val="0"/>
                <w:color w:val="auto"/>
                <w:kern w:val="21"/>
                <w:szCs w:val="21"/>
                <w:highlight w:val="none"/>
              </w:rPr>
              <w:t>t/a</w:t>
            </w:r>
          </w:p>
        </w:tc>
      </w:tr>
      <w:tr w14:paraId="1C000C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060A258E">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4E4F7E7E">
            <w:pPr>
              <w:adjustRightInd w:val="0"/>
              <w:snapToGrid w:val="0"/>
              <w:jc w:val="center"/>
              <w:rPr>
                <w:rFonts w:hint="default" w:ascii="Times New Roman" w:hAnsi="Times New Roman" w:cs="Times New Roman"/>
                <w:snapToGrid w:val="0"/>
                <w:color w:val="auto"/>
                <w:kern w:val="0"/>
                <w:szCs w:val="21"/>
                <w:highlight w:val="none"/>
              </w:rPr>
            </w:pPr>
            <w:r>
              <w:rPr>
                <w:rFonts w:hint="default" w:ascii="Times New Roman" w:hAnsi="Times New Roman" w:cs="Times New Roman"/>
                <w:color w:val="auto"/>
                <w:szCs w:val="21"/>
                <w:highlight w:val="none"/>
              </w:rPr>
              <w:t>LAS</w:t>
            </w:r>
          </w:p>
        </w:tc>
        <w:tc>
          <w:tcPr>
            <w:tcW w:w="1584" w:type="dxa"/>
            <w:vAlign w:val="center"/>
          </w:tcPr>
          <w:p w14:paraId="5AB493AB">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0.0000777</w:t>
            </w:r>
            <w:r>
              <w:rPr>
                <w:rFonts w:hint="default" w:ascii="Times New Roman" w:hAnsi="Times New Roman" w:cs="Times New Roman"/>
                <w:snapToGrid w:val="0"/>
                <w:color w:val="auto"/>
                <w:kern w:val="21"/>
                <w:szCs w:val="21"/>
                <w:highlight w:val="none"/>
              </w:rPr>
              <w:t>t/a</w:t>
            </w:r>
          </w:p>
        </w:tc>
        <w:tc>
          <w:tcPr>
            <w:tcW w:w="1288" w:type="dxa"/>
            <w:vAlign w:val="center"/>
          </w:tcPr>
          <w:p w14:paraId="5C91F68A">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66ABE9CB">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6C34EC8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0.00001536</w:t>
            </w:r>
            <w:r>
              <w:rPr>
                <w:rFonts w:hint="default" w:ascii="Times New Roman" w:hAnsi="Times New Roman" w:cs="Times New Roman"/>
                <w:snapToGrid w:val="0"/>
                <w:color w:val="auto"/>
                <w:kern w:val="21"/>
                <w:szCs w:val="21"/>
                <w:highlight w:val="none"/>
              </w:rPr>
              <w:t>t/a</w:t>
            </w:r>
          </w:p>
        </w:tc>
        <w:tc>
          <w:tcPr>
            <w:tcW w:w="1704" w:type="dxa"/>
            <w:vAlign w:val="center"/>
          </w:tcPr>
          <w:p w14:paraId="45630ACD">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03A23BCF">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0.00009306</w:t>
            </w:r>
            <w:r>
              <w:rPr>
                <w:rFonts w:hint="default" w:ascii="Times New Roman" w:hAnsi="Times New Roman" w:cs="Times New Roman"/>
                <w:snapToGrid w:val="0"/>
                <w:color w:val="auto"/>
                <w:kern w:val="21"/>
                <w:szCs w:val="21"/>
                <w:highlight w:val="none"/>
              </w:rPr>
              <w:t>t/a</w:t>
            </w:r>
          </w:p>
        </w:tc>
        <w:tc>
          <w:tcPr>
            <w:tcW w:w="1559" w:type="dxa"/>
            <w:vAlign w:val="center"/>
          </w:tcPr>
          <w:p w14:paraId="01DD25CE">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0.00001536</w:t>
            </w:r>
            <w:r>
              <w:rPr>
                <w:rFonts w:hint="default" w:ascii="Times New Roman" w:hAnsi="Times New Roman" w:cs="Times New Roman"/>
                <w:snapToGrid w:val="0"/>
                <w:color w:val="auto"/>
                <w:kern w:val="21"/>
                <w:szCs w:val="21"/>
                <w:highlight w:val="none"/>
              </w:rPr>
              <w:t>t/a</w:t>
            </w:r>
          </w:p>
        </w:tc>
      </w:tr>
      <w:tr w14:paraId="7C258F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48F61571">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23A16BE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总氰化物</w:t>
            </w:r>
          </w:p>
        </w:tc>
        <w:tc>
          <w:tcPr>
            <w:tcW w:w="1584" w:type="dxa"/>
            <w:vAlign w:val="center"/>
          </w:tcPr>
          <w:p w14:paraId="02B5BE03">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0.0000007t/a</w:t>
            </w:r>
          </w:p>
        </w:tc>
        <w:tc>
          <w:tcPr>
            <w:tcW w:w="1288" w:type="dxa"/>
            <w:vAlign w:val="center"/>
          </w:tcPr>
          <w:p w14:paraId="11472FF1">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7306E287">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6A2D4BCD">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0.0000001</w:t>
            </w:r>
            <w:r>
              <w:rPr>
                <w:rFonts w:hint="default" w:ascii="Times New Roman" w:hAnsi="Times New Roman" w:cs="Times New Roman"/>
                <w:snapToGrid w:val="0"/>
                <w:color w:val="auto"/>
                <w:kern w:val="21"/>
                <w:szCs w:val="21"/>
                <w:highlight w:val="none"/>
              </w:rPr>
              <w:t>t/a</w:t>
            </w:r>
          </w:p>
        </w:tc>
        <w:tc>
          <w:tcPr>
            <w:tcW w:w="1704" w:type="dxa"/>
            <w:vAlign w:val="center"/>
          </w:tcPr>
          <w:p w14:paraId="66C1F3ED">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39B7BFFD">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0.0000008</w:t>
            </w:r>
            <w:r>
              <w:rPr>
                <w:rFonts w:hint="default" w:ascii="Times New Roman" w:hAnsi="Times New Roman" w:cs="Times New Roman"/>
                <w:snapToGrid w:val="0"/>
                <w:color w:val="auto"/>
                <w:kern w:val="21"/>
                <w:szCs w:val="21"/>
                <w:highlight w:val="none"/>
              </w:rPr>
              <w:t>t/a</w:t>
            </w:r>
          </w:p>
        </w:tc>
        <w:tc>
          <w:tcPr>
            <w:tcW w:w="1559" w:type="dxa"/>
            <w:vAlign w:val="center"/>
          </w:tcPr>
          <w:p w14:paraId="594D0E2C">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0.0000001</w:t>
            </w:r>
            <w:r>
              <w:rPr>
                <w:rFonts w:hint="default" w:ascii="Times New Roman" w:hAnsi="Times New Roman" w:cs="Times New Roman"/>
                <w:snapToGrid w:val="0"/>
                <w:color w:val="auto"/>
                <w:kern w:val="21"/>
                <w:szCs w:val="21"/>
                <w:highlight w:val="none"/>
              </w:rPr>
              <w:t>t/a</w:t>
            </w:r>
          </w:p>
        </w:tc>
      </w:tr>
      <w:tr w14:paraId="46E1C5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480C0D7C">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116E3AE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挥发酚</w:t>
            </w:r>
          </w:p>
        </w:tc>
        <w:tc>
          <w:tcPr>
            <w:tcW w:w="1584" w:type="dxa"/>
            <w:vAlign w:val="center"/>
          </w:tcPr>
          <w:p w14:paraId="4CD7204A">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0.0000004t/a</w:t>
            </w:r>
          </w:p>
        </w:tc>
        <w:tc>
          <w:tcPr>
            <w:tcW w:w="1288" w:type="dxa"/>
            <w:vAlign w:val="center"/>
          </w:tcPr>
          <w:p w14:paraId="73FE8554">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064DEE8A">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76C4E3E5">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0.00000008</w:t>
            </w:r>
            <w:r>
              <w:rPr>
                <w:rFonts w:hint="default" w:ascii="Times New Roman" w:hAnsi="Times New Roman" w:cs="Times New Roman"/>
                <w:snapToGrid w:val="0"/>
                <w:color w:val="auto"/>
                <w:kern w:val="21"/>
                <w:szCs w:val="21"/>
                <w:highlight w:val="none"/>
              </w:rPr>
              <w:t>t/a</w:t>
            </w:r>
          </w:p>
        </w:tc>
        <w:tc>
          <w:tcPr>
            <w:tcW w:w="1704" w:type="dxa"/>
            <w:vAlign w:val="center"/>
          </w:tcPr>
          <w:p w14:paraId="7A67B822">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780FD89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0.00000048</w:t>
            </w:r>
            <w:r>
              <w:rPr>
                <w:rFonts w:hint="default" w:ascii="Times New Roman" w:hAnsi="Times New Roman" w:cs="Times New Roman"/>
                <w:snapToGrid w:val="0"/>
                <w:color w:val="auto"/>
                <w:kern w:val="21"/>
                <w:szCs w:val="21"/>
                <w:highlight w:val="none"/>
              </w:rPr>
              <w:t>t/a</w:t>
            </w:r>
          </w:p>
        </w:tc>
        <w:tc>
          <w:tcPr>
            <w:tcW w:w="1559" w:type="dxa"/>
            <w:vAlign w:val="center"/>
          </w:tcPr>
          <w:p w14:paraId="12F472B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0.00000008</w:t>
            </w:r>
            <w:r>
              <w:rPr>
                <w:rFonts w:hint="default" w:ascii="Times New Roman" w:hAnsi="Times New Roman" w:cs="Times New Roman"/>
                <w:snapToGrid w:val="0"/>
                <w:color w:val="auto"/>
                <w:kern w:val="21"/>
                <w:szCs w:val="21"/>
                <w:highlight w:val="none"/>
              </w:rPr>
              <w:t>t/a</w:t>
            </w:r>
          </w:p>
        </w:tc>
      </w:tr>
      <w:tr w14:paraId="65AD7A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5E5AE740">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606658A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总汞</w:t>
            </w:r>
          </w:p>
        </w:tc>
        <w:tc>
          <w:tcPr>
            <w:tcW w:w="1584" w:type="dxa"/>
            <w:vAlign w:val="center"/>
          </w:tcPr>
          <w:p w14:paraId="516375FA">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0.0000023t/a</w:t>
            </w:r>
          </w:p>
        </w:tc>
        <w:tc>
          <w:tcPr>
            <w:tcW w:w="1288" w:type="dxa"/>
            <w:vAlign w:val="center"/>
          </w:tcPr>
          <w:p w14:paraId="6FB1CEF6">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135D96BA">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086C0BA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0.00000046</w:t>
            </w:r>
            <w:r>
              <w:rPr>
                <w:rFonts w:hint="default" w:ascii="Times New Roman" w:hAnsi="Times New Roman" w:cs="Times New Roman"/>
                <w:snapToGrid w:val="0"/>
                <w:color w:val="auto"/>
                <w:kern w:val="21"/>
                <w:szCs w:val="21"/>
                <w:highlight w:val="none"/>
              </w:rPr>
              <w:t>t/a</w:t>
            </w:r>
          </w:p>
        </w:tc>
        <w:tc>
          <w:tcPr>
            <w:tcW w:w="1704" w:type="dxa"/>
            <w:vAlign w:val="center"/>
          </w:tcPr>
          <w:p w14:paraId="3407D458">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2B6A032B">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0.00000276</w:t>
            </w:r>
            <w:r>
              <w:rPr>
                <w:rFonts w:hint="default" w:ascii="Times New Roman" w:hAnsi="Times New Roman" w:cs="Times New Roman"/>
                <w:snapToGrid w:val="0"/>
                <w:color w:val="auto"/>
                <w:kern w:val="21"/>
                <w:szCs w:val="21"/>
                <w:highlight w:val="none"/>
              </w:rPr>
              <w:t>t/a</w:t>
            </w:r>
          </w:p>
        </w:tc>
        <w:tc>
          <w:tcPr>
            <w:tcW w:w="1559" w:type="dxa"/>
            <w:vAlign w:val="center"/>
          </w:tcPr>
          <w:p w14:paraId="1D08623D">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bCs/>
                <w:snapToGrid w:val="0"/>
                <w:color w:val="auto"/>
                <w:kern w:val="0"/>
                <w:szCs w:val="21"/>
                <w:highlight w:val="none"/>
              </w:rPr>
              <w:t>0.00000046</w:t>
            </w:r>
            <w:r>
              <w:rPr>
                <w:rFonts w:hint="default" w:ascii="Times New Roman" w:hAnsi="Times New Roman" w:cs="Times New Roman"/>
                <w:snapToGrid w:val="0"/>
                <w:color w:val="auto"/>
                <w:kern w:val="21"/>
                <w:szCs w:val="21"/>
                <w:highlight w:val="none"/>
              </w:rPr>
              <w:t>t/a</w:t>
            </w:r>
          </w:p>
        </w:tc>
      </w:tr>
      <w:tr w14:paraId="3B904B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4B51BBDA">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19A0674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总砷</w:t>
            </w:r>
          </w:p>
        </w:tc>
        <w:tc>
          <w:tcPr>
            <w:tcW w:w="1584" w:type="dxa"/>
            <w:vAlign w:val="center"/>
          </w:tcPr>
          <w:p w14:paraId="39A7A4ED">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0.0000001t/a</w:t>
            </w:r>
          </w:p>
        </w:tc>
        <w:tc>
          <w:tcPr>
            <w:tcW w:w="1288" w:type="dxa"/>
            <w:vAlign w:val="center"/>
          </w:tcPr>
          <w:p w14:paraId="6F6EFB86">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0FB4454F">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11D3A47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0.00000003</w:t>
            </w:r>
            <w:r>
              <w:rPr>
                <w:rFonts w:hint="default" w:ascii="Times New Roman" w:hAnsi="Times New Roman" w:cs="Times New Roman"/>
                <w:snapToGrid w:val="0"/>
                <w:color w:val="auto"/>
                <w:kern w:val="21"/>
                <w:szCs w:val="21"/>
                <w:highlight w:val="none"/>
              </w:rPr>
              <w:t>t/a</w:t>
            </w:r>
          </w:p>
        </w:tc>
        <w:tc>
          <w:tcPr>
            <w:tcW w:w="1704" w:type="dxa"/>
            <w:vAlign w:val="center"/>
          </w:tcPr>
          <w:p w14:paraId="7F594EFB">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2037E6A6">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0.00000013</w:t>
            </w:r>
            <w:r>
              <w:rPr>
                <w:rFonts w:hint="default" w:ascii="Times New Roman" w:hAnsi="Times New Roman" w:cs="Times New Roman"/>
                <w:snapToGrid w:val="0"/>
                <w:color w:val="auto"/>
                <w:kern w:val="21"/>
                <w:szCs w:val="21"/>
                <w:highlight w:val="none"/>
              </w:rPr>
              <w:t>t/a</w:t>
            </w:r>
          </w:p>
        </w:tc>
        <w:tc>
          <w:tcPr>
            <w:tcW w:w="1559" w:type="dxa"/>
            <w:vAlign w:val="center"/>
          </w:tcPr>
          <w:p w14:paraId="1B9844B3">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0.00000003</w:t>
            </w:r>
            <w:r>
              <w:rPr>
                <w:rFonts w:hint="default" w:ascii="Times New Roman" w:hAnsi="Times New Roman" w:cs="Times New Roman"/>
                <w:snapToGrid w:val="0"/>
                <w:color w:val="auto"/>
                <w:kern w:val="21"/>
                <w:szCs w:val="21"/>
                <w:highlight w:val="none"/>
              </w:rPr>
              <w:t>t/a</w:t>
            </w:r>
          </w:p>
        </w:tc>
      </w:tr>
      <w:tr w14:paraId="7BA663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299C7BF5">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734C22F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总镉</w:t>
            </w:r>
          </w:p>
        </w:tc>
        <w:tc>
          <w:tcPr>
            <w:tcW w:w="1584" w:type="dxa"/>
            <w:vAlign w:val="center"/>
          </w:tcPr>
          <w:p w14:paraId="4AE764EE">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0.0000324</w:t>
            </w:r>
            <w:r>
              <w:rPr>
                <w:rFonts w:hint="default" w:ascii="Times New Roman" w:hAnsi="Times New Roman" w:cs="Times New Roman"/>
                <w:snapToGrid w:val="0"/>
                <w:color w:val="auto"/>
                <w:kern w:val="21"/>
                <w:szCs w:val="21"/>
                <w:highlight w:val="none"/>
              </w:rPr>
              <w:t>t/a</w:t>
            </w:r>
          </w:p>
        </w:tc>
        <w:tc>
          <w:tcPr>
            <w:tcW w:w="1288" w:type="dxa"/>
            <w:vAlign w:val="center"/>
          </w:tcPr>
          <w:p w14:paraId="2A17E5A4">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71D17C9F">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0CA6DADF">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0.0000064</w:t>
            </w:r>
            <w:r>
              <w:rPr>
                <w:rFonts w:hint="default" w:ascii="Times New Roman" w:hAnsi="Times New Roman" w:cs="Times New Roman"/>
                <w:snapToGrid w:val="0"/>
                <w:color w:val="auto"/>
                <w:kern w:val="21"/>
                <w:szCs w:val="21"/>
                <w:highlight w:val="none"/>
              </w:rPr>
              <w:t>t/a</w:t>
            </w:r>
          </w:p>
        </w:tc>
        <w:tc>
          <w:tcPr>
            <w:tcW w:w="1704" w:type="dxa"/>
            <w:vAlign w:val="center"/>
          </w:tcPr>
          <w:p w14:paraId="78276145">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19CB801E">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0.0000388</w:t>
            </w:r>
            <w:r>
              <w:rPr>
                <w:rFonts w:hint="default" w:ascii="Times New Roman" w:hAnsi="Times New Roman" w:cs="Times New Roman"/>
                <w:snapToGrid w:val="0"/>
                <w:color w:val="auto"/>
                <w:kern w:val="21"/>
                <w:szCs w:val="21"/>
                <w:highlight w:val="none"/>
              </w:rPr>
              <w:t>t/a</w:t>
            </w:r>
          </w:p>
        </w:tc>
        <w:tc>
          <w:tcPr>
            <w:tcW w:w="1559" w:type="dxa"/>
            <w:vAlign w:val="center"/>
          </w:tcPr>
          <w:p w14:paraId="2EFEAFAE">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0.0000064</w:t>
            </w:r>
            <w:r>
              <w:rPr>
                <w:rFonts w:hint="default" w:ascii="Times New Roman" w:hAnsi="Times New Roman" w:cs="Times New Roman"/>
                <w:snapToGrid w:val="0"/>
                <w:color w:val="auto"/>
                <w:kern w:val="21"/>
                <w:szCs w:val="21"/>
                <w:highlight w:val="none"/>
              </w:rPr>
              <w:t>t/a</w:t>
            </w:r>
          </w:p>
        </w:tc>
      </w:tr>
      <w:tr w14:paraId="16563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39389630">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4AE6704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总铅</w:t>
            </w:r>
          </w:p>
        </w:tc>
        <w:tc>
          <w:tcPr>
            <w:tcW w:w="1584" w:type="dxa"/>
            <w:vAlign w:val="center"/>
          </w:tcPr>
          <w:p w14:paraId="056D25AA">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0.0001295</w:t>
            </w:r>
            <w:r>
              <w:rPr>
                <w:rFonts w:hint="default" w:ascii="Times New Roman" w:hAnsi="Times New Roman" w:cs="Times New Roman"/>
                <w:snapToGrid w:val="0"/>
                <w:color w:val="auto"/>
                <w:kern w:val="21"/>
                <w:szCs w:val="21"/>
                <w:highlight w:val="none"/>
              </w:rPr>
              <w:t>t/a</w:t>
            </w:r>
          </w:p>
        </w:tc>
        <w:tc>
          <w:tcPr>
            <w:tcW w:w="1288" w:type="dxa"/>
            <w:vAlign w:val="center"/>
          </w:tcPr>
          <w:p w14:paraId="474A9923">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13E1BE44">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564CF56B">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0.0000256</w:t>
            </w:r>
            <w:r>
              <w:rPr>
                <w:rFonts w:hint="default" w:ascii="Times New Roman" w:hAnsi="Times New Roman" w:cs="Times New Roman"/>
                <w:snapToGrid w:val="0"/>
                <w:color w:val="auto"/>
                <w:kern w:val="21"/>
                <w:szCs w:val="21"/>
                <w:highlight w:val="none"/>
              </w:rPr>
              <w:t>t/a</w:t>
            </w:r>
          </w:p>
        </w:tc>
        <w:tc>
          <w:tcPr>
            <w:tcW w:w="1704" w:type="dxa"/>
            <w:vAlign w:val="center"/>
          </w:tcPr>
          <w:p w14:paraId="616FE4FB">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1CB06C98">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0.0001551</w:t>
            </w:r>
            <w:r>
              <w:rPr>
                <w:rFonts w:hint="default" w:ascii="Times New Roman" w:hAnsi="Times New Roman" w:cs="Times New Roman"/>
                <w:snapToGrid w:val="0"/>
                <w:color w:val="auto"/>
                <w:kern w:val="21"/>
                <w:szCs w:val="21"/>
                <w:highlight w:val="none"/>
              </w:rPr>
              <w:t>t/a</w:t>
            </w:r>
          </w:p>
        </w:tc>
        <w:tc>
          <w:tcPr>
            <w:tcW w:w="1559" w:type="dxa"/>
            <w:vAlign w:val="center"/>
          </w:tcPr>
          <w:p w14:paraId="3742BCEA">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0.0000256</w:t>
            </w:r>
            <w:r>
              <w:rPr>
                <w:rFonts w:hint="default" w:ascii="Times New Roman" w:hAnsi="Times New Roman" w:cs="Times New Roman"/>
                <w:snapToGrid w:val="0"/>
                <w:color w:val="auto"/>
                <w:kern w:val="21"/>
                <w:szCs w:val="21"/>
                <w:highlight w:val="none"/>
              </w:rPr>
              <w:t>t/a</w:t>
            </w:r>
          </w:p>
        </w:tc>
      </w:tr>
      <w:tr w14:paraId="572F7E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03B9BD90">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07A9DDE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总银</w:t>
            </w:r>
          </w:p>
        </w:tc>
        <w:tc>
          <w:tcPr>
            <w:tcW w:w="1584" w:type="dxa"/>
            <w:vAlign w:val="center"/>
          </w:tcPr>
          <w:p w14:paraId="1AB2E7A6">
            <w:pPr>
              <w:widowControl/>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kern w:val="0"/>
                <w:sz w:val="22"/>
                <w:szCs w:val="22"/>
                <w:highlight w:val="none"/>
                <w:lang w:bidi="ar"/>
              </w:rPr>
              <w:t>0.0000194</w:t>
            </w:r>
            <w:r>
              <w:rPr>
                <w:rFonts w:hint="default" w:ascii="Times New Roman" w:hAnsi="Times New Roman" w:cs="Times New Roman"/>
                <w:snapToGrid w:val="0"/>
                <w:color w:val="auto"/>
                <w:kern w:val="21"/>
                <w:szCs w:val="21"/>
                <w:highlight w:val="none"/>
              </w:rPr>
              <w:t>t/a</w:t>
            </w:r>
          </w:p>
        </w:tc>
        <w:tc>
          <w:tcPr>
            <w:tcW w:w="1288" w:type="dxa"/>
            <w:vAlign w:val="center"/>
          </w:tcPr>
          <w:p w14:paraId="5C6D8107">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6FFBCC72">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29DF28A0">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0.0000038</w:t>
            </w:r>
            <w:r>
              <w:rPr>
                <w:rFonts w:hint="default" w:ascii="Times New Roman" w:hAnsi="Times New Roman" w:cs="Times New Roman"/>
                <w:snapToGrid w:val="0"/>
                <w:color w:val="auto"/>
                <w:kern w:val="21"/>
                <w:szCs w:val="21"/>
                <w:highlight w:val="none"/>
              </w:rPr>
              <w:t>t/a</w:t>
            </w:r>
          </w:p>
        </w:tc>
        <w:tc>
          <w:tcPr>
            <w:tcW w:w="1704" w:type="dxa"/>
            <w:vAlign w:val="center"/>
          </w:tcPr>
          <w:p w14:paraId="71265BA9">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679764EB">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0.0000232</w:t>
            </w:r>
            <w:r>
              <w:rPr>
                <w:rFonts w:hint="default" w:ascii="Times New Roman" w:hAnsi="Times New Roman" w:cs="Times New Roman"/>
                <w:snapToGrid w:val="0"/>
                <w:color w:val="auto"/>
                <w:kern w:val="21"/>
                <w:szCs w:val="21"/>
                <w:highlight w:val="none"/>
              </w:rPr>
              <w:t>t/a</w:t>
            </w:r>
          </w:p>
        </w:tc>
        <w:tc>
          <w:tcPr>
            <w:tcW w:w="1559" w:type="dxa"/>
            <w:vAlign w:val="center"/>
          </w:tcPr>
          <w:p w14:paraId="36077565">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0.0000038</w:t>
            </w:r>
            <w:r>
              <w:rPr>
                <w:rFonts w:hint="default" w:ascii="Times New Roman" w:hAnsi="Times New Roman" w:cs="Times New Roman"/>
                <w:snapToGrid w:val="0"/>
                <w:color w:val="auto"/>
                <w:kern w:val="21"/>
                <w:szCs w:val="21"/>
                <w:highlight w:val="none"/>
              </w:rPr>
              <w:t>t/a</w:t>
            </w:r>
          </w:p>
        </w:tc>
      </w:tr>
      <w:tr w14:paraId="234072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540F3AA8">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674A117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总铬</w:t>
            </w:r>
          </w:p>
        </w:tc>
        <w:tc>
          <w:tcPr>
            <w:tcW w:w="1584" w:type="dxa"/>
            <w:vAlign w:val="center"/>
          </w:tcPr>
          <w:p w14:paraId="1F8C617D">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0.0000026t/a</w:t>
            </w:r>
          </w:p>
        </w:tc>
        <w:tc>
          <w:tcPr>
            <w:tcW w:w="1288" w:type="dxa"/>
            <w:vAlign w:val="center"/>
          </w:tcPr>
          <w:p w14:paraId="6784C3C9">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6B57EBE1">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27010C3A">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0.0000005</w:t>
            </w:r>
            <w:r>
              <w:rPr>
                <w:rFonts w:hint="default" w:ascii="Times New Roman" w:hAnsi="Times New Roman" w:cs="Times New Roman"/>
                <w:snapToGrid w:val="0"/>
                <w:color w:val="auto"/>
                <w:kern w:val="21"/>
                <w:szCs w:val="21"/>
                <w:highlight w:val="none"/>
              </w:rPr>
              <w:t>t/a</w:t>
            </w:r>
          </w:p>
        </w:tc>
        <w:tc>
          <w:tcPr>
            <w:tcW w:w="1704" w:type="dxa"/>
            <w:vAlign w:val="center"/>
          </w:tcPr>
          <w:p w14:paraId="6E3EDFB7">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7D1956BA">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0.0000031</w:t>
            </w:r>
            <w:r>
              <w:rPr>
                <w:rFonts w:hint="default" w:ascii="Times New Roman" w:hAnsi="Times New Roman" w:cs="Times New Roman"/>
                <w:snapToGrid w:val="0"/>
                <w:color w:val="auto"/>
                <w:kern w:val="21"/>
                <w:szCs w:val="21"/>
                <w:highlight w:val="none"/>
              </w:rPr>
              <w:t>t/a</w:t>
            </w:r>
          </w:p>
        </w:tc>
        <w:tc>
          <w:tcPr>
            <w:tcW w:w="1559" w:type="dxa"/>
            <w:vAlign w:val="center"/>
          </w:tcPr>
          <w:p w14:paraId="50212976">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0.0000005</w:t>
            </w:r>
            <w:r>
              <w:rPr>
                <w:rFonts w:hint="default" w:ascii="Times New Roman" w:hAnsi="Times New Roman" w:cs="Times New Roman"/>
                <w:snapToGrid w:val="0"/>
                <w:color w:val="auto"/>
                <w:kern w:val="21"/>
                <w:szCs w:val="21"/>
                <w:highlight w:val="none"/>
              </w:rPr>
              <w:t>t/a</w:t>
            </w:r>
          </w:p>
        </w:tc>
      </w:tr>
      <w:tr w14:paraId="06D770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7A758225">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090EC9F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六价铬</w:t>
            </w:r>
          </w:p>
        </w:tc>
        <w:tc>
          <w:tcPr>
            <w:tcW w:w="1584" w:type="dxa"/>
            <w:vAlign w:val="center"/>
          </w:tcPr>
          <w:p w14:paraId="1767D531">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0.0000026t/a</w:t>
            </w:r>
          </w:p>
        </w:tc>
        <w:tc>
          <w:tcPr>
            <w:tcW w:w="1288" w:type="dxa"/>
            <w:vAlign w:val="center"/>
          </w:tcPr>
          <w:p w14:paraId="056A69F5">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512" w:type="dxa"/>
            <w:vAlign w:val="center"/>
          </w:tcPr>
          <w:p w14:paraId="5E6F9579">
            <w:pPr>
              <w:pStyle w:val="66"/>
              <w:spacing w:beforeLines="0" w:afterLines="0" w:line="240" w:lineRule="auto"/>
              <w:rPr>
                <w:rFonts w:hint="default" w:ascii="Times New Roman" w:hAnsi="Times New Roman" w:cs="Times New Roman"/>
                <w:snapToGrid w:val="0"/>
                <w:color w:val="auto"/>
                <w:kern w:val="21"/>
                <w:szCs w:val="21"/>
                <w:highlight w:val="none"/>
              </w:rPr>
            </w:pPr>
          </w:p>
        </w:tc>
        <w:tc>
          <w:tcPr>
            <w:tcW w:w="1496" w:type="dxa"/>
            <w:vAlign w:val="center"/>
          </w:tcPr>
          <w:p w14:paraId="79C62902">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0.0000005</w:t>
            </w:r>
            <w:r>
              <w:rPr>
                <w:rFonts w:hint="default" w:ascii="Times New Roman" w:hAnsi="Times New Roman" w:cs="Times New Roman"/>
                <w:snapToGrid w:val="0"/>
                <w:color w:val="auto"/>
                <w:kern w:val="21"/>
                <w:szCs w:val="21"/>
                <w:highlight w:val="none"/>
              </w:rPr>
              <w:t>t/a</w:t>
            </w:r>
          </w:p>
        </w:tc>
        <w:tc>
          <w:tcPr>
            <w:tcW w:w="1704" w:type="dxa"/>
            <w:vAlign w:val="center"/>
          </w:tcPr>
          <w:p w14:paraId="42201AB4">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732" w:type="dxa"/>
            <w:vAlign w:val="center"/>
          </w:tcPr>
          <w:p w14:paraId="64AD314C">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 w:val="22"/>
                <w:szCs w:val="22"/>
                <w:highlight w:val="none"/>
                <w:lang w:bidi="ar"/>
              </w:rPr>
              <w:t>0.0000031</w:t>
            </w:r>
            <w:r>
              <w:rPr>
                <w:rFonts w:hint="default" w:ascii="Times New Roman" w:hAnsi="Times New Roman" w:cs="Times New Roman"/>
                <w:snapToGrid w:val="0"/>
                <w:color w:val="auto"/>
                <w:kern w:val="21"/>
                <w:szCs w:val="21"/>
                <w:highlight w:val="none"/>
              </w:rPr>
              <w:t>t/a</w:t>
            </w:r>
          </w:p>
        </w:tc>
        <w:tc>
          <w:tcPr>
            <w:tcW w:w="1559" w:type="dxa"/>
            <w:vAlign w:val="center"/>
          </w:tcPr>
          <w:p w14:paraId="63491C81">
            <w:pPr>
              <w:widowControl/>
              <w:jc w:val="center"/>
              <w:textAlignment w:val="center"/>
              <w:rPr>
                <w:rFonts w:hint="default" w:ascii="Times New Roman" w:hAnsi="Times New Roman" w:cs="Times New Roman"/>
                <w:bCs/>
                <w:snapToGrid w:val="0"/>
                <w:color w:val="auto"/>
                <w:kern w:val="0"/>
                <w:szCs w:val="21"/>
                <w:highlight w:val="none"/>
              </w:rPr>
            </w:pPr>
            <w:r>
              <w:rPr>
                <w:rFonts w:hint="default" w:ascii="Times New Roman" w:hAnsi="Times New Roman" w:cs="Times New Roman"/>
                <w:color w:val="auto"/>
                <w:kern w:val="0"/>
                <w:szCs w:val="21"/>
                <w:highlight w:val="none"/>
                <w:lang w:bidi="ar"/>
              </w:rPr>
              <w:t>0.0000005</w:t>
            </w:r>
            <w:r>
              <w:rPr>
                <w:rFonts w:hint="default" w:ascii="Times New Roman" w:hAnsi="Times New Roman" w:cs="Times New Roman"/>
                <w:snapToGrid w:val="0"/>
                <w:color w:val="auto"/>
                <w:kern w:val="21"/>
                <w:szCs w:val="21"/>
                <w:highlight w:val="none"/>
              </w:rPr>
              <w:t>t/a</w:t>
            </w:r>
          </w:p>
        </w:tc>
      </w:tr>
      <w:tr w14:paraId="36B75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restart"/>
            <w:vAlign w:val="center"/>
          </w:tcPr>
          <w:p w14:paraId="11FB57D2">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1605" w:type="dxa"/>
            <w:vAlign w:val="center"/>
          </w:tcPr>
          <w:p w14:paraId="7264C8B6">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医疗固废</w:t>
            </w:r>
          </w:p>
        </w:tc>
        <w:tc>
          <w:tcPr>
            <w:tcW w:w="1584" w:type="dxa"/>
            <w:vMerge w:val="restart"/>
            <w:vAlign w:val="center"/>
          </w:tcPr>
          <w:p w14:paraId="23D5300C">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3.66t/a</w:t>
            </w:r>
          </w:p>
        </w:tc>
        <w:tc>
          <w:tcPr>
            <w:tcW w:w="1288" w:type="dxa"/>
            <w:vAlign w:val="center"/>
          </w:tcPr>
          <w:p w14:paraId="611611EC">
            <w:pPr>
              <w:jc w:val="center"/>
              <w:rPr>
                <w:rFonts w:hint="default" w:ascii="Times New Roman" w:hAnsi="Times New Roman" w:cs="Times New Roman"/>
                <w:snapToGrid w:val="0"/>
                <w:color w:val="auto"/>
                <w:kern w:val="21"/>
                <w:szCs w:val="21"/>
                <w:highlight w:val="none"/>
              </w:rPr>
            </w:pPr>
          </w:p>
        </w:tc>
        <w:tc>
          <w:tcPr>
            <w:tcW w:w="1512" w:type="dxa"/>
            <w:vAlign w:val="center"/>
          </w:tcPr>
          <w:p w14:paraId="26BA62B4">
            <w:pPr>
              <w:jc w:val="center"/>
              <w:rPr>
                <w:rFonts w:hint="default" w:ascii="Times New Roman" w:hAnsi="Times New Roman" w:cs="Times New Roman"/>
                <w:snapToGrid w:val="0"/>
                <w:color w:val="auto"/>
                <w:kern w:val="21"/>
                <w:szCs w:val="21"/>
                <w:highlight w:val="none"/>
              </w:rPr>
            </w:pPr>
          </w:p>
        </w:tc>
        <w:tc>
          <w:tcPr>
            <w:tcW w:w="1496" w:type="dxa"/>
            <w:vAlign w:val="center"/>
          </w:tcPr>
          <w:p w14:paraId="5769504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04" w:type="dxa"/>
            <w:vAlign w:val="center"/>
          </w:tcPr>
          <w:p w14:paraId="7E3AB406">
            <w:pPr>
              <w:jc w:val="center"/>
              <w:rPr>
                <w:rFonts w:hint="default" w:ascii="Times New Roman" w:hAnsi="Times New Roman" w:cs="Times New Roman"/>
                <w:snapToGrid w:val="0"/>
                <w:color w:val="auto"/>
                <w:kern w:val="21"/>
                <w:szCs w:val="21"/>
                <w:highlight w:val="none"/>
              </w:rPr>
            </w:pPr>
          </w:p>
        </w:tc>
        <w:tc>
          <w:tcPr>
            <w:tcW w:w="1732" w:type="dxa"/>
            <w:vMerge w:val="restart"/>
            <w:vAlign w:val="center"/>
          </w:tcPr>
          <w:p w14:paraId="5A6D4255">
            <w:pPr>
              <w:jc w:val="center"/>
              <w:rPr>
                <w:rFonts w:hint="default" w:ascii="Times New Roman" w:hAnsi="Times New Roman" w:cs="Times New Roman"/>
                <w:color w:val="auto"/>
                <w:szCs w:val="21"/>
                <w:highlight w:val="none"/>
              </w:rPr>
            </w:pPr>
            <w:r>
              <w:rPr>
                <w:rFonts w:hint="default" w:ascii="Times New Roman" w:hAnsi="Times New Roman" w:cs="Times New Roman"/>
                <w:snapToGrid w:val="0"/>
                <w:color w:val="auto"/>
                <w:kern w:val="21"/>
                <w:szCs w:val="21"/>
                <w:highlight w:val="none"/>
              </w:rPr>
              <w:t>5.46t/a</w:t>
            </w:r>
          </w:p>
        </w:tc>
        <w:tc>
          <w:tcPr>
            <w:tcW w:w="1559" w:type="dxa"/>
            <w:vAlign w:val="center"/>
          </w:tcPr>
          <w:p w14:paraId="3B22878F">
            <w:pPr>
              <w:spacing w:line="240" w:lineRule="exact"/>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w:t>
            </w:r>
          </w:p>
        </w:tc>
      </w:tr>
      <w:tr w14:paraId="0A9009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335CF0A2">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0F88379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微生物</w:t>
            </w:r>
          </w:p>
          <w:p w14:paraId="77C9734B">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szCs w:val="21"/>
                <w:highlight w:val="none"/>
              </w:rPr>
              <w:t>实验室固废</w:t>
            </w:r>
          </w:p>
        </w:tc>
        <w:tc>
          <w:tcPr>
            <w:tcW w:w="1584" w:type="dxa"/>
            <w:vMerge w:val="continue"/>
            <w:vAlign w:val="center"/>
          </w:tcPr>
          <w:p w14:paraId="0659037A">
            <w:pPr>
              <w:jc w:val="center"/>
              <w:rPr>
                <w:rFonts w:hint="default" w:ascii="Times New Roman" w:hAnsi="Times New Roman" w:cs="Times New Roman"/>
                <w:snapToGrid w:val="0"/>
                <w:color w:val="auto"/>
                <w:kern w:val="21"/>
                <w:szCs w:val="21"/>
                <w:highlight w:val="none"/>
              </w:rPr>
            </w:pPr>
          </w:p>
        </w:tc>
        <w:tc>
          <w:tcPr>
            <w:tcW w:w="1288" w:type="dxa"/>
            <w:vAlign w:val="center"/>
          </w:tcPr>
          <w:p w14:paraId="1FE72348">
            <w:pPr>
              <w:jc w:val="center"/>
              <w:rPr>
                <w:rFonts w:hint="default" w:ascii="Times New Roman" w:hAnsi="Times New Roman" w:cs="Times New Roman"/>
                <w:snapToGrid w:val="0"/>
                <w:color w:val="auto"/>
                <w:kern w:val="21"/>
                <w:szCs w:val="21"/>
                <w:highlight w:val="none"/>
              </w:rPr>
            </w:pPr>
          </w:p>
        </w:tc>
        <w:tc>
          <w:tcPr>
            <w:tcW w:w="1512" w:type="dxa"/>
            <w:vAlign w:val="center"/>
          </w:tcPr>
          <w:p w14:paraId="01415155">
            <w:pPr>
              <w:jc w:val="center"/>
              <w:rPr>
                <w:rFonts w:hint="default" w:ascii="Times New Roman" w:hAnsi="Times New Roman" w:cs="Times New Roman"/>
                <w:snapToGrid w:val="0"/>
                <w:color w:val="auto"/>
                <w:kern w:val="21"/>
                <w:szCs w:val="21"/>
                <w:highlight w:val="none"/>
              </w:rPr>
            </w:pPr>
          </w:p>
        </w:tc>
        <w:tc>
          <w:tcPr>
            <w:tcW w:w="1496" w:type="dxa"/>
            <w:vAlign w:val="center"/>
          </w:tcPr>
          <w:p w14:paraId="41D9EAFE">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snapToGrid w:val="0"/>
                <w:color w:val="auto"/>
                <w:kern w:val="21"/>
                <w:szCs w:val="21"/>
                <w:highlight w:val="none"/>
              </w:rPr>
              <w:t>t/a</w:t>
            </w:r>
          </w:p>
        </w:tc>
        <w:tc>
          <w:tcPr>
            <w:tcW w:w="1704" w:type="dxa"/>
            <w:vAlign w:val="center"/>
          </w:tcPr>
          <w:p w14:paraId="6018E631">
            <w:pPr>
              <w:jc w:val="center"/>
              <w:rPr>
                <w:rFonts w:hint="default" w:ascii="Times New Roman" w:hAnsi="Times New Roman" w:cs="Times New Roman"/>
                <w:snapToGrid w:val="0"/>
                <w:color w:val="auto"/>
                <w:kern w:val="21"/>
                <w:szCs w:val="21"/>
                <w:highlight w:val="none"/>
              </w:rPr>
            </w:pPr>
          </w:p>
        </w:tc>
        <w:tc>
          <w:tcPr>
            <w:tcW w:w="1732" w:type="dxa"/>
            <w:vMerge w:val="continue"/>
            <w:vAlign w:val="center"/>
          </w:tcPr>
          <w:p w14:paraId="3643DBE4">
            <w:pPr>
              <w:jc w:val="center"/>
              <w:rPr>
                <w:rFonts w:hint="default" w:ascii="Times New Roman" w:hAnsi="Times New Roman" w:cs="Times New Roman"/>
                <w:snapToGrid w:val="0"/>
                <w:color w:val="auto"/>
                <w:kern w:val="21"/>
                <w:szCs w:val="21"/>
                <w:highlight w:val="none"/>
              </w:rPr>
            </w:pPr>
          </w:p>
        </w:tc>
        <w:tc>
          <w:tcPr>
            <w:tcW w:w="1559" w:type="dxa"/>
            <w:vAlign w:val="center"/>
          </w:tcPr>
          <w:p w14:paraId="6457777E">
            <w:pPr>
              <w:spacing w:line="240" w:lineRule="exact"/>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szCs w:val="21"/>
                <w:highlight w:val="none"/>
              </w:rPr>
              <w:t>1</w:t>
            </w:r>
            <w:r>
              <w:rPr>
                <w:rFonts w:hint="default" w:ascii="Times New Roman" w:hAnsi="Times New Roman" w:cs="Times New Roman"/>
                <w:snapToGrid w:val="0"/>
                <w:color w:val="auto"/>
                <w:kern w:val="21"/>
                <w:szCs w:val="21"/>
                <w:highlight w:val="none"/>
              </w:rPr>
              <w:t>t/a</w:t>
            </w:r>
          </w:p>
        </w:tc>
      </w:tr>
      <w:tr w14:paraId="4A94C9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52C6363F">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191BE9B4">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理化</w:t>
            </w:r>
          </w:p>
          <w:p w14:paraId="5EE1578F">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实验室固废</w:t>
            </w:r>
          </w:p>
        </w:tc>
        <w:tc>
          <w:tcPr>
            <w:tcW w:w="1584" w:type="dxa"/>
            <w:vMerge w:val="continue"/>
            <w:vAlign w:val="center"/>
          </w:tcPr>
          <w:p w14:paraId="05E8F97F">
            <w:pPr>
              <w:jc w:val="center"/>
              <w:rPr>
                <w:rFonts w:hint="default" w:ascii="Times New Roman" w:hAnsi="Times New Roman" w:cs="Times New Roman"/>
                <w:snapToGrid w:val="0"/>
                <w:color w:val="auto"/>
                <w:kern w:val="21"/>
                <w:szCs w:val="21"/>
                <w:highlight w:val="none"/>
              </w:rPr>
            </w:pPr>
          </w:p>
        </w:tc>
        <w:tc>
          <w:tcPr>
            <w:tcW w:w="1288" w:type="dxa"/>
            <w:vAlign w:val="center"/>
          </w:tcPr>
          <w:p w14:paraId="55B829DE">
            <w:pPr>
              <w:jc w:val="center"/>
              <w:rPr>
                <w:rFonts w:hint="default" w:ascii="Times New Roman" w:hAnsi="Times New Roman" w:cs="Times New Roman"/>
                <w:snapToGrid w:val="0"/>
                <w:color w:val="auto"/>
                <w:kern w:val="21"/>
                <w:szCs w:val="21"/>
                <w:highlight w:val="none"/>
              </w:rPr>
            </w:pPr>
          </w:p>
        </w:tc>
        <w:tc>
          <w:tcPr>
            <w:tcW w:w="1512" w:type="dxa"/>
            <w:vAlign w:val="center"/>
          </w:tcPr>
          <w:p w14:paraId="152B1459">
            <w:pPr>
              <w:jc w:val="center"/>
              <w:rPr>
                <w:rFonts w:hint="default" w:ascii="Times New Roman" w:hAnsi="Times New Roman" w:cs="Times New Roman"/>
                <w:snapToGrid w:val="0"/>
                <w:color w:val="auto"/>
                <w:kern w:val="21"/>
                <w:szCs w:val="21"/>
                <w:highlight w:val="none"/>
              </w:rPr>
            </w:pPr>
          </w:p>
        </w:tc>
        <w:tc>
          <w:tcPr>
            <w:tcW w:w="1496" w:type="dxa"/>
            <w:vAlign w:val="center"/>
          </w:tcPr>
          <w:p w14:paraId="30B866F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0.8</w:t>
            </w:r>
            <w:r>
              <w:rPr>
                <w:rFonts w:hint="default" w:ascii="Times New Roman" w:hAnsi="Times New Roman" w:cs="Times New Roman"/>
                <w:snapToGrid w:val="0"/>
                <w:color w:val="auto"/>
                <w:kern w:val="21"/>
                <w:szCs w:val="21"/>
                <w:highlight w:val="none"/>
              </w:rPr>
              <w:t>t/a</w:t>
            </w:r>
          </w:p>
        </w:tc>
        <w:tc>
          <w:tcPr>
            <w:tcW w:w="1704" w:type="dxa"/>
            <w:vAlign w:val="center"/>
          </w:tcPr>
          <w:p w14:paraId="2D53A46B">
            <w:pPr>
              <w:jc w:val="center"/>
              <w:rPr>
                <w:rFonts w:hint="default" w:ascii="Times New Roman" w:hAnsi="Times New Roman" w:cs="Times New Roman"/>
                <w:snapToGrid w:val="0"/>
                <w:color w:val="auto"/>
                <w:kern w:val="21"/>
                <w:szCs w:val="21"/>
                <w:highlight w:val="none"/>
              </w:rPr>
            </w:pPr>
          </w:p>
        </w:tc>
        <w:tc>
          <w:tcPr>
            <w:tcW w:w="1732" w:type="dxa"/>
            <w:vMerge w:val="continue"/>
            <w:vAlign w:val="center"/>
          </w:tcPr>
          <w:p w14:paraId="7CD772A9">
            <w:pPr>
              <w:jc w:val="center"/>
              <w:rPr>
                <w:rFonts w:hint="default" w:ascii="Times New Roman" w:hAnsi="Times New Roman" w:cs="Times New Roman"/>
                <w:color w:val="auto"/>
                <w:szCs w:val="21"/>
                <w:highlight w:val="none"/>
              </w:rPr>
            </w:pPr>
          </w:p>
        </w:tc>
        <w:tc>
          <w:tcPr>
            <w:tcW w:w="1559" w:type="dxa"/>
            <w:vAlign w:val="center"/>
          </w:tcPr>
          <w:p w14:paraId="7056BCC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0.8</w:t>
            </w:r>
            <w:r>
              <w:rPr>
                <w:rFonts w:hint="default" w:ascii="Times New Roman" w:hAnsi="Times New Roman" w:cs="Times New Roman"/>
                <w:snapToGrid w:val="0"/>
                <w:color w:val="auto"/>
                <w:kern w:val="21"/>
                <w:szCs w:val="21"/>
                <w:highlight w:val="none"/>
              </w:rPr>
              <w:t>t/a</w:t>
            </w:r>
          </w:p>
        </w:tc>
      </w:tr>
      <w:tr w14:paraId="30F59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4909D248">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18D4E53B">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废活性炭</w:t>
            </w:r>
          </w:p>
        </w:tc>
        <w:tc>
          <w:tcPr>
            <w:tcW w:w="1584" w:type="dxa"/>
            <w:vAlign w:val="center"/>
          </w:tcPr>
          <w:p w14:paraId="3A6AD071">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w:t>
            </w:r>
          </w:p>
        </w:tc>
        <w:tc>
          <w:tcPr>
            <w:tcW w:w="1288" w:type="dxa"/>
            <w:vAlign w:val="center"/>
          </w:tcPr>
          <w:p w14:paraId="2ECB47E2">
            <w:pPr>
              <w:jc w:val="center"/>
              <w:rPr>
                <w:rFonts w:hint="default" w:ascii="Times New Roman" w:hAnsi="Times New Roman" w:cs="Times New Roman"/>
                <w:snapToGrid w:val="0"/>
                <w:color w:val="auto"/>
                <w:kern w:val="21"/>
                <w:szCs w:val="21"/>
                <w:highlight w:val="none"/>
              </w:rPr>
            </w:pPr>
          </w:p>
        </w:tc>
        <w:tc>
          <w:tcPr>
            <w:tcW w:w="1512" w:type="dxa"/>
            <w:vAlign w:val="center"/>
          </w:tcPr>
          <w:p w14:paraId="479171DB">
            <w:pPr>
              <w:jc w:val="center"/>
              <w:rPr>
                <w:rFonts w:hint="default" w:ascii="Times New Roman" w:hAnsi="Times New Roman" w:cs="Times New Roman"/>
                <w:snapToGrid w:val="0"/>
                <w:color w:val="auto"/>
                <w:kern w:val="21"/>
                <w:szCs w:val="21"/>
                <w:highlight w:val="none"/>
              </w:rPr>
            </w:pPr>
          </w:p>
        </w:tc>
        <w:tc>
          <w:tcPr>
            <w:tcW w:w="1496" w:type="dxa"/>
            <w:vAlign w:val="center"/>
          </w:tcPr>
          <w:p w14:paraId="31C9C6B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0.1t</w:t>
            </w:r>
            <w:r>
              <w:rPr>
                <w:rFonts w:hint="default" w:ascii="Times New Roman" w:hAnsi="Times New Roman" w:cs="Times New Roman"/>
                <w:snapToGrid w:val="0"/>
                <w:color w:val="auto"/>
                <w:kern w:val="21"/>
                <w:szCs w:val="21"/>
                <w:highlight w:val="none"/>
              </w:rPr>
              <w:t>/a</w:t>
            </w:r>
          </w:p>
        </w:tc>
        <w:tc>
          <w:tcPr>
            <w:tcW w:w="1704" w:type="dxa"/>
            <w:vAlign w:val="center"/>
          </w:tcPr>
          <w:p w14:paraId="24D8FA07">
            <w:pPr>
              <w:jc w:val="center"/>
              <w:rPr>
                <w:rFonts w:hint="default" w:ascii="Times New Roman" w:hAnsi="Times New Roman" w:cs="Times New Roman"/>
                <w:snapToGrid w:val="0"/>
                <w:color w:val="auto"/>
                <w:kern w:val="21"/>
                <w:szCs w:val="21"/>
                <w:highlight w:val="none"/>
              </w:rPr>
            </w:pPr>
          </w:p>
        </w:tc>
        <w:tc>
          <w:tcPr>
            <w:tcW w:w="1732" w:type="dxa"/>
            <w:vAlign w:val="center"/>
          </w:tcPr>
          <w:p w14:paraId="32FCA41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0.1t</w:t>
            </w:r>
            <w:r>
              <w:rPr>
                <w:rFonts w:hint="default" w:ascii="Times New Roman" w:hAnsi="Times New Roman" w:cs="Times New Roman"/>
                <w:snapToGrid w:val="0"/>
                <w:color w:val="auto"/>
                <w:kern w:val="21"/>
                <w:szCs w:val="21"/>
                <w:highlight w:val="none"/>
              </w:rPr>
              <w:t>/a</w:t>
            </w:r>
          </w:p>
        </w:tc>
        <w:tc>
          <w:tcPr>
            <w:tcW w:w="1559" w:type="dxa"/>
            <w:vAlign w:val="center"/>
          </w:tcPr>
          <w:p w14:paraId="212F5C5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0.1t</w:t>
            </w:r>
            <w:r>
              <w:rPr>
                <w:rFonts w:hint="default" w:ascii="Times New Roman" w:hAnsi="Times New Roman" w:cs="Times New Roman"/>
                <w:snapToGrid w:val="0"/>
                <w:color w:val="auto"/>
                <w:kern w:val="21"/>
                <w:szCs w:val="21"/>
                <w:highlight w:val="none"/>
              </w:rPr>
              <w:t>/a</w:t>
            </w:r>
          </w:p>
        </w:tc>
      </w:tr>
      <w:tr w14:paraId="3683C2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58267E90">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57D247B5">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废滤膜</w:t>
            </w:r>
          </w:p>
        </w:tc>
        <w:tc>
          <w:tcPr>
            <w:tcW w:w="1584" w:type="dxa"/>
            <w:vAlign w:val="center"/>
          </w:tcPr>
          <w:p w14:paraId="3915CC16">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w:t>
            </w:r>
          </w:p>
        </w:tc>
        <w:tc>
          <w:tcPr>
            <w:tcW w:w="1288" w:type="dxa"/>
            <w:vAlign w:val="center"/>
          </w:tcPr>
          <w:p w14:paraId="14433FF6">
            <w:pPr>
              <w:jc w:val="center"/>
              <w:rPr>
                <w:rFonts w:hint="default" w:ascii="Times New Roman" w:hAnsi="Times New Roman" w:cs="Times New Roman"/>
                <w:snapToGrid w:val="0"/>
                <w:color w:val="auto"/>
                <w:kern w:val="21"/>
                <w:szCs w:val="21"/>
                <w:highlight w:val="none"/>
              </w:rPr>
            </w:pPr>
          </w:p>
        </w:tc>
        <w:tc>
          <w:tcPr>
            <w:tcW w:w="1512" w:type="dxa"/>
            <w:vAlign w:val="center"/>
          </w:tcPr>
          <w:p w14:paraId="72F97D48">
            <w:pPr>
              <w:jc w:val="center"/>
              <w:rPr>
                <w:rFonts w:hint="default" w:ascii="Times New Roman" w:hAnsi="Times New Roman" w:cs="Times New Roman"/>
                <w:snapToGrid w:val="0"/>
                <w:color w:val="auto"/>
                <w:kern w:val="21"/>
                <w:szCs w:val="21"/>
                <w:highlight w:val="none"/>
              </w:rPr>
            </w:pPr>
          </w:p>
        </w:tc>
        <w:tc>
          <w:tcPr>
            <w:tcW w:w="1496" w:type="dxa"/>
            <w:vAlign w:val="center"/>
          </w:tcPr>
          <w:p w14:paraId="684826D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0.2</w:t>
            </w:r>
            <w:r>
              <w:rPr>
                <w:rFonts w:hint="default" w:ascii="Times New Roman" w:hAnsi="Times New Roman" w:cs="Times New Roman"/>
                <w:snapToGrid w:val="0"/>
                <w:color w:val="auto"/>
                <w:kern w:val="21"/>
                <w:szCs w:val="21"/>
                <w:highlight w:val="none"/>
              </w:rPr>
              <w:t>t/a</w:t>
            </w:r>
          </w:p>
        </w:tc>
        <w:tc>
          <w:tcPr>
            <w:tcW w:w="1704" w:type="dxa"/>
            <w:vAlign w:val="center"/>
          </w:tcPr>
          <w:p w14:paraId="330717B1">
            <w:pPr>
              <w:jc w:val="center"/>
              <w:rPr>
                <w:rFonts w:hint="default" w:ascii="Times New Roman" w:hAnsi="Times New Roman" w:cs="Times New Roman"/>
                <w:snapToGrid w:val="0"/>
                <w:color w:val="auto"/>
                <w:kern w:val="21"/>
                <w:szCs w:val="21"/>
                <w:highlight w:val="none"/>
              </w:rPr>
            </w:pPr>
          </w:p>
        </w:tc>
        <w:tc>
          <w:tcPr>
            <w:tcW w:w="1732" w:type="dxa"/>
            <w:vAlign w:val="center"/>
          </w:tcPr>
          <w:p w14:paraId="3224B85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0.2</w:t>
            </w:r>
            <w:r>
              <w:rPr>
                <w:rFonts w:hint="default" w:ascii="Times New Roman" w:hAnsi="Times New Roman" w:cs="Times New Roman"/>
                <w:snapToGrid w:val="0"/>
                <w:color w:val="auto"/>
                <w:kern w:val="21"/>
                <w:szCs w:val="21"/>
                <w:highlight w:val="none"/>
              </w:rPr>
              <w:t>t/a</w:t>
            </w:r>
          </w:p>
        </w:tc>
        <w:tc>
          <w:tcPr>
            <w:tcW w:w="1559" w:type="dxa"/>
            <w:vAlign w:val="center"/>
          </w:tcPr>
          <w:p w14:paraId="45C1CA89">
            <w:pPr>
              <w:spacing w:line="240" w:lineRule="exact"/>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szCs w:val="21"/>
                <w:highlight w:val="none"/>
              </w:rPr>
              <w:t>0.2</w:t>
            </w:r>
            <w:r>
              <w:rPr>
                <w:rFonts w:hint="default" w:ascii="Times New Roman" w:hAnsi="Times New Roman" w:cs="Times New Roman"/>
                <w:snapToGrid w:val="0"/>
                <w:color w:val="auto"/>
                <w:kern w:val="21"/>
                <w:szCs w:val="21"/>
                <w:highlight w:val="none"/>
              </w:rPr>
              <w:t>t/a</w:t>
            </w:r>
          </w:p>
        </w:tc>
      </w:tr>
      <w:tr w14:paraId="6290EF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77BD6BCC">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38DD7270">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含重金属</w:t>
            </w:r>
          </w:p>
          <w:p w14:paraId="227BF9F2">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污泥</w:t>
            </w:r>
          </w:p>
        </w:tc>
        <w:tc>
          <w:tcPr>
            <w:tcW w:w="1584" w:type="dxa"/>
            <w:vMerge w:val="restart"/>
            <w:vAlign w:val="center"/>
          </w:tcPr>
          <w:p w14:paraId="093088CB">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0.33t/a</w:t>
            </w:r>
          </w:p>
        </w:tc>
        <w:tc>
          <w:tcPr>
            <w:tcW w:w="1288" w:type="dxa"/>
            <w:vAlign w:val="center"/>
          </w:tcPr>
          <w:p w14:paraId="25FC78FD">
            <w:pPr>
              <w:jc w:val="center"/>
              <w:rPr>
                <w:rFonts w:hint="default" w:ascii="Times New Roman" w:hAnsi="Times New Roman" w:cs="Times New Roman"/>
                <w:snapToGrid w:val="0"/>
                <w:color w:val="auto"/>
                <w:kern w:val="21"/>
                <w:szCs w:val="21"/>
                <w:highlight w:val="none"/>
              </w:rPr>
            </w:pPr>
          </w:p>
        </w:tc>
        <w:tc>
          <w:tcPr>
            <w:tcW w:w="1512" w:type="dxa"/>
            <w:vAlign w:val="center"/>
          </w:tcPr>
          <w:p w14:paraId="61BA3FF3">
            <w:pPr>
              <w:jc w:val="center"/>
              <w:rPr>
                <w:rFonts w:hint="default" w:ascii="Times New Roman" w:hAnsi="Times New Roman" w:cs="Times New Roman"/>
                <w:snapToGrid w:val="0"/>
                <w:color w:val="auto"/>
                <w:kern w:val="21"/>
                <w:szCs w:val="21"/>
                <w:highlight w:val="none"/>
              </w:rPr>
            </w:pPr>
          </w:p>
        </w:tc>
        <w:tc>
          <w:tcPr>
            <w:tcW w:w="1496" w:type="dxa"/>
            <w:vAlign w:val="center"/>
          </w:tcPr>
          <w:p w14:paraId="4134366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w:t>
            </w:r>
            <w:r>
              <w:rPr>
                <w:rFonts w:hint="default" w:ascii="Times New Roman" w:hAnsi="Times New Roman" w:cs="Times New Roman"/>
                <w:snapToGrid w:val="0"/>
                <w:color w:val="auto"/>
                <w:kern w:val="21"/>
                <w:szCs w:val="21"/>
                <w:highlight w:val="none"/>
              </w:rPr>
              <w:t>t/a</w:t>
            </w:r>
          </w:p>
        </w:tc>
        <w:tc>
          <w:tcPr>
            <w:tcW w:w="1704" w:type="dxa"/>
            <w:vAlign w:val="center"/>
          </w:tcPr>
          <w:p w14:paraId="0B17E131">
            <w:pPr>
              <w:jc w:val="center"/>
              <w:rPr>
                <w:rFonts w:hint="default" w:ascii="Times New Roman" w:hAnsi="Times New Roman" w:cs="Times New Roman"/>
                <w:snapToGrid w:val="0"/>
                <w:color w:val="auto"/>
                <w:kern w:val="21"/>
                <w:szCs w:val="21"/>
                <w:highlight w:val="none"/>
              </w:rPr>
            </w:pPr>
          </w:p>
        </w:tc>
        <w:tc>
          <w:tcPr>
            <w:tcW w:w="1732" w:type="dxa"/>
            <w:vMerge w:val="restart"/>
            <w:vAlign w:val="center"/>
          </w:tcPr>
          <w:p w14:paraId="2E26CB20">
            <w:pPr>
              <w:jc w:val="center"/>
              <w:rPr>
                <w:rFonts w:hint="default" w:ascii="Times New Roman" w:hAnsi="Times New Roman" w:cs="Times New Roman"/>
                <w:color w:val="auto"/>
                <w:szCs w:val="21"/>
                <w:highlight w:val="none"/>
              </w:rPr>
            </w:pPr>
            <w:r>
              <w:rPr>
                <w:rFonts w:hint="default" w:ascii="Times New Roman" w:hAnsi="Times New Roman" w:cs="Times New Roman"/>
                <w:snapToGrid w:val="0"/>
                <w:color w:val="auto"/>
                <w:kern w:val="21"/>
                <w:szCs w:val="21"/>
                <w:highlight w:val="none"/>
              </w:rPr>
              <w:t>0.3628t/a</w:t>
            </w:r>
          </w:p>
        </w:tc>
        <w:tc>
          <w:tcPr>
            <w:tcW w:w="1559" w:type="dxa"/>
            <w:vMerge w:val="restart"/>
            <w:vAlign w:val="center"/>
          </w:tcPr>
          <w:p w14:paraId="214B588D">
            <w:pPr>
              <w:spacing w:line="240" w:lineRule="exact"/>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0.0328t/a</w:t>
            </w:r>
          </w:p>
        </w:tc>
      </w:tr>
      <w:tr w14:paraId="13BE29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6D3F84B1">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38D259AF">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污水处理站格栅渣</w:t>
            </w:r>
          </w:p>
        </w:tc>
        <w:tc>
          <w:tcPr>
            <w:tcW w:w="1584" w:type="dxa"/>
            <w:vMerge w:val="continue"/>
            <w:vAlign w:val="center"/>
          </w:tcPr>
          <w:p w14:paraId="78C77140">
            <w:pPr>
              <w:jc w:val="center"/>
              <w:rPr>
                <w:rFonts w:hint="default" w:ascii="Times New Roman" w:hAnsi="Times New Roman" w:cs="Times New Roman"/>
                <w:snapToGrid w:val="0"/>
                <w:color w:val="auto"/>
                <w:kern w:val="21"/>
                <w:szCs w:val="21"/>
                <w:highlight w:val="none"/>
              </w:rPr>
            </w:pPr>
          </w:p>
        </w:tc>
        <w:tc>
          <w:tcPr>
            <w:tcW w:w="1288" w:type="dxa"/>
            <w:vAlign w:val="center"/>
          </w:tcPr>
          <w:p w14:paraId="1650ACEC">
            <w:pPr>
              <w:jc w:val="center"/>
              <w:rPr>
                <w:rFonts w:hint="default" w:ascii="Times New Roman" w:hAnsi="Times New Roman" w:cs="Times New Roman"/>
                <w:snapToGrid w:val="0"/>
                <w:color w:val="auto"/>
                <w:kern w:val="21"/>
                <w:szCs w:val="21"/>
                <w:highlight w:val="none"/>
              </w:rPr>
            </w:pPr>
          </w:p>
        </w:tc>
        <w:tc>
          <w:tcPr>
            <w:tcW w:w="1512" w:type="dxa"/>
            <w:vAlign w:val="center"/>
          </w:tcPr>
          <w:p w14:paraId="30069933">
            <w:pPr>
              <w:jc w:val="center"/>
              <w:rPr>
                <w:rFonts w:hint="default" w:ascii="Times New Roman" w:hAnsi="Times New Roman" w:cs="Times New Roman"/>
                <w:snapToGrid w:val="0"/>
                <w:color w:val="auto"/>
                <w:kern w:val="21"/>
                <w:szCs w:val="21"/>
                <w:highlight w:val="none"/>
              </w:rPr>
            </w:pPr>
          </w:p>
        </w:tc>
        <w:tc>
          <w:tcPr>
            <w:tcW w:w="1496" w:type="dxa"/>
            <w:vAlign w:val="center"/>
          </w:tcPr>
          <w:p w14:paraId="08300D9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w:t>
            </w:r>
            <w:r>
              <w:rPr>
                <w:rFonts w:hint="default" w:ascii="Times New Roman" w:hAnsi="Times New Roman" w:cs="Times New Roman"/>
                <w:snapToGrid w:val="0"/>
                <w:color w:val="auto"/>
                <w:kern w:val="21"/>
                <w:szCs w:val="21"/>
                <w:highlight w:val="none"/>
              </w:rPr>
              <w:t>t/a</w:t>
            </w:r>
          </w:p>
        </w:tc>
        <w:tc>
          <w:tcPr>
            <w:tcW w:w="1704" w:type="dxa"/>
            <w:vAlign w:val="center"/>
          </w:tcPr>
          <w:p w14:paraId="368678C7">
            <w:pPr>
              <w:jc w:val="center"/>
              <w:rPr>
                <w:rFonts w:hint="default" w:ascii="Times New Roman" w:hAnsi="Times New Roman" w:cs="Times New Roman"/>
                <w:snapToGrid w:val="0"/>
                <w:color w:val="auto"/>
                <w:kern w:val="21"/>
                <w:szCs w:val="21"/>
                <w:highlight w:val="none"/>
              </w:rPr>
            </w:pPr>
          </w:p>
        </w:tc>
        <w:tc>
          <w:tcPr>
            <w:tcW w:w="1732" w:type="dxa"/>
            <w:vMerge w:val="continue"/>
            <w:vAlign w:val="center"/>
          </w:tcPr>
          <w:p w14:paraId="5FD44E19">
            <w:pPr>
              <w:jc w:val="center"/>
              <w:rPr>
                <w:rFonts w:hint="default" w:ascii="Times New Roman" w:hAnsi="Times New Roman" w:cs="Times New Roman"/>
                <w:color w:val="auto"/>
                <w:szCs w:val="21"/>
                <w:highlight w:val="none"/>
              </w:rPr>
            </w:pPr>
          </w:p>
        </w:tc>
        <w:tc>
          <w:tcPr>
            <w:tcW w:w="1559" w:type="dxa"/>
            <w:vMerge w:val="continue"/>
            <w:vAlign w:val="center"/>
          </w:tcPr>
          <w:p w14:paraId="6EC4ECD2">
            <w:pPr>
              <w:spacing w:line="240" w:lineRule="exact"/>
              <w:jc w:val="center"/>
              <w:rPr>
                <w:rFonts w:hint="default" w:ascii="Times New Roman" w:hAnsi="Times New Roman" w:cs="Times New Roman"/>
                <w:snapToGrid w:val="0"/>
                <w:color w:val="auto"/>
                <w:kern w:val="21"/>
                <w:szCs w:val="21"/>
                <w:highlight w:val="none"/>
              </w:rPr>
            </w:pPr>
          </w:p>
        </w:tc>
      </w:tr>
      <w:tr w14:paraId="2B23D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0138CB63">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7ADF4045">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污水处理站污泥</w:t>
            </w:r>
          </w:p>
        </w:tc>
        <w:tc>
          <w:tcPr>
            <w:tcW w:w="1584" w:type="dxa"/>
            <w:vMerge w:val="continue"/>
            <w:vAlign w:val="center"/>
          </w:tcPr>
          <w:p w14:paraId="61B196D2">
            <w:pPr>
              <w:jc w:val="center"/>
              <w:rPr>
                <w:rFonts w:hint="default" w:ascii="Times New Roman" w:hAnsi="Times New Roman" w:cs="Times New Roman"/>
                <w:snapToGrid w:val="0"/>
                <w:color w:val="auto"/>
                <w:kern w:val="21"/>
                <w:szCs w:val="21"/>
                <w:highlight w:val="none"/>
              </w:rPr>
            </w:pPr>
          </w:p>
        </w:tc>
        <w:tc>
          <w:tcPr>
            <w:tcW w:w="1288" w:type="dxa"/>
            <w:vAlign w:val="center"/>
          </w:tcPr>
          <w:p w14:paraId="74F3D020">
            <w:pPr>
              <w:jc w:val="center"/>
              <w:rPr>
                <w:rFonts w:hint="default" w:ascii="Times New Roman" w:hAnsi="Times New Roman" w:cs="Times New Roman"/>
                <w:snapToGrid w:val="0"/>
                <w:color w:val="auto"/>
                <w:kern w:val="21"/>
                <w:szCs w:val="21"/>
                <w:highlight w:val="none"/>
              </w:rPr>
            </w:pPr>
          </w:p>
        </w:tc>
        <w:tc>
          <w:tcPr>
            <w:tcW w:w="1512" w:type="dxa"/>
            <w:vAlign w:val="center"/>
          </w:tcPr>
          <w:p w14:paraId="488453A9">
            <w:pPr>
              <w:jc w:val="center"/>
              <w:rPr>
                <w:rFonts w:hint="default" w:ascii="Times New Roman" w:hAnsi="Times New Roman" w:cs="Times New Roman"/>
                <w:snapToGrid w:val="0"/>
                <w:color w:val="auto"/>
                <w:kern w:val="21"/>
                <w:szCs w:val="21"/>
                <w:highlight w:val="none"/>
              </w:rPr>
            </w:pPr>
          </w:p>
        </w:tc>
        <w:tc>
          <w:tcPr>
            <w:tcW w:w="1496" w:type="dxa"/>
            <w:vAlign w:val="center"/>
          </w:tcPr>
          <w:p w14:paraId="178A53F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0.0128</w:t>
            </w:r>
            <w:r>
              <w:rPr>
                <w:rFonts w:hint="default" w:ascii="Times New Roman" w:hAnsi="Times New Roman" w:cs="Times New Roman"/>
                <w:snapToGrid w:val="0"/>
                <w:color w:val="auto"/>
                <w:kern w:val="21"/>
                <w:szCs w:val="21"/>
                <w:highlight w:val="none"/>
              </w:rPr>
              <w:t>t/a</w:t>
            </w:r>
          </w:p>
        </w:tc>
        <w:tc>
          <w:tcPr>
            <w:tcW w:w="1704" w:type="dxa"/>
            <w:vAlign w:val="center"/>
          </w:tcPr>
          <w:p w14:paraId="30C2D3FD">
            <w:pPr>
              <w:jc w:val="center"/>
              <w:rPr>
                <w:rFonts w:hint="default" w:ascii="Times New Roman" w:hAnsi="Times New Roman" w:cs="Times New Roman"/>
                <w:snapToGrid w:val="0"/>
                <w:color w:val="auto"/>
                <w:kern w:val="21"/>
                <w:szCs w:val="21"/>
                <w:highlight w:val="none"/>
              </w:rPr>
            </w:pPr>
          </w:p>
        </w:tc>
        <w:tc>
          <w:tcPr>
            <w:tcW w:w="1732" w:type="dxa"/>
            <w:vMerge w:val="continue"/>
            <w:vAlign w:val="center"/>
          </w:tcPr>
          <w:p w14:paraId="3D4B546C">
            <w:pPr>
              <w:jc w:val="center"/>
              <w:rPr>
                <w:rFonts w:hint="default" w:ascii="Times New Roman" w:hAnsi="Times New Roman" w:cs="Times New Roman"/>
                <w:color w:val="auto"/>
                <w:szCs w:val="21"/>
                <w:highlight w:val="none"/>
              </w:rPr>
            </w:pPr>
          </w:p>
        </w:tc>
        <w:tc>
          <w:tcPr>
            <w:tcW w:w="1559" w:type="dxa"/>
            <w:vMerge w:val="continue"/>
            <w:vAlign w:val="center"/>
          </w:tcPr>
          <w:p w14:paraId="0DF27FF7">
            <w:pPr>
              <w:spacing w:line="240" w:lineRule="exact"/>
              <w:jc w:val="center"/>
              <w:rPr>
                <w:rFonts w:hint="default" w:ascii="Times New Roman" w:hAnsi="Times New Roman" w:cs="Times New Roman"/>
                <w:snapToGrid w:val="0"/>
                <w:color w:val="auto"/>
                <w:kern w:val="21"/>
                <w:szCs w:val="21"/>
                <w:highlight w:val="none"/>
              </w:rPr>
            </w:pPr>
          </w:p>
        </w:tc>
      </w:tr>
      <w:tr w14:paraId="7E11F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restart"/>
            <w:vAlign w:val="center"/>
          </w:tcPr>
          <w:p w14:paraId="1976F4EE">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039F017E">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固废</w:t>
            </w:r>
          </w:p>
        </w:tc>
        <w:tc>
          <w:tcPr>
            <w:tcW w:w="1605" w:type="dxa"/>
            <w:vAlign w:val="center"/>
          </w:tcPr>
          <w:p w14:paraId="0608E6A4">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废反渗透膜</w:t>
            </w:r>
          </w:p>
        </w:tc>
        <w:tc>
          <w:tcPr>
            <w:tcW w:w="1584" w:type="dxa"/>
            <w:vAlign w:val="center"/>
          </w:tcPr>
          <w:p w14:paraId="1E84C6F8">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w:t>
            </w:r>
          </w:p>
        </w:tc>
        <w:tc>
          <w:tcPr>
            <w:tcW w:w="1288" w:type="dxa"/>
            <w:vAlign w:val="center"/>
          </w:tcPr>
          <w:p w14:paraId="66D1E412">
            <w:pPr>
              <w:jc w:val="center"/>
              <w:rPr>
                <w:rFonts w:hint="default" w:ascii="Times New Roman" w:hAnsi="Times New Roman" w:cs="Times New Roman"/>
                <w:snapToGrid w:val="0"/>
                <w:color w:val="auto"/>
                <w:kern w:val="21"/>
                <w:szCs w:val="21"/>
                <w:highlight w:val="none"/>
              </w:rPr>
            </w:pPr>
          </w:p>
        </w:tc>
        <w:tc>
          <w:tcPr>
            <w:tcW w:w="1512" w:type="dxa"/>
            <w:vAlign w:val="center"/>
          </w:tcPr>
          <w:p w14:paraId="1D27676C">
            <w:pPr>
              <w:jc w:val="center"/>
              <w:rPr>
                <w:rFonts w:hint="default" w:ascii="Times New Roman" w:hAnsi="Times New Roman" w:cs="Times New Roman"/>
                <w:snapToGrid w:val="0"/>
                <w:color w:val="auto"/>
                <w:kern w:val="21"/>
                <w:szCs w:val="21"/>
                <w:highlight w:val="none"/>
              </w:rPr>
            </w:pPr>
          </w:p>
        </w:tc>
        <w:tc>
          <w:tcPr>
            <w:tcW w:w="1496" w:type="dxa"/>
            <w:vAlign w:val="center"/>
          </w:tcPr>
          <w:p w14:paraId="0BB76EC2">
            <w:pPr>
              <w:jc w:val="center"/>
              <w:rPr>
                <w:rFonts w:hint="default" w:ascii="Times New Roman" w:hAnsi="Times New Roman" w:cs="Times New Roman"/>
                <w:color w:val="auto"/>
                <w:szCs w:val="21"/>
                <w:highlight w:val="none"/>
              </w:rPr>
            </w:pPr>
            <w:r>
              <w:rPr>
                <w:rFonts w:hint="default" w:ascii="Times New Roman" w:hAnsi="Times New Roman" w:cs="Times New Roman"/>
                <w:snapToGrid w:val="0"/>
                <w:color w:val="auto"/>
                <w:kern w:val="21"/>
                <w:szCs w:val="21"/>
                <w:highlight w:val="none"/>
              </w:rPr>
              <w:t>0.5t/a</w:t>
            </w:r>
          </w:p>
        </w:tc>
        <w:tc>
          <w:tcPr>
            <w:tcW w:w="1704" w:type="dxa"/>
            <w:vAlign w:val="center"/>
          </w:tcPr>
          <w:p w14:paraId="1720B7C2">
            <w:pPr>
              <w:jc w:val="center"/>
              <w:rPr>
                <w:rFonts w:hint="default" w:ascii="Times New Roman" w:hAnsi="Times New Roman" w:cs="Times New Roman"/>
                <w:snapToGrid w:val="0"/>
                <w:color w:val="auto"/>
                <w:kern w:val="21"/>
                <w:szCs w:val="21"/>
                <w:highlight w:val="none"/>
              </w:rPr>
            </w:pPr>
          </w:p>
        </w:tc>
        <w:tc>
          <w:tcPr>
            <w:tcW w:w="1732" w:type="dxa"/>
            <w:vAlign w:val="center"/>
          </w:tcPr>
          <w:p w14:paraId="5D36588E">
            <w:pPr>
              <w:jc w:val="center"/>
              <w:rPr>
                <w:rFonts w:hint="default" w:ascii="Times New Roman" w:hAnsi="Times New Roman" w:cs="Times New Roman"/>
                <w:color w:val="auto"/>
                <w:szCs w:val="21"/>
                <w:highlight w:val="none"/>
              </w:rPr>
            </w:pPr>
            <w:r>
              <w:rPr>
                <w:rFonts w:hint="default" w:ascii="Times New Roman" w:hAnsi="Times New Roman" w:cs="Times New Roman"/>
                <w:snapToGrid w:val="0"/>
                <w:color w:val="auto"/>
                <w:kern w:val="21"/>
                <w:szCs w:val="21"/>
                <w:highlight w:val="none"/>
              </w:rPr>
              <w:t>0.5t/a</w:t>
            </w:r>
          </w:p>
        </w:tc>
        <w:tc>
          <w:tcPr>
            <w:tcW w:w="1559" w:type="dxa"/>
            <w:vAlign w:val="center"/>
          </w:tcPr>
          <w:p w14:paraId="08F01994">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0.5t/a</w:t>
            </w:r>
          </w:p>
        </w:tc>
      </w:tr>
      <w:tr w14:paraId="64E9A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Merge w:val="continue"/>
            <w:vAlign w:val="center"/>
          </w:tcPr>
          <w:p w14:paraId="12FDD03E">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p>
        </w:tc>
        <w:tc>
          <w:tcPr>
            <w:tcW w:w="1605" w:type="dxa"/>
            <w:vAlign w:val="center"/>
          </w:tcPr>
          <w:p w14:paraId="2E2A8336">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化粪池污泥</w:t>
            </w:r>
          </w:p>
        </w:tc>
        <w:tc>
          <w:tcPr>
            <w:tcW w:w="1584" w:type="dxa"/>
            <w:vAlign w:val="center"/>
          </w:tcPr>
          <w:p w14:paraId="2FF87A4C">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w:t>
            </w:r>
          </w:p>
        </w:tc>
        <w:tc>
          <w:tcPr>
            <w:tcW w:w="1288" w:type="dxa"/>
            <w:vAlign w:val="center"/>
          </w:tcPr>
          <w:p w14:paraId="6A787A9E">
            <w:pPr>
              <w:jc w:val="center"/>
              <w:rPr>
                <w:rFonts w:hint="default" w:ascii="Times New Roman" w:hAnsi="Times New Roman" w:cs="Times New Roman"/>
                <w:snapToGrid w:val="0"/>
                <w:color w:val="auto"/>
                <w:kern w:val="21"/>
                <w:szCs w:val="21"/>
                <w:highlight w:val="none"/>
              </w:rPr>
            </w:pPr>
          </w:p>
        </w:tc>
        <w:tc>
          <w:tcPr>
            <w:tcW w:w="1512" w:type="dxa"/>
            <w:vAlign w:val="center"/>
          </w:tcPr>
          <w:p w14:paraId="2B04E467">
            <w:pPr>
              <w:jc w:val="center"/>
              <w:rPr>
                <w:rFonts w:hint="default" w:ascii="Times New Roman" w:hAnsi="Times New Roman" w:cs="Times New Roman"/>
                <w:snapToGrid w:val="0"/>
                <w:color w:val="auto"/>
                <w:kern w:val="21"/>
                <w:szCs w:val="21"/>
                <w:highlight w:val="none"/>
              </w:rPr>
            </w:pPr>
          </w:p>
        </w:tc>
        <w:tc>
          <w:tcPr>
            <w:tcW w:w="1496" w:type="dxa"/>
            <w:vAlign w:val="center"/>
          </w:tcPr>
          <w:p w14:paraId="75BB178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0.064</w:t>
            </w:r>
            <w:r>
              <w:rPr>
                <w:rFonts w:hint="default" w:ascii="Times New Roman" w:hAnsi="Times New Roman" w:cs="Times New Roman"/>
                <w:snapToGrid w:val="0"/>
                <w:color w:val="auto"/>
                <w:kern w:val="21"/>
                <w:szCs w:val="21"/>
                <w:highlight w:val="none"/>
              </w:rPr>
              <w:t>t/a</w:t>
            </w:r>
          </w:p>
        </w:tc>
        <w:tc>
          <w:tcPr>
            <w:tcW w:w="1704" w:type="dxa"/>
            <w:vAlign w:val="center"/>
          </w:tcPr>
          <w:p w14:paraId="2583C87B">
            <w:pPr>
              <w:jc w:val="center"/>
              <w:rPr>
                <w:rFonts w:hint="default" w:ascii="Times New Roman" w:hAnsi="Times New Roman" w:cs="Times New Roman"/>
                <w:snapToGrid w:val="0"/>
                <w:color w:val="auto"/>
                <w:kern w:val="21"/>
                <w:szCs w:val="21"/>
                <w:highlight w:val="none"/>
              </w:rPr>
            </w:pPr>
          </w:p>
        </w:tc>
        <w:tc>
          <w:tcPr>
            <w:tcW w:w="1732" w:type="dxa"/>
            <w:vAlign w:val="center"/>
          </w:tcPr>
          <w:p w14:paraId="4BAED02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0.064</w:t>
            </w:r>
            <w:r>
              <w:rPr>
                <w:rFonts w:hint="default" w:ascii="Times New Roman" w:hAnsi="Times New Roman" w:cs="Times New Roman"/>
                <w:snapToGrid w:val="0"/>
                <w:color w:val="auto"/>
                <w:kern w:val="21"/>
                <w:szCs w:val="21"/>
                <w:highlight w:val="none"/>
              </w:rPr>
              <w:t>t/a</w:t>
            </w:r>
          </w:p>
        </w:tc>
        <w:tc>
          <w:tcPr>
            <w:tcW w:w="1559" w:type="dxa"/>
            <w:vAlign w:val="center"/>
          </w:tcPr>
          <w:p w14:paraId="0C744E39">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color w:val="auto"/>
                <w:szCs w:val="21"/>
                <w:highlight w:val="none"/>
              </w:rPr>
              <w:t>0.064</w:t>
            </w:r>
            <w:r>
              <w:rPr>
                <w:rFonts w:hint="default" w:ascii="Times New Roman" w:hAnsi="Times New Roman" w:cs="Times New Roman"/>
                <w:snapToGrid w:val="0"/>
                <w:color w:val="auto"/>
                <w:kern w:val="21"/>
                <w:szCs w:val="21"/>
                <w:highlight w:val="none"/>
              </w:rPr>
              <w:t>t/a</w:t>
            </w:r>
          </w:p>
        </w:tc>
      </w:tr>
      <w:tr w14:paraId="0BB67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8" w:type="dxa"/>
            <w:vAlign w:val="center"/>
          </w:tcPr>
          <w:p w14:paraId="722B469F">
            <w:pPr>
              <w:pStyle w:val="66"/>
              <w:spacing w:beforeLines="0" w:afterLines="0" w:line="240" w:lineRule="auto"/>
              <w:ind w:firstLine="0" w:firstLineChars="0"/>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生活垃圾</w:t>
            </w:r>
          </w:p>
        </w:tc>
        <w:tc>
          <w:tcPr>
            <w:tcW w:w="1605" w:type="dxa"/>
            <w:vAlign w:val="center"/>
          </w:tcPr>
          <w:p w14:paraId="014126B2">
            <w:pPr>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snapToGrid w:val="0"/>
                <w:color w:val="auto"/>
                <w:kern w:val="21"/>
                <w:szCs w:val="21"/>
                <w:highlight w:val="none"/>
              </w:rPr>
              <w:t>生活垃圾</w:t>
            </w:r>
          </w:p>
        </w:tc>
        <w:tc>
          <w:tcPr>
            <w:tcW w:w="1584" w:type="dxa"/>
            <w:vAlign w:val="center"/>
          </w:tcPr>
          <w:p w14:paraId="3B76218D">
            <w:pPr>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7.45t/a</w:t>
            </w:r>
          </w:p>
        </w:tc>
        <w:tc>
          <w:tcPr>
            <w:tcW w:w="1288" w:type="dxa"/>
            <w:vAlign w:val="center"/>
          </w:tcPr>
          <w:p w14:paraId="3DF2027A">
            <w:pPr>
              <w:jc w:val="center"/>
              <w:rPr>
                <w:rFonts w:hint="default" w:ascii="Times New Roman" w:hAnsi="Times New Roman" w:cs="Times New Roman"/>
                <w:snapToGrid w:val="0"/>
                <w:color w:val="auto"/>
                <w:kern w:val="21"/>
                <w:szCs w:val="21"/>
                <w:highlight w:val="none"/>
              </w:rPr>
            </w:pPr>
          </w:p>
        </w:tc>
        <w:tc>
          <w:tcPr>
            <w:tcW w:w="1512" w:type="dxa"/>
            <w:vAlign w:val="center"/>
          </w:tcPr>
          <w:p w14:paraId="0855E8FA">
            <w:pPr>
              <w:jc w:val="center"/>
              <w:rPr>
                <w:rFonts w:hint="default" w:ascii="Times New Roman" w:hAnsi="Times New Roman" w:cs="Times New Roman"/>
                <w:snapToGrid w:val="0"/>
                <w:color w:val="auto"/>
                <w:kern w:val="21"/>
                <w:szCs w:val="21"/>
                <w:highlight w:val="none"/>
              </w:rPr>
            </w:pPr>
          </w:p>
        </w:tc>
        <w:tc>
          <w:tcPr>
            <w:tcW w:w="1496" w:type="dxa"/>
            <w:vAlign w:val="center"/>
          </w:tcPr>
          <w:p w14:paraId="62D76C7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704" w:type="dxa"/>
            <w:vAlign w:val="center"/>
          </w:tcPr>
          <w:p w14:paraId="7D68695D">
            <w:pPr>
              <w:jc w:val="center"/>
              <w:rPr>
                <w:rFonts w:hint="default" w:ascii="Times New Roman" w:hAnsi="Times New Roman" w:cs="Times New Roman"/>
                <w:snapToGrid w:val="0"/>
                <w:color w:val="auto"/>
                <w:kern w:val="21"/>
                <w:szCs w:val="21"/>
                <w:highlight w:val="none"/>
              </w:rPr>
            </w:pPr>
          </w:p>
        </w:tc>
        <w:tc>
          <w:tcPr>
            <w:tcW w:w="1732" w:type="dxa"/>
            <w:vAlign w:val="center"/>
          </w:tcPr>
          <w:p w14:paraId="299F2313">
            <w:pPr>
              <w:jc w:val="center"/>
              <w:rPr>
                <w:rFonts w:hint="default" w:ascii="Times New Roman" w:hAnsi="Times New Roman" w:cs="Times New Roman"/>
                <w:color w:val="auto"/>
                <w:szCs w:val="21"/>
                <w:highlight w:val="none"/>
              </w:rPr>
            </w:pPr>
            <w:r>
              <w:rPr>
                <w:rFonts w:hint="default" w:ascii="Times New Roman" w:hAnsi="Times New Roman" w:cs="Times New Roman"/>
                <w:snapToGrid w:val="0"/>
                <w:color w:val="auto"/>
                <w:kern w:val="21"/>
                <w:szCs w:val="21"/>
                <w:highlight w:val="none"/>
              </w:rPr>
              <w:t>7.45t/a</w:t>
            </w:r>
          </w:p>
        </w:tc>
        <w:tc>
          <w:tcPr>
            <w:tcW w:w="1559" w:type="dxa"/>
            <w:vAlign w:val="center"/>
          </w:tcPr>
          <w:p w14:paraId="59116758">
            <w:pPr>
              <w:spacing w:line="240" w:lineRule="exact"/>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w:t>
            </w:r>
          </w:p>
        </w:tc>
      </w:tr>
    </w:tbl>
    <w:p w14:paraId="5430B5D2">
      <w:pPr>
        <w:pStyle w:val="66"/>
        <w:spacing w:before="192" w:beforeLines="80" w:after="24" w:line="260" w:lineRule="auto"/>
        <w:jc w:val="left"/>
        <w:rPr>
          <w:rFonts w:hint="default" w:ascii="Times New Roman" w:hAnsi="Times New Roman" w:cs="Times New Roman"/>
          <w:color w:val="auto"/>
          <w:sz w:val="24"/>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p>
    <w:sectPr>
      <w:footerReference r:id="rId6" w:type="default"/>
      <w:pgSz w:w="16838" w:h="11906" w:orient="landscape"/>
      <w:pgMar w:top="1531" w:right="1701" w:bottom="1531" w:left="170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行楷">
    <w:altName w:val="微软雅黑"/>
    <w:panose1 w:val="02010800040101010101"/>
    <w:charset w:val="86"/>
    <w:family w:val="auto"/>
    <w:pitch w:val="default"/>
    <w:sig w:usb0="00000000" w:usb1="00000000" w:usb2="00000000" w:usb3="00000000" w:csb0="00040000" w:csb1="00000000"/>
  </w:font>
  <w:font w:name="方正大标宋_GBK">
    <w:altName w:val="宋体"/>
    <w:panose1 w:val="00000000000000000000"/>
    <w:charset w:val="86"/>
    <w:family w:val="script"/>
    <w:pitch w:val="default"/>
    <w:sig w:usb0="00000000" w:usb1="00000000" w:usb2="00000010" w:usb3="00000000" w:csb0="00040000" w:csb1="00000000"/>
  </w:font>
  <w:font w:name="TimesNewRomanPSMT">
    <w:altName w:val="Times New Roman"/>
    <w:panose1 w:val="00000000000000000000"/>
    <w:charset w:val="00"/>
    <w:family w:val="auto"/>
    <w:pitch w:val="default"/>
    <w:sig w:usb0="00000000" w:usb1="00000000" w:usb2="00000009" w:usb3="00000000" w:csb0="400001FF" w:csb1="FFFF0000"/>
  </w:font>
  <w:font w:name="楷体_GB2312">
    <w:altName w:val="楷体"/>
    <w:panose1 w:val="0201060903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7BC93">
    <w:pPr>
      <w:pStyle w:val="26"/>
      <w:ind w:right="360" w:firstLine="360"/>
      <w:jc w:val="center"/>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8F9CB">
    <w:pPr>
      <w:pStyle w:val="26"/>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5E46F">
    <w:pPr>
      <w:pStyle w:val="26"/>
      <w:framePr w:wrap="around" w:vAnchor="text" w:hAnchor="margin" w:xAlign="outside" w:y="1"/>
      <w:rPr>
        <w:rStyle w:val="37"/>
        <w:rFonts w:hint="eastAsia" w:ascii="宋体" w:hAnsi="宋体"/>
        <w:sz w:val="28"/>
        <w:szCs w:val="28"/>
      </w:rPr>
    </w:pPr>
    <w:r>
      <w:rPr>
        <w:rStyle w:val="37"/>
        <w:rFonts w:hint="eastAsia" w:ascii="宋体" w:hAnsi="宋体"/>
        <w:sz w:val="28"/>
        <w:szCs w:val="28"/>
      </w:rPr>
      <w:t>—</w:t>
    </w:r>
    <w:r>
      <w:rPr>
        <w:rStyle w:val="37"/>
        <w:rFonts w:hint="eastAsia" w:ascii="宋体" w:hAnsi="宋体"/>
        <w:sz w:val="20"/>
      </w:rPr>
      <w:t xml:space="preserve">  </w:t>
    </w:r>
    <w:r>
      <w:rPr>
        <w:rFonts w:ascii="宋体" w:hAnsi="宋体"/>
        <w:sz w:val="26"/>
        <w:szCs w:val="26"/>
      </w:rPr>
      <w:fldChar w:fldCharType="begin"/>
    </w:r>
    <w:r>
      <w:rPr>
        <w:rStyle w:val="37"/>
        <w:rFonts w:ascii="宋体" w:hAnsi="宋体"/>
        <w:sz w:val="26"/>
        <w:szCs w:val="26"/>
      </w:rPr>
      <w:instrText xml:space="preserve">PAGE  </w:instrText>
    </w:r>
    <w:r>
      <w:rPr>
        <w:rFonts w:ascii="宋体" w:hAnsi="宋体"/>
        <w:sz w:val="26"/>
        <w:szCs w:val="26"/>
      </w:rPr>
      <w:fldChar w:fldCharType="separate"/>
    </w:r>
    <w:r>
      <w:rPr>
        <w:rStyle w:val="37"/>
        <w:rFonts w:ascii="宋体" w:hAnsi="宋体"/>
        <w:sz w:val="26"/>
        <w:szCs w:val="26"/>
      </w:rPr>
      <w:t>50</w:t>
    </w:r>
    <w:r>
      <w:rPr>
        <w:rFonts w:ascii="宋体" w:hAnsi="宋体"/>
        <w:sz w:val="26"/>
        <w:szCs w:val="26"/>
      </w:rPr>
      <w:fldChar w:fldCharType="end"/>
    </w:r>
    <w:r>
      <w:rPr>
        <w:rStyle w:val="37"/>
        <w:rFonts w:hint="eastAsia" w:ascii="宋体" w:hAnsi="宋体"/>
        <w:sz w:val="20"/>
      </w:rPr>
      <w:t xml:space="preserve">  </w:t>
    </w:r>
    <w:r>
      <w:rPr>
        <w:rStyle w:val="37"/>
        <w:rFonts w:hint="eastAsia" w:ascii="宋体" w:hAnsi="宋体"/>
        <w:sz w:val="28"/>
        <w:szCs w:val="28"/>
      </w:rPr>
      <w:t>—</w:t>
    </w:r>
  </w:p>
  <w:p w14:paraId="3C791AF7">
    <w:pPr>
      <w:pStyle w:val="26"/>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87450">
    <w:pPr>
      <w:pStyle w:val="26"/>
      <w:framePr w:wrap="around" w:vAnchor="text" w:hAnchor="margin" w:xAlign="outside" w:y="1"/>
      <w:rPr>
        <w:rStyle w:val="37"/>
        <w:rFonts w:hint="eastAsia" w:ascii="宋体" w:hAnsi="宋体"/>
        <w:sz w:val="28"/>
        <w:szCs w:val="28"/>
      </w:rPr>
    </w:pPr>
    <w:r>
      <w:rPr>
        <w:rStyle w:val="37"/>
        <w:rFonts w:hint="eastAsia" w:ascii="宋体" w:hAnsi="宋体"/>
        <w:sz w:val="28"/>
        <w:szCs w:val="28"/>
      </w:rPr>
      <w:t>—</w:t>
    </w:r>
    <w:r>
      <w:rPr>
        <w:rStyle w:val="37"/>
        <w:rFonts w:hint="eastAsia" w:ascii="宋体" w:hAnsi="宋体"/>
        <w:sz w:val="20"/>
      </w:rPr>
      <w:t xml:space="preserve">  </w:t>
    </w:r>
    <w:r>
      <w:rPr>
        <w:rFonts w:ascii="宋体" w:hAnsi="宋体"/>
        <w:sz w:val="26"/>
        <w:szCs w:val="26"/>
      </w:rPr>
      <w:fldChar w:fldCharType="begin"/>
    </w:r>
    <w:r>
      <w:rPr>
        <w:rStyle w:val="37"/>
        <w:rFonts w:ascii="宋体" w:hAnsi="宋体"/>
        <w:sz w:val="26"/>
        <w:szCs w:val="26"/>
      </w:rPr>
      <w:instrText xml:space="preserve">PAGE  </w:instrText>
    </w:r>
    <w:r>
      <w:rPr>
        <w:rFonts w:ascii="宋体" w:hAnsi="宋体"/>
        <w:sz w:val="26"/>
        <w:szCs w:val="26"/>
      </w:rPr>
      <w:fldChar w:fldCharType="separate"/>
    </w:r>
    <w:r>
      <w:rPr>
        <w:rStyle w:val="37"/>
        <w:rFonts w:ascii="宋体" w:hAnsi="宋体"/>
        <w:sz w:val="26"/>
        <w:szCs w:val="26"/>
      </w:rPr>
      <w:t>53</w:t>
    </w:r>
    <w:r>
      <w:rPr>
        <w:rFonts w:ascii="宋体" w:hAnsi="宋体"/>
        <w:sz w:val="26"/>
        <w:szCs w:val="26"/>
      </w:rPr>
      <w:fldChar w:fldCharType="end"/>
    </w:r>
    <w:r>
      <w:rPr>
        <w:rStyle w:val="37"/>
        <w:rFonts w:hint="eastAsia" w:ascii="宋体" w:hAnsi="宋体"/>
        <w:sz w:val="20"/>
      </w:rPr>
      <w:t xml:space="preserve">  </w:t>
    </w:r>
    <w:r>
      <w:rPr>
        <w:rStyle w:val="37"/>
        <w:rFonts w:hint="eastAsia" w:ascii="宋体" w:hAnsi="宋体"/>
        <w:sz w:val="28"/>
        <w:szCs w:val="28"/>
      </w:rPr>
      <w:t>—</w:t>
    </w:r>
  </w:p>
  <w:p w14:paraId="67130EAE">
    <w:pPr>
      <w:pStyle w:val="26"/>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481D8"/>
    <w:multiLevelType w:val="singleLevel"/>
    <w:tmpl w:val="8AA481D8"/>
    <w:lvl w:ilvl="0" w:tentative="0">
      <w:start w:val="1"/>
      <w:numFmt w:val="decimal"/>
      <w:suff w:val="nothing"/>
      <w:lvlText w:val="%1、"/>
      <w:lvlJc w:val="left"/>
    </w:lvl>
  </w:abstractNum>
  <w:abstractNum w:abstractNumId="1">
    <w:nsid w:val="AAA8BD69"/>
    <w:multiLevelType w:val="singleLevel"/>
    <w:tmpl w:val="AAA8BD69"/>
    <w:lvl w:ilvl="0" w:tentative="0">
      <w:start w:val="1"/>
      <w:numFmt w:val="decimal"/>
      <w:suff w:val="nothing"/>
      <w:lvlText w:val="（%1）"/>
      <w:lvlJc w:val="left"/>
    </w:lvl>
  </w:abstractNum>
  <w:abstractNum w:abstractNumId="2">
    <w:nsid w:val="CD740A87"/>
    <w:multiLevelType w:val="multilevel"/>
    <w:tmpl w:val="CD740A87"/>
    <w:lvl w:ilvl="0" w:tentative="0">
      <w:start w:val="1"/>
      <w:numFmt w:val="decimal"/>
      <w:pStyle w:val="98"/>
      <w:suff w:val="space"/>
      <w:lvlText w:val="表7-%1 "/>
      <w:lvlJc w:val="left"/>
      <w:pPr>
        <w:tabs>
          <w:tab w:val="left" w:pos="0"/>
        </w:tabs>
        <w:ind w:left="0" w:firstLine="0"/>
      </w:pPr>
      <w:rPr>
        <w:rFonts w:hint="default" w:ascii="宋体" w:hAnsi="宋体" w:eastAsia="宋体" w:cs="宋体"/>
      </w:rPr>
    </w:lvl>
    <w:lvl w:ilvl="1" w:tentative="0">
      <w:start w:val="1"/>
      <w:numFmt w:val="decimal"/>
      <w:suff w:val="space"/>
      <w:lvlText w:val="%1.%2"/>
      <w:lvlJc w:val="left"/>
      <w:pPr>
        <w:tabs>
          <w:tab w:val="left" w:pos="420"/>
        </w:tabs>
        <w:ind w:left="0" w:firstLine="0"/>
      </w:pPr>
      <w:rPr>
        <w:rFonts w:hint="default" w:ascii="宋体" w:hAnsi="宋体" w:eastAsia="宋体" w:cs="宋体"/>
      </w:rPr>
    </w:lvl>
    <w:lvl w:ilvl="2" w:tentative="0">
      <w:start w:val="1"/>
      <w:numFmt w:val="decimal"/>
      <w:suff w:val="space"/>
      <w:lvlText w:val="%1.%2.%3"/>
      <w:lvlJc w:val="left"/>
      <w:pPr>
        <w:tabs>
          <w:tab w:val="left" w:pos="420"/>
        </w:tabs>
        <w:ind w:left="0" w:firstLine="0"/>
      </w:pPr>
      <w:rPr>
        <w:rFonts w:hint="default" w:ascii="宋体" w:hAnsi="宋体" w:eastAsia="宋体" w:cs="宋体"/>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F8525FB7"/>
    <w:multiLevelType w:val="singleLevel"/>
    <w:tmpl w:val="F8525FB7"/>
    <w:lvl w:ilvl="0" w:tentative="0">
      <w:start w:val="1"/>
      <w:numFmt w:val="bullet"/>
      <w:pStyle w:val="22"/>
      <w:lvlText w:val=""/>
      <w:lvlJc w:val="left"/>
      <w:pPr>
        <w:tabs>
          <w:tab w:val="left" w:pos="2040"/>
        </w:tabs>
        <w:ind w:left="2040" w:hanging="360"/>
      </w:pPr>
      <w:rPr>
        <w:rFonts w:hint="default" w:ascii="Wingdings" w:hAnsi="Wingdings"/>
      </w:rPr>
    </w:lvl>
  </w:abstractNum>
  <w:abstractNum w:abstractNumId="4">
    <w:nsid w:val="2468F440"/>
    <w:multiLevelType w:val="multilevel"/>
    <w:tmpl w:val="2468F440"/>
    <w:lvl w:ilvl="0" w:tentative="0">
      <w:start w:val="1"/>
      <w:numFmt w:val="decimal"/>
      <w:pStyle w:val="91"/>
      <w:suff w:val="space"/>
      <w:lvlText w:val="表4-%1 "/>
      <w:lvlJc w:val="left"/>
      <w:pPr>
        <w:tabs>
          <w:tab w:val="left" w:pos="0"/>
        </w:tabs>
        <w:ind w:left="2310" w:firstLine="0"/>
      </w:pPr>
      <w:rPr>
        <w:rFonts w:hint="eastAsia" w:ascii="宋体" w:hAnsi="宋体" w:eastAsia="宋体" w:cs="宋体"/>
        <w:u w:val="none"/>
      </w:rPr>
    </w:lvl>
    <w:lvl w:ilvl="1" w:tentative="0">
      <w:start w:val="1"/>
      <w:numFmt w:val="decimal"/>
      <w:suff w:val="space"/>
      <w:lvlText w:val="%1.%2"/>
      <w:lvlJc w:val="left"/>
      <w:pPr>
        <w:tabs>
          <w:tab w:val="left" w:pos="420"/>
        </w:tabs>
        <w:ind w:left="2310" w:firstLine="0"/>
      </w:pPr>
      <w:rPr>
        <w:rFonts w:hint="eastAsia" w:ascii="宋体" w:hAnsi="宋体" w:eastAsia="宋体" w:cs="宋体"/>
        <w:u w:val="none"/>
      </w:rPr>
    </w:lvl>
    <w:lvl w:ilvl="2" w:tentative="0">
      <w:start w:val="1"/>
      <w:numFmt w:val="decimal"/>
      <w:suff w:val="space"/>
      <w:lvlText w:val="%1.%2.%3"/>
      <w:lvlJc w:val="left"/>
      <w:pPr>
        <w:tabs>
          <w:tab w:val="left" w:pos="420"/>
        </w:tabs>
        <w:ind w:left="2310" w:firstLine="0"/>
      </w:pPr>
      <w:rPr>
        <w:rFonts w:hint="eastAsia" w:ascii="宋体" w:hAnsi="宋体" w:eastAsia="宋体" w:cs="宋体"/>
        <w:u w:val="none"/>
      </w:rPr>
    </w:lvl>
    <w:lvl w:ilvl="3" w:tentative="0">
      <w:start w:val="1"/>
      <w:numFmt w:val="decimal"/>
      <w:lvlText w:val="%1.%2.%3.%4."/>
      <w:lvlJc w:val="left"/>
      <w:pPr>
        <w:ind w:left="3174" w:hanging="864"/>
      </w:pPr>
      <w:rPr>
        <w:rFonts w:hint="default"/>
        <w:u w:val="none"/>
      </w:rPr>
    </w:lvl>
    <w:lvl w:ilvl="4" w:tentative="0">
      <w:start w:val="1"/>
      <w:numFmt w:val="decimal"/>
      <w:lvlText w:val="%1.%2.%3.%4.%5."/>
      <w:lvlJc w:val="left"/>
      <w:pPr>
        <w:ind w:left="3318" w:hanging="1008"/>
      </w:pPr>
      <w:rPr>
        <w:rFonts w:hint="default"/>
        <w:u w:val="none"/>
      </w:rPr>
    </w:lvl>
    <w:lvl w:ilvl="5" w:tentative="0">
      <w:start w:val="1"/>
      <w:numFmt w:val="decimal"/>
      <w:lvlText w:val="%1.%2.%3.%4.%5.%6."/>
      <w:lvlJc w:val="left"/>
      <w:pPr>
        <w:ind w:left="3461" w:hanging="1151"/>
      </w:pPr>
      <w:rPr>
        <w:rFonts w:hint="default"/>
        <w:u w:val="none"/>
      </w:rPr>
    </w:lvl>
    <w:lvl w:ilvl="6" w:tentative="0">
      <w:start w:val="1"/>
      <w:numFmt w:val="decimal"/>
      <w:lvlText w:val="%1.%2.%3.%4.%5.%6.%7."/>
      <w:lvlJc w:val="left"/>
      <w:pPr>
        <w:ind w:left="3606" w:hanging="1296"/>
      </w:pPr>
      <w:rPr>
        <w:rFonts w:hint="default"/>
        <w:u w:val="none"/>
      </w:rPr>
    </w:lvl>
    <w:lvl w:ilvl="7" w:tentative="0">
      <w:start w:val="1"/>
      <w:numFmt w:val="decimal"/>
      <w:lvlText w:val="%1.%2.%3.%4.%5.%6.%7.%8."/>
      <w:lvlJc w:val="left"/>
      <w:pPr>
        <w:ind w:left="3750" w:hanging="1440"/>
      </w:pPr>
      <w:rPr>
        <w:rFonts w:hint="default"/>
        <w:u w:val="none"/>
      </w:rPr>
    </w:lvl>
    <w:lvl w:ilvl="8" w:tentative="0">
      <w:start w:val="1"/>
      <w:numFmt w:val="decimal"/>
      <w:lvlText w:val="%1.%2.%3.%4.%5.%6.%7.%8.%9."/>
      <w:lvlJc w:val="left"/>
      <w:pPr>
        <w:ind w:left="3893" w:hanging="1583"/>
      </w:pPr>
      <w:rPr>
        <w:rFonts w:hint="default"/>
        <w:u w:val="none"/>
      </w:rPr>
    </w:lvl>
  </w:abstractNum>
  <w:abstractNum w:abstractNumId="5">
    <w:nsid w:val="46830F3E"/>
    <w:multiLevelType w:val="multilevel"/>
    <w:tmpl w:val="46830F3E"/>
    <w:lvl w:ilvl="0" w:tentative="0">
      <w:start w:val="1"/>
      <w:numFmt w:val="decimal"/>
      <w:pStyle w:val="77"/>
      <w:suff w:val="space"/>
      <w:lvlText w:val="表1-%1 "/>
      <w:lvlJc w:val="left"/>
      <w:pPr>
        <w:tabs>
          <w:tab w:val="left" w:pos="0"/>
        </w:tabs>
        <w:ind w:left="0" w:firstLine="0"/>
      </w:pPr>
      <w:rPr>
        <w:rFonts w:hint="default" w:ascii="宋体" w:hAnsi="宋体" w:eastAsia="宋体" w:cs="宋体"/>
      </w:rPr>
    </w:lvl>
    <w:lvl w:ilvl="1" w:tentative="0">
      <w:start w:val="1"/>
      <w:numFmt w:val="decimal"/>
      <w:suff w:val="space"/>
      <w:lvlText w:val="%1.%2"/>
      <w:lvlJc w:val="left"/>
      <w:pPr>
        <w:tabs>
          <w:tab w:val="left" w:pos="420"/>
        </w:tabs>
        <w:ind w:left="0" w:firstLine="0"/>
      </w:pPr>
      <w:rPr>
        <w:rFonts w:hint="default" w:ascii="宋体" w:hAnsi="宋体" w:eastAsia="宋体" w:cs="宋体"/>
      </w:rPr>
    </w:lvl>
    <w:lvl w:ilvl="2" w:tentative="0">
      <w:start w:val="1"/>
      <w:numFmt w:val="decimal"/>
      <w:suff w:val="space"/>
      <w:lvlText w:val="%1.%2.%3"/>
      <w:lvlJc w:val="left"/>
      <w:pPr>
        <w:tabs>
          <w:tab w:val="left" w:pos="420"/>
        </w:tabs>
        <w:ind w:left="0" w:firstLine="0"/>
      </w:pPr>
      <w:rPr>
        <w:rFonts w:hint="default" w:ascii="宋体" w:hAnsi="宋体" w:eastAsia="宋体" w:cs="宋体"/>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6">
    <w:nsid w:val="5FDA1AE8"/>
    <w:multiLevelType w:val="singleLevel"/>
    <w:tmpl w:val="5FDA1AE8"/>
    <w:lvl w:ilvl="0" w:tentative="0">
      <w:start w:val="4"/>
      <w:numFmt w:val="chineseCounting"/>
      <w:suff w:val="nothing"/>
      <w:lvlText w:val="%1、"/>
      <w:lvlJc w:val="left"/>
      <w:rPr>
        <w:rFonts w:hint="eastAsia"/>
      </w:rPr>
    </w:lvl>
  </w:abstractNum>
  <w:abstractNum w:abstractNumId="7">
    <w:nsid w:val="757B1C10"/>
    <w:multiLevelType w:val="multilevel"/>
    <w:tmpl w:val="757B1C10"/>
    <w:lvl w:ilvl="0" w:tentative="0">
      <w:start w:val="1"/>
      <w:numFmt w:val="decimal"/>
      <w:pStyle w:val="100"/>
      <w:suff w:val="space"/>
      <w:lvlText w:val="表3-%1 "/>
      <w:lvlJc w:val="left"/>
      <w:pPr>
        <w:tabs>
          <w:tab w:val="left" w:pos="0"/>
        </w:tabs>
        <w:ind w:left="0" w:firstLine="0"/>
      </w:pPr>
      <w:rPr>
        <w:rFonts w:hint="default" w:ascii="宋体" w:hAnsi="宋体" w:eastAsia="宋体" w:cs="宋体"/>
      </w:rPr>
    </w:lvl>
    <w:lvl w:ilvl="1" w:tentative="0">
      <w:start w:val="1"/>
      <w:numFmt w:val="decimal"/>
      <w:suff w:val="space"/>
      <w:lvlText w:val="%1.%2"/>
      <w:lvlJc w:val="left"/>
      <w:pPr>
        <w:tabs>
          <w:tab w:val="left" w:pos="420"/>
        </w:tabs>
        <w:ind w:left="0" w:firstLine="0"/>
      </w:pPr>
      <w:rPr>
        <w:rFonts w:hint="default" w:ascii="宋体" w:hAnsi="宋体" w:eastAsia="宋体" w:cs="Cambria"/>
      </w:rPr>
    </w:lvl>
    <w:lvl w:ilvl="2" w:tentative="0">
      <w:start w:val="1"/>
      <w:numFmt w:val="decimal"/>
      <w:suff w:val="space"/>
      <w:lvlText w:val="%1.%2.%3"/>
      <w:lvlJc w:val="left"/>
      <w:pPr>
        <w:tabs>
          <w:tab w:val="left" w:pos="420"/>
        </w:tabs>
        <w:ind w:left="0" w:firstLine="0"/>
      </w:pPr>
      <w:rPr>
        <w:rFonts w:hint="default" w:ascii="宋体" w:hAnsi="宋体" w:eastAsia="宋体" w:cs="Cambria"/>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3"/>
  </w:num>
  <w:num w:numId="2">
    <w:abstractNumId w:val="5"/>
  </w:num>
  <w:num w:numId="3">
    <w:abstractNumId w:val="4"/>
  </w:num>
  <w:num w:numId="4">
    <w:abstractNumId w:val="2"/>
  </w:num>
  <w:num w:numId="5">
    <w:abstractNumId w:val="7"/>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5MTk4YTEwYzI5YzdkZTU2MDYyZTJmNDlmM2RmYTYifQ=="/>
  </w:docVars>
  <w:rsids>
    <w:rsidRoot w:val="00172A27"/>
    <w:rsid w:val="00002BDE"/>
    <w:rsid w:val="000060B3"/>
    <w:rsid w:val="0004364B"/>
    <w:rsid w:val="0006111D"/>
    <w:rsid w:val="00061B1F"/>
    <w:rsid w:val="0006446D"/>
    <w:rsid w:val="000709AF"/>
    <w:rsid w:val="00072CEF"/>
    <w:rsid w:val="000733C4"/>
    <w:rsid w:val="00073B4A"/>
    <w:rsid w:val="00074783"/>
    <w:rsid w:val="0008070B"/>
    <w:rsid w:val="000810AC"/>
    <w:rsid w:val="00081A02"/>
    <w:rsid w:val="00082231"/>
    <w:rsid w:val="00092D38"/>
    <w:rsid w:val="0009377B"/>
    <w:rsid w:val="000942B7"/>
    <w:rsid w:val="000A002F"/>
    <w:rsid w:val="000A02F2"/>
    <w:rsid w:val="000A20C9"/>
    <w:rsid w:val="000A2E05"/>
    <w:rsid w:val="000B058F"/>
    <w:rsid w:val="000B2708"/>
    <w:rsid w:val="000B4467"/>
    <w:rsid w:val="000B4DB9"/>
    <w:rsid w:val="000C09AC"/>
    <w:rsid w:val="000C767F"/>
    <w:rsid w:val="000D5A44"/>
    <w:rsid w:val="000D6396"/>
    <w:rsid w:val="000E3ED2"/>
    <w:rsid w:val="0011590D"/>
    <w:rsid w:val="00117651"/>
    <w:rsid w:val="0012491A"/>
    <w:rsid w:val="00126B68"/>
    <w:rsid w:val="00131F42"/>
    <w:rsid w:val="00132119"/>
    <w:rsid w:val="001357F1"/>
    <w:rsid w:val="00140FA8"/>
    <w:rsid w:val="001427AE"/>
    <w:rsid w:val="00142FEB"/>
    <w:rsid w:val="00143A2D"/>
    <w:rsid w:val="00143F79"/>
    <w:rsid w:val="00145A41"/>
    <w:rsid w:val="00151675"/>
    <w:rsid w:val="00155D3E"/>
    <w:rsid w:val="00157435"/>
    <w:rsid w:val="00172A27"/>
    <w:rsid w:val="0017504D"/>
    <w:rsid w:val="0017671A"/>
    <w:rsid w:val="00177422"/>
    <w:rsid w:val="00184590"/>
    <w:rsid w:val="001870D1"/>
    <w:rsid w:val="0018781E"/>
    <w:rsid w:val="0019262D"/>
    <w:rsid w:val="00193633"/>
    <w:rsid w:val="00196240"/>
    <w:rsid w:val="001A1B35"/>
    <w:rsid w:val="001A48A2"/>
    <w:rsid w:val="001A6F61"/>
    <w:rsid w:val="001B72B8"/>
    <w:rsid w:val="001C4365"/>
    <w:rsid w:val="001C69B3"/>
    <w:rsid w:val="001D4206"/>
    <w:rsid w:val="001D5595"/>
    <w:rsid w:val="001D7874"/>
    <w:rsid w:val="001D7F22"/>
    <w:rsid w:val="001E0548"/>
    <w:rsid w:val="001E383C"/>
    <w:rsid w:val="001F0F17"/>
    <w:rsid w:val="001F3347"/>
    <w:rsid w:val="001F69E4"/>
    <w:rsid w:val="001F7EC9"/>
    <w:rsid w:val="00200633"/>
    <w:rsid w:val="00202BF2"/>
    <w:rsid w:val="00207BC9"/>
    <w:rsid w:val="002125B4"/>
    <w:rsid w:val="002140D4"/>
    <w:rsid w:val="002155B8"/>
    <w:rsid w:val="00222B27"/>
    <w:rsid w:val="002235E5"/>
    <w:rsid w:val="00224839"/>
    <w:rsid w:val="002249B2"/>
    <w:rsid w:val="00226574"/>
    <w:rsid w:val="002278EC"/>
    <w:rsid w:val="0023280E"/>
    <w:rsid w:val="002329BB"/>
    <w:rsid w:val="002377D1"/>
    <w:rsid w:val="0024056F"/>
    <w:rsid w:val="00245594"/>
    <w:rsid w:val="002463B8"/>
    <w:rsid w:val="002506BC"/>
    <w:rsid w:val="00254345"/>
    <w:rsid w:val="00264557"/>
    <w:rsid w:val="0027029D"/>
    <w:rsid w:val="00274DA9"/>
    <w:rsid w:val="002805AB"/>
    <w:rsid w:val="00280A69"/>
    <w:rsid w:val="00284204"/>
    <w:rsid w:val="00291773"/>
    <w:rsid w:val="00296707"/>
    <w:rsid w:val="002A168C"/>
    <w:rsid w:val="002A3DC7"/>
    <w:rsid w:val="002A6F45"/>
    <w:rsid w:val="002B49E2"/>
    <w:rsid w:val="002B7183"/>
    <w:rsid w:val="002B7B00"/>
    <w:rsid w:val="002B7C44"/>
    <w:rsid w:val="002C2B17"/>
    <w:rsid w:val="002D3DD0"/>
    <w:rsid w:val="002E1F3A"/>
    <w:rsid w:val="002E1F6F"/>
    <w:rsid w:val="002E21F1"/>
    <w:rsid w:val="002E298A"/>
    <w:rsid w:val="002E7747"/>
    <w:rsid w:val="002F2F76"/>
    <w:rsid w:val="002F4C0B"/>
    <w:rsid w:val="002F7CA5"/>
    <w:rsid w:val="00301978"/>
    <w:rsid w:val="0030332C"/>
    <w:rsid w:val="003051C2"/>
    <w:rsid w:val="00312296"/>
    <w:rsid w:val="00314F0E"/>
    <w:rsid w:val="00321D8E"/>
    <w:rsid w:val="0032286B"/>
    <w:rsid w:val="00325928"/>
    <w:rsid w:val="00332863"/>
    <w:rsid w:val="0033684D"/>
    <w:rsid w:val="00337B42"/>
    <w:rsid w:val="00341B42"/>
    <w:rsid w:val="0034348F"/>
    <w:rsid w:val="00344B75"/>
    <w:rsid w:val="00352855"/>
    <w:rsid w:val="003541E9"/>
    <w:rsid w:val="00356653"/>
    <w:rsid w:val="00356BC9"/>
    <w:rsid w:val="0035743F"/>
    <w:rsid w:val="003576FF"/>
    <w:rsid w:val="00357BE2"/>
    <w:rsid w:val="0036170C"/>
    <w:rsid w:val="00366E0F"/>
    <w:rsid w:val="00366F02"/>
    <w:rsid w:val="00381A72"/>
    <w:rsid w:val="00384676"/>
    <w:rsid w:val="00384CFC"/>
    <w:rsid w:val="00390857"/>
    <w:rsid w:val="003A4BF3"/>
    <w:rsid w:val="003B420D"/>
    <w:rsid w:val="003B6087"/>
    <w:rsid w:val="003C6C16"/>
    <w:rsid w:val="003D794D"/>
    <w:rsid w:val="003E3058"/>
    <w:rsid w:val="003E76A9"/>
    <w:rsid w:val="003F0809"/>
    <w:rsid w:val="003F6A8C"/>
    <w:rsid w:val="003F755C"/>
    <w:rsid w:val="00406CD4"/>
    <w:rsid w:val="00406F01"/>
    <w:rsid w:val="00407A95"/>
    <w:rsid w:val="004104BA"/>
    <w:rsid w:val="00416D50"/>
    <w:rsid w:val="00416FD5"/>
    <w:rsid w:val="00417772"/>
    <w:rsid w:val="00420E6A"/>
    <w:rsid w:val="00425A9E"/>
    <w:rsid w:val="00425EAB"/>
    <w:rsid w:val="00426D6B"/>
    <w:rsid w:val="00431E6C"/>
    <w:rsid w:val="00433CE7"/>
    <w:rsid w:val="00440F7A"/>
    <w:rsid w:val="0044475F"/>
    <w:rsid w:val="00444F60"/>
    <w:rsid w:val="00452738"/>
    <w:rsid w:val="0045490B"/>
    <w:rsid w:val="00456091"/>
    <w:rsid w:val="00464F2B"/>
    <w:rsid w:val="00466321"/>
    <w:rsid w:val="00466D33"/>
    <w:rsid w:val="00472959"/>
    <w:rsid w:val="00480AE1"/>
    <w:rsid w:val="00481283"/>
    <w:rsid w:val="00484B9B"/>
    <w:rsid w:val="004855F6"/>
    <w:rsid w:val="0048661E"/>
    <w:rsid w:val="00494670"/>
    <w:rsid w:val="004A3823"/>
    <w:rsid w:val="004B2DFD"/>
    <w:rsid w:val="004B5264"/>
    <w:rsid w:val="004D5490"/>
    <w:rsid w:val="004E2900"/>
    <w:rsid w:val="004E616D"/>
    <w:rsid w:val="004E6946"/>
    <w:rsid w:val="004F1AD8"/>
    <w:rsid w:val="004F4C3D"/>
    <w:rsid w:val="00501853"/>
    <w:rsid w:val="00501AA8"/>
    <w:rsid w:val="005039CB"/>
    <w:rsid w:val="0050511B"/>
    <w:rsid w:val="0050558F"/>
    <w:rsid w:val="00506286"/>
    <w:rsid w:val="00510813"/>
    <w:rsid w:val="00511990"/>
    <w:rsid w:val="00511DE0"/>
    <w:rsid w:val="00514870"/>
    <w:rsid w:val="00514B9B"/>
    <w:rsid w:val="00517F02"/>
    <w:rsid w:val="005216AE"/>
    <w:rsid w:val="00524303"/>
    <w:rsid w:val="005258A2"/>
    <w:rsid w:val="005401AE"/>
    <w:rsid w:val="00542E07"/>
    <w:rsid w:val="00544619"/>
    <w:rsid w:val="00545424"/>
    <w:rsid w:val="005502CB"/>
    <w:rsid w:val="00554A7B"/>
    <w:rsid w:val="0055572C"/>
    <w:rsid w:val="0056106A"/>
    <w:rsid w:val="005679D5"/>
    <w:rsid w:val="005720AE"/>
    <w:rsid w:val="00594D77"/>
    <w:rsid w:val="005964C5"/>
    <w:rsid w:val="005969E4"/>
    <w:rsid w:val="005A06B7"/>
    <w:rsid w:val="005A1759"/>
    <w:rsid w:val="005A68A7"/>
    <w:rsid w:val="005B3F4D"/>
    <w:rsid w:val="005C5D45"/>
    <w:rsid w:val="005D36AB"/>
    <w:rsid w:val="005F0033"/>
    <w:rsid w:val="00612C33"/>
    <w:rsid w:val="00615EA1"/>
    <w:rsid w:val="00617CC3"/>
    <w:rsid w:val="006266B7"/>
    <w:rsid w:val="00627E6B"/>
    <w:rsid w:val="00632516"/>
    <w:rsid w:val="00634CFF"/>
    <w:rsid w:val="006377A6"/>
    <w:rsid w:val="00637A3D"/>
    <w:rsid w:val="006411EF"/>
    <w:rsid w:val="00642EB7"/>
    <w:rsid w:val="00664449"/>
    <w:rsid w:val="006748B8"/>
    <w:rsid w:val="006775C3"/>
    <w:rsid w:val="0068002F"/>
    <w:rsid w:val="00682795"/>
    <w:rsid w:val="00684B5E"/>
    <w:rsid w:val="0069290A"/>
    <w:rsid w:val="0069775A"/>
    <w:rsid w:val="00697813"/>
    <w:rsid w:val="006A3EE8"/>
    <w:rsid w:val="006A72BF"/>
    <w:rsid w:val="006B03F2"/>
    <w:rsid w:val="006B2365"/>
    <w:rsid w:val="006B37DC"/>
    <w:rsid w:val="006B4F68"/>
    <w:rsid w:val="006C0592"/>
    <w:rsid w:val="006C272E"/>
    <w:rsid w:val="006C5479"/>
    <w:rsid w:val="006D13B5"/>
    <w:rsid w:val="006D3A86"/>
    <w:rsid w:val="006E12FF"/>
    <w:rsid w:val="006E607E"/>
    <w:rsid w:val="006F23E8"/>
    <w:rsid w:val="006F64B0"/>
    <w:rsid w:val="00706C5D"/>
    <w:rsid w:val="00720214"/>
    <w:rsid w:val="00732922"/>
    <w:rsid w:val="00733339"/>
    <w:rsid w:val="00737984"/>
    <w:rsid w:val="0075162E"/>
    <w:rsid w:val="00754034"/>
    <w:rsid w:val="00756556"/>
    <w:rsid w:val="007618C4"/>
    <w:rsid w:val="00762D4A"/>
    <w:rsid w:val="00767980"/>
    <w:rsid w:val="00770B19"/>
    <w:rsid w:val="00771E42"/>
    <w:rsid w:val="0077463F"/>
    <w:rsid w:val="0077626C"/>
    <w:rsid w:val="007836EA"/>
    <w:rsid w:val="00784CDA"/>
    <w:rsid w:val="0078594B"/>
    <w:rsid w:val="007906C4"/>
    <w:rsid w:val="00790DE1"/>
    <w:rsid w:val="007940EA"/>
    <w:rsid w:val="007967E8"/>
    <w:rsid w:val="007A20BA"/>
    <w:rsid w:val="007A2170"/>
    <w:rsid w:val="007A22BF"/>
    <w:rsid w:val="007A2B9B"/>
    <w:rsid w:val="007A3323"/>
    <w:rsid w:val="007A645D"/>
    <w:rsid w:val="007B72B8"/>
    <w:rsid w:val="007B7A58"/>
    <w:rsid w:val="007C21B5"/>
    <w:rsid w:val="007C2260"/>
    <w:rsid w:val="007E2EF7"/>
    <w:rsid w:val="007E4004"/>
    <w:rsid w:val="007E41D8"/>
    <w:rsid w:val="007E4BD2"/>
    <w:rsid w:val="007E6031"/>
    <w:rsid w:val="007F6C6F"/>
    <w:rsid w:val="00801393"/>
    <w:rsid w:val="00802F88"/>
    <w:rsid w:val="0081293E"/>
    <w:rsid w:val="00815465"/>
    <w:rsid w:val="00817E9A"/>
    <w:rsid w:val="00824D27"/>
    <w:rsid w:val="00824FC0"/>
    <w:rsid w:val="00825141"/>
    <w:rsid w:val="008306BD"/>
    <w:rsid w:val="00831A80"/>
    <w:rsid w:val="00833743"/>
    <w:rsid w:val="008340A4"/>
    <w:rsid w:val="00856B0C"/>
    <w:rsid w:val="0087135F"/>
    <w:rsid w:val="00871A9C"/>
    <w:rsid w:val="00872D94"/>
    <w:rsid w:val="00880364"/>
    <w:rsid w:val="008842E1"/>
    <w:rsid w:val="00891592"/>
    <w:rsid w:val="00891E9E"/>
    <w:rsid w:val="008A2F68"/>
    <w:rsid w:val="008A41BA"/>
    <w:rsid w:val="008A49CD"/>
    <w:rsid w:val="008B4FA6"/>
    <w:rsid w:val="008B5282"/>
    <w:rsid w:val="008B7C17"/>
    <w:rsid w:val="008C2D01"/>
    <w:rsid w:val="008C40E6"/>
    <w:rsid w:val="008D0F7A"/>
    <w:rsid w:val="008D3456"/>
    <w:rsid w:val="008D5D14"/>
    <w:rsid w:val="008D68E4"/>
    <w:rsid w:val="008E0506"/>
    <w:rsid w:val="008E0CFF"/>
    <w:rsid w:val="008E5D6B"/>
    <w:rsid w:val="008E7095"/>
    <w:rsid w:val="008E76F0"/>
    <w:rsid w:val="008F15FE"/>
    <w:rsid w:val="008F2D29"/>
    <w:rsid w:val="008F5187"/>
    <w:rsid w:val="008F60D8"/>
    <w:rsid w:val="009013C2"/>
    <w:rsid w:val="00902727"/>
    <w:rsid w:val="0090312B"/>
    <w:rsid w:val="00915F21"/>
    <w:rsid w:val="0091736D"/>
    <w:rsid w:val="009227A7"/>
    <w:rsid w:val="0093037A"/>
    <w:rsid w:val="00930881"/>
    <w:rsid w:val="00931695"/>
    <w:rsid w:val="00933C7E"/>
    <w:rsid w:val="0094154D"/>
    <w:rsid w:val="00946146"/>
    <w:rsid w:val="0095155F"/>
    <w:rsid w:val="00954429"/>
    <w:rsid w:val="009563CE"/>
    <w:rsid w:val="00957F25"/>
    <w:rsid w:val="00976328"/>
    <w:rsid w:val="0097680D"/>
    <w:rsid w:val="00982438"/>
    <w:rsid w:val="0098404C"/>
    <w:rsid w:val="00985283"/>
    <w:rsid w:val="00991ADF"/>
    <w:rsid w:val="00992709"/>
    <w:rsid w:val="00995992"/>
    <w:rsid w:val="009A03E5"/>
    <w:rsid w:val="009A0F3B"/>
    <w:rsid w:val="009A1BB4"/>
    <w:rsid w:val="009A2628"/>
    <w:rsid w:val="009A3200"/>
    <w:rsid w:val="009B0897"/>
    <w:rsid w:val="009B7BD9"/>
    <w:rsid w:val="009C368F"/>
    <w:rsid w:val="009C7DD5"/>
    <w:rsid w:val="009D127D"/>
    <w:rsid w:val="009D7F0C"/>
    <w:rsid w:val="009E227D"/>
    <w:rsid w:val="009E5019"/>
    <w:rsid w:val="009E5A8E"/>
    <w:rsid w:val="009E6AB1"/>
    <w:rsid w:val="00A00416"/>
    <w:rsid w:val="00A04F1B"/>
    <w:rsid w:val="00A0501B"/>
    <w:rsid w:val="00A14947"/>
    <w:rsid w:val="00A14EED"/>
    <w:rsid w:val="00A32A83"/>
    <w:rsid w:val="00A368DB"/>
    <w:rsid w:val="00A40483"/>
    <w:rsid w:val="00A423AA"/>
    <w:rsid w:val="00A46D9C"/>
    <w:rsid w:val="00A53EC6"/>
    <w:rsid w:val="00A55C0F"/>
    <w:rsid w:val="00A83020"/>
    <w:rsid w:val="00A8713F"/>
    <w:rsid w:val="00A90BA1"/>
    <w:rsid w:val="00A97A9A"/>
    <w:rsid w:val="00AA0671"/>
    <w:rsid w:val="00AA2531"/>
    <w:rsid w:val="00AB1E09"/>
    <w:rsid w:val="00AB373E"/>
    <w:rsid w:val="00AB4B16"/>
    <w:rsid w:val="00AB5330"/>
    <w:rsid w:val="00AB7747"/>
    <w:rsid w:val="00AC14CE"/>
    <w:rsid w:val="00AC2A56"/>
    <w:rsid w:val="00AC3D37"/>
    <w:rsid w:val="00AC3D5C"/>
    <w:rsid w:val="00AD055E"/>
    <w:rsid w:val="00AD2908"/>
    <w:rsid w:val="00AD47A7"/>
    <w:rsid w:val="00AD52F0"/>
    <w:rsid w:val="00AE45EE"/>
    <w:rsid w:val="00AF0CBF"/>
    <w:rsid w:val="00AF257F"/>
    <w:rsid w:val="00AF33CF"/>
    <w:rsid w:val="00AF4D50"/>
    <w:rsid w:val="00AF6179"/>
    <w:rsid w:val="00B1295A"/>
    <w:rsid w:val="00B20A45"/>
    <w:rsid w:val="00B22C5C"/>
    <w:rsid w:val="00B24F30"/>
    <w:rsid w:val="00B31ABF"/>
    <w:rsid w:val="00B33BE3"/>
    <w:rsid w:val="00B43735"/>
    <w:rsid w:val="00B53B5D"/>
    <w:rsid w:val="00B6055E"/>
    <w:rsid w:val="00B6317D"/>
    <w:rsid w:val="00B74FE3"/>
    <w:rsid w:val="00B7723F"/>
    <w:rsid w:val="00B80534"/>
    <w:rsid w:val="00B81B44"/>
    <w:rsid w:val="00B8433C"/>
    <w:rsid w:val="00B87491"/>
    <w:rsid w:val="00B95CDD"/>
    <w:rsid w:val="00B97A68"/>
    <w:rsid w:val="00BA24AF"/>
    <w:rsid w:val="00BA29E9"/>
    <w:rsid w:val="00BA4ED3"/>
    <w:rsid w:val="00BA7142"/>
    <w:rsid w:val="00BB237C"/>
    <w:rsid w:val="00BB41A3"/>
    <w:rsid w:val="00BC32DC"/>
    <w:rsid w:val="00BC35B6"/>
    <w:rsid w:val="00BC4D0D"/>
    <w:rsid w:val="00BD0F8A"/>
    <w:rsid w:val="00BD1B51"/>
    <w:rsid w:val="00BD4596"/>
    <w:rsid w:val="00BE1405"/>
    <w:rsid w:val="00BE1C07"/>
    <w:rsid w:val="00BE312D"/>
    <w:rsid w:val="00BE4462"/>
    <w:rsid w:val="00BE7159"/>
    <w:rsid w:val="00BE7EF3"/>
    <w:rsid w:val="00BF18BE"/>
    <w:rsid w:val="00BF1C20"/>
    <w:rsid w:val="00BF75AB"/>
    <w:rsid w:val="00C053B9"/>
    <w:rsid w:val="00C10578"/>
    <w:rsid w:val="00C135BC"/>
    <w:rsid w:val="00C15C95"/>
    <w:rsid w:val="00C2596A"/>
    <w:rsid w:val="00C27537"/>
    <w:rsid w:val="00C328FE"/>
    <w:rsid w:val="00C33507"/>
    <w:rsid w:val="00C4409D"/>
    <w:rsid w:val="00C44E72"/>
    <w:rsid w:val="00C45A06"/>
    <w:rsid w:val="00C479C0"/>
    <w:rsid w:val="00C47E5B"/>
    <w:rsid w:val="00C54309"/>
    <w:rsid w:val="00C61E4B"/>
    <w:rsid w:val="00C64BFF"/>
    <w:rsid w:val="00C66CA0"/>
    <w:rsid w:val="00C704E9"/>
    <w:rsid w:val="00C763C9"/>
    <w:rsid w:val="00C775B0"/>
    <w:rsid w:val="00C80057"/>
    <w:rsid w:val="00C82232"/>
    <w:rsid w:val="00C82913"/>
    <w:rsid w:val="00C86BEA"/>
    <w:rsid w:val="00C972B1"/>
    <w:rsid w:val="00CA2CCE"/>
    <w:rsid w:val="00CA3352"/>
    <w:rsid w:val="00CA43FD"/>
    <w:rsid w:val="00CA7EF8"/>
    <w:rsid w:val="00CC489B"/>
    <w:rsid w:val="00CD2BCD"/>
    <w:rsid w:val="00CD3536"/>
    <w:rsid w:val="00CD3A4C"/>
    <w:rsid w:val="00CE10E9"/>
    <w:rsid w:val="00CE2910"/>
    <w:rsid w:val="00CE5393"/>
    <w:rsid w:val="00CF36BE"/>
    <w:rsid w:val="00CF6000"/>
    <w:rsid w:val="00CF6FEE"/>
    <w:rsid w:val="00D003F3"/>
    <w:rsid w:val="00D0243E"/>
    <w:rsid w:val="00D0364F"/>
    <w:rsid w:val="00D06834"/>
    <w:rsid w:val="00D26ECE"/>
    <w:rsid w:val="00D308ED"/>
    <w:rsid w:val="00D36D86"/>
    <w:rsid w:val="00D414FC"/>
    <w:rsid w:val="00D428AA"/>
    <w:rsid w:val="00D45835"/>
    <w:rsid w:val="00D50A34"/>
    <w:rsid w:val="00D51B99"/>
    <w:rsid w:val="00D53EFA"/>
    <w:rsid w:val="00D62EF5"/>
    <w:rsid w:val="00D66311"/>
    <w:rsid w:val="00D66E5F"/>
    <w:rsid w:val="00D76036"/>
    <w:rsid w:val="00D80A3D"/>
    <w:rsid w:val="00D90034"/>
    <w:rsid w:val="00D93699"/>
    <w:rsid w:val="00D94A7C"/>
    <w:rsid w:val="00D95896"/>
    <w:rsid w:val="00DB02F7"/>
    <w:rsid w:val="00DB2983"/>
    <w:rsid w:val="00DB5CE1"/>
    <w:rsid w:val="00DC1257"/>
    <w:rsid w:val="00DC3DC0"/>
    <w:rsid w:val="00DC5B2B"/>
    <w:rsid w:val="00DD318D"/>
    <w:rsid w:val="00DE1BE7"/>
    <w:rsid w:val="00DE5810"/>
    <w:rsid w:val="00DE5FBB"/>
    <w:rsid w:val="00DF2E12"/>
    <w:rsid w:val="00DF514A"/>
    <w:rsid w:val="00DF6690"/>
    <w:rsid w:val="00DF6804"/>
    <w:rsid w:val="00E0173E"/>
    <w:rsid w:val="00E0358D"/>
    <w:rsid w:val="00E04323"/>
    <w:rsid w:val="00E070A2"/>
    <w:rsid w:val="00E2656A"/>
    <w:rsid w:val="00E26910"/>
    <w:rsid w:val="00E36B9B"/>
    <w:rsid w:val="00E412D0"/>
    <w:rsid w:val="00E41FAD"/>
    <w:rsid w:val="00E56322"/>
    <w:rsid w:val="00E60982"/>
    <w:rsid w:val="00E60A9C"/>
    <w:rsid w:val="00E6284A"/>
    <w:rsid w:val="00E62C62"/>
    <w:rsid w:val="00E654C1"/>
    <w:rsid w:val="00E65D97"/>
    <w:rsid w:val="00E72A5A"/>
    <w:rsid w:val="00E73354"/>
    <w:rsid w:val="00E9242D"/>
    <w:rsid w:val="00E97C1B"/>
    <w:rsid w:val="00EA233A"/>
    <w:rsid w:val="00EA354D"/>
    <w:rsid w:val="00EB059F"/>
    <w:rsid w:val="00EB5255"/>
    <w:rsid w:val="00EB5C47"/>
    <w:rsid w:val="00EC13BA"/>
    <w:rsid w:val="00ED0639"/>
    <w:rsid w:val="00ED1E2A"/>
    <w:rsid w:val="00ED4A70"/>
    <w:rsid w:val="00ED7560"/>
    <w:rsid w:val="00EE08A3"/>
    <w:rsid w:val="00EF4755"/>
    <w:rsid w:val="00EF7135"/>
    <w:rsid w:val="00F027DB"/>
    <w:rsid w:val="00F1191B"/>
    <w:rsid w:val="00F13744"/>
    <w:rsid w:val="00F14A7A"/>
    <w:rsid w:val="00F157D7"/>
    <w:rsid w:val="00F22985"/>
    <w:rsid w:val="00F22DA7"/>
    <w:rsid w:val="00F2608F"/>
    <w:rsid w:val="00F30A76"/>
    <w:rsid w:val="00F3383E"/>
    <w:rsid w:val="00F465A7"/>
    <w:rsid w:val="00F50B7C"/>
    <w:rsid w:val="00F550E6"/>
    <w:rsid w:val="00F60FC9"/>
    <w:rsid w:val="00F6304B"/>
    <w:rsid w:val="00F660D3"/>
    <w:rsid w:val="00F66F31"/>
    <w:rsid w:val="00F72352"/>
    <w:rsid w:val="00F74345"/>
    <w:rsid w:val="00F74A57"/>
    <w:rsid w:val="00F7561A"/>
    <w:rsid w:val="00F76363"/>
    <w:rsid w:val="00F807EC"/>
    <w:rsid w:val="00F80A0A"/>
    <w:rsid w:val="00F82B19"/>
    <w:rsid w:val="00F85369"/>
    <w:rsid w:val="00F9212D"/>
    <w:rsid w:val="00F965DA"/>
    <w:rsid w:val="00FA406A"/>
    <w:rsid w:val="00FB503A"/>
    <w:rsid w:val="00FB516C"/>
    <w:rsid w:val="00FC2FAE"/>
    <w:rsid w:val="00FD0236"/>
    <w:rsid w:val="00FD18F4"/>
    <w:rsid w:val="00FD1C05"/>
    <w:rsid w:val="00FD54DB"/>
    <w:rsid w:val="00FD619F"/>
    <w:rsid w:val="00FF00E8"/>
    <w:rsid w:val="01014642"/>
    <w:rsid w:val="01021C7E"/>
    <w:rsid w:val="01031312"/>
    <w:rsid w:val="0104334C"/>
    <w:rsid w:val="01056624"/>
    <w:rsid w:val="01093F7D"/>
    <w:rsid w:val="010B3FA0"/>
    <w:rsid w:val="010E7C0D"/>
    <w:rsid w:val="010F7FF3"/>
    <w:rsid w:val="01170C55"/>
    <w:rsid w:val="011A4D54"/>
    <w:rsid w:val="011B7573"/>
    <w:rsid w:val="011D2710"/>
    <w:rsid w:val="01281213"/>
    <w:rsid w:val="01290F7E"/>
    <w:rsid w:val="012B4701"/>
    <w:rsid w:val="013B2B96"/>
    <w:rsid w:val="013C06BC"/>
    <w:rsid w:val="013F47DA"/>
    <w:rsid w:val="01423F24"/>
    <w:rsid w:val="014553C6"/>
    <w:rsid w:val="01464CF5"/>
    <w:rsid w:val="01477D3F"/>
    <w:rsid w:val="014D1BAA"/>
    <w:rsid w:val="01545A05"/>
    <w:rsid w:val="015D1E09"/>
    <w:rsid w:val="016A3BC3"/>
    <w:rsid w:val="017328A7"/>
    <w:rsid w:val="017D14E1"/>
    <w:rsid w:val="017D1741"/>
    <w:rsid w:val="01814321"/>
    <w:rsid w:val="01873A23"/>
    <w:rsid w:val="01875DDB"/>
    <w:rsid w:val="018B0F3D"/>
    <w:rsid w:val="018C100A"/>
    <w:rsid w:val="018C1643"/>
    <w:rsid w:val="018D5803"/>
    <w:rsid w:val="019D55FE"/>
    <w:rsid w:val="019E4A4D"/>
    <w:rsid w:val="01A8496E"/>
    <w:rsid w:val="01A90283"/>
    <w:rsid w:val="01B00A18"/>
    <w:rsid w:val="01B07C57"/>
    <w:rsid w:val="01B12E58"/>
    <w:rsid w:val="01B42948"/>
    <w:rsid w:val="01B5611D"/>
    <w:rsid w:val="01BB3CD7"/>
    <w:rsid w:val="01C26E13"/>
    <w:rsid w:val="01D52E6A"/>
    <w:rsid w:val="01D737B6"/>
    <w:rsid w:val="01D84888"/>
    <w:rsid w:val="01DA1714"/>
    <w:rsid w:val="01DB010E"/>
    <w:rsid w:val="01E77EB5"/>
    <w:rsid w:val="01EA4BDD"/>
    <w:rsid w:val="01EB2AFD"/>
    <w:rsid w:val="01ED1EA5"/>
    <w:rsid w:val="01ED53F7"/>
    <w:rsid w:val="01F26E18"/>
    <w:rsid w:val="01F35317"/>
    <w:rsid w:val="01F3573E"/>
    <w:rsid w:val="01F571E8"/>
    <w:rsid w:val="01FD609D"/>
    <w:rsid w:val="0200793B"/>
    <w:rsid w:val="0204567E"/>
    <w:rsid w:val="020B5B51"/>
    <w:rsid w:val="020E0464"/>
    <w:rsid w:val="021F7DC1"/>
    <w:rsid w:val="02260A5A"/>
    <w:rsid w:val="022F5BC1"/>
    <w:rsid w:val="02356272"/>
    <w:rsid w:val="02473822"/>
    <w:rsid w:val="02493090"/>
    <w:rsid w:val="024A37FC"/>
    <w:rsid w:val="025A07C2"/>
    <w:rsid w:val="025D4D8E"/>
    <w:rsid w:val="026223A4"/>
    <w:rsid w:val="02694ED6"/>
    <w:rsid w:val="026954E1"/>
    <w:rsid w:val="02697903"/>
    <w:rsid w:val="027112CC"/>
    <w:rsid w:val="02714395"/>
    <w:rsid w:val="02785724"/>
    <w:rsid w:val="027A149C"/>
    <w:rsid w:val="027F2F56"/>
    <w:rsid w:val="02840270"/>
    <w:rsid w:val="02883E10"/>
    <w:rsid w:val="028916DF"/>
    <w:rsid w:val="029232D9"/>
    <w:rsid w:val="02954528"/>
    <w:rsid w:val="0297336A"/>
    <w:rsid w:val="02982C35"/>
    <w:rsid w:val="02996F02"/>
    <w:rsid w:val="02A11670"/>
    <w:rsid w:val="02A42F06"/>
    <w:rsid w:val="02A57234"/>
    <w:rsid w:val="02A67BEC"/>
    <w:rsid w:val="02AB5AF9"/>
    <w:rsid w:val="02AF7DE6"/>
    <w:rsid w:val="02B063CF"/>
    <w:rsid w:val="02B50782"/>
    <w:rsid w:val="02BB2418"/>
    <w:rsid w:val="02CB7F49"/>
    <w:rsid w:val="02CE17E8"/>
    <w:rsid w:val="02D0730E"/>
    <w:rsid w:val="02D4790B"/>
    <w:rsid w:val="02DD310B"/>
    <w:rsid w:val="02E03C52"/>
    <w:rsid w:val="02E51C4B"/>
    <w:rsid w:val="02E8197C"/>
    <w:rsid w:val="02E903CF"/>
    <w:rsid w:val="02F0687C"/>
    <w:rsid w:val="02F842D6"/>
    <w:rsid w:val="02F96569"/>
    <w:rsid w:val="03055FDC"/>
    <w:rsid w:val="030F3C2B"/>
    <w:rsid w:val="032C6542"/>
    <w:rsid w:val="032E1AE6"/>
    <w:rsid w:val="03303B60"/>
    <w:rsid w:val="03367AB9"/>
    <w:rsid w:val="03417220"/>
    <w:rsid w:val="03437F3A"/>
    <w:rsid w:val="034877EC"/>
    <w:rsid w:val="03503A2D"/>
    <w:rsid w:val="035241C7"/>
    <w:rsid w:val="035416F2"/>
    <w:rsid w:val="03615FE2"/>
    <w:rsid w:val="03643207"/>
    <w:rsid w:val="03644775"/>
    <w:rsid w:val="036B5663"/>
    <w:rsid w:val="03744E73"/>
    <w:rsid w:val="03763347"/>
    <w:rsid w:val="03764359"/>
    <w:rsid w:val="03767DB2"/>
    <w:rsid w:val="03795884"/>
    <w:rsid w:val="037A095A"/>
    <w:rsid w:val="037B7F18"/>
    <w:rsid w:val="03806F86"/>
    <w:rsid w:val="03810BB8"/>
    <w:rsid w:val="038720C2"/>
    <w:rsid w:val="038764C0"/>
    <w:rsid w:val="039171C5"/>
    <w:rsid w:val="03954EA6"/>
    <w:rsid w:val="039649A0"/>
    <w:rsid w:val="03984532"/>
    <w:rsid w:val="03991DF6"/>
    <w:rsid w:val="03A03184"/>
    <w:rsid w:val="03A253AD"/>
    <w:rsid w:val="03AF1619"/>
    <w:rsid w:val="03AF4134"/>
    <w:rsid w:val="03B15391"/>
    <w:rsid w:val="03B31109"/>
    <w:rsid w:val="03B613C3"/>
    <w:rsid w:val="03BE360A"/>
    <w:rsid w:val="03C33D27"/>
    <w:rsid w:val="03CC21CB"/>
    <w:rsid w:val="03E0482E"/>
    <w:rsid w:val="03E60E99"/>
    <w:rsid w:val="03EA7B21"/>
    <w:rsid w:val="03EC461B"/>
    <w:rsid w:val="03ED5B83"/>
    <w:rsid w:val="03EE320A"/>
    <w:rsid w:val="03EF22A7"/>
    <w:rsid w:val="03EF5B7A"/>
    <w:rsid w:val="03F42E60"/>
    <w:rsid w:val="03F60FF6"/>
    <w:rsid w:val="03FD05D6"/>
    <w:rsid w:val="03FF4043"/>
    <w:rsid w:val="040A684F"/>
    <w:rsid w:val="040C55F8"/>
    <w:rsid w:val="040D6D06"/>
    <w:rsid w:val="040E007F"/>
    <w:rsid w:val="04152205"/>
    <w:rsid w:val="042C7070"/>
    <w:rsid w:val="04317CA0"/>
    <w:rsid w:val="043E6FB5"/>
    <w:rsid w:val="044205CC"/>
    <w:rsid w:val="04447FB3"/>
    <w:rsid w:val="044600F0"/>
    <w:rsid w:val="04487311"/>
    <w:rsid w:val="044A46A4"/>
    <w:rsid w:val="044A4F10"/>
    <w:rsid w:val="045126D0"/>
    <w:rsid w:val="04543369"/>
    <w:rsid w:val="0455424C"/>
    <w:rsid w:val="04575F38"/>
    <w:rsid w:val="04583A5F"/>
    <w:rsid w:val="046A51C9"/>
    <w:rsid w:val="04753A0A"/>
    <w:rsid w:val="047A67E0"/>
    <w:rsid w:val="047D1717"/>
    <w:rsid w:val="047D34C5"/>
    <w:rsid w:val="047D5273"/>
    <w:rsid w:val="047F2D99"/>
    <w:rsid w:val="04826D2E"/>
    <w:rsid w:val="048A2E27"/>
    <w:rsid w:val="048E122E"/>
    <w:rsid w:val="0490144A"/>
    <w:rsid w:val="04912ACD"/>
    <w:rsid w:val="04936845"/>
    <w:rsid w:val="04956A61"/>
    <w:rsid w:val="0497622F"/>
    <w:rsid w:val="049868E8"/>
    <w:rsid w:val="0499577F"/>
    <w:rsid w:val="049A0A9D"/>
    <w:rsid w:val="049A28BF"/>
    <w:rsid w:val="04A24CDA"/>
    <w:rsid w:val="04A70542"/>
    <w:rsid w:val="04A84774"/>
    <w:rsid w:val="04AD3DAA"/>
    <w:rsid w:val="04B51297"/>
    <w:rsid w:val="04BA64C7"/>
    <w:rsid w:val="04BD7145"/>
    <w:rsid w:val="04C63AF5"/>
    <w:rsid w:val="04C82992"/>
    <w:rsid w:val="04C85DD2"/>
    <w:rsid w:val="04C9495C"/>
    <w:rsid w:val="04C9670A"/>
    <w:rsid w:val="04E14131"/>
    <w:rsid w:val="04E52EFA"/>
    <w:rsid w:val="04EA2DB9"/>
    <w:rsid w:val="04EB39F0"/>
    <w:rsid w:val="04EC34BB"/>
    <w:rsid w:val="04F25C61"/>
    <w:rsid w:val="04F512AE"/>
    <w:rsid w:val="04F5184E"/>
    <w:rsid w:val="04F527A9"/>
    <w:rsid w:val="04FC088E"/>
    <w:rsid w:val="04FF6B72"/>
    <w:rsid w:val="050F21D9"/>
    <w:rsid w:val="0518144D"/>
    <w:rsid w:val="051C683A"/>
    <w:rsid w:val="05210CA8"/>
    <w:rsid w:val="0523406D"/>
    <w:rsid w:val="052608C5"/>
    <w:rsid w:val="05281683"/>
    <w:rsid w:val="05283431"/>
    <w:rsid w:val="05290F57"/>
    <w:rsid w:val="052F5E15"/>
    <w:rsid w:val="053207B6"/>
    <w:rsid w:val="05393890"/>
    <w:rsid w:val="053971A7"/>
    <w:rsid w:val="053F68E3"/>
    <w:rsid w:val="054364BD"/>
    <w:rsid w:val="05461B09"/>
    <w:rsid w:val="05491B3D"/>
    <w:rsid w:val="054D1275"/>
    <w:rsid w:val="054D5478"/>
    <w:rsid w:val="054E09BE"/>
    <w:rsid w:val="05524952"/>
    <w:rsid w:val="05546DA2"/>
    <w:rsid w:val="05550065"/>
    <w:rsid w:val="05557907"/>
    <w:rsid w:val="05595CE0"/>
    <w:rsid w:val="05675493"/>
    <w:rsid w:val="056A46E3"/>
    <w:rsid w:val="056D08BB"/>
    <w:rsid w:val="056F42EA"/>
    <w:rsid w:val="057246B2"/>
    <w:rsid w:val="0577514F"/>
    <w:rsid w:val="0584418A"/>
    <w:rsid w:val="058549D8"/>
    <w:rsid w:val="058645FB"/>
    <w:rsid w:val="058F525E"/>
    <w:rsid w:val="0593729F"/>
    <w:rsid w:val="05944B6A"/>
    <w:rsid w:val="059C5FC0"/>
    <w:rsid w:val="059C6EB7"/>
    <w:rsid w:val="05A3065C"/>
    <w:rsid w:val="05A50F26"/>
    <w:rsid w:val="05A54A82"/>
    <w:rsid w:val="05A607FA"/>
    <w:rsid w:val="05AC663B"/>
    <w:rsid w:val="05AD7DDA"/>
    <w:rsid w:val="05AF76AE"/>
    <w:rsid w:val="05B36068"/>
    <w:rsid w:val="05B90447"/>
    <w:rsid w:val="05BC1C4F"/>
    <w:rsid w:val="05C01001"/>
    <w:rsid w:val="05C141FC"/>
    <w:rsid w:val="05C562AF"/>
    <w:rsid w:val="05C9520D"/>
    <w:rsid w:val="05CD7E36"/>
    <w:rsid w:val="05D61CB5"/>
    <w:rsid w:val="05DD06BF"/>
    <w:rsid w:val="05E0322B"/>
    <w:rsid w:val="05E960B7"/>
    <w:rsid w:val="05EB5582"/>
    <w:rsid w:val="05ED1BAF"/>
    <w:rsid w:val="05ED3628"/>
    <w:rsid w:val="05F41A51"/>
    <w:rsid w:val="05F45A09"/>
    <w:rsid w:val="05F83EAE"/>
    <w:rsid w:val="05FB634C"/>
    <w:rsid w:val="05FE23E4"/>
    <w:rsid w:val="05FE3CA1"/>
    <w:rsid w:val="05FF384F"/>
    <w:rsid w:val="060A6FDB"/>
    <w:rsid w:val="06126BA8"/>
    <w:rsid w:val="061321EF"/>
    <w:rsid w:val="06161775"/>
    <w:rsid w:val="06206A3C"/>
    <w:rsid w:val="06265907"/>
    <w:rsid w:val="06277B8D"/>
    <w:rsid w:val="062C6F51"/>
    <w:rsid w:val="06326B99"/>
    <w:rsid w:val="06345E06"/>
    <w:rsid w:val="063E7D85"/>
    <w:rsid w:val="063F4ED6"/>
    <w:rsid w:val="064249C6"/>
    <w:rsid w:val="06497B03"/>
    <w:rsid w:val="064A5629"/>
    <w:rsid w:val="06562220"/>
    <w:rsid w:val="06566711"/>
    <w:rsid w:val="065E28BF"/>
    <w:rsid w:val="06622973"/>
    <w:rsid w:val="066632E8"/>
    <w:rsid w:val="06696594"/>
    <w:rsid w:val="066B35C6"/>
    <w:rsid w:val="06713AF5"/>
    <w:rsid w:val="06730E3E"/>
    <w:rsid w:val="0673213F"/>
    <w:rsid w:val="0676641E"/>
    <w:rsid w:val="067A480A"/>
    <w:rsid w:val="067B1C86"/>
    <w:rsid w:val="067C7831"/>
    <w:rsid w:val="0681360C"/>
    <w:rsid w:val="068E3C47"/>
    <w:rsid w:val="06905732"/>
    <w:rsid w:val="069468A4"/>
    <w:rsid w:val="069601F4"/>
    <w:rsid w:val="069A0522"/>
    <w:rsid w:val="069C0F92"/>
    <w:rsid w:val="069C40D7"/>
    <w:rsid w:val="06A04B8B"/>
    <w:rsid w:val="06A15565"/>
    <w:rsid w:val="06A27BE1"/>
    <w:rsid w:val="06AC0092"/>
    <w:rsid w:val="06B502A7"/>
    <w:rsid w:val="06B6758D"/>
    <w:rsid w:val="06BD5DFB"/>
    <w:rsid w:val="06C07F8B"/>
    <w:rsid w:val="06D86211"/>
    <w:rsid w:val="06DC4C60"/>
    <w:rsid w:val="06DD649D"/>
    <w:rsid w:val="06E20077"/>
    <w:rsid w:val="06EF1ABE"/>
    <w:rsid w:val="06F16339"/>
    <w:rsid w:val="06F62448"/>
    <w:rsid w:val="06F74BBE"/>
    <w:rsid w:val="06F772FB"/>
    <w:rsid w:val="06FC4B75"/>
    <w:rsid w:val="06FE05DC"/>
    <w:rsid w:val="07000B16"/>
    <w:rsid w:val="07064AF8"/>
    <w:rsid w:val="07076A64"/>
    <w:rsid w:val="070C0DEF"/>
    <w:rsid w:val="071820AE"/>
    <w:rsid w:val="07267E44"/>
    <w:rsid w:val="07291723"/>
    <w:rsid w:val="07293586"/>
    <w:rsid w:val="07295285"/>
    <w:rsid w:val="072A58D6"/>
    <w:rsid w:val="072D4D2F"/>
    <w:rsid w:val="07372917"/>
    <w:rsid w:val="07464042"/>
    <w:rsid w:val="07495B79"/>
    <w:rsid w:val="074A3A3D"/>
    <w:rsid w:val="074B0249"/>
    <w:rsid w:val="074D717F"/>
    <w:rsid w:val="074F387A"/>
    <w:rsid w:val="074F739B"/>
    <w:rsid w:val="075262B1"/>
    <w:rsid w:val="07550729"/>
    <w:rsid w:val="075A0211"/>
    <w:rsid w:val="076256D5"/>
    <w:rsid w:val="07634BF4"/>
    <w:rsid w:val="07636392"/>
    <w:rsid w:val="0765096C"/>
    <w:rsid w:val="07653F1C"/>
    <w:rsid w:val="07677AD1"/>
    <w:rsid w:val="076A5F83"/>
    <w:rsid w:val="076C737E"/>
    <w:rsid w:val="07707311"/>
    <w:rsid w:val="07741229"/>
    <w:rsid w:val="07770C56"/>
    <w:rsid w:val="0777244E"/>
    <w:rsid w:val="07794418"/>
    <w:rsid w:val="07795E91"/>
    <w:rsid w:val="077C0F7E"/>
    <w:rsid w:val="077D7411"/>
    <w:rsid w:val="078132CC"/>
    <w:rsid w:val="07866B35"/>
    <w:rsid w:val="078B5EF9"/>
    <w:rsid w:val="078F59E9"/>
    <w:rsid w:val="07954BCB"/>
    <w:rsid w:val="079B033B"/>
    <w:rsid w:val="07A4456D"/>
    <w:rsid w:val="07A51378"/>
    <w:rsid w:val="07A64AE1"/>
    <w:rsid w:val="07AF309A"/>
    <w:rsid w:val="07B75AF7"/>
    <w:rsid w:val="07B76CEE"/>
    <w:rsid w:val="07BC2556"/>
    <w:rsid w:val="07BD2255"/>
    <w:rsid w:val="07C3185F"/>
    <w:rsid w:val="07C84440"/>
    <w:rsid w:val="07CB0DEF"/>
    <w:rsid w:val="07D63618"/>
    <w:rsid w:val="07DB2DF7"/>
    <w:rsid w:val="07E10006"/>
    <w:rsid w:val="07E51CE7"/>
    <w:rsid w:val="07E52E90"/>
    <w:rsid w:val="07E626CE"/>
    <w:rsid w:val="07E82CC7"/>
    <w:rsid w:val="07F67816"/>
    <w:rsid w:val="07F743CE"/>
    <w:rsid w:val="07FA2944"/>
    <w:rsid w:val="07FD114A"/>
    <w:rsid w:val="08006357"/>
    <w:rsid w:val="08044406"/>
    <w:rsid w:val="08053EFD"/>
    <w:rsid w:val="08054C24"/>
    <w:rsid w:val="08094A76"/>
    <w:rsid w:val="08136791"/>
    <w:rsid w:val="08142A72"/>
    <w:rsid w:val="0814716B"/>
    <w:rsid w:val="0815692E"/>
    <w:rsid w:val="08161C67"/>
    <w:rsid w:val="081E257D"/>
    <w:rsid w:val="08253C58"/>
    <w:rsid w:val="0828199A"/>
    <w:rsid w:val="08283AA6"/>
    <w:rsid w:val="082C62A2"/>
    <w:rsid w:val="083117D0"/>
    <w:rsid w:val="083160F7"/>
    <w:rsid w:val="08316AA1"/>
    <w:rsid w:val="08320D8F"/>
    <w:rsid w:val="08332819"/>
    <w:rsid w:val="08397703"/>
    <w:rsid w:val="084245F9"/>
    <w:rsid w:val="08457DF1"/>
    <w:rsid w:val="084D0D93"/>
    <w:rsid w:val="084D34B3"/>
    <w:rsid w:val="085207C5"/>
    <w:rsid w:val="0854278F"/>
    <w:rsid w:val="08602EE2"/>
    <w:rsid w:val="08604598"/>
    <w:rsid w:val="08640C24"/>
    <w:rsid w:val="0865326F"/>
    <w:rsid w:val="08693BE0"/>
    <w:rsid w:val="08693FD1"/>
    <w:rsid w:val="086A1FB2"/>
    <w:rsid w:val="087B42B1"/>
    <w:rsid w:val="087B79DB"/>
    <w:rsid w:val="087D1CE6"/>
    <w:rsid w:val="087F4D23"/>
    <w:rsid w:val="087F559D"/>
    <w:rsid w:val="08861368"/>
    <w:rsid w:val="088A7F5F"/>
    <w:rsid w:val="088F6A70"/>
    <w:rsid w:val="089357DE"/>
    <w:rsid w:val="08952D70"/>
    <w:rsid w:val="08AF5C17"/>
    <w:rsid w:val="08B46187"/>
    <w:rsid w:val="08B601A3"/>
    <w:rsid w:val="08B9457C"/>
    <w:rsid w:val="08BC1621"/>
    <w:rsid w:val="08C571E9"/>
    <w:rsid w:val="08C97D36"/>
    <w:rsid w:val="08DA0EE6"/>
    <w:rsid w:val="08DB29CF"/>
    <w:rsid w:val="08F63846"/>
    <w:rsid w:val="08F85810"/>
    <w:rsid w:val="08FC0E5C"/>
    <w:rsid w:val="08FD789B"/>
    <w:rsid w:val="08FF094D"/>
    <w:rsid w:val="09077801"/>
    <w:rsid w:val="090B6388"/>
    <w:rsid w:val="09102B5A"/>
    <w:rsid w:val="091272E4"/>
    <w:rsid w:val="091C14FF"/>
    <w:rsid w:val="092217DD"/>
    <w:rsid w:val="092414CB"/>
    <w:rsid w:val="09244654"/>
    <w:rsid w:val="09271C52"/>
    <w:rsid w:val="09275953"/>
    <w:rsid w:val="09300B06"/>
    <w:rsid w:val="09313E0A"/>
    <w:rsid w:val="09327671"/>
    <w:rsid w:val="09375163"/>
    <w:rsid w:val="093A7294"/>
    <w:rsid w:val="093F6F9B"/>
    <w:rsid w:val="09400AE0"/>
    <w:rsid w:val="09414035"/>
    <w:rsid w:val="09442E56"/>
    <w:rsid w:val="094B42CC"/>
    <w:rsid w:val="094C61CC"/>
    <w:rsid w:val="094D4DE4"/>
    <w:rsid w:val="09510A7C"/>
    <w:rsid w:val="095B78E5"/>
    <w:rsid w:val="095E7087"/>
    <w:rsid w:val="09615163"/>
    <w:rsid w:val="09746EB0"/>
    <w:rsid w:val="097529BD"/>
    <w:rsid w:val="09762089"/>
    <w:rsid w:val="09815806"/>
    <w:rsid w:val="0983332C"/>
    <w:rsid w:val="09860131"/>
    <w:rsid w:val="09864867"/>
    <w:rsid w:val="098B21E0"/>
    <w:rsid w:val="09905E87"/>
    <w:rsid w:val="09905EF3"/>
    <w:rsid w:val="099557CE"/>
    <w:rsid w:val="0996206A"/>
    <w:rsid w:val="099702C8"/>
    <w:rsid w:val="09A05DAE"/>
    <w:rsid w:val="09A45050"/>
    <w:rsid w:val="09A5381E"/>
    <w:rsid w:val="09AA0B49"/>
    <w:rsid w:val="09AC590E"/>
    <w:rsid w:val="09AE5B35"/>
    <w:rsid w:val="09AF7DF6"/>
    <w:rsid w:val="09B1245C"/>
    <w:rsid w:val="09BB4F3D"/>
    <w:rsid w:val="09C55650"/>
    <w:rsid w:val="09C65D3C"/>
    <w:rsid w:val="09CF47C3"/>
    <w:rsid w:val="09D26520"/>
    <w:rsid w:val="09D70234"/>
    <w:rsid w:val="09DB5D48"/>
    <w:rsid w:val="09EF09C1"/>
    <w:rsid w:val="09F00295"/>
    <w:rsid w:val="09F558AC"/>
    <w:rsid w:val="0A06736B"/>
    <w:rsid w:val="0A0F696E"/>
    <w:rsid w:val="0A126765"/>
    <w:rsid w:val="0A171C4C"/>
    <w:rsid w:val="0A173D39"/>
    <w:rsid w:val="0A263993"/>
    <w:rsid w:val="0A2D3AC2"/>
    <w:rsid w:val="0A312D88"/>
    <w:rsid w:val="0A362A39"/>
    <w:rsid w:val="0A384FEB"/>
    <w:rsid w:val="0A3871CD"/>
    <w:rsid w:val="0A3A1982"/>
    <w:rsid w:val="0A3C34DB"/>
    <w:rsid w:val="0A3D172D"/>
    <w:rsid w:val="0A3F55A6"/>
    <w:rsid w:val="0A4912DE"/>
    <w:rsid w:val="0A4C3097"/>
    <w:rsid w:val="0A4E1AA9"/>
    <w:rsid w:val="0A530F50"/>
    <w:rsid w:val="0A544CC8"/>
    <w:rsid w:val="0A557EE7"/>
    <w:rsid w:val="0A5922DF"/>
    <w:rsid w:val="0A5E09FE"/>
    <w:rsid w:val="0A622822"/>
    <w:rsid w:val="0A63165E"/>
    <w:rsid w:val="0A642619"/>
    <w:rsid w:val="0A655E6D"/>
    <w:rsid w:val="0A690774"/>
    <w:rsid w:val="0A6F1B02"/>
    <w:rsid w:val="0A71587A"/>
    <w:rsid w:val="0A7E1D45"/>
    <w:rsid w:val="0A89799A"/>
    <w:rsid w:val="0A8F3F52"/>
    <w:rsid w:val="0A920471"/>
    <w:rsid w:val="0A932E9A"/>
    <w:rsid w:val="0A960E3D"/>
    <w:rsid w:val="0A981059"/>
    <w:rsid w:val="0A982E07"/>
    <w:rsid w:val="0AA222A9"/>
    <w:rsid w:val="0AA755DF"/>
    <w:rsid w:val="0AC37AE4"/>
    <w:rsid w:val="0AC77B61"/>
    <w:rsid w:val="0AC92FC0"/>
    <w:rsid w:val="0ACB3E54"/>
    <w:rsid w:val="0ACD199F"/>
    <w:rsid w:val="0AE23355"/>
    <w:rsid w:val="0AE2543B"/>
    <w:rsid w:val="0AE72A95"/>
    <w:rsid w:val="0AE77498"/>
    <w:rsid w:val="0AEB1631"/>
    <w:rsid w:val="0AEC0884"/>
    <w:rsid w:val="0AEE6A7D"/>
    <w:rsid w:val="0AF52007"/>
    <w:rsid w:val="0AFA3217"/>
    <w:rsid w:val="0AFA5870"/>
    <w:rsid w:val="0AFC286A"/>
    <w:rsid w:val="0B0264D2"/>
    <w:rsid w:val="0B073AE9"/>
    <w:rsid w:val="0B0760EA"/>
    <w:rsid w:val="0B0C3832"/>
    <w:rsid w:val="0B120D44"/>
    <w:rsid w:val="0B156206"/>
    <w:rsid w:val="0B1D6D8F"/>
    <w:rsid w:val="0B232DB1"/>
    <w:rsid w:val="0B2B0C3D"/>
    <w:rsid w:val="0B37532B"/>
    <w:rsid w:val="0B3C19E4"/>
    <w:rsid w:val="0B42435B"/>
    <w:rsid w:val="0B4D3BF1"/>
    <w:rsid w:val="0B574A70"/>
    <w:rsid w:val="0B5C5BE2"/>
    <w:rsid w:val="0B5D3B5A"/>
    <w:rsid w:val="0B6704EB"/>
    <w:rsid w:val="0B6C6C4D"/>
    <w:rsid w:val="0B6D5629"/>
    <w:rsid w:val="0B6D7D86"/>
    <w:rsid w:val="0B6F4CD6"/>
    <w:rsid w:val="0B70168E"/>
    <w:rsid w:val="0B7352AC"/>
    <w:rsid w:val="0B7B7B9F"/>
    <w:rsid w:val="0B7D7CEC"/>
    <w:rsid w:val="0B7F5EBF"/>
    <w:rsid w:val="0B827CA8"/>
    <w:rsid w:val="0B884C29"/>
    <w:rsid w:val="0B8B186F"/>
    <w:rsid w:val="0B903ADE"/>
    <w:rsid w:val="0B911AD5"/>
    <w:rsid w:val="0B975A55"/>
    <w:rsid w:val="0B9A2BAF"/>
    <w:rsid w:val="0B9B3A70"/>
    <w:rsid w:val="0BAD643E"/>
    <w:rsid w:val="0BB579E9"/>
    <w:rsid w:val="0BBA15D1"/>
    <w:rsid w:val="0BBB7134"/>
    <w:rsid w:val="0BBC1125"/>
    <w:rsid w:val="0BBE064B"/>
    <w:rsid w:val="0BC54438"/>
    <w:rsid w:val="0BC669BB"/>
    <w:rsid w:val="0BC729C8"/>
    <w:rsid w:val="0BC81A19"/>
    <w:rsid w:val="0BD005DC"/>
    <w:rsid w:val="0BD25035"/>
    <w:rsid w:val="0BD27BF6"/>
    <w:rsid w:val="0BD83EF3"/>
    <w:rsid w:val="0BD87233"/>
    <w:rsid w:val="0BD95485"/>
    <w:rsid w:val="0BE27018"/>
    <w:rsid w:val="0BE37E56"/>
    <w:rsid w:val="0BE45BD8"/>
    <w:rsid w:val="0BE5207C"/>
    <w:rsid w:val="0BEA702E"/>
    <w:rsid w:val="0BEC6947"/>
    <w:rsid w:val="0BFA53FB"/>
    <w:rsid w:val="0C085D6A"/>
    <w:rsid w:val="0C0D15D3"/>
    <w:rsid w:val="0C144FB4"/>
    <w:rsid w:val="0C1741FF"/>
    <w:rsid w:val="0C1B5474"/>
    <w:rsid w:val="0C227CD5"/>
    <w:rsid w:val="0C230DF6"/>
    <w:rsid w:val="0C234952"/>
    <w:rsid w:val="0C2516F7"/>
    <w:rsid w:val="0C281EAF"/>
    <w:rsid w:val="0C2A6EEB"/>
    <w:rsid w:val="0C3526C8"/>
    <w:rsid w:val="0C360B29"/>
    <w:rsid w:val="0C3867AC"/>
    <w:rsid w:val="0C3B3C7D"/>
    <w:rsid w:val="0C3B4B55"/>
    <w:rsid w:val="0C3C01CC"/>
    <w:rsid w:val="0C425C39"/>
    <w:rsid w:val="0C4A241C"/>
    <w:rsid w:val="0C4A6FC7"/>
    <w:rsid w:val="0C4B5C57"/>
    <w:rsid w:val="0C4C2002"/>
    <w:rsid w:val="0C537F79"/>
    <w:rsid w:val="0C5D1F1A"/>
    <w:rsid w:val="0C605BA6"/>
    <w:rsid w:val="0C6520BA"/>
    <w:rsid w:val="0C6C454B"/>
    <w:rsid w:val="0C6D3E1F"/>
    <w:rsid w:val="0C75553E"/>
    <w:rsid w:val="0C795650"/>
    <w:rsid w:val="0C8B7F7D"/>
    <w:rsid w:val="0C921422"/>
    <w:rsid w:val="0C992E66"/>
    <w:rsid w:val="0CA42502"/>
    <w:rsid w:val="0CA55C29"/>
    <w:rsid w:val="0CA57A5D"/>
    <w:rsid w:val="0CA679AC"/>
    <w:rsid w:val="0CA904A4"/>
    <w:rsid w:val="0CA94A7A"/>
    <w:rsid w:val="0CAA5073"/>
    <w:rsid w:val="0CAB2EAE"/>
    <w:rsid w:val="0CAD223F"/>
    <w:rsid w:val="0CAE6912"/>
    <w:rsid w:val="0CAF268A"/>
    <w:rsid w:val="0CB0762B"/>
    <w:rsid w:val="0CB16402"/>
    <w:rsid w:val="0CBC4E09"/>
    <w:rsid w:val="0CBD4DA7"/>
    <w:rsid w:val="0CC56AD1"/>
    <w:rsid w:val="0CCA2047"/>
    <w:rsid w:val="0CCC4FEA"/>
    <w:rsid w:val="0CCC53E7"/>
    <w:rsid w:val="0CCF0636"/>
    <w:rsid w:val="0CD10852"/>
    <w:rsid w:val="0CD45C4C"/>
    <w:rsid w:val="0CDB347F"/>
    <w:rsid w:val="0CE075E0"/>
    <w:rsid w:val="0CE61111"/>
    <w:rsid w:val="0CE67C7F"/>
    <w:rsid w:val="0CED6FA6"/>
    <w:rsid w:val="0CEF0DB6"/>
    <w:rsid w:val="0CF167FE"/>
    <w:rsid w:val="0CF36E21"/>
    <w:rsid w:val="0CFC3D4A"/>
    <w:rsid w:val="0CFE2CC9"/>
    <w:rsid w:val="0D0A5F45"/>
    <w:rsid w:val="0D1507A5"/>
    <w:rsid w:val="0D176855"/>
    <w:rsid w:val="0D197B03"/>
    <w:rsid w:val="0D3112F1"/>
    <w:rsid w:val="0D4529F9"/>
    <w:rsid w:val="0D4F1601"/>
    <w:rsid w:val="0D527DCE"/>
    <w:rsid w:val="0D621C7D"/>
    <w:rsid w:val="0D68360D"/>
    <w:rsid w:val="0D721D35"/>
    <w:rsid w:val="0D750EA8"/>
    <w:rsid w:val="0D7923B7"/>
    <w:rsid w:val="0D7C67D1"/>
    <w:rsid w:val="0D7D62E4"/>
    <w:rsid w:val="0D7F4AC1"/>
    <w:rsid w:val="0D895230"/>
    <w:rsid w:val="0D8D3CD0"/>
    <w:rsid w:val="0D8D4779"/>
    <w:rsid w:val="0D9154D6"/>
    <w:rsid w:val="0D921D8F"/>
    <w:rsid w:val="0D933D59"/>
    <w:rsid w:val="0D935B07"/>
    <w:rsid w:val="0D991370"/>
    <w:rsid w:val="0D9D40EA"/>
    <w:rsid w:val="0D9F44AC"/>
    <w:rsid w:val="0DA959C9"/>
    <w:rsid w:val="0DB31D06"/>
    <w:rsid w:val="0DB53CD0"/>
    <w:rsid w:val="0DBC6E0C"/>
    <w:rsid w:val="0DC763C6"/>
    <w:rsid w:val="0DD3176D"/>
    <w:rsid w:val="0DD73C46"/>
    <w:rsid w:val="0DDE3227"/>
    <w:rsid w:val="0DE620DB"/>
    <w:rsid w:val="0DEF0DDE"/>
    <w:rsid w:val="0DF511D2"/>
    <w:rsid w:val="0DFC7A6B"/>
    <w:rsid w:val="0E0858E1"/>
    <w:rsid w:val="0E093439"/>
    <w:rsid w:val="0E0C7221"/>
    <w:rsid w:val="0E131689"/>
    <w:rsid w:val="0E1B0454"/>
    <w:rsid w:val="0E1B1CC8"/>
    <w:rsid w:val="0E1C0D66"/>
    <w:rsid w:val="0E2055ED"/>
    <w:rsid w:val="0E283B6E"/>
    <w:rsid w:val="0E2C4EDB"/>
    <w:rsid w:val="0E2D36D6"/>
    <w:rsid w:val="0E2E58BB"/>
    <w:rsid w:val="0E2F551A"/>
    <w:rsid w:val="0E300F07"/>
    <w:rsid w:val="0E342F49"/>
    <w:rsid w:val="0E361578"/>
    <w:rsid w:val="0E372937"/>
    <w:rsid w:val="0E3B0618"/>
    <w:rsid w:val="0E3F3599"/>
    <w:rsid w:val="0E464928"/>
    <w:rsid w:val="0E465B69"/>
    <w:rsid w:val="0E470192"/>
    <w:rsid w:val="0E473FA2"/>
    <w:rsid w:val="0E4C7186"/>
    <w:rsid w:val="0E4F1524"/>
    <w:rsid w:val="0E546814"/>
    <w:rsid w:val="0E5C239D"/>
    <w:rsid w:val="0E5D4A82"/>
    <w:rsid w:val="0E6059EA"/>
    <w:rsid w:val="0E612686"/>
    <w:rsid w:val="0E664FCA"/>
    <w:rsid w:val="0E685A40"/>
    <w:rsid w:val="0E686F94"/>
    <w:rsid w:val="0E6F1A11"/>
    <w:rsid w:val="0E73034D"/>
    <w:rsid w:val="0E737408"/>
    <w:rsid w:val="0E760C28"/>
    <w:rsid w:val="0E7771D7"/>
    <w:rsid w:val="0E7913E7"/>
    <w:rsid w:val="0E7A3942"/>
    <w:rsid w:val="0E7C61D3"/>
    <w:rsid w:val="0E85634E"/>
    <w:rsid w:val="0E8C5882"/>
    <w:rsid w:val="0E8C796C"/>
    <w:rsid w:val="0E8D07A9"/>
    <w:rsid w:val="0E907444"/>
    <w:rsid w:val="0E9A5DC3"/>
    <w:rsid w:val="0E9F3880"/>
    <w:rsid w:val="0EA528E3"/>
    <w:rsid w:val="0EA87391"/>
    <w:rsid w:val="0EAC0C2F"/>
    <w:rsid w:val="0EAC6054"/>
    <w:rsid w:val="0EAC6D44"/>
    <w:rsid w:val="0EB11EB2"/>
    <w:rsid w:val="0EBB3568"/>
    <w:rsid w:val="0EC35F79"/>
    <w:rsid w:val="0ECC3CAF"/>
    <w:rsid w:val="0ECE5049"/>
    <w:rsid w:val="0ECF5C62"/>
    <w:rsid w:val="0ED32660"/>
    <w:rsid w:val="0ED61610"/>
    <w:rsid w:val="0ED63D33"/>
    <w:rsid w:val="0EDC4358"/>
    <w:rsid w:val="0EE02FCE"/>
    <w:rsid w:val="0EE56AC2"/>
    <w:rsid w:val="0EE85AFB"/>
    <w:rsid w:val="0EEA1757"/>
    <w:rsid w:val="0EEC013D"/>
    <w:rsid w:val="0EEE3A9C"/>
    <w:rsid w:val="0F012392"/>
    <w:rsid w:val="0F0738FD"/>
    <w:rsid w:val="0F0740B7"/>
    <w:rsid w:val="0F0B7047"/>
    <w:rsid w:val="0F0C2303"/>
    <w:rsid w:val="0F0F650E"/>
    <w:rsid w:val="0F13775A"/>
    <w:rsid w:val="0F173415"/>
    <w:rsid w:val="0F1B6879"/>
    <w:rsid w:val="0F1F4D44"/>
    <w:rsid w:val="0F242EBB"/>
    <w:rsid w:val="0F256C33"/>
    <w:rsid w:val="0F2B4FAF"/>
    <w:rsid w:val="0F38683B"/>
    <w:rsid w:val="0F39623B"/>
    <w:rsid w:val="0F3D3A89"/>
    <w:rsid w:val="0F3F1AA3"/>
    <w:rsid w:val="0F4A52C7"/>
    <w:rsid w:val="0F5029EF"/>
    <w:rsid w:val="0F56503F"/>
    <w:rsid w:val="0F583699"/>
    <w:rsid w:val="0F5E76D2"/>
    <w:rsid w:val="0F5F45FE"/>
    <w:rsid w:val="0F6776E9"/>
    <w:rsid w:val="0F6A4E9F"/>
    <w:rsid w:val="0F6C03BE"/>
    <w:rsid w:val="0F722A26"/>
    <w:rsid w:val="0F737D6F"/>
    <w:rsid w:val="0F7554C5"/>
    <w:rsid w:val="0F7756E1"/>
    <w:rsid w:val="0F786D63"/>
    <w:rsid w:val="0F82539D"/>
    <w:rsid w:val="0F8751F8"/>
    <w:rsid w:val="0F8E7511"/>
    <w:rsid w:val="0F931DEF"/>
    <w:rsid w:val="0F9475F4"/>
    <w:rsid w:val="0F955FBB"/>
    <w:rsid w:val="0F9718DF"/>
    <w:rsid w:val="0F9A112B"/>
    <w:rsid w:val="0F9A6266"/>
    <w:rsid w:val="0FA61FD4"/>
    <w:rsid w:val="0FB71F81"/>
    <w:rsid w:val="0FB94270"/>
    <w:rsid w:val="0FBC0889"/>
    <w:rsid w:val="0FC2131F"/>
    <w:rsid w:val="0FC267C2"/>
    <w:rsid w:val="0FC432FA"/>
    <w:rsid w:val="0FC60B92"/>
    <w:rsid w:val="0FC65D20"/>
    <w:rsid w:val="0FC821B8"/>
    <w:rsid w:val="0FCB65FC"/>
    <w:rsid w:val="0FCD3553"/>
    <w:rsid w:val="0FDF2698"/>
    <w:rsid w:val="0FF67C3E"/>
    <w:rsid w:val="0FFA00C0"/>
    <w:rsid w:val="100723EF"/>
    <w:rsid w:val="1008053C"/>
    <w:rsid w:val="10091983"/>
    <w:rsid w:val="100A72C0"/>
    <w:rsid w:val="10120F66"/>
    <w:rsid w:val="101D03EC"/>
    <w:rsid w:val="10231930"/>
    <w:rsid w:val="102A6463"/>
    <w:rsid w:val="102B0279"/>
    <w:rsid w:val="102D3FF1"/>
    <w:rsid w:val="102D4314"/>
    <w:rsid w:val="1034088F"/>
    <w:rsid w:val="1034286B"/>
    <w:rsid w:val="10347775"/>
    <w:rsid w:val="1035205D"/>
    <w:rsid w:val="103706A7"/>
    <w:rsid w:val="103969D2"/>
    <w:rsid w:val="103C5FE2"/>
    <w:rsid w:val="10472CDA"/>
    <w:rsid w:val="10486A61"/>
    <w:rsid w:val="104F21BA"/>
    <w:rsid w:val="1050283F"/>
    <w:rsid w:val="10545A22"/>
    <w:rsid w:val="105A46BB"/>
    <w:rsid w:val="106317C1"/>
    <w:rsid w:val="106327F0"/>
    <w:rsid w:val="106D2F64"/>
    <w:rsid w:val="106D346F"/>
    <w:rsid w:val="10725EA8"/>
    <w:rsid w:val="10730C65"/>
    <w:rsid w:val="107514F4"/>
    <w:rsid w:val="10784634"/>
    <w:rsid w:val="10831283"/>
    <w:rsid w:val="108574B7"/>
    <w:rsid w:val="10857989"/>
    <w:rsid w:val="108654B0"/>
    <w:rsid w:val="10880F3B"/>
    <w:rsid w:val="108D2CE2"/>
    <w:rsid w:val="108F7E1B"/>
    <w:rsid w:val="10967DE9"/>
    <w:rsid w:val="1099170E"/>
    <w:rsid w:val="109F7521"/>
    <w:rsid w:val="10A122E9"/>
    <w:rsid w:val="10AF2C58"/>
    <w:rsid w:val="10B0441C"/>
    <w:rsid w:val="10B63710"/>
    <w:rsid w:val="10B71B0D"/>
    <w:rsid w:val="10BE6BA5"/>
    <w:rsid w:val="10CE2B6F"/>
    <w:rsid w:val="10CF370F"/>
    <w:rsid w:val="10D60A11"/>
    <w:rsid w:val="10D968F9"/>
    <w:rsid w:val="10DE353E"/>
    <w:rsid w:val="10E85148"/>
    <w:rsid w:val="10F10820"/>
    <w:rsid w:val="10F36FE9"/>
    <w:rsid w:val="10FD1587"/>
    <w:rsid w:val="10FD39C4"/>
    <w:rsid w:val="1103757C"/>
    <w:rsid w:val="110E48E7"/>
    <w:rsid w:val="110E7FA8"/>
    <w:rsid w:val="1111746F"/>
    <w:rsid w:val="11190CAF"/>
    <w:rsid w:val="111C2F7A"/>
    <w:rsid w:val="111D0B70"/>
    <w:rsid w:val="1122167C"/>
    <w:rsid w:val="1125370C"/>
    <w:rsid w:val="11292A0B"/>
    <w:rsid w:val="112D6307"/>
    <w:rsid w:val="112E74DA"/>
    <w:rsid w:val="112F5DAE"/>
    <w:rsid w:val="113361C8"/>
    <w:rsid w:val="113417FA"/>
    <w:rsid w:val="1134517A"/>
    <w:rsid w:val="113A2D14"/>
    <w:rsid w:val="113B16EC"/>
    <w:rsid w:val="114333A1"/>
    <w:rsid w:val="114E0946"/>
    <w:rsid w:val="115A0E16"/>
    <w:rsid w:val="115C3A0E"/>
    <w:rsid w:val="116457F1"/>
    <w:rsid w:val="11665CA1"/>
    <w:rsid w:val="116F256B"/>
    <w:rsid w:val="117B127F"/>
    <w:rsid w:val="11847C41"/>
    <w:rsid w:val="1186771B"/>
    <w:rsid w:val="1188769A"/>
    <w:rsid w:val="1198193E"/>
    <w:rsid w:val="119D6F55"/>
    <w:rsid w:val="11AB1672"/>
    <w:rsid w:val="11AD363C"/>
    <w:rsid w:val="11AF5660"/>
    <w:rsid w:val="11B0251B"/>
    <w:rsid w:val="11B076E7"/>
    <w:rsid w:val="11B6403E"/>
    <w:rsid w:val="11BB42AC"/>
    <w:rsid w:val="11BE3980"/>
    <w:rsid w:val="11BF2AAD"/>
    <w:rsid w:val="11C10E95"/>
    <w:rsid w:val="11C336B1"/>
    <w:rsid w:val="11C9711D"/>
    <w:rsid w:val="11CB1D14"/>
    <w:rsid w:val="11CB75A0"/>
    <w:rsid w:val="11CC3425"/>
    <w:rsid w:val="11CE6AB8"/>
    <w:rsid w:val="11CE72AB"/>
    <w:rsid w:val="11D36D51"/>
    <w:rsid w:val="11D40FB6"/>
    <w:rsid w:val="11D5049D"/>
    <w:rsid w:val="11E80B2E"/>
    <w:rsid w:val="11E86906"/>
    <w:rsid w:val="11EA3139"/>
    <w:rsid w:val="11EE2138"/>
    <w:rsid w:val="11FA5228"/>
    <w:rsid w:val="1203449B"/>
    <w:rsid w:val="120430F5"/>
    <w:rsid w:val="120A4257"/>
    <w:rsid w:val="12104EB8"/>
    <w:rsid w:val="12172EAE"/>
    <w:rsid w:val="12174F59"/>
    <w:rsid w:val="121B7A4D"/>
    <w:rsid w:val="12223E06"/>
    <w:rsid w:val="12236F4E"/>
    <w:rsid w:val="12276A21"/>
    <w:rsid w:val="122C7280"/>
    <w:rsid w:val="12306D8A"/>
    <w:rsid w:val="12337F00"/>
    <w:rsid w:val="123668B8"/>
    <w:rsid w:val="123956DC"/>
    <w:rsid w:val="123E24E6"/>
    <w:rsid w:val="124226DD"/>
    <w:rsid w:val="124318AA"/>
    <w:rsid w:val="124949E7"/>
    <w:rsid w:val="124A7788"/>
    <w:rsid w:val="124B18F2"/>
    <w:rsid w:val="124C2311"/>
    <w:rsid w:val="1264339A"/>
    <w:rsid w:val="12660652"/>
    <w:rsid w:val="126D6927"/>
    <w:rsid w:val="127A1F45"/>
    <w:rsid w:val="127B330E"/>
    <w:rsid w:val="127B4131"/>
    <w:rsid w:val="12810624"/>
    <w:rsid w:val="12862654"/>
    <w:rsid w:val="12883761"/>
    <w:rsid w:val="128F6E1B"/>
    <w:rsid w:val="12935813"/>
    <w:rsid w:val="12942106"/>
    <w:rsid w:val="12954BD4"/>
    <w:rsid w:val="129C720C"/>
    <w:rsid w:val="12A14823"/>
    <w:rsid w:val="12AC464F"/>
    <w:rsid w:val="12AD766B"/>
    <w:rsid w:val="12AE1FE2"/>
    <w:rsid w:val="12B46304"/>
    <w:rsid w:val="12C0324A"/>
    <w:rsid w:val="12C0739F"/>
    <w:rsid w:val="12C37898"/>
    <w:rsid w:val="12C6596F"/>
    <w:rsid w:val="12CD5618"/>
    <w:rsid w:val="12D1335A"/>
    <w:rsid w:val="12D9220E"/>
    <w:rsid w:val="12DF5A2B"/>
    <w:rsid w:val="12E05685"/>
    <w:rsid w:val="12E7492B"/>
    <w:rsid w:val="12F12EB7"/>
    <w:rsid w:val="12F6691D"/>
    <w:rsid w:val="130848A2"/>
    <w:rsid w:val="13085A5A"/>
    <w:rsid w:val="130A686C"/>
    <w:rsid w:val="130B0801"/>
    <w:rsid w:val="130F4280"/>
    <w:rsid w:val="1320085A"/>
    <w:rsid w:val="13274D28"/>
    <w:rsid w:val="132834E3"/>
    <w:rsid w:val="1329079F"/>
    <w:rsid w:val="1331204B"/>
    <w:rsid w:val="13347445"/>
    <w:rsid w:val="13370CE3"/>
    <w:rsid w:val="133B4C77"/>
    <w:rsid w:val="1352722C"/>
    <w:rsid w:val="135757DE"/>
    <w:rsid w:val="13585C01"/>
    <w:rsid w:val="135A334F"/>
    <w:rsid w:val="135B70C7"/>
    <w:rsid w:val="13685340"/>
    <w:rsid w:val="13736FC6"/>
    <w:rsid w:val="13737F6D"/>
    <w:rsid w:val="137B1518"/>
    <w:rsid w:val="13805B25"/>
    <w:rsid w:val="138228A6"/>
    <w:rsid w:val="138F7FCB"/>
    <w:rsid w:val="13906D71"/>
    <w:rsid w:val="13951726"/>
    <w:rsid w:val="13963C5C"/>
    <w:rsid w:val="13A03CC0"/>
    <w:rsid w:val="13A54A4F"/>
    <w:rsid w:val="13A67A6F"/>
    <w:rsid w:val="13AC6743"/>
    <w:rsid w:val="13AE39CA"/>
    <w:rsid w:val="13B14F39"/>
    <w:rsid w:val="13B363BF"/>
    <w:rsid w:val="13BD568C"/>
    <w:rsid w:val="13BD743A"/>
    <w:rsid w:val="13BF1404"/>
    <w:rsid w:val="13BFECF6"/>
    <w:rsid w:val="13C056FE"/>
    <w:rsid w:val="13C64BDE"/>
    <w:rsid w:val="13CB7DA9"/>
    <w:rsid w:val="13D02A16"/>
    <w:rsid w:val="13D03751"/>
    <w:rsid w:val="13D11138"/>
    <w:rsid w:val="13D55787"/>
    <w:rsid w:val="13D6674E"/>
    <w:rsid w:val="13DE35A1"/>
    <w:rsid w:val="13E87FC2"/>
    <w:rsid w:val="13EA3712"/>
    <w:rsid w:val="13F32CC4"/>
    <w:rsid w:val="14005224"/>
    <w:rsid w:val="14011A1D"/>
    <w:rsid w:val="14092680"/>
    <w:rsid w:val="14123242"/>
    <w:rsid w:val="14186D67"/>
    <w:rsid w:val="141F00F5"/>
    <w:rsid w:val="14333BA0"/>
    <w:rsid w:val="14396509"/>
    <w:rsid w:val="143E49C0"/>
    <w:rsid w:val="143E4B76"/>
    <w:rsid w:val="143E6DC8"/>
    <w:rsid w:val="143F0797"/>
    <w:rsid w:val="143F42F3"/>
    <w:rsid w:val="14431708"/>
    <w:rsid w:val="14447799"/>
    <w:rsid w:val="14450921"/>
    <w:rsid w:val="14463CEB"/>
    <w:rsid w:val="144735BA"/>
    <w:rsid w:val="144D6A10"/>
    <w:rsid w:val="14541544"/>
    <w:rsid w:val="14553B17"/>
    <w:rsid w:val="14575AE1"/>
    <w:rsid w:val="145C5579"/>
    <w:rsid w:val="1461070D"/>
    <w:rsid w:val="1462575A"/>
    <w:rsid w:val="14693716"/>
    <w:rsid w:val="146D7B25"/>
    <w:rsid w:val="146E6986"/>
    <w:rsid w:val="14706BA3"/>
    <w:rsid w:val="147246C9"/>
    <w:rsid w:val="14733F9D"/>
    <w:rsid w:val="147C10A3"/>
    <w:rsid w:val="148461AA"/>
    <w:rsid w:val="14860174"/>
    <w:rsid w:val="14877AD9"/>
    <w:rsid w:val="148F527B"/>
    <w:rsid w:val="14951F61"/>
    <w:rsid w:val="14A31B93"/>
    <w:rsid w:val="14A34882"/>
    <w:rsid w:val="14A4588B"/>
    <w:rsid w:val="14A979BF"/>
    <w:rsid w:val="14B20902"/>
    <w:rsid w:val="14B22D17"/>
    <w:rsid w:val="14B56532"/>
    <w:rsid w:val="14B60508"/>
    <w:rsid w:val="14B7032D"/>
    <w:rsid w:val="14BB30B9"/>
    <w:rsid w:val="14C23ABD"/>
    <w:rsid w:val="14C3302B"/>
    <w:rsid w:val="14D52C06"/>
    <w:rsid w:val="14DA401C"/>
    <w:rsid w:val="14DD2C3C"/>
    <w:rsid w:val="14DF199B"/>
    <w:rsid w:val="14E113CB"/>
    <w:rsid w:val="14E25F09"/>
    <w:rsid w:val="14EA0703"/>
    <w:rsid w:val="14EA4B45"/>
    <w:rsid w:val="14EC102F"/>
    <w:rsid w:val="14EE265B"/>
    <w:rsid w:val="14EE3B40"/>
    <w:rsid w:val="14F52E34"/>
    <w:rsid w:val="14F766B5"/>
    <w:rsid w:val="14FB06DE"/>
    <w:rsid w:val="14FC1DFA"/>
    <w:rsid w:val="14FE5F5C"/>
    <w:rsid w:val="15007F26"/>
    <w:rsid w:val="150115A9"/>
    <w:rsid w:val="150118DD"/>
    <w:rsid w:val="150512A9"/>
    <w:rsid w:val="15086EEE"/>
    <w:rsid w:val="150B58A6"/>
    <w:rsid w:val="1516022D"/>
    <w:rsid w:val="151B6B0E"/>
    <w:rsid w:val="151D09ED"/>
    <w:rsid w:val="151E68FB"/>
    <w:rsid w:val="15237BF1"/>
    <w:rsid w:val="152D72DB"/>
    <w:rsid w:val="152F4368"/>
    <w:rsid w:val="15304572"/>
    <w:rsid w:val="15324BD2"/>
    <w:rsid w:val="15353636"/>
    <w:rsid w:val="15464746"/>
    <w:rsid w:val="154971F4"/>
    <w:rsid w:val="155147CA"/>
    <w:rsid w:val="15573F10"/>
    <w:rsid w:val="15613208"/>
    <w:rsid w:val="15650725"/>
    <w:rsid w:val="156A53A0"/>
    <w:rsid w:val="156C736A"/>
    <w:rsid w:val="15755FA6"/>
    <w:rsid w:val="157B1EF5"/>
    <w:rsid w:val="157E6E85"/>
    <w:rsid w:val="1582008C"/>
    <w:rsid w:val="158C3568"/>
    <w:rsid w:val="15915022"/>
    <w:rsid w:val="159468E6"/>
    <w:rsid w:val="159B49C2"/>
    <w:rsid w:val="159D4C03"/>
    <w:rsid w:val="159D51EE"/>
    <w:rsid w:val="159F0CEE"/>
    <w:rsid w:val="15A8039B"/>
    <w:rsid w:val="15A93610"/>
    <w:rsid w:val="15A9411A"/>
    <w:rsid w:val="15A97283"/>
    <w:rsid w:val="15AA337B"/>
    <w:rsid w:val="15AC7766"/>
    <w:rsid w:val="15B0659E"/>
    <w:rsid w:val="15B15D19"/>
    <w:rsid w:val="15B43C69"/>
    <w:rsid w:val="15B80793"/>
    <w:rsid w:val="15C13D7A"/>
    <w:rsid w:val="15C2342E"/>
    <w:rsid w:val="15C62831"/>
    <w:rsid w:val="15C639B1"/>
    <w:rsid w:val="15DB1BD2"/>
    <w:rsid w:val="15DE3F67"/>
    <w:rsid w:val="15E002FA"/>
    <w:rsid w:val="15E05662"/>
    <w:rsid w:val="15E213DA"/>
    <w:rsid w:val="15E37F2A"/>
    <w:rsid w:val="15EA3265"/>
    <w:rsid w:val="15F1070D"/>
    <w:rsid w:val="15F5735F"/>
    <w:rsid w:val="15FD5EEA"/>
    <w:rsid w:val="15FF3D3A"/>
    <w:rsid w:val="15FF5042"/>
    <w:rsid w:val="16046E1B"/>
    <w:rsid w:val="160550C9"/>
    <w:rsid w:val="16080847"/>
    <w:rsid w:val="16087E1D"/>
    <w:rsid w:val="16094BB9"/>
    <w:rsid w:val="161415D5"/>
    <w:rsid w:val="16194F63"/>
    <w:rsid w:val="161F262E"/>
    <w:rsid w:val="16255A1E"/>
    <w:rsid w:val="16273291"/>
    <w:rsid w:val="162D4D4B"/>
    <w:rsid w:val="16303AE2"/>
    <w:rsid w:val="16351439"/>
    <w:rsid w:val="16354957"/>
    <w:rsid w:val="16435E4B"/>
    <w:rsid w:val="16481B85"/>
    <w:rsid w:val="165027E8"/>
    <w:rsid w:val="16581F4E"/>
    <w:rsid w:val="165A5694"/>
    <w:rsid w:val="1665643A"/>
    <w:rsid w:val="166C3E50"/>
    <w:rsid w:val="166C5148"/>
    <w:rsid w:val="1676258E"/>
    <w:rsid w:val="16763000"/>
    <w:rsid w:val="16840E59"/>
    <w:rsid w:val="168B1A72"/>
    <w:rsid w:val="16986690"/>
    <w:rsid w:val="169868DE"/>
    <w:rsid w:val="169C160B"/>
    <w:rsid w:val="169C4A3D"/>
    <w:rsid w:val="169D782C"/>
    <w:rsid w:val="16A668AC"/>
    <w:rsid w:val="16AB15C8"/>
    <w:rsid w:val="16B03286"/>
    <w:rsid w:val="16B31ED9"/>
    <w:rsid w:val="16C217D9"/>
    <w:rsid w:val="16CA0E77"/>
    <w:rsid w:val="16CB1E6E"/>
    <w:rsid w:val="16CC508A"/>
    <w:rsid w:val="16CF283A"/>
    <w:rsid w:val="16D72F09"/>
    <w:rsid w:val="16D849B0"/>
    <w:rsid w:val="16E2273B"/>
    <w:rsid w:val="16E55583"/>
    <w:rsid w:val="16EB33F5"/>
    <w:rsid w:val="16F413C5"/>
    <w:rsid w:val="16F43511"/>
    <w:rsid w:val="16F962E6"/>
    <w:rsid w:val="17075B7B"/>
    <w:rsid w:val="170A508C"/>
    <w:rsid w:val="170B670F"/>
    <w:rsid w:val="170D02FE"/>
    <w:rsid w:val="17125CEF"/>
    <w:rsid w:val="171D31A4"/>
    <w:rsid w:val="17224E02"/>
    <w:rsid w:val="17274523"/>
    <w:rsid w:val="172D416C"/>
    <w:rsid w:val="1736114D"/>
    <w:rsid w:val="17375756"/>
    <w:rsid w:val="173C2D6C"/>
    <w:rsid w:val="17400AAE"/>
    <w:rsid w:val="17416219"/>
    <w:rsid w:val="174D4F1E"/>
    <w:rsid w:val="174E29A3"/>
    <w:rsid w:val="17501AB0"/>
    <w:rsid w:val="1751149C"/>
    <w:rsid w:val="17571954"/>
    <w:rsid w:val="175925C3"/>
    <w:rsid w:val="175D473A"/>
    <w:rsid w:val="17602EFE"/>
    <w:rsid w:val="1764669F"/>
    <w:rsid w:val="176B0541"/>
    <w:rsid w:val="176B7E7E"/>
    <w:rsid w:val="17701D14"/>
    <w:rsid w:val="177249E0"/>
    <w:rsid w:val="17735226"/>
    <w:rsid w:val="1776627E"/>
    <w:rsid w:val="178070FD"/>
    <w:rsid w:val="17847CBB"/>
    <w:rsid w:val="17882889"/>
    <w:rsid w:val="178844DF"/>
    <w:rsid w:val="178B58E8"/>
    <w:rsid w:val="179256D8"/>
    <w:rsid w:val="17A64C29"/>
    <w:rsid w:val="17A724EF"/>
    <w:rsid w:val="17B20E6E"/>
    <w:rsid w:val="17B44FF8"/>
    <w:rsid w:val="17B571D1"/>
    <w:rsid w:val="17BB0135"/>
    <w:rsid w:val="17C57205"/>
    <w:rsid w:val="17C70888"/>
    <w:rsid w:val="17CC0594"/>
    <w:rsid w:val="17CF1E32"/>
    <w:rsid w:val="17D04713"/>
    <w:rsid w:val="17D2722C"/>
    <w:rsid w:val="17D465E5"/>
    <w:rsid w:val="17D66D1D"/>
    <w:rsid w:val="17DB4A19"/>
    <w:rsid w:val="17E92EF4"/>
    <w:rsid w:val="17E93D36"/>
    <w:rsid w:val="17EF6030"/>
    <w:rsid w:val="17F03F9E"/>
    <w:rsid w:val="17F04282"/>
    <w:rsid w:val="17F11DA8"/>
    <w:rsid w:val="17F3155F"/>
    <w:rsid w:val="17F45558"/>
    <w:rsid w:val="18010713"/>
    <w:rsid w:val="180175F7"/>
    <w:rsid w:val="1803058A"/>
    <w:rsid w:val="18047D2E"/>
    <w:rsid w:val="18090EA0"/>
    <w:rsid w:val="180918CD"/>
    <w:rsid w:val="180D64F7"/>
    <w:rsid w:val="1810323E"/>
    <w:rsid w:val="181A30AD"/>
    <w:rsid w:val="1825166D"/>
    <w:rsid w:val="182865F3"/>
    <w:rsid w:val="1841151D"/>
    <w:rsid w:val="18416B11"/>
    <w:rsid w:val="18493992"/>
    <w:rsid w:val="18502F73"/>
    <w:rsid w:val="1855363A"/>
    <w:rsid w:val="18593674"/>
    <w:rsid w:val="185D2548"/>
    <w:rsid w:val="185D743E"/>
    <w:rsid w:val="18660C01"/>
    <w:rsid w:val="18662DE9"/>
    <w:rsid w:val="187066E6"/>
    <w:rsid w:val="18736C61"/>
    <w:rsid w:val="187F73B4"/>
    <w:rsid w:val="188350F6"/>
    <w:rsid w:val="188423B5"/>
    <w:rsid w:val="18844E6A"/>
    <w:rsid w:val="18862B51"/>
    <w:rsid w:val="188C387F"/>
    <w:rsid w:val="188F4BA4"/>
    <w:rsid w:val="18921BB6"/>
    <w:rsid w:val="1895371E"/>
    <w:rsid w:val="189866C8"/>
    <w:rsid w:val="189F624C"/>
    <w:rsid w:val="18A138DA"/>
    <w:rsid w:val="18A60DE5"/>
    <w:rsid w:val="18AE53F5"/>
    <w:rsid w:val="18B03A56"/>
    <w:rsid w:val="18B2182F"/>
    <w:rsid w:val="18C4198E"/>
    <w:rsid w:val="18C60DBD"/>
    <w:rsid w:val="18C93048"/>
    <w:rsid w:val="18D22CBC"/>
    <w:rsid w:val="18D771F0"/>
    <w:rsid w:val="18DA283C"/>
    <w:rsid w:val="18E21ED2"/>
    <w:rsid w:val="18EB5A29"/>
    <w:rsid w:val="18F31F5C"/>
    <w:rsid w:val="18F62E8E"/>
    <w:rsid w:val="18FE2337"/>
    <w:rsid w:val="19061883"/>
    <w:rsid w:val="190776E2"/>
    <w:rsid w:val="190B50EC"/>
    <w:rsid w:val="190C3EB5"/>
    <w:rsid w:val="190F2F2B"/>
    <w:rsid w:val="1913051A"/>
    <w:rsid w:val="19297320"/>
    <w:rsid w:val="192B3752"/>
    <w:rsid w:val="19300337"/>
    <w:rsid w:val="193B0007"/>
    <w:rsid w:val="193D35F7"/>
    <w:rsid w:val="193E1523"/>
    <w:rsid w:val="19404D87"/>
    <w:rsid w:val="1945415A"/>
    <w:rsid w:val="19454ABA"/>
    <w:rsid w:val="194720B3"/>
    <w:rsid w:val="194D26EB"/>
    <w:rsid w:val="19516FA3"/>
    <w:rsid w:val="19557378"/>
    <w:rsid w:val="19570915"/>
    <w:rsid w:val="19595962"/>
    <w:rsid w:val="196529AE"/>
    <w:rsid w:val="19661464"/>
    <w:rsid w:val="196818E1"/>
    <w:rsid w:val="19706068"/>
    <w:rsid w:val="19706CFD"/>
    <w:rsid w:val="197902A7"/>
    <w:rsid w:val="197A0D0E"/>
    <w:rsid w:val="197B253C"/>
    <w:rsid w:val="197B44BD"/>
    <w:rsid w:val="197C38F4"/>
    <w:rsid w:val="197E58BE"/>
    <w:rsid w:val="19801636"/>
    <w:rsid w:val="198033E4"/>
    <w:rsid w:val="19840548"/>
    <w:rsid w:val="1992514F"/>
    <w:rsid w:val="199A2386"/>
    <w:rsid w:val="19A21F94"/>
    <w:rsid w:val="19A53DA8"/>
    <w:rsid w:val="19A66139"/>
    <w:rsid w:val="19AA0FA9"/>
    <w:rsid w:val="19AA3F78"/>
    <w:rsid w:val="19AB6BE6"/>
    <w:rsid w:val="19AB7654"/>
    <w:rsid w:val="19B04F73"/>
    <w:rsid w:val="19B412DF"/>
    <w:rsid w:val="19BD781E"/>
    <w:rsid w:val="19CF0004"/>
    <w:rsid w:val="19CF1C75"/>
    <w:rsid w:val="19CF6119"/>
    <w:rsid w:val="19D17EAC"/>
    <w:rsid w:val="19D32E11"/>
    <w:rsid w:val="19D90D46"/>
    <w:rsid w:val="19DA2643"/>
    <w:rsid w:val="19DA26B0"/>
    <w:rsid w:val="19E0639B"/>
    <w:rsid w:val="19E15C43"/>
    <w:rsid w:val="19E35902"/>
    <w:rsid w:val="19EF2318"/>
    <w:rsid w:val="19F61316"/>
    <w:rsid w:val="19F9047E"/>
    <w:rsid w:val="19F91C20"/>
    <w:rsid w:val="19FB6981"/>
    <w:rsid w:val="19FD715F"/>
    <w:rsid w:val="1A0A2913"/>
    <w:rsid w:val="1A0B0279"/>
    <w:rsid w:val="1A0B1C7C"/>
    <w:rsid w:val="1A134258"/>
    <w:rsid w:val="1A147FD0"/>
    <w:rsid w:val="1A1C66C0"/>
    <w:rsid w:val="1A226249"/>
    <w:rsid w:val="1A231FC1"/>
    <w:rsid w:val="1A25626E"/>
    <w:rsid w:val="1A2A5760"/>
    <w:rsid w:val="1A2C26F6"/>
    <w:rsid w:val="1A2C7B2D"/>
    <w:rsid w:val="1A3B14B6"/>
    <w:rsid w:val="1A3B37AF"/>
    <w:rsid w:val="1A400DC5"/>
    <w:rsid w:val="1A42393B"/>
    <w:rsid w:val="1A475CB0"/>
    <w:rsid w:val="1A4A57A0"/>
    <w:rsid w:val="1A512FD2"/>
    <w:rsid w:val="1A562397"/>
    <w:rsid w:val="1A595A6B"/>
    <w:rsid w:val="1A654388"/>
    <w:rsid w:val="1A700E8A"/>
    <w:rsid w:val="1A73397C"/>
    <w:rsid w:val="1A762180"/>
    <w:rsid w:val="1A807414"/>
    <w:rsid w:val="1A845156"/>
    <w:rsid w:val="1A874EAD"/>
    <w:rsid w:val="1A937147"/>
    <w:rsid w:val="1A974B4E"/>
    <w:rsid w:val="1A9C1426"/>
    <w:rsid w:val="1A9F3D3E"/>
    <w:rsid w:val="1AA255DC"/>
    <w:rsid w:val="1AA26FE8"/>
    <w:rsid w:val="1AA749A0"/>
    <w:rsid w:val="1AAA261B"/>
    <w:rsid w:val="1AAB1183"/>
    <w:rsid w:val="1AAB26E2"/>
    <w:rsid w:val="1AAD45DE"/>
    <w:rsid w:val="1AB47192"/>
    <w:rsid w:val="1AC15A62"/>
    <w:rsid w:val="1ACC79D0"/>
    <w:rsid w:val="1ACE4E0B"/>
    <w:rsid w:val="1AD2194F"/>
    <w:rsid w:val="1ADD7D59"/>
    <w:rsid w:val="1ADF5E5A"/>
    <w:rsid w:val="1AE348FB"/>
    <w:rsid w:val="1AE63A6C"/>
    <w:rsid w:val="1AE71241"/>
    <w:rsid w:val="1AE93BBF"/>
    <w:rsid w:val="1AEE2491"/>
    <w:rsid w:val="1AF26D16"/>
    <w:rsid w:val="1AF5284A"/>
    <w:rsid w:val="1AF613B3"/>
    <w:rsid w:val="1AF916A0"/>
    <w:rsid w:val="1B010432"/>
    <w:rsid w:val="1B035069"/>
    <w:rsid w:val="1B044658"/>
    <w:rsid w:val="1B046F80"/>
    <w:rsid w:val="1B063DBD"/>
    <w:rsid w:val="1B1026EE"/>
    <w:rsid w:val="1B122762"/>
    <w:rsid w:val="1B1262BE"/>
    <w:rsid w:val="1B140288"/>
    <w:rsid w:val="1B1526C5"/>
    <w:rsid w:val="1B166AB4"/>
    <w:rsid w:val="1B1C713C"/>
    <w:rsid w:val="1B2304CB"/>
    <w:rsid w:val="1B2B13B7"/>
    <w:rsid w:val="1B2B737F"/>
    <w:rsid w:val="1B2D36A3"/>
    <w:rsid w:val="1B2F45BB"/>
    <w:rsid w:val="1B324BB2"/>
    <w:rsid w:val="1B3267B5"/>
    <w:rsid w:val="1B3A75C2"/>
    <w:rsid w:val="1B3F5D66"/>
    <w:rsid w:val="1B40161D"/>
    <w:rsid w:val="1B4042AB"/>
    <w:rsid w:val="1B411DEA"/>
    <w:rsid w:val="1B413AEE"/>
    <w:rsid w:val="1B414DF5"/>
    <w:rsid w:val="1B441859"/>
    <w:rsid w:val="1B4B7CC8"/>
    <w:rsid w:val="1B4E4BD1"/>
    <w:rsid w:val="1B4F1D6E"/>
    <w:rsid w:val="1B51228D"/>
    <w:rsid w:val="1B612F80"/>
    <w:rsid w:val="1B613452"/>
    <w:rsid w:val="1B632FBD"/>
    <w:rsid w:val="1B650AE3"/>
    <w:rsid w:val="1B6606B1"/>
    <w:rsid w:val="1B701236"/>
    <w:rsid w:val="1B726D46"/>
    <w:rsid w:val="1B744165"/>
    <w:rsid w:val="1B791AF3"/>
    <w:rsid w:val="1B7927E1"/>
    <w:rsid w:val="1B7A0672"/>
    <w:rsid w:val="1B7A5C97"/>
    <w:rsid w:val="1B7C407F"/>
    <w:rsid w:val="1B803B6F"/>
    <w:rsid w:val="1B8B16C6"/>
    <w:rsid w:val="1B8F32D0"/>
    <w:rsid w:val="1B901D16"/>
    <w:rsid w:val="1B964324"/>
    <w:rsid w:val="1B9B3219"/>
    <w:rsid w:val="1B9D558A"/>
    <w:rsid w:val="1BA20022"/>
    <w:rsid w:val="1BA41091"/>
    <w:rsid w:val="1BA86D62"/>
    <w:rsid w:val="1BAC6712"/>
    <w:rsid w:val="1BAF0CC7"/>
    <w:rsid w:val="1BB25BEF"/>
    <w:rsid w:val="1BB43819"/>
    <w:rsid w:val="1BB93055"/>
    <w:rsid w:val="1BC25F36"/>
    <w:rsid w:val="1BC670A8"/>
    <w:rsid w:val="1BC709D8"/>
    <w:rsid w:val="1BC75406"/>
    <w:rsid w:val="1BC81072"/>
    <w:rsid w:val="1BC90946"/>
    <w:rsid w:val="1BCA00BC"/>
    <w:rsid w:val="1BCB2652"/>
    <w:rsid w:val="1BCF41AF"/>
    <w:rsid w:val="1BD25942"/>
    <w:rsid w:val="1BD6553D"/>
    <w:rsid w:val="1BD91B83"/>
    <w:rsid w:val="1BD94E2F"/>
    <w:rsid w:val="1BDB6FF7"/>
    <w:rsid w:val="1BDC68CC"/>
    <w:rsid w:val="1BE51F42"/>
    <w:rsid w:val="1BEA7699"/>
    <w:rsid w:val="1BF070A3"/>
    <w:rsid w:val="1BF54AA3"/>
    <w:rsid w:val="1BF63E31"/>
    <w:rsid w:val="1BF74872"/>
    <w:rsid w:val="1BF823F2"/>
    <w:rsid w:val="1BF87BB9"/>
    <w:rsid w:val="1C163B8C"/>
    <w:rsid w:val="1C1A4247"/>
    <w:rsid w:val="1C2518B9"/>
    <w:rsid w:val="1C2C0FF7"/>
    <w:rsid w:val="1C2C7853"/>
    <w:rsid w:val="1C3A691E"/>
    <w:rsid w:val="1C3B5CE8"/>
    <w:rsid w:val="1C4156D5"/>
    <w:rsid w:val="1C4E088D"/>
    <w:rsid w:val="1C4E5A1B"/>
    <w:rsid w:val="1C566C74"/>
    <w:rsid w:val="1C5E51BD"/>
    <w:rsid w:val="1C5E7925"/>
    <w:rsid w:val="1C6012F2"/>
    <w:rsid w:val="1C6F5E82"/>
    <w:rsid w:val="1C781B95"/>
    <w:rsid w:val="1C7B0E9E"/>
    <w:rsid w:val="1C7B60E4"/>
    <w:rsid w:val="1C7C257F"/>
    <w:rsid w:val="1C7C353E"/>
    <w:rsid w:val="1C872CDB"/>
    <w:rsid w:val="1C896A53"/>
    <w:rsid w:val="1C897F96"/>
    <w:rsid w:val="1C8E3954"/>
    <w:rsid w:val="1C9123A9"/>
    <w:rsid w:val="1C91736E"/>
    <w:rsid w:val="1C9B12FC"/>
    <w:rsid w:val="1C9D4496"/>
    <w:rsid w:val="1CAC31A1"/>
    <w:rsid w:val="1CC151CB"/>
    <w:rsid w:val="1CC57360"/>
    <w:rsid w:val="1CCB4B70"/>
    <w:rsid w:val="1CCB4E0E"/>
    <w:rsid w:val="1CD66020"/>
    <w:rsid w:val="1CD77629"/>
    <w:rsid w:val="1CDC4DD5"/>
    <w:rsid w:val="1CEC2B3E"/>
    <w:rsid w:val="1CED6FE2"/>
    <w:rsid w:val="1CF735E2"/>
    <w:rsid w:val="1CFA7A77"/>
    <w:rsid w:val="1CFD070F"/>
    <w:rsid w:val="1CFD2714"/>
    <w:rsid w:val="1D060A74"/>
    <w:rsid w:val="1D083E1C"/>
    <w:rsid w:val="1D0E1C86"/>
    <w:rsid w:val="1D0E51AB"/>
    <w:rsid w:val="1D2D3883"/>
    <w:rsid w:val="1D327B01"/>
    <w:rsid w:val="1D334FF5"/>
    <w:rsid w:val="1D350989"/>
    <w:rsid w:val="1D357FD7"/>
    <w:rsid w:val="1D382954"/>
    <w:rsid w:val="1D444728"/>
    <w:rsid w:val="1D4D7A81"/>
    <w:rsid w:val="1D571C26"/>
    <w:rsid w:val="1D5F6196"/>
    <w:rsid w:val="1D6132A5"/>
    <w:rsid w:val="1D631052"/>
    <w:rsid w:val="1D6B0F5B"/>
    <w:rsid w:val="1D6F63C2"/>
    <w:rsid w:val="1D7E5B19"/>
    <w:rsid w:val="1D861B8A"/>
    <w:rsid w:val="1D897110"/>
    <w:rsid w:val="1D8E56D5"/>
    <w:rsid w:val="1D91658B"/>
    <w:rsid w:val="1D95170C"/>
    <w:rsid w:val="1D9A259A"/>
    <w:rsid w:val="1DA02469"/>
    <w:rsid w:val="1DA13597"/>
    <w:rsid w:val="1DB0371E"/>
    <w:rsid w:val="1DB4564C"/>
    <w:rsid w:val="1DB573D4"/>
    <w:rsid w:val="1DBB273F"/>
    <w:rsid w:val="1DC00253"/>
    <w:rsid w:val="1DC24676"/>
    <w:rsid w:val="1DC8381D"/>
    <w:rsid w:val="1DD415B9"/>
    <w:rsid w:val="1DD45AAC"/>
    <w:rsid w:val="1DD63D10"/>
    <w:rsid w:val="1DD72E65"/>
    <w:rsid w:val="1DD84B76"/>
    <w:rsid w:val="1DDB2E0E"/>
    <w:rsid w:val="1DDE2DCF"/>
    <w:rsid w:val="1DDF7A40"/>
    <w:rsid w:val="1DE63A32"/>
    <w:rsid w:val="1DEA14E1"/>
    <w:rsid w:val="1DEE1ABE"/>
    <w:rsid w:val="1DEF28E6"/>
    <w:rsid w:val="1DF75C3F"/>
    <w:rsid w:val="1DFB2EC7"/>
    <w:rsid w:val="1DFE6FCD"/>
    <w:rsid w:val="1E027270"/>
    <w:rsid w:val="1E041EDF"/>
    <w:rsid w:val="1E092B29"/>
    <w:rsid w:val="1E0F3D81"/>
    <w:rsid w:val="1E193112"/>
    <w:rsid w:val="1E1D1151"/>
    <w:rsid w:val="1E203312"/>
    <w:rsid w:val="1E2102E2"/>
    <w:rsid w:val="1E317089"/>
    <w:rsid w:val="1E3449BE"/>
    <w:rsid w:val="1E3462F0"/>
    <w:rsid w:val="1E374C25"/>
    <w:rsid w:val="1E4005B4"/>
    <w:rsid w:val="1E401394"/>
    <w:rsid w:val="1E44582C"/>
    <w:rsid w:val="1E454BFC"/>
    <w:rsid w:val="1E4E6801"/>
    <w:rsid w:val="1E552A77"/>
    <w:rsid w:val="1E57048B"/>
    <w:rsid w:val="1E5D655D"/>
    <w:rsid w:val="1E601A36"/>
    <w:rsid w:val="1E694596"/>
    <w:rsid w:val="1E6A3CF1"/>
    <w:rsid w:val="1E7A43DA"/>
    <w:rsid w:val="1E805C34"/>
    <w:rsid w:val="1E82248C"/>
    <w:rsid w:val="1E9222CB"/>
    <w:rsid w:val="1E961C0E"/>
    <w:rsid w:val="1E9B287F"/>
    <w:rsid w:val="1E9D67E6"/>
    <w:rsid w:val="1EA025CB"/>
    <w:rsid w:val="1EA20435"/>
    <w:rsid w:val="1EA47B74"/>
    <w:rsid w:val="1EAA0FF3"/>
    <w:rsid w:val="1EAC713F"/>
    <w:rsid w:val="1EB63404"/>
    <w:rsid w:val="1EBA1C6D"/>
    <w:rsid w:val="1EBB6C6C"/>
    <w:rsid w:val="1EC150EC"/>
    <w:rsid w:val="1EC16654"/>
    <w:rsid w:val="1EC36669"/>
    <w:rsid w:val="1EC65D3D"/>
    <w:rsid w:val="1ECA5539"/>
    <w:rsid w:val="1ECE4BF1"/>
    <w:rsid w:val="1ED07322"/>
    <w:rsid w:val="1ED261AF"/>
    <w:rsid w:val="1ED61CF8"/>
    <w:rsid w:val="1ED74869"/>
    <w:rsid w:val="1EE75CB3"/>
    <w:rsid w:val="1EEC32CA"/>
    <w:rsid w:val="1EF02DBA"/>
    <w:rsid w:val="1EF32043"/>
    <w:rsid w:val="1EF53F2C"/>
    <w:rsid w:val="1EFE30F7"/>
    <w:rsid w:val="1F0B7BF4"/>
    <w:rsid w:val="1F0F35A2"/>
    <w:rsid w:val="1F106425"/>
    <w:rsid w:val="1F123F32"/>
    <w:rsid w:val="1F152C99"/>
    <w:rsid w:val="1F1F369F"/>
    <w:rsid w:val="1F253597"/>
    <w:rsid w:val="1F331CF3"/>
    <w:rsid w:val="1F38650F"/>
    <w:rsid w:val="1F3E238A"/>
    <w:rsid w:val="1F3F789D"/>
    <w:rsid w:val="1F444EB4"/>
    <w:rsid w:val="1F491101"/>
    <w:rsid w:val="1F4A0915"/>
    <w:rsid w:val="1F4B29CF"/>
    <w:rsid w:val="1F52137F"/>
    <w:rsid w:val="1F5A6485"/>
    <w:rsid w:val="1F5C4C46"/>
    <w:rsid w:val="1F6D2591"/>
    <w:rsid w:val="1F762FC2"/>
    <w:rsid w:val="1F792DAF"/>
    <w:rsid w:val="1F7B4D84"/>
    <w:rsid w:val="1F8160E9"/>
    <w:rsid w:val="1F817EB6"/>
    <w:rsid w:val="1F911AFD"/>
    <w:rsid w:val="1F9864C0"/>
    <w:rsid w:val="1F9879F4"/>
    <w:rsid w:val="1F9A01C9"/>
    <w:rsid w:val="1FA025B1"/>
    <w:rsid w:val="1FA3607E"/>
    <w:rsid w:val="1FA6791C"/>
    <w:rsid w:val="1FA834FD"/>
    <w:rsid w:val="1FB5190D"/>
    <w:rsid w:val="1FB63935"/>
    <w:rsid w:val="1FC45991"/>
    <w:rsid w:val="1FC54D53"/>
    <w:rsid w:val="1FC66D70"/>
    <w:rsid w:val="1FCD3C0A"/>
    <w:rsid w:val="1FCE481E"/>
    <w:rsid w:val="1FD04999"/>
    <w:rsid w:val="1FD06747"/>
    <w:rsid w:val="1FD26083"/>
    <w:rsid w:val="1FD55B0C"/>
    <w:rsid w:val="1FE30229"/>
    <w:rsid w:val="1FE7539E"/>
    <w:rsid w:val="1FEF16F3"/>
    <w:rsid w:val="1FEF6BCD"/>
    <w:rsid w:val="1FF14BF6"/>
    <w:rsid w:val="1FF40688"/>
    <w:rsid w:val="1FF52A82"/>
    <w:rsid w:val="1FF64400"/>
    <w:rsid w:val="1FF97A4C"/>
    <w:rsid w:val="1FFB4668"/>
    <w:rsid w:val="1FFB7C68"/>
    <w:rsid w:val="1FFD700C"/>
    <w:rsid w:val="200F101E"/>
    <w:rsid w:val="200F5451"/>
    <w:rsid w:val="20104D96"/>
    <w:rsid w:val="20116C76"/>
    <w:rsid w:val="20124FB2"/>
    <w:rsid w:val="201D4C4B"/>
    <w:rsid w:val="202140AB"/>
    <w:rsid w:val="202204D7"/>
    <w:rsid w:val="202535CF"/>
    <w:rsid w:val="2027544A"/>
    <w:rsid w:val="202C7E22"/>
    <w:rsid w:val="20322F5E"/>
    <w:rsid w:val="20360CA0"/>
    <w:rsid w:val="2040567B"/>
    <w:rsid w:val="204B5E3C"/>
    <w:rsid w:val="20532DC9"/>
    <w:rsid w:val="2056310C"/>
    <w:rsid w:val="205828AE"/>
    <w:rsid w:val="20586E69"/>
    <w:rsid w:val="2059498F"/>
    <w:rsid w:val="2059673D"/>
    <w:rsid w:val="20652D9D"/>
    <w:rsid w:val="20671BE0"/>
    <w:rsid w:val="20683CBF"/>
    <w:rsid w:val="206A0B66"/>
    <w:rsid w:val="207812B9"/>
    <w:rsid w:val="20783067"/>
    <w:rsid w:val="207E15CE"/>
    <w:rsid w:val="20846170"/>
    <w:rsid w:val="20857FE3"/>
    <w:rsid w:val="208A0FEC"/>
    <w:rsid w:val="208C266E"/>
    <w:rsid w:val="20931C4F"/>
    <w:rsid w:val="20950BAB"/>
    <w:rsid w:val="20963CB8"/>
    <w:rsid w:val="20983709"/>
    <w:rsid w:val="209B6D55"/>
    <w:rsid w:val="209E756D"/>
    <w:rsid w:val="20A81A1B"/>
    <w:rsid w:val="20AA6F98"/>
    <w:rsid w:val="20B07FB6"/>
    <w:rsid w:val="20B646FB"/>
    <w:rsid w:val="20BE13B2"/>
    <w:rsid w:val="20C13B90"/>
    <w:rsid w:val="20C61708"/>
    <w:rsid w:val="20D50C75"/>
    <w:rsid w:val="20D51A46"/>
    <w:rsid w:val="20D71F35"/>
    <w:rsid w:val="20D858B3"/>
    <w:rsid w:val="20DD111C"/>
    <w:rsid w:val="20DD736E"/>
    <w:rsid w:val="20E12903"/>
    <w:rsid w:val="20E316D5"/>
    <w:rsid w:val="20E77A0F"/>
    <w:rsid w:val="20F1555E"/>
    <w:rsid w:val="20F37CD4"/>
    <w:rsid w:val="20F72930"/>
    <w:rsid w:val="20F91820"/>
    <w:rsid w:val="20FC2FC3"/>
    <w:rsid w:val="21020BB4"/>
    <w:rsid w:val="210C37AF"/>
    <w:rsid w:val="210C7C53"/>
    <w:rsid w:val="21104ABE"/>
    <w:rsid w:val="21133DFA"/>
    <w:rsid w:val="21177F52"/>
    <w:rsid w:val="211C3A1C"/>
    <w:rsid w:val="211E7A7D"/>
    <w:rsid w:val="211F1734"/>
    <w:rsid w:val="21230533"/>
    <w:rsid w:val="21260D15"/>
    <w:rsid w:val="21262A23"/>
    <w:rsid w:val="21336F8E"/>
    <w:rsid w:val="21383E7A"/>
    <w:rsid w:val="213A47C0"/>
    <w:rsid w:val="213B74B1"/>
    <w:rsid w:val="21414FA7"/>
    <w:rsid w:val="21471BB1"/>
    <w:rsid w:val="21472A39"/>
    <w:rsid w:val="214C5241"/>
    <w:rsid w:val="21511470"/>
    <w:rsid w:val="215A2310"/>
    <w:rsid w:val="215C64E4"/>
    <w:rsid w:val="21635AC5"/>
    <w:rsid w:val="2164183D"/>
    <w:rsid w:val="21852DC1"/>
    <w:rsid w:val="218B43DC"/>
    <w:rsid w:val="218C568A"/>
    <w:rsid w:val="21932099"/>
    <w:rsid w:val="21935C7E"/>
    <w:rsid w:val="21995FA2"/>
    <w:rsid w:val="219E4D4F"/>
    <w:rsid w:val="21A8797C"/>
    <w:rsid w:val="21A946BB"/>
    <w:rsid w:val="21AF0D0A"/>
    <w:rsid w:val="21B04A82"/>
    <w:rsid w:val="21B46321"/>
    <w:rsid w:val="21BC3427"/>
    <w:rsid w:val="21C347B6"/>
    <w:rsid w:val="21C42300"/>
    <w:rsid w:val="21CD1715"/>
    <w:rsid w:val="21CD50EB"/>
    <w:rsid w:val="21CE52E3"/>
    <w:rsid w:val="21CE62C3"/>
    <w:rsid w:val="21D56297"/>
    <w:rsid w:val="21DE318A"/>
    <w:rsid w:val="21DF59B6"/>
    <w:rsid w:val="21EA007B"/>
    <w:rsid w:val="21EF5B80"/>
    <w:rsid w:val="21F04E7F"/>
    <w:rsid w:val="21F06C07"/>
    <w:rsid w:val="21F15FE8"/>
    <w:rsid w:val="21F16BA2"/>
    <w:rsid w:val="21F17CB4"/>
    <w:rsid w:val="21F2233C"/>
    <w:rsid w:val="21FA32A4"/>
    <w:rsid w:val="21FD6859"/>
    <w:rsid w:val="21FD6C6C"/>
    <w:rsid w:val="22032E04"/>
    <w:rsid w:val="22057639"/>
    <w:rsid w:val="22065156"/>
    <w:rsid w:val="22123047"/>
    <w:rsid w:val="22153965"/>
    <w:rsid w:val="22164E30"/>
    <w:rsid w:val="221768AF"/>
    <w:rsid w:val="22176CA7"/>
    <w:rsid w:val="221A1EFC"/>
    <w:rsid w:val="221A365E"/>
    <w:rsid w:val="222A355D"/>
    <w:rsid w:val="222B5DE0"/>
    <w:rsid w:val="22316860"/>
    <w:rsid w:val="223909F4"/>
    <w:rsid w:val="223D5222"/>
    <w:rsid w:val="223E4313"/>
    <w:rsid w:val="22405E06"/>
    <w:rsid w:val="22416404"/>
    <w:rsid w:val="224A27E1"/>
    <w:rsid w:val="224A7A63"/>
    <w:rsid w:val="22535CA8"/>
    <w:rsid w:val="22576990"/>
    <w:rsid w:val="2259560D"/>
    <w:rsid w:val="225D0766"/>
    <w:rsid w:val="225D0F84"/>
    <w:rsid w:val="22600256"/>
    <w:rsid w:val="22610A3A"/>
    <w:rsid w:val="22637793"/>
    <w:rsid w:val="2265384E"/>
    <w:rsid w:val="22675186"/>
    <w:rsid w:val="226A3273"/>
    <w:rsid w:val="227226D3"/>
    <w:rsid w:val="22743D02"/>
    <w:rsid w:val="22787170"/>
    <w:rsid w:val="227B7CF0"/>
    <w:rsid w:val="227C18B4"/>
    <w:rsid w:val="227C4DC1"/>
    <w:rsid w:val="227E06DD"/>
    <w:rsid w:val="22853819"/>
    <w:rsid w:val="22874672"/>
    <w:rsid w:val="228A7081"/>
    <w:rsid w:val="229932EE"/>
    <w:rsid w:val="229A3B6A"/>
    <w:rsid w:val="229B303C"/>
    <w:rsid w:val="229B6893"/>
    <w:rsid w:val="22A31EF1"/>
    <w:rsid w:val="22C00630"/>
    <w:rsid w:val="22C97440"/>
    <w:rsid w:val="22CA3336"/>
    <w:rsid w:val="22CA75B5"/>
    <w:rsid w:val="22CB4B96"/>
    <w:rsid w:val="22CF718A"/>
    <w:rsid w:val="22D02FA8"/>
    <w:rsid w:val="22DD4148"/>
    <w:rsid w:val="22DF1DC6"/>
    <w:rsid w:val="22E569AE"/>
    <w:rsid w:val="22E91DF4"/>
    <w:rsid w:val="22F47480"/>
    <w:rsid w:val="22F95FB5"/>
    <w:rsid w:val="22F97087"/>
    <w:rsid w:val="23005595"/>
    <w:rsid w:val="23040BE2"/>
    <w:rsid w:val="23052BAC"/>
    <w:rsid w:val="230B0492"/>
    <w:rsid w:val="230B6414"/>
    <w:rsid w:val="231026DC"/>
    <w:rsid w:val="23151041"/>
    <w:rsid w:val="23152BF6"/>
    <w:rsid w:val="2315698B"/>
    <w:rsid w:val="2318643B"/>
    <w:rsid w:val="231D19D2"/>
    <w:rsid w:val="231F70E9"/>
    <w:rsid w:val="23201794"/>
    <w:rsid w:val="232157CC"/>
    <w:rsid w:val="232344A5"/>
    <w:rsid w:val="23280E30"/>
    <w:rsid w:val="23341C16"/>
    <w:rsid w:val="233A4603"/>
    <w:rsid w:val="233D0F56"/>
    <w:rsid w:val="234964E4"/>
    <w:rsid w:val="234B6811"/>
    <w:rsid w:val="23566F63"/>
    <w:rsid w:val="235B7CFE"/>
    <w:rsid w:val="2369138D"/>
    <w:rsid w:val="236B2E6E"/>
    <w:rsid w:val="236C49D9"/>
    <w:rsid w:val="23713D9D"/>
    <w:rsid w:val="23751ADF"/>
    <w:rsid w:val="23797599"/>
    <w:rsid w:val="237F064A"/>
    <w:rsid w:val="237F0D75"/>
    <w:rsid w:val="23816BBE"/>
    <w:rsid w:val="23821A63"/>
    <w:rsid w:val="238C5135"/>
    <w:rsid w:val="23955CDE"/>
    <w:rsid w:val="239D6DBC"/>
    <w:rsid w:val="23A10B26"/>
    <w:rsid w:val="23A35A99"/>
    <w:rsid w:val="23A93537"/>
    <w:rsid w:val="23B464DC"/>
    <w:rsid w:val="23B81405"/>
    <w:rsid w:val="23B94474"/>
    <w:rsid w:val="23BA5744"/>
    <w:rsid w:val="23BB6CF2"/>
    <w:rsid w:val="23BD3D8A"/>
    <w:rsid w:val="23BE0252"/>
    <w:rsid w:val="23C6058D"/>
    <w:rsid w:val="23C66872"/>
    <w:rsid w:val="23C93BD9"/>
    <w:rsid w:val="23CB439C"/>
    <w:rsid w:val="23CE1C31"/>
    <w:rsid w:val="23D20CE0"/>
    <w:rsid w:val="23DD2DE7"/>
    <w:rsid w:val="23DE1C48"/>
    <w:rsid w:val="23DE58D7"/>
    <w:rsid w:val="23E36B99"/>
    <w:rsid w:val="23E6731F"/>
    <w:rsid w:val="23E80503"/>
    <w:rsid w:val="23E822B1"/>
    <w:rsid w:val="23E973E8"/>
    <w:rsid w:val="23EA710C"/>
    <w:rsid w:val="23F07385"/>
    <w:rsid w:val="23F317B9"/>
    <w:rsid w:val="240210CD"/>
    <w:rsid w:val="240F4C31"/>
    <w:rsid w:val="241407B9"/>
    <w:rsid w:val="24164F84"/>
    <w:rsid w:val="241D7308"/>
    <w:rsid w:val="241E6F4B"/>
    <w:rsid w:val="24246CBF"/>
    <w:rsid w:val="24275EEE"/>
    <w:rsid w:val="24291DFF"/>
    <w:rsid w:val="24311EAA"/>
    <w:rsid w:val="2432099F"/>
    <w:rsid w:val="24337CEA"/>
    <w:rsid w:val="2435301D"/>
    <w:rsid w:val="243B6031"/>
    <w:rsid w:val="244A4D1A"/>
    <w:rsid w:val="244D419B"/>
    <w:rsid w:val="244D7FBC"/>
    <w:rsid w:val="24507E57"/>
    <w:rsid w:val="245223E7"/>
    <w:rsid w:val="245416F5"/>
    <w:rsid w:val="245677DA"/>
    <w:rsid w:val="245D5C03"/>
    <w:rsid w:val="24616DB0"/>
    <w:rsid w:val="24635DDC"/>
    <w:rsid w:val="2468597F"/>
    <w:rsid w:val="2469723A"/>
    <w:rsid w:val="24747FE9"/>
    <w:rsid w:val="24783E8F"/>
    <w:rsid w:val="247C30CC"/>
    <w:rsid w:val="248051C5"/>
    <w:rsid w:val="24843748"/>
    <w:rsid w:val="24877D1C"/>
    <w:rsid w:val="24881CD1"/>
    <w:rsid w:val="248B7B1A"/>
    <w:rsid w:val="2492221D"/>
    <w:rsid w:val="24997A50"/>
    <w:rsid w:val="249C1CD0"/>
    <w:rsid w:val="249D12EE"/>
    <w:rsid w:val="24A51F50"/>
    <w:rsid w:val="24A723A3"/>
    <w:rsid w:val="24AA7567"/>
    <w:rsid w:val="24AB32DF"/>
    <w:rsid w:val="24AD7057"/>
    <w:rsid w:val="24AE34FB"/>
    <w:rsid w:val="24B108D3"/>
    <w:rsid w:val="24B16B47"/>
    <w:rsid w:val="24B36F31"/>
    <w:rsid w:val="24B677D2"/>
    <w:rsid w:val="24B91EA0"/>
    <w:rsid w:val="24BB418C"/>
    <w:rsid w:val="24BF09F7"/>
    <w:rsid w:val="24BF77D1"/>
    <w:rsid w:val="24C22B02"/>
    <w:rsid w:val="24C561E8"/>
    <w:rsid w:val="24C600EB"/>
    <w:rsid w:val="24C669B6"/>
    <w:rsid w:val="24C77A14"/>
    <w:rsid w:val="24D2342C"/>
    <w:rsid w:val="24D4278F"/>
    <w:rsid w:val="24D54F06"/>
    <w:rsid w:val="24DC32EA"/>
    <w:rsid w:val="24DE36B4"/>
    <w:rsid w:val="24E30E9A"/>
    <w:rsid w:val="24E60286"/>
    <w:rsid w:val="24E62243"/>
    <w:rsid w:val="24E81809"/>
    <w:rsid w:val="24EC6479"/>
    <w:rsid w:val="24EF5A4B"/>
    <w:rsid w:val="24F61CCA"/>
    <w:rsid w:val="2501161D"/>
    <w:rsid w:val="2501619D"/>
    <w:rsid w:val="25037FB8"/>
    <w:rsid w:val="250805EC"/>
    <w:rsid w:val="250F431B"/>
    <w:rsid w:val="25121AF5"/>
    <w:rsid w:val="251408D4"/>
    <w:rsid w:val="25147AC8"/>
    <w:rsid w:val="25152F51"/>
    <w:rsid w:val="25201F1F"/>
    <w:rsid w:val="252419C1"/>
    <w:rsid w:val="2527505B"/>
    <w:rsid w:val="252C08C4"/>
    <w:rsid w:val="252D53FE"/>
    <w:rsid w:val="252F3F10"/>
    <w:rsid w:val="25325F53"/>
    <w:rsid w:val="25354363"/>
    <w:rsid w:val="253B262F"/>
    <w:rsid w:val="25466B49"/>
    <w:rsid w:val="2548391D"/>
    <w:rsid w:val="254B6F9C"/>
    <w:rsid w:val="254C2D14"/>
    <w:rsid w:val="254E25E8"/>
    <w:rsid w:val="255045B2"/>
    <w:rsid w:val="25563ABE"/>
    <w:rsid w:val="25565941"/>
    <w:rsid w:val="25616A01"/>
    <w:rsid w:val="256A455D"/>
    <w:rsid w:val="25713937"/>
    <w:rsid w:val="257162D7"/>
    <w:rsid w:val="25726CF3"/>
    <w:rsid w:val="257362C1"/>
    <w:rsid w:val="25753BAF"/>
    <w:rsid w:val="257E326E"/>
    <w:rsid w:val="257F27A2"/>
    <w:rsid w:val="25803EA8"/>
    <w:rsid w:val="25810886"/>
    <w:rsid w:val="25822292"/>
    <w:rsid w:val="2584425C"/>
    <w:rsid w:val="258567C1"/>
    <w:rsid w:val="25867FD4"/>
    <w:rsid w:val="258724D7"/>
    <w:rsid w:val="258D0596"/>
    <w:rsid w:val="258E50DA"/>
    <w:rsid w:val="258F3A68"/>
    <w:rsid w:val="259049AF"/>
    <w:rsid w:val="259273D0"/>
    <w:rsid w:val="25943D25"/>
    <w:rsid w:val="25981AB5"/>
    <w:rsid w:val="259B164B"/>
    <w:rsid w:val="25A246E2"/>
    <w:rsid w:val="25AD4883"/>
    <w:rsid w:val="25AE6A39"/>
    <w:rsid w:val="25BB434C"/>
    <w:rsid w:val="25C9166E"/>
    <w:rsid w:val="25CA00D1"/>
    <w:rsid w:val="25D8082A"/>
    <w:rsid w:val="25DA5BC5"/>
    <w:rsid w:val="25E121B2"/>
    <w:rsid w:val="25E47899"/>
    <w:rsid w:val="25E53F98"/>
    <w:rsid w:val="25E72643"/>
    <w:rsid w:val="25E847EB"/>
    <w:rsid w:val="25E92311"/>
    <w:rsid w:val="25EC2D81"/>
    <w:rsid w:val="26006369"/>
    <w:rsid w:val="26025181"/>
    <w:rsid w:val="26087C99"/>
    <w:rsid w:val="26094761"/>
    <w:rsid w:val="260E0FF0"/>
    <w:rsid w:val="26176E54"/>
    <w:rsid w:val="26180B96"/>
    <w:rsid w:val="26182B22"/>
    <w:rsid w:val="2623306D"/>
    <w:rsid w:val="26256D89"/>
    <w:rsid w:val="262670C1"/>
    <w:rsid w:val="26270902"/>
    <w:rsid w:val="2635037A"/>
    <w:rsid w:val="26355796"/>
    <w:rsid w:val="26420F98"/>
    <w:rsid w:val="26435EC5"/>
    <w:rsid w:val="26460716"/>
    <w:rsid w:val="264A2781"/>
    <w:rsid w:val="264B2FCC"/>
    <w:rsid w:val="264D550C"/>
    <w:rsid w:val="264F6618"/>
    <w:rsid w:val="264F6A06"/>
    <w:rsid w:val="265427F9"/>
    <w:rsid w:val="265C30A7"/>
    <w:rsid w:val="265C7A15"/>
    <w:rsid w:val="2660484E"/>
    <w:rsid w:val="26616121"/>
    <w:rsid w:val="266876DA"/>
    <w:rsid w:val="267239B0"/>
    <w:rsid w:val="26740AD5"/>
    <w:rsid w:val="26753BA5"/>
    <w:rsid w:val="26803691"/>
    <w:rsid w:val="26832765"/>
    <w:rsid w:val="26856AC8"/>
    <w:rsid w:val="268651BE"/>
    <w:rsid w:val="268D0B2B"/>
    <w:rsid w:val="269C7A8C"/>
    <w:rsid w:val="26A1099D"/>
    <w:rsid w:val="26A30712"/>
    <w:rsid w:val="26A561C0"/>
    <w:rsid w:val="26A90AFB"/>
    <w:rsid w:val="26AE00CB"/>
    <w:rsid w:val="26B72FC6"/>
    <w:rsid w:val="26B9751B"/>
    <w:rsid w:val="26C54B2C"/>
    <w:rsid w:val="26C7019C"/>
    <w:rsid w:val="26C739AE"/>
    <w:rsid w:val="26C756D4"/>
    <w:rsid w:val="26D11723"/>
    <w:rsid w:val="26DA6C1E"/>
    <w:rsid w:val="26DC4528"/>
    <w:rsid w:val="26DD00C8"/>
    <w:rsid w:val="26E13D76"/>
    <w:rsid w:val="26E2748C"/>
    <w:rsid w:val="26E32BD1"/>
    <w:rsid w:val="26EB2A4A"/>
    <w:rsid w:val="26EC1FBB"/>
    <w:rsid w:val="26ED7BDF"/>
    <w:rsid w:val="26F02239"/>
    <w:rsid w:val="26FC6002"/>
    <w:rsid w:val="26FD33DF"/>
    <w:rsid w:val="270513CC"/>
    <w:rsid w:val="27071B0D"/>
    <w:rsid w:val="2708270B"/>
    <w:rsid w:val="271138CD"/>
    <w:rsid w:val="27145C9B"/>
    <w:rsid w:val="271B1485"/>
    <w:rsid w:val="271F02DF"/>
    <w:rsid w:val="27253478"/>
    <w:rsid w:val="27274296"/>
    <w:rsid w:val="27332E41"/>
    <w:rsid w:val="273A0E4E"/>
    <w:rsid w:val="273C3E88"/>
    <w:rsid w:val="273C7432"/>
    <w:rsid w:val="274321B1"/>
    <w:rsid w:val="27566754"/>
    <w:rsid w:val="275B2D9A"/>
    <w:rsid w:val="27632DDC"/>
    <w:rsid w:val="2764358C"/>
    <w:rsid w:val="27651F8D"/>
    <w:rsid w:val="27675BE3"/>
    <w:rsid w:val="277057A2"/>
    <w:rsid w:val="27706DA7"/>
    <w:rsid w:val="277402BA"/>
    <w:rsid w:val="27743E5C"/>
    <w:rsid w:val="277B7B75"/>
    <w:rsid w:val="27800A53"/>
    <w:rsid w:val="27807BE0"/>
    <w:rsid w:val="27817129"/>
    <w:rsid w:val="278423A7"/>
    <w:rsid w:val="27857F9B"/>
    <w:rsid w:val="27865270"/>
    <w:rsid w:val="278C73F8"/>
    <w:rsid w:val="278F0E5E"/>
    <w:rsid w:val="279067A9"/>
    <w:rsid w:val="27961E49"/>
    <w:rsid w:val="279D4D50"/>
    <w:rsid w:val="27A71B16"/>
    <w:rsid w:val="27AC6CA1"/>
    <w:rsid w:val="27AF51D1"/>
    <w:rsid w:val="27B02346"/>
    <w:rsid w:val="27B84691"/>
    <w:rsid w:val="27C76682"/>
    <w:rsid w:val="27D75C47"/>
    <w:rsid w:val="27DD40F7"/>
    <w:rsid w:val="27DE2D4C"/>
    <w:rsid w:val="27EC1353"/>
    <w:rsid w:val="27EC60E8"/>
    <w:rsid w:val="27EC7CF0"/>
    <w:rsid w:val="27F52125"/>
    <w:rsid w:val="28017421"/>
    <w:rsid w:val="2802590C"/>
    <w:rsid w:val="28025D85"/>
    <w:rsid w:val="280A27B5"/>
    <w:rsid w:val="280B44BC"/>
    <w:rsid w:val="280C158C"/>
    <w:rsid w:val="28107FC0"/>
    <w:rsid w:val="281636FE"/>
    <w:rsid w:val="28221B0A"/>
    <w:rsid w:val="283261F1"/>
    <w:rsid w:val="283A7FCF"/>
    <w:rsid w:val="283F004A"/>
    <w:rsid w:val="284035F2"/>
    <w:rsid w:val="28461C9C"/>
    <w:rsid w:val="284B1061"/>
    <w:rsid w:val="285467C8"/>
    <w:rsid w:val="285D08F3"/>
    <w:rsid w:val="285E3E08"/>
    <w:rsid w:val="286117A6"/>
    <w:rsid w:val="28631B1A"/>
    <w:rsid w:val="28662D02"/>
    <w:rsid w:val="286E34CE"/>
    <w:rsid w:val="28722883"/>
    <w:rsid w:val="287265EE"/>
    <w:rsid w:val="28791846"/>
    <w:rsid w:val="287C56BE"/>
    <w:rsid w:val="287D44C2"/>
    <w:rsid w:val="287E278E"/>
    <w:rsid w:val="288434E9"/>
    <w:rsid w:val="288B1007"/>
    <w:rsid w:val="28933B2C"/>
    <w:rsid w:val="2895164A"/>
    <w:rsid w:val="289C18BC"/>
    <w:rsid w:val="28A45BAC"/>
    <w:rsid w:val="28A864B3"/>
    <w:rsid w:val="28AB7D51"/>
    <w:rsid w:val="28AD0677"/>
    <w:rsid w:val="28B430AA"/>
    <w:rsid w:val="28C037FD"/>
    <w:rsid w:val="28C459A5"/>
    <w:rsid w:val="28CC26E4"/>
    <w:rsid w:val="28CF57EE"/>
    <w:rsid w:val="28D51B1F"/>
    <w:rsid w:val="28E2370C"/>
    <w:rsid w:val="28F2772E"/>
    <w:rsid w:val="28FB2A87"/>
    <w:rsid w:val="29015D68"/>
    <w:rsid w:val="290C6A42"/>
    <w:rsid w:val="29206EB8"/>
    <w:rsid w:val="29242778"/>
    <w:rsid w:val="292C2C40"/>
    <w:rsid w:val="292D6D18"/>
    <w:rsid w:val="293B7327"/>
    <w:rsid w:val="293D6BFB"/>
    <w:rsid w:val="294A57BC"/>
    <w:rsid w:val="29546686"/>
    <w:rsid w:val="29564161"/>
    <w:rsid w:val="295703E0"/>
    <w:rsid w:val="29595666"/>
    <w:rsid w:val="295A282D"/>
    <w:rsid w:val="295B3526"/>
    <w:rsid w:val="295C2DFA"/>
    <w:rsid w:val="29614E7A"/>
    <w:rsid w:val="296543A4"/>
    <w:rsid w:val="296747F5"/>
    <w:rsid w:val="29695EED"/>
    <w:rsid w:val="29702DBB"/>
    <w:rsid w:val="29743B91"/>
    <w:rsid w:val="297E7214"/>
    <w:rsid w:val="298358B6"/>
    <w:rsid w:val="29874881"/>
    <w:rsid w:val="298C587D"/>
    <w:rsid w:val="298C5FF3"/>
    <w:rsid w:val="29917A0E"/>
    <w:rsid w:val="29930F11"/>
    <w:rsid w:val="299627B0"/>
    <w:rsid w:val="299E3BD5"/>
    <w:rsid w:val="299E79A6"/>
    <w:rsid w:val="29A80592"/>
    <w:rsid w:val="29A95143"/>
    <w:rsid w:val="29AB0F99"/>
    <w:rsid w:val="29B6075C"/>
    <w:rsid w:val="29B82726"/>
    <w:rsid w:val="29B844D4"/>
    <w:rsid w:val="29BA4F98"/>
    <w:rsid w:val="29C95EBA"/>
    <w:rsid w:val="29C967CA"/>
    <w:rsid w:val="29CC265B"/>
    <w:rsid w:val="29CE0393"/>
    <w:rsid w:val="29D07E1F"/>
    <w:rsid w:val="29D37560"/>
    <w:rsid w:val="29DA6B40"/>
    <w:rsid w:val="29DB0675"/>
    <w:rsid w:val="29DF372C"/>
    <w:rsid w:val="29DF5F05"/>
    <w:rsid w:val="29E277A3"/>
    <w:rsid w:val="29E325E0"/>
    <w:rsid w:val="29E67DA5"/>
    <w:rsid w:val="29E74DB9"/>
    <w:rsid w:val="29EC23D0"/>
    <w:rsid w:val="29EC523E"/>
    <w:rsid w:val="29F1409D"/>
    <w:rsid w:val="29F232F0"/>
    <w:rsid w:val="29F3615D"/>
    <w:rsid w:val="2A01163B"/>
    <w:rsid w:val="2A093787"/>
    <w:rsid w:val="2A144966"/>
    <w:rsid w:val="2A2B5CA6"/>
    <w:rsid w:val="2A2E29E8"/>
    <w:rsid w:val="2A335DA4"/>
    <w:rsid w:val="2A3907EE"/>
    <w:rsid w:val="2A3C6EB3"/>
    <w:rsid w:val="2A443FBA"/>
    <w:rsid w:val="2A452503"/>
    <w:rsid w:val="2A470E16"/>
    <w:rsid w:val="2A4963D0"/>
    <w:rsid w:val="2A5646B3"/>
    <w:rsid w:val="2A565263"/>
    <w:rsid w:val="2A5720A4"/>
    <w:rsid w:val="2A5F214E"/>
    <w:rsid w:val="2A5F2BA2"/>
    <w:rsid w:val="2A614709"/>
    <w:rsid w:val="2A64465C"/>
    <w:rsid w:val="2A726D79"/>
    <w:rsid w:val="2A73205B"/>
    <w:rsid w:val="2A750617"/>
    <w:rsid w:val="2A781C46"/>
    <w:rsid w:val="2A7A4BAA"/>
    <w:rsid w:val="2A7F1337"/>
    <w:rsid w:val="2A81520E"/>
    <w:rsid w:val="2A862824"/>
    <w:rsid w:val="2A8D770F"/>
    <w:rsid w:val="2A9036A3"/>
    <w:rsid w:val="2A9248E5"/>
    <w:rsid w:val="2A944F41"/>
    <w:rsid w:val="2A965D86"/>
    <w:rsid w:val="2A9E7B6E"/>
    <w:rsid w:val="2A9F73A3"/>
    <w:rsid w:val="2AA607D0"/>
    <w:rsid w:val="2AA902C1"/>
    <w:rsid w:val="2AA91689"/>
    <w:rsid w:val="2AAD3FF2"/>
    <w:rsid w:val="2AAE22F1"/>
    <w:rsid w:val="2AAE49EC"/>
    <w:rsid w:val="2AB47391"/>
    <w:rsid w:val="2AC450FA"/>
    <w:rsid w:val="2AC47F48"/>
    <w:rsid w:val="2AC738FB"/>
    <w:rsid w:val="2AC97546"/>
    <w:rsid w:val="2ACA070A"/>
    <w:rsid w:val="2ACD0453"/>
    <w:rsid w:val="2AD24AFA"/>
    <w:rsid w:val="2AD25A69"/>
    <w:rsid w:val="2AD92954"/>
    <w:rsid w:val="2ADA171D"/>
    <w:rsid w:val="2ADB4B47"/>
    <w:rsid w:val="2ADF3CE2"/>
    <w:rsid w:val="2AE15CAC"/>
    <w:rsid w:val="2AE45470"/>
    <w:rsid w:val="2AF4778E"/>
    <w:rsid w:val="2AF57EE6"/>
    <w:rsid w:val="2AF60111"/>
    <w:rsid w:val="2AF725F5"/>
    <w:rsid w:val="2AF93B6E"/>
    <w:rsid w:val="2B0A6FB1"/>
    <w:rsid w:val="2B0B4AD7"/>
    <w:rsid w:val="2B0C2006"/>
    <w:rsid w:val="2B0D4CF3"/>
    <w:rsid w:val="2B0F442A"/>
    <w:rsid w:val="2B103798"/>
    <w:rsid w:val="2B150495"/>
    <w:rsid w:val="2B165956"/>
    <w:rsid w:val="2B1A4174"/>
    <w:rsid w:val="2B1F2839"/>
    <w:rsid w:val="2B1F543E"/>
    <w:rsid w:val="2B231E21"/>
    <w:rsid w:val="2B25203D"/>
    <w:rsid w:val="2B287437"/>
    <w:rsid w:val="2B2B63CA"/>
    <w:rsid w:val="2B2F7A6B"/>
    <w:rsid w:val="2B301ABB"/>
    <w:rsid w:val="2B3109E2"/>
    <w:rsid w:val="2B3A4F5E"/>
    <w:rsid w:val="2B3F7ED0"/>
    <w:rsid w:val="2B404781"/>
    <w:rsid w:val="2B430DA2"/>
    <w:rsid w:val="2B4324C3"/>
    <w:rsid w:val="2B4904EF"/>
    <w:rsid w:val="2B4D2EAF"/>
    <w:rsid w:val="2B4E41E7"/>
    <w:rsid w:val="2B4F1AD7"/>
    <w:rsid w:val="2B5035A2"/>
    <w:rsid w:val="2B5244B4"/>
    <w:rsid w:val="2B530B8B"/>
    <w:rsid w:val="2B550C8E"/>
    <w:rsid w:val="2B602D86"/>
    <w:rsid w:val="2B762899"/>
    <w:rsid w:val="2B812579"/>
    <w:rsid w:val="2B8324DC"/>
    <w:rsid w:val="2B881CE1"/>
    <w:rsid w:val="2B894A5C"/>
    <w:rsid w:val="2B8B593D"/>
    <w:rsid w:val="2B90017D"/>
    <w:rsid w:val="2B936FA7"/>
    <w:rsid w:val="2B9F3319"/>
    <w:rsid w:val="2BA7402E"/>
    <w:rsid w:val="2BA936A8"/>
    <w:rsid w:val="2BB34E2E"/>
    <w:rsid w:val="2BB8113F"/>
    <w:rsid w:val="2BBD04C8"/>
    <w:rsid w:val="2BBE2E1F"/>
    <w:rsid w:val="2BBE5ABC"/>
    <w:rsid w:val="2BC11376"/>
    <w:rsid w:val="2BC4202C"/>
    <w:rsid w:val="2BC5112A"/>
    <w:rsid w:val="2BC929C8"/>
    <w:rsid w:val="2BCA6A85"/>
    <w:rsid w:val="2BCC3200"/>
    <w:rsid w:val="2BCE0BE6"/>
    <w:rsid w:val="2BE45A54"/>
    <w:rsid w:val="2BEC66B7"/>
    <w:rsid w:val="2BEE0681"/>
    <w:rsid w:val="2BEE0FC3"/>
    <w:rsid w:val="2BFC214F"/>
    <w:rsid w:val="2BFD6D59"/>
    <w:rsid w:val="2C005C05"/>
    <w:rsid w:val="2C044A19"/>
    <w:rsid w:val="2C1102AA"/>
    <w:rsid w:val="2C1300E8"/>
    <w:rsid w:val="2C16303D"/>
    <w:rsid w:val="2C1D1305"/>
    <w:rsid w:val="2C1E60D8"/>
    <w:rsid w:val="2C1E6752"/>
    <w:rsid w:val="2C2220D9"/>
    <w:rsid w:val="2C2916B9"/>
    <w:rsid w:val="2C2B5431"/>
    <w:rsid w:val="2C2B5641"/>
    <w:rsid w:val="2C2C2F57"/>
    <w:rsid w:val="2C315A5A"/>
    <w:rsid w:val="2C352644"/>
    <w:rsid w:val="2C392254"/>
    <w:rsid w:val="2C3B319A"/>
    <w:rsid w:val="2C42102F"/>
    <w:rsid w:val="2C436713"/>
    <w:rsid w:val="2C471270"/>
    <w:rsid w:val="2C493B09"/>
    <w:rsid w:val="2C4B1C25"/>
    <w:rsid w:val="2C510C88"/>
    <w:rsid w:val="2C53134B"/>
    <w:rsid w:val="2C584435"/>
    <w:rsid w:val="2C5D5F96"/>
    <w:rsid w:val="2C5D75B5"/>
    <w:rsid w:val="2C63728C"/>
    <w:rsid w:val="2C6721E1"/>
    <w:rsid w:val="2C6A365C"/>
    <w:rsid w:val="2C7212B2"/>
    <w:rsid w:val="2C741397"/>
    <w:rsid w:val="2C75392B"/>
    <w:rsid w:val="2C7858C2"/>
    <w:rsid w:val="2C7A5DAC"/>
    <w:rsid w:val="2C7F577D"/>
    <w:rsid w:val="2C815051"/>
    <w:rsid w:val="2C862667"/>
    <w:rsid w:val="2C894DA0"/>
    <w:rsid w:val="2C901738"/>
    <w:rsid w:val="2C932625"/>
    <w:rsid w:val="2C994A91"/>
    <w:rsid w:val="2C9B2E9E"/>
    <w:rsid w:val="2C9F7BCD"/>
    <w:rsid w:val="2CB10399"/>
    <w:rsid w:val="2CB4623F"/>
    <w:rsid w:val="2CB949D6"/>
    <w:rsid w:val="2CBF201D"/>
    <w:rsid w:val="2CBF5B79"/>
    <w:rsid w:val="2CC3425D"/>
    <w:rsid w:val="2CC842F3"/>
    <w:rsid w:val="2CCB33A6"/>
    <w:rsid w:val="2CD11791"/>
    <w:rsid w:val="2CD21D51"/>
    <w:rsid w:val="2CD65F6E"/>
    <w:rsid w:val="2CDB0620"/>
    <w:rsid w:val="2CDD77DB"/>
    <w:rsid w:val="2CE13D42"/>
    <w:rsid w:val="2CE90E48"/>
    <w:rsid w:val="2D0B0DBF"/>
    <w:rsid w:val="2D0D3E2A"/>
    <w:rsid w:val="2D1063D5"/>
    <w:rsid w:val="2D157E8F"/>
    <w:rsid w:val="2D1617EE"/>
    <w:rsid w:val="2D17784C"/>
    <w:rsid w:val="2D1C7470"/>
    <w:rsid w:val="2D1D6FE0"/>
    <w:rsid w:val="2D216834"/>
    <w:rsid w:val="2D2C3CF8"/>
    <w:rsid w:val="2D2F6878"/>
    <w:rsid w:val="2D340315"/>
    <w:rsid w:val="2D3C366E"/>
    <w:rsid w:val="2D3E1F7A"/>
    <w:rsid w:val="2D4752BE"/>
    <w:rsid w:val="2D5108D1"/>
    <w:rsid w:val="2D5269EE"/>
    <w:rsid w:val="2D5429D5"/>
    <w:rsid w:val="2D597D7C"/>
    <w:rsid w:val="2D5C5ABE"/>
    <w:rsid w:val="2D6230D5"/>
    <w:rsid w:val="2D62536A"/>
    <w:rsid w:val="2D65572A"/>
    <w:rsid w:val="2D687FBF"/>
    <w:rsid w:val="2D6C59DF"/>
    <w:rsid w:val="2D715637"/>
    <w:rsid w:val="2D751FB4"/>
    <w:rsid w:val="2D753CC1"/>
    <w:rsid w:val="2D7A27AE"/>
    <w:rsid w:val="2D7C1CBC"/>
    <w:rsid w:val="2D85356C"/>
    <w:rsid w:val="2D890834"/>
    <w:rsid w:val="2D8A43D9"/>
    <w:rsid w:val="2D8E31DE"/>
    <w:rsid w:val="2D910497"/>
    <w:rsid w:val="2D980D70"/>
    <w:rsid w:val="2D9A6C2D"/>
    <w:rsid w:val="2D9E56F5"/>
    <w:rsid w:val="2D9E6C62"/>
    <w:rsid w:val="2D9E7D3C"/>
    <w:rsid w:val="2DA57CB5"/>
    <w:rsid w:val="2DA872BD"/>
    <w:rsid w:val="2DA91DC8"/>
    <w:rsid w:val="2DAB73A5"/>
    <w:rsid w:val="2DB63420"/>
    <w:rsid w:val="2DC26840"/>
    <w:rsid w:val="2DC917A3"/>
    <w:rsid w:val="2DCA68F9"/>
    <w:rsid w:val="2DCA6ECC"/>
    <w:rsid w:val="2DD1025A"/>
    <w:rsid w:val="2DD70AB7"/>
    <w:rsid w:val="2DDB6FF8"/>
    <w:rsid w:val="2DE17D54"/>
    <w:rsid w:val="2DE71976"/>
    <w:rsid w:val="2DE7508D"/>
    <w:rsid w:val="2DEA5ED6"/>
    <w:rsid w:val="2DF06932"/>
    <w:rsid w:val="2DF53F49"/>
    <w:rsid w:val="2DF93F91"/>
    <w:rsid w:val="2DFB0E33"/>
    <w:rsid w:val="2DFD104F"/>
    <w:rsid w:val="2E0A4CED"/>
    <w:rsid w:val="2E0A72C8"/>
    <w:rsid w:val="2E0C1292"/>
    <w:rsid w:val="2E132621"/>
    <w:rsid w:val="2E140780"/>
    <w:rsid w:val="2E1B72A0"/>
    <w:rsid w:val="2E1B7727"/>
    <w:rsid w:val="2E1D524D"/>
    <w:rsid w:val="2E220AB6"/>
    <w:rsid w:val="2E224612"/>
    <w:rsid w:val="2E2E1209"/>
    <w:rsid w:val="2E2E7F5D"/>
    <w:rsid w:val="2E3E72A5"/>
    <w:rsid w:val="2E425882"/>
    <w:rsid w:val="2E4439BD"/>
    <w:rsid w:val="2E497DF1"/>
    <w:rsid w:val="2E4B746D"/>
    <w:rsid w:val="2E4E5407"/>
    <w:rsid w:val="2E511D2F"/>
    <w:rsid w:val="2E512E84"/>
    <w:rsid w:val="2E530C6F"/>
    <w:rsid w:val="2E5362D0"/>
    <w:rsid w:val="2E553D1F"/>
    <w:rsid w:val="2E5A0250"/>
    <w:rsid w:val="2E5D1AEE"/>
    <w:rsid w:val="2E5E6A4D"/>
    <w:rsid w:val="2E5F2A84"/>
    <w:rsid w:val="2E5F37C7"/>
    <w:rsid w:val="2E666BF4"/>
    <w:rsid w:val="2E667F96"/>
    <w:rsid w:val="2E693FEF"/>
    <w:rsid w:val="2E6C56FE"/>
    <w:rsid w:val="2E6F33E9"/>
    <w:rsid w:val="2E7330BF"/>
    <w:rsid w:val="2E7F7CB6"/>
    <w:rsid w:val="2E8226AB"/>
    <w:rsid w:val="2E8575DA"/>
    <w:rsid w:val="2E8C5F2F"/>
    <w:rsid w:val="2E921798"/>
    <w:rsid w:val="2E933762"/>
    <w:rsid w:val="2E943BD6"/>
    <w:rsid w:val="2E976DAE"/>
    <w:rsid w:val="2E9D638E"/>
    <w:rsid w:val="2EA46D91"/>
    <w:rsid w:val="2EA94167"/>
    <w:rsid w:val="2EB06AA1"/>
    <w:rsid w:val="2EB1752D"/>
    <w:rsid w:val="2EB3040B"/>
    <w:rsid w:val="2EB67608"/>
    <w:rsid w:val="2EBA2A9C"/>
    <w:rsid w:val="2EBD433B"/>
    <w:rsid w:val="2EC079A6"/>
    <w:rsid w:val="2EC14EFB"/>
    <w:rsid w:val="2EC15BD9"/>
    <w:rsid w:val="2EC71791"/>
    <w:rsid w:val="2EC81296"/>
    <w:rsid w:val="2ECB3DB1"/>
    <w:rsid w:val="2ED12A15"/>
    <w:rsid w:val="2ED27DE6"/>
    <w:rsid w:val="2ED31DB0"/>
    <w:rsid w:val="2ED457CC"/>
    <w:rsid w:val="2ED753FC"/>
    <w:rsid w:val="2ED81548"/>
    <w:rsid w:val="2ED87A42"/>
    <w:rsid w:val="2EDA5819"/>
    <w:rsid w:val="2EDB30C0"/>
    <w:rsid w:val="2EE1627B"/>
    <w:rsid w:val="2EE24C6F"/>
    <w:rsid w:val="2EE44E0D"/>
    <w:rsid w:val="2EE63891"/>
    <w:rsid w:val="2EE93E1C"/>
    <w:rsid w:val="2EED69CE"/>
    <w:rsid w:val="2EF1464D"/>
    <w:rsid w:val="2EFF2EDF"/>
    <w:rsid w:val="2F0618C1"/>
    <w:rsid w:val="2F1D26F7"/>
    <w:rsid w:val="2F2B5C98"/>
    <w:rsid w:val="2F39346F"/>
    <w:rsid w:val="2F3E36CD"/>
    <w:rsid w:val="2F414270"/>
    <w:rsid w:val="2F451C79"/>
    <w:rsid w:val="2F4B5DEA"/>
    <w:rsid w:val="2F4F1437"/>
    <w:rsid w:val="2F4F14D5"/>
    <w:rsid w:val="2F4F58DB"/>
    <w:rsid w:val="2F551796"/>
    <w:rsid w:val="2F56328C"/>
    <w:rsid w:val="2F5E5B1E"/>
    <w:rsid w:val="2F601896"/>
    <w:rsid w:val="2F601BF4"/>
    <w:rsid w:val="2F633134"/>
    <w:rsid w:val="2F642EC1"/>
    <w:rsid w:val="2F6B3D97"/>
    <w:rsid w:val="2F6C023B"/>
    <w:rsid w:val="2F6E0C44"/>
    <w:rsid w:val="2F6F0CFA"/>
    <w:rsid w:val="2F6F7A72"/>
    <w:rsid w:val="2F796648"/>
    <w:rsid w:val="2F7C41F6"/>
    <w:rsid w:val="2F834274"/>
    <w:rsid w:val="2F884949"/>
    <w:rsid w:val="2F8A29B6"/>
    <w:rsid w:val="2F8D23DA"/>
    <w:rsid w:val="2F963509"/>
    <w:rsid w:val="2F9B5150"/>
    <w:rsid w:val="2FA470EC"/>
    <w:rsid w:val="2FA53F49"/>
    <w:rsid w:val="2FAD36FF"/>
    <w:rsid w:val="2FAD5EAD"/>
    <w:rsid w:val="2FB43861"/>
    <w:rsid w:val="2FBD7EB4"/>
    <w:rsid w:val="2FBE78D3"/>
    <w:rsid w:val="2FC0066F"/>
    <w:rsid w:val="2FC2653F"/>
    <w:rsid w:val="2FC5493A"/>
    <w:rsid w:val="2FCA31B3"/>
    <w:rsid w:val="2FCC5B5C"/>
    <w:rsid w:val="2FCF3406"/>
    <w:rsid w:val="2FD065E6"/>
    <w:rsid w:val="2FD334A2"/>
    <w:rsid w:val="2FD96870"/>
    <w:rsid w:val="2FDA4226"/>
    <w:rsid w:val="2FDA5FDB"/>
    <w:rsid w:val="2FE30ED6"/>
    <w:rsid w:val="2FE71487"/>
    <w:rsid w:val="2FE979E3"/>
    <w:rsid w:val="2FEA115F"/>
    <w:rsid w:val="2FEA71BD"/>
    <w:rsid w:val="2FF36B83"/>
    <w:rsid w:val="2FF40230"/>
    <w:rsid w:val="2FF81ACE"/>
    <w:rsid w:val="2FF87D20"/>
    <w:rsid w:val="2FFD2952"/>
    <w:rsid w:val="300466C5"/>
    <w:rsid w:val="30070788"/>
    <w:rsid w:val="30072AC8"/>
    <w:rsid w:val="30095528"/>
    <w:rsid w:val="300A49A7"/>
    <w:rsid w:val="300C326C"/>
    <w:rsid w:val="300C7885"/>
    <w:rsid w:val="300E4409"/>
    <w:rsid w:val="3017022E"/>
    <w:rsid w:val="3018755B"/>
    <w:rsid w:val="301A7868"/>
    <w:rsid w:val="301D666E"/>
    <w:rsid w:val="30256B7E"/>
    <w:rsid w:val="30360848"/>
    <w:rsid w:val="30404B18"/>
    <w:rsid w:val="30466107"/>
    <w:rsid w:val="3049057C"/>
    <w:rsid w:val="30493E5F"/>
    <w:rsid w:val="304A41D4"/>
    <w:rsid w:val="304C5976"/>
    <w:rsid w:val="3050190A"/>
    <w:rsid w:val="305115BC"/>
    <w:rsid w:val="30536D05"/>
    <w:rsid w:val="30540211"/>
    <w:rsid w:val="30544B0C"/>
    <w:rsid w:val="30580BC9"/>
    <w:rsid w:val="305B02AF"/>
    <w:rsid w:val="30602DE6"/>
    <w:rsid w:val="30605B09"/>
    <w:rsid w:val="30662EDC"/>
    <w:rsid w:val="306B04F2"/>
    <w:rsid w:val="3070172A"/>
    <w:rsid w:val="30707840"/>
    <w:rsid w:val="307B30E9"/>
    <w:rsid w:val="307F04B4"/>
    <w:rsid w:val="30823A8E"/>
    <w:rsid w:val="30915A7F"/>
    <w:rsid w:val="3093182B"/>
    <w:rsid w:val="3097328E"/>
    <w:rsid w:val="309A2B85"/>
    <w:rsid w:val="309B04CD"/>
    <w:rsid w:val="30A01D57"/>
    <w:rsid w:val="30A166D2"/>
    <w:rsid w:val="30A457B2"/>
    <w:rsid w:val="30A612CD"/>
    <w:rsid w:val="30A6777C"/>
    <w:rsid w:val="30B03E54"/>
    <w:rsid w:val="30B20E32"/>
    <w:rsid w:val="30B65A64"/>
    <w:rsid w:val="30B706B3"/>
    <w:rsid w:val="30C23ADA"/>
    <w:rsid w:val="30C419B0"/>
    <w:rsid w:val="30CD2F5B"/>
    <w:rsid w:val="30D22587"/>
    <w:rsid w:val="30D245A8"/>
    <w:rsid w:val="30DC0C95"/>
    <w:rsid w:val="30DF209C"/>
    <w:rsid w:val="30E837F8"/>
    <w:rsid w:val="30EC4708"/>
    <w:rsid w:val="30EE0BAA"/>
    <w:rsid w:val="30F33848"/>
    <w:rsid w:val="30F64EFD"/>
    <w:rsid w:val="30F72B45"/>
    <w:rsid w:val="30FC114A"/>
    <w:rsid w:val="30FC1DDD"/>
    <w:rsid w:val="30FC27BF"/>
    <w:rsid w:val="31014B93"/>
    <w:rsid w:val="31047B9A"/>
    <w:rsid w:val="310B3A83"/>
    <w:rsid w:val="310B4EBC"/>
    <w:rsid w:val="311E2ED7"/>
    <w:rsid w:val="31215302"/>
    <w:rsid w:val="31216728"/>
    <w:rsid w:val="31264419"/>
    <w:rsid w:val="312B1A2F"/>
    <w:rsid w:val="31344D88"/>
    <w:rsid w:val="314174A5"/>
    <w:rsid w:val="31496359"/>
    <w:rsid w:val="314C0300"/>
    <w:rsid w:val="314F1BC2"/>
    <w:rsid w:val="3150593A"/>
    <w:rsid w:val="31552F50"/>
    <w:rsid w:val="315619EE"/>
    <w:rsid w:val="3159659D"/>
    <w:rsid w:val="315C449C"/>
    <w:rsid w:val="315C7E3B"/>
    <w:rsid w:val="316026F8"/>
    <w:rsid w:val="3162682E"/>
    <w:rsid w:val="316369F1"/>
    <w:rsid w:val="316E7B6E"/>
    <w:rsid w:val="31717031"/>
    <w:rsid w:val="3172568D"/>
    <w:rsid w:val="3172765E"/>
    <w:rsid w:val="317334B2"/>
    <w:rsid w:val="317409D9"/>
    <w:rsid w:val="317614E5"/>
    <w:rsid w:val="31770260"/>
    <w:rsid w:val="317E24A7"/>
    <w:rsid w:val="317F1D7B"/>
    <w:rsid w:val="318306B3"/>
    <w:rsid w:val="31833619"/>
    <w:rsid w:val="31836912"/>
    <w:rsid w:val="31880C30"/>
    <w:rsid w:val="318A2BFA"/>
    <w:rsid w:val="31982526"/>
    <w:rsid w:val="319B4E07"/>
    <w:rsid w:val="319B6BB5"/>
    <w:rsid w:val="319F0942"/>
    <w:rsid w:val="31A03159"/>
    <w:rsid w:val="31A31F0E"/>
    <w:rsid w:val="31A50EFF"/>
    <w:rsid w:val="31A81E84"/>
    <w:rsid w:val="31AA0DEF"/>
    <w:rsid w:val="31AA6DF8"/>
    <w:rsid w:val="31B16487"/>
    <w:rsid w:val="31B230AE"/>
    <w:rsid w:val="31B401B4"/>
    <w:rsid w:val="31B82709"/>
    <w:rsid w:val="31BE4652"/>
    <w:rsid w:val="31C559E0"/>
    <w:rsid w:val="31CC3212"/>
    <w:rsid w:val="31D05482"/>
    <w:rsid w:val="31D73965"/>
    <w:rsid w:val="31DA0464"/>
    <w:rsid w:val="31DB736F"/>
    <w:rsid w:val="31E16592"/>
    <w:rsid w:val="31E340B8"/>
    <w:rsid w:val="31E43E9E"/>
    <w:rsid w:val="31EF5153"/>
    <w:rsid w:val="31F12C79"/>
    <w:rsid w:val="31F24882"/>
    <w:rsid w:val="31F353D5"/>
    <w:rsid w:val="31FB410C"/>
    <w:rsid w:val="31FD54E8"/>
    <w:rsid w:val="32053B90"/>
    <w:rsid w:val="320A466F"/>
    <w:rsid w:val="3210344F"/>
    <w:rsid w:val="32104BCD"/>
    <w:rsid w:val="32171FB4"/>
    <w:rsid w:val="32172040"/>
    <w:rsid w:val="321F37FA"/>
    <w:rsid w:val="32244DFC"/>
    <w:rsid w:val="32262058"/>
    <w:rsid w:val="323112C7"/>
    <w:rsid w:val="32376A8D"/>
    <w:rsid w:val="32400B34"/>
    <w:rsid w:val="32427031"/>
    <w:rsid w:val="32430FFB"/>
    <w:rsid w:val="324457D3"/>
    <w:rsid w:val="32472DC9"/>
    <w:rsid w:val="324C4353"/>
    <w:rsid w:val="324E49BF"/>
    <w:rsid w:val="325A79CC"/>
    <w:rsid w:val="325D41F6"/>
    <w:rsid w:val="325D6502"/>
    <w:rsid w:val="325E2386"/>
    <w:rsid w:val="32650F71"/>
    <w:rsid w:val="326A628C"/>
    <w:rsid w:val="32734AB3"/>
    <w:rsid w:val="32780CA4"/>
    <w:rsid w:val="32830734"/>
    <w:rsid w:val="32843AED"/>
    <w:rsid w:val="32854598"/>
    <w:rsid w:val="328716F8"/>
    <w:rsid w:val="32894515"/>
    <w:rsid w:val="328C29A2"/>
    <w:rsid w:val="328E671A"/>
    <w:rsid w:val="32951856"/>
    <w:rsid w:val="329B0E37"/>
    <w:rsid w:val="329E6876"/>
    <w:rsid w:val="32A25643"/>
    <w:rsid w:val="32A8077A"/>
    <w:rsid w:val="32B51EF8"/>
    <w:rsid w:val="32B85545"/>
    <w:rsid w:val="32BD2D68"/>
    <w:rsid w:val="32BD4070"/>
    <w:rsid w:val="32C070AF"/>
    <w:rsid w:val="32C17F80"/>
    <w:rsid w:val="32D10C5C"/>
    <w:rsid w:val="32D15166"/>
    <w:rsid w:val="32D3237F"/>
    <w:rsid w:val="32DA0636"/>
    <w:rsid w:val="32DA195F"/>
    <w:rsid w:val="32E325F2"/>
    <w:rsid w:val="32E60A1F"/>
    <w:rsid w:val="32E663E7"/>
    <w:rsid w:val="32EE71B8"/>
    <w:rsid w:val="32EF40A7"/>
    <w:rsid w:val="32EF4EEA"/>
    <w:rsid w:val="32F04CDF"/>
    <w:rsid w:val="32F50547"/>
    <w:rsid w:val="3307027A"/>
    <w:rsid w:val="330876C5"/>
    <w:rsid w:val="330F5A9E"/>
    <w:rsid w:val="33122EA7"/>
    <w:rsid w:val="331C3D26"/>
    <w:rsid w:val="3321053C"/>
    <w:rsid w:val="33226EDF"/>
    <w:rsid w:val="33294694"/>
    <w:rsid w:val="333015F2"/>
    <w:rsid w:val="33353039"/>
    <w:rsid w:val="33367848"/>
    <w:rsid w:val="33424F40"/>
    <w:rsid w:val="334B6320"/>
    <w:rsid w:val="334D3EDF"/>
    <w:rsid w:val="334E5BAE"/>
    <w:rsid w:val="334E6BC9"/>
    <w:rsid w:val="33507614"/>
    <w:rsid w:val="33595EF9"/>
    <w:rsid w:val="335A65FC"/>
    <w:rsid w:val="33613E2E"/>
    <w:rsid w:val="336877D0"/>
    <w:rsid w:val="336D04EB"/>
    <w:rsid w:val="33735E60"/>
    <w:rsid w:val="337B4EF0"/>
    <w:rsid w:val="337E3416"/>
    <w:rsid w:val="338C3D33"/>
    <w:rsid w:val="339446A1"/>
    <w:rsid w:val="33A361F5"/>
    <w:rsid w:val="33A947A4"/>
    <w:rsid w:val="33B34BC8"/>
    <w:rsid w:val="33B65F28"/>
    <w:rsid w:val="33B757FC"/>
    <w:rsid w:val="33BB353F"/>
    <w:rsid w:val="33CE1907"/>
    <w:rsid w:val="33CF0E73"/>
    <w:rsid w:val="33CF6EEE"/>
    <w:rsid w:val="33D04B10"/>
    <w:rsid w:val="33D364F6"/>
    <w:rsid w:val="33D53ED4"/>
    <w:rsid w:val="33D60378"/>
    <w:rsid w:val="33D70683"/>
    <w:rsid w:val="33D934D4"/>
    <w:rsid w:val="33DC5263"/>
    <w:rsid w:val="33DC7BB5"/>
    <w:rsid w:val="33E04D53"/>
    <w:rsid w:val="33E81B60"/>
    <w:rsid w:val="33E81DF3"/>
    <w:rsid w:val="33F10CB0"/>
    <w:rsid w:val="33F24A86"/>
    <w:rsid w:val="33FA335B"/>
    <w:rsid w:val="33FE20F4"/>
    <w:rsid w:val="33FE2F6A"/>
    <w:rsid w:val="340053F5"/>
    <w:rsid w:val="340824FC"/>
    <w:rsid w:val="340C3D9A"/>
    <w:rsid w:val="340E07E5"/>
    <w:rsid w:val="34174F75"/>
    <w:rsid w:val="3418290B"/>
    <w:rsid w:val="34200DC1"/>
    <w:rsid w:val="34235BF7"/>
    <w:rsid w:val="34270BD4"/>
    <w:rsid w:val="342B466E"/>
    <w:rsid w:val="342F7A89"/>
    <w:rsid w:val="34433534"/>
    <w:rsid w:val="34441786"/>
    <w:rsid w:val="34443FD2"/>
    <w:rsid w:val="344B7724"/>
    <w:rsid w:val="344D46E5"/>
    <w:rsid w:val="3452356F"/>
    <w:rsid w:val="34527638"/>
    <w:rsid w:val="3456664F"/>
    <w:rsid w:val="34583ED8"/>
    <w:rsid w:val="346078D3"/>
    <w:rsid w:val="34627E5E"/>
    <w:rsid w:val="346911EC"/>
    <w:rsid w:val="34796F56"/>
    <w:rsid w:val="347A36BE"/>
    <w:rsid w:val="347D07F4"/>
    <w:rsid w:val="348A595C"/>
    <w:rsid w:val="348C6C89"/>
    <w:rsid w:val="348E492F"/>
    <w:rsid w:val="348F22D5"/>
    <w:rsid w:val="348F6779"/>
    <w:rsid w:val="34907F23"/>
    <w:rsid w:val="349124F1"/>
    <w:rsid w:val="34932A9B"/>
    <w:rsid w:val="349808FF"/>
    <w:rsid w:val="349D49F2"/>
    <w:rsid w:val="34A2782E"/>
    <w:rsid w:val="34A356D9"/>
    <w:rsid w:val="34A71D15"/>
    <w:rsid w:val="34AE4E51"/>
    <w:rsid w:val="34AE59DE"/>
    <w:rsid w:val="34AF2977"/>
    <w:rsid w:val="34B04B79"/>
    <w:rsid w:val="34B41D3C"/>
    <w:rsid w:val="34B51CA9"/>
    <w:rsid w:val="34B538C5"/>
    <w:rsid w:val="34B55443"/>
    <w:rsid w:val="34B63D06"/>
    <w:rsid w:val="34BA3AD3"/>
    <w:rsid w:val="34BD4BA2"/>
    <w:rsid w:val="34BF0E0C"/>
    <w:rsid w:val="34BF2BBB"/>
    <w:rsid w:val="34C226AB"/>
    <w:rsid w:val="34C463DA"/>
    <w:rsid w:val="34CE5A8B"/>
    <w:rsid w:val="34D4418C"/>
    <w:rsid w:val="34D7642D"/>
    <w:rsid w:val="34D83B59"/>
    <w:rsid w:val="34D92233"/>
    <w:rsid w:val="34DD1293"/>
    <w:rsid w:val="34DE2617"/>
    <w:rsid w:val="34E05800"/>
    <w:rsid w:val="34E065C9"/>
    <w:rsid w:val="34E24AFB"/>
    <w:rsid w:val="34E268A9"/>
    <w:rsid w:val="34E46FEF"/>
    <w:rsid w:val="34EA39B0"/>
    <w:rsid w:val="34EA76E4"/>
    <w:rsid w:val="34EC7728"/>
    <w:rsid w:val="34ED33D4"/>
    <w:rsid w:val="34F14D32"/>
    <w:rsid w:val="34F74A4B"/>
    <w:rsid w:val="34FA62E8"/>
    <w:rsid w:val="34FC0719"/>
    <w:rsid w:val="350157B8"/>
    <w:rsid w:val="35023D5D"/>
    <w:rsid w:val="35024219"/>
    <w:rsid w:val="3509652C"/>
    <w:rsid w:val="350B73FD"/>
    <w:rsid w:val="351026F5"/>
    <w:rsid w:val="35126B4C"/>
    <w:rsid w:val="351474C5"/>
    <w:rsid w:val="351D2B6A"/>
    <w:rsid w:val="351D370B"/>
    <w:rsid w:val="35213875"/>
    <w:rsid w:val="3529272A"/>
    <w:rsid w:val="35317CDE"/>
    <w:rsid w:val="35357321"/>
    <w:rsid w:val="353965FD"/>
    <w:rsid w:val="353E5D73"/>
    <w:rsid w:val="353F3CFB"/>
    <w:rsid w:val="35412DE1"/>
    <w:rsid w:val="35494B7A"/>
    <w:rsid w:val="354C1ED3"/>
    <w:rsid w:val="3550415A"/>
    <w:rsid w:val="35512B7D"/>
    <w:rsid w:val="355C2AFF"/>
    <w:rsid w:val="35607042"/>
    <w:rsid w:val="356279EA"/>
    <w:rsid w:val="35696FCA"/>
    <w:rsid w:val="356B4AF0"/>
    <w:rsid w:val="356E638F"/>
    <w:rsid w:val="35882E4B"/>
    <w:rsid w:val="358C5FA8"/>
    <w:rsid w:val="35964AA8"/>
    <w:rsid w:val="359A1421"/>
    <w:rsid w:val="359B742E"/>
    <w:rsid w:val="35A95619"/>
    <w:rsid w:val="35B244CD"/>
    <w:rsid w:val="35B5220F"/>
    <w:rsid w:val="35BD1CBA"/>
    <w:rsid w:val="35C15DF1"/>
    <w:rsid w:val="35C30488"/>
    <w:rsid w:val="35C47FE7"/>
    <w:rsid w:val="35C53CFD"/>
    <w:rsid w:val="35CD4FED"/>
    <w:rsid w:val="35D2691D"/>
    <w:rsid w:val="35D72186"/>
    <w:rsid w:val="35DD3BAB"/>
    <w:rsid w:val="35DE52C2"/>
    <w:rsid w:val="35DF103A"/>
    <w:rsid w:val="35E0390B"/>
    <w:rsid w:val="35F1149A"/>
    <w:rsid w:val="35F350BC"/>
    <w:rsid w:val="35F64CA7"/>
    <w:rsid w:val="35F74A58"/>
    <w:rsid w:val="35F96253"/>
    <w:rsid w:val="36034D29"/>
    <w:rsid w:val="36067A09"/>
    <w:rsid w:val="36074A7F"/>
    <w:rsid w:val="360F7842"/>
    <w:rsid w:val="361550AF"/>
    <w:rsid w:val="361E7DB5"/>
    <w:rsid w:val="362329B5"/>
    <w:rsid w:val="36325B4D"/>
    <w:rsid w:val="36376B9F"/>
    <w:rsid w:val="363C05A4"/>
    <w:rsid w:val="3651512A"/>
    <w:rsid w:val="3652721E"/>
    <w:rsid w:val="365612FD"/>
    <w:rsid w:val="36563C43"/>
    <w:rsid w:val="365E4655"/>
    <w:rsid w:val="365E5CA7"/>
    <w:rsid w:val="36681030"/>
    <w:rsid w:val="366A124C"/>
    <w:rsid w:val="366B28CE"/>
    <w:rsid w:val="36800F54"/>
    <w:rsid w:val="368E76EE"/>
    <w:rsid w:val="368F0CB2"/>
    <w:rsid w:val="369133F7"/>
    <w:rsid w:val="36923549"/>
    <w:rsid w:val="36937C87"/>
    <w:rsid w:val="36942E60"/>
    <w:rsid w:val="369E2CA4"/>
    <w:rsid w:val="36A75FFC"/>
    <w:rsid w:val="36B632F5"/>
    <w:rsid w:val="36B67FED"/>
    <w:rsid w:val="36B75FBF"/>
    <w:rsid w:val="36BB242F"/>
    <w:rsid w:val="36BD0C45"/>
    <w:rsid w:val="36C50003"/>
    <w:rsid w:val="36C7004F"/>
    <w:rsid w:val="36C734C4"/>
    <w:rsid w:val="36C97DE3"/>
    <w:rsid w:val="36D13079"/>
    <w:rsid w:val="36D72B72"/>
    <w:rsid w:val="36E11F14"/>
    <w:rsid w:val="36E27742"/>
    <w:rsid w:val="36E96615"/>
    <w:rsid w:val="36ED7342"/>
    <w:rsid w:val="37160A8C"/>
    <w:rsid w:val="37180145"/>
    <w:rsid w:val="372140BF"/>
    <w:rsid w:val="37225683"/>
    <w:rsid w:val="372E2279"/>
    <w:rsid w:val="372E4027"/>
    <w:rsid w:val="372E71EA"/>
    <w:rsid w:val="373141B0"/>
    <w:rsid w:val="37384EA6"/>
    <w:rsid w:val="373B799E"/>
    <w:rsid w:val="373C38AE"/>
    <w:rsid w:val="37470F8C"/>
    <w:rsid w:val="37475966"/>
    <w:rsid w:val="37476E97"/>
    <w:rsid w:val="374D5E21"/>
    <w:rsid w:val="375241BA"/>
    <w:rsid w:val="375322FF"/>
    <w:rsid w:val="376143FD"/>
    <w:rsid w:val="37691503"/>
    <w:rsid w:val="3772660A"/>
    <w:rsid w:val="37731DB3"/>
    <w:rsid w:val="377A54BF"/>
    <w:rsid w:val="377C2FE5"/>
    <w:rsid w:val="377F2F97"/>
    <w:rsid w:val="3783517A"/>
    <w:rsid w:val="37904677"/>
    <w:rsid w:val="37917F5A"/>
    <w:rsid w:val="379245B6"/>
    <w:rsid w:val="3795351A"/>
    <w:rsid w:val="379C71E3"/>
    <w:rsid w:val="37A90084"/>
    <w:rsid w:val="37A94BA2"/>
    <w:rsid w:val="37AC3C0C"/>
    <w:rsid w:val="37B3277F"/>
    <w:rsid w:val="37B54749"/>
    <w:rsid w:val="37B87555"/>
    <w:rsid w:val="37BA59FF"/>
    <w:rsid w:val="37BF2ED1"/>
    <w:rsid w:val="37C815BB"/>
    <w:rsid w:val="37C8447C"/>
    <w:rsid w:val="37CC5072"/>
    <w:rsid w:val="37D179A4"/>
    <w:rsid w:val="37D44BCF"/>
    <w:rsid w:val="37D526F5"/>
    <w:rsid w:val="37D53C0F"/>
    <w:rsid w:val="37DE3B74"/>
    <w:rsid w:val="37E00298"/>
    <w:rsid w:val="37E210F3"/>
    <w:rsid w:val="37E474D5"/>
    <w:rsid w:val="37E776C2"/>
    <w:rsid w:val="37EC66BC"/>
    <w:rsid w:val="37ED08CA"/>
    <w:rsid w:val="37F54FE4"/>
    <w:rsid w:val="37F905CF"/>
    <w:rsid w:val="37FB053C"/>
    <w:rsid w:val="38156F95"/>
    <w:rsid w:val="3816710C"/>
    <w:rsid w:val="381A45AC"/>
    <w:rsid w:val="381F1731"/>
    <w:rsid w:val="38233460"/>
    <w:rsid w:val="382D4CC8"/>
    <w:rsid w:val="38392C84"/>
    <w:rsid w:val="383C3164"/>
    <w:rsid w:val="384342D9"/>
    <w:rsid w:val="384A5B71"/>
    <w:rsid w:val="384A79E0"/>
    <w:rsid w:val="384F3455"/>
    <w:rsid w:val="3851211C"/>
    <w:rsid w:val="3854363B"/>
    <w:rsid w:val="385578FA"/>
    <w:rsid w:val="38677718"/>
    <w:rsid w:val="386966BB"/>
    <w:rsid w:val="386F1BA4"/>
    <w:rsid w:val="386F48F8"/>
    <w:rsid w:val="38706294"/>
    <w:rsid w:val="38753A14"/>
    <w:rsid w:val="38776BFF"/>
    <w:rsid w:val="38797524"/>
    <w:rsid w:val="387D2591"/>
    <w:rsid w:val="388264E6"/>
    <w:rsid w:val="388A0540"/>
    <w:rsid w:val="388D3E5B"/>
    <w:rsid w:val="38933CD0"/>
    <w:rsid w:val="38983E4E"/>
    <w:rsid w:val="389B393F"/>
    <w:rsid w:val="389E4E7A"/>
    <w:rsid w:val="38A345A1"/>
    <w:rsid w:val="38A757D0"/>
    <w:rsid w:val="38A84989"/>
    <w:rsid w:val="38AC3F58"/>
    <w:rsid w:val="38B302F9"/>
    <w:rsid w:val="38B57D52"/>
    <w:rsid w:val="38B7600A"/>
    <w:rsid w:val="38BE44A2"/>
    <w:rsid w:val="38BF7F3A"/>
    <w:rsid w:val="38C43424"/>
    <w:rsid w:val="38CA5FD2"/>
    <w:rsid w:val="38D1110E"/>
    <w:rsid w:val="38D155B2"/>
    <w:rsid w:val="38D5034D"/>
    <w:rsid w:val="38D8249D"/>
    <w:rsid w:val="38DB74A7"/>
    <w:rsid w:val="38DE55D9"/>
    <w:rsid w:val="38E17281"/>
    <w:rsid w:val="38E5105E"/>
    <w:rsid w:val="38E66A70"/>
    <w:rsid w:val="38ED0BCE"/>
    <w:rsid w:val="38F0217A"/>
    <w:rsid w:val="38F12CD3"/>
    <w:rsid w:val="38F43DBB"/>
    <w:rsid w:val="38F94775"/>
    <w:rsid w:val="39013DC6"/>
    <w:rsid w:val="39046119"/>
    <w:rsid w:val="39057599"/>
    <w:rsid w:val="39070FD4"/>
    <w:rsid w:val="39090088"/>
    <w:rsid w:val="3909686A"/>
    <w:rsid w:val="390A63CE"/>
    <w:rsid w:val="390B13E6"/>
    <w:rsid w:val="39103D9A"/>
    <w:rsid w:val="39167469"/>
    <w:rsid w:val="3925145A"/>
    <w:rsid w:val="392971ED"/>
    <w:rsid w:val="392B590A"/>
    <w:rsid w:val="392C1B53"/>
    <w:rsid w:val="392E5520"/>
    <w:rsid w:val="392E5671"/>
    <w:rsid w:val="39315B87"/>
    <w:rsid w:val="39325651"/>
    <w:rsid w:val="39357E2E"/>
    <w:rsid w:val="393618B9"/>
    <w:rsid w:val="3937673E"/>
    <w:rsid w:val="39445D84"/>
    <w:rsid w:val="39522F81"/>
    <w:rsid w:val="3955259F"/>
    <w:rsid w:val="395540E4"/>
    <w:rsid w:val="39561614"/>
    <w:rsid w:val="395806F3"/>
    <w:rsid w:val="39597B8B"/>
    <w:rsid w:val="39661E3A"/>
    <w:rsid w:val="396633F7"/>
    <w:rsid w:val="39673149"/>
    <w:rsid w:val="39683C05"/>
    <w:rsid w:val="39691347"/>
    <w:rsid w:val="396948D8"/>
    <w:rsid w:val="39697599"/>
    <w:rsid w:val="396B2922"/>
    <w:rsid w:val="396C52DB"/>
    <w:rsid w:val="397330FD"/>
    <w:rsid w:val="3982065B"/>
    <w:rsid w:val="3988151F"/>
    <w:rsid w:val="39893797"/>
    <w:rsid w:val="39924D42"/>
    <w:rsid w:val="399C171C"/>
    <w:rsid w:val="399C796E"/>
    <w:rsid w:val="39A52AAB"/>
    <w:rsid w:val="39A75DCE"/>
    <w:rsid w:val="39A95BE7"/>
    <w:rsid w:val="39B34CB8"/>
    <w:rsid w:val="39BC1DBE"/>
    <w:rsid w:val="39BD78E5"/>
    <w:rsid w:val="39BE34FF"/>
    <w:rsid w:val="39C40C73"/>
    <w:rsid w:val="39CA2D8A"/>
    <w:rsid w:val="39CA622A"/>
    <w:rsid w:val="39CD6476"/>
    <w:rsid w:val="39D864CC"/>
    <w:rsid w:val="39DE7F87"/>
    <w:rsid w:val="39E71596"/>
    <w:rsid w:val="39E84962"/>
    <w:rsid w:val="39EF090F"/>
    <w:rsid w:val="39F94929"/>
    <w:rsid w:val="39F94DC1"/>
    <w:rsid w:val="39FA4695"/>
    <w:rsid w:val="39FC665F"/>
    <w:rsid w:val="3A083D6B"/>
    <w:rsid w:val="3A0B68A2"/>
    <w:rsid w:val="3A0B6B37"/>
    <w:rsid w:val="3A0C2922"/>
    <w:rsid w:val="3A137F81"/>
    <w:rsid w:val="3A175247"/>
    <w:rsid w:val="3A186E90"/>
    <w:rsid w:val="3A1C285D"/>
    <w:rsid w:val="3A1D7D35"/>
    <w:rsid w:val="3A267238"/>
    <w:rsid w:val="3A2A54DB"/>
    <w:rsid w:val="3A2C5B5C"/>
    <w:rsid w:val="3A2F2DB0"/>
    <w:rsid w:val="3A33047C"/>
    <w:rsid w:val="3A35391F"/>
    <w:rsid w:val="3A3C7A31"/>
    <w:rsid w:val="3A40289E"/>
    <w:rsid w:val="3A40644A"/>
    <w:rsid w:val="3A4C161B"/>
    <w:rsid w:val="3A5060FA"/>
    <w:rsid w:val="3A581B5A"/>
    <w:rsid w:val="3A6C6959"/>
    <w:rsid w:val="3A726921"/>
    <w:rsid w:val="3A81766A"/>
    <w:rsid w:val="3A8655F3"/>
    <w:rsid w:val="3A872856"/>
    <w:rsid w:val="3A8A788F"/>
    <w:rsid w:val="3A8C79E3"/>
    <w:rsid w:val="3A914FF9"/>
    <w:rsid w:val="3A9960BB"/>
    <w:rsid w:val="3A9A7B6F"/>
    <w:rsid w:val="3A9B7C26"/>
    <w:rsid w:val="3AA2053D"/>
    <w:rsid w:val="3AA32580"/>
    <w:rsid w:val="3AA6709C"/>
    <w:rsid w:val="3AA82343"/>
    <w:rsid w:val="3AAE4962"/>
    <w:rsid w:val="3AB17449"/>
    <w:rsid w:val="3AD06377"/>
    <w:rsid w:val="3AD15CEE"/>
    <w:rsid w:val="3AD4138A"/>
    <w:rsid w:val="3ADA3168"/>
    <w:rsid w:val="3ADF0D1D"/>
    <w:rsid w:val="3ADF3329"/>
    <w:rsid w:val="3AE15FFE"/>
    <w:rsid w:val="3AE4561B"/>
    <w:rsid w:val="3AEA295B"/>
    <w:rsid w:val="3AED7D56"/>
    <w:rsid w:val="3AF630AE"/>
    <w:rsid w:val="3AF92B9E"/>
    <w:rsid w:val="3AFC4BC0"/>
    <w:rsid w:val="3AFD268F"/>
    <w:rsid w:val="3AFF6407"/>
    <w:rsid w:val="3B01055D"/>
    <w:rsid w:val="3B0E03F8"/>
    <w:rsid w:val="3B123ED1"/>
    <w:rsid w:val="3B143534"/>
    <w:rsid w:val="3B1654FE"/>
    <w:rsid w:val="3B181276"/>
    <w:rsid w:val="3B1B0D67"/>
    <w:rsid w:val="3B1F0857"/>
    <w:rsid w:val="3B333B6E"/>
    <w:rsid w:val="3B3763D1"/>
    <w:rsid w:val="3B3A743F"/>
    <w:rsid w:val="3B3C40C3"/>
    <w:rsid w:val="3B3E6803"/>
    <w:rsid w:val="3B3E6808"/>
    <w:rsid w:val="3B424545"/>
    <w:rsid w:val="3B474952"/>
    <w:rsid w:val="3B500204"/>
    <w:rsid w:val="3B5159A5"/>
    <w:rsid w:val="3B5A1D86"/>
    <w:rsid w:val="3B5D54CE"/>
    <w:rsid w:val="3B5F6EA5"/>
    <w:rsid w:val="3B6444BC"/>
    <w:rsid w:val="3B651FE2"/>
    <w:rsid w:val="3B712735"/>
    <w:rsid w:val="3B760E9F"/>
    <w:rsid w:val="3B7A0466"/>
    <w:rsid w:val="3B7D049F"/>
    <w:rsid w:val="3B862684"/>
    <w:rsid w:val="3B8763FC"/>
    <w:rsid w:val="3B8B1A48"/>
    <w:rsid w:val="3BA15E2F"/>
    <w:rsid w:val="3BA22DD8"/>
    <w:rsid w:val="3BA25756"/>
    <w:rsid w:val="3BA3206B"/>
    <w:rsid w:val="3BA7084C"/>
    <w:rsid w:val="3BB52A00"/>
    <w:rsid w:val="3BB6283D"/>
    <w:rsid w:val="3BB82E50"/>
    <w:rsid w:val="3BBB1019"/>
    <w:rsid w:val="3BBC42F8"/>
    <w:rsid w:val="3BC24CA9"/>
    <w:rsid w:val="3BC431AC"/>
    <w:rsid w:val="3BC52C1E"/>
    <w:rsid w:val="3BC9431F"/>
    <w:rsid w:val="3BCF5F05"/>
    <w:rsid w:val="3BD012BE"/>
    <w:rsid w:val="3BD06FD3"/>
    <w:rsid w:val="3BD108B6"/>
    <w:rsid w:val="3BD609C6"/>
    <w:rsid w:val="3BDE28AF"/>
    <w:rsid w:val="3BDF167C"/>
    <w:rsid w:val="3BE03FD5"/>
    <w:rsid w:val="3BE523F6"/>
    <w:rsid w:val="3BEB40E5"/>
    <w:rsid w:val="3BF35840"/>
    <w:rsid w:val="3C074E47"/>
    <w:rsid w:val="3C0835FD"/>
    <w:rsid w:val="3C0D4C3B"/>
    <w:rsid w:val="3C11070A"/>
    <w:rsid w:val="3C145EE2"/>
    <w:rsid w:val="3C2A2785"/>
    <w:rsid w:val="3C2B4FD9"/>
    <w:rsid w:val="3C2C2D1C"/>
    <w:rsid w:val="3C2C730D"/>
    <w:rsid w:val="3C2E4253"/>
    <w:rsid w:val="3C2F6E1E"/>
    <w:rsid w:val="3C326368"/>
    <w:rsid w:val="3C355E58"/>
    <w:rsid w:val="3C36277C"/>
    <w:rsid w:val="3C377484"/>
    <w:rsid w:val="3C4552A1"/>
    <w:rsid w:val="3C491352"/>
    <w:rsid w:val="3C4A1903"/>
    <w:rsid w:val="3C4F64BA"/>
    <w:rsid w:val="3C4F6F1A"/>
    <w:rsid w:val="3C4F7257"/>
    <w:rsid w:val="3C515B17"/>
    <w:rsid w:val="3C531744"/>
    <w:rsid w:val="3C761F48"/>
    <w:rsid w:val="3C7D12A6"/>
    <w:rsid w:val="3C826D51"/>
    <w:rsid w:val="3C834E15"/>
    <w:rsid w:val="3C8D7A42"/>
    <w:rsid w:val="3C8F2974"/>
    <w:rsid w:val="3C9568F7"/>
    <w:rsid w:val="3C9C7EA2"/>
    <w:rsid w:val="3C9D679E"/>
    <w:rsid w:val="3C9F544C"/>
    <w:rsid w:val="3CA77D49"/>
    <w:rsid w:val="3CA874EC"/>
    <w:rsid w:val="3CAA23A2"/>
    <w:rsid w:val="3CAB2E91"/>
    <w:rsid w:val="3CAB7EC8"/>
    <w:rsid w:val="3CAF3F26"/>
    <w:rsid w:val="3CB639DA"/>
    <w:rsid w:val="3CC956E1"/>
    <w:rsid w:val="3CCD1F95"/>
    <w:rsid w:val="3CD13DD3"/>
    <w:rsid w:val="3CDA1D39"/>
    <w:rsid w:val="3CDA245A"/>
    <w:rsid w:val="3CDB04E7"/>
    <w:rsid w:val="3CDF2DAB"/>
    <w:rsid w:val="3CE206B5"/>
    <w:rsid w:val="3CE3268D"/>
    <w:rsid w:val="3CE84C78"/>
    <w:rsid w:val="3CEB6517"/>
    <w:rsid w:val="3CED6194"/>
    <w:rsid w:val="3CEF2A89"/>
    <w:rsid w:val="3CFA56B4"/>
    <w:rsid w:val="3CFE61F8"/>
    <w:rsid w:val="3D023F8C"/>
    <w:rsid w:val="3D0575D8"/>
    <w:rsid w:val="3D0A4BEF"/>
    <w:rsid w:val="3D0C799F"/>
    <w:rsid w:val="3D154D92"/>
    <w:rsid w:val="3D18176E"/>
    <w:rsid w:val="3D1E06B7"/>
    <w:rsid w:val="3D202664"/>
    <w:rsid w:val="3D2263DC"/>
    <w:rsid w:val="3D2B1BFE"/>
    <w:rsid w:val="3D2C1009"/>
    <w:rsid w:val="3D423CF8"/>
    <w:rsid w:val="3D434194"/>
    <w:rsid w:val="3D487B92"/>
    <w:rsid w:val="3D4E483C"/>
    <w:rsid w:val="3D4F1337"/>
    <w:rsid w:val="3D5828C5"/>
    <w:rsid w:val="3D5A3DC8"/>
    <w:rsid w:val="3D5B369C"/>
    <w:rsid w:val="3D5B441A"/>
    <w:rsid w:val="3D5C4FEC"/>
    <w:rsid w:val="3D624A2B"/>
    <w:rsid w:val="3D647C07"/>
    <w:rsid w:val="3D6A71C2"/>
    <w:rsid w:val="3D7F382F"/>
    <w:rsid w:val="3D8445D0"/>
    <w:rsid w:val="3D8449A1"/>
    <w:rsid w:val="3D8A5D30"/>
    <w:rsid w:val="3D8B4F1E"/>
    <w:rsid w:val="3D8C298A"/>
    <w:rsid w:val="3D931088"/>
    <w:rsid w:val="3D94095C"/>
    <w:rsid w:val="3D972D5E"/>
    <w:rsid w:val="3D98669F"/>
    <w:rsid w:val="3D9A2644"/>
    <w:rsid w:val="3D9B77E7"/>
    <w:rsid w:val="3D9D6824"/>
    <w:rsid w:val="3D9F527F"/>
    <w:rsid w:val="3DA21E14"/>
    <w:rsid w:val="3DAD574C"/>
    <w:rsid w:val="3DB35286"/>
    <w:rsid w:val="3DB63396"/>
    <w:rsid w:val="3DB72FC9"/>
    <w:rsid w:val="3DBB238D"/>
    <w:rsid w:val="3DC05072"/>
    <w:rsid w:val="3DC51211"/>
    <w:rsid w:val="3DC76F84"/>
    <w:rsid w:val="3DC94AAA"/>
    <w:rsid w:val="3DD63A95"/>
    <w:rsid w:val="3DD9132F"/>
    <w:rsid w:val="3DE60B7E"/>
    <w:rsid w:val="3DEB3D90"/>
    <w:rsid w:val="3DED0479"/>
    <w:rsid w:val="3DF064DB"/>
    <w:rsid w:val="3DF24765"/>
    <w:rsid w:val="3E062FE7"/>
    <w:rsid w:val="3E0713D5"/>
    <w:rsid w:val="3E075221"/>
    <w:rsid w:val="3E0930F8"/>
    <w:rsid w:val="3E0E4A35"/>
    <w:rsid w:val="3E1955E8"/>
    <w:rsid w:val="3E1C15B2"/>
    <w:rsid w:val="3E210442"/>
    <w:rsid w:val="3E216694"/>
    <w:rsid w:val="3E2717D1"/>
    <w:rsid w:val="3E2A7486"/>
    <w:rsid w:val="3E2B12C1"/>
    <w:rsid w:val="3E2E2A71"/>
    <w:rsid w:val="3E330175"/>
    <w:rsid w:val="3E3C1E6A"/>
    <w:rsid w:val="3E4A11E2"/>
    <w:rsid w:val="3E4C0CFF"/>
    <w:rsid w:val="3E55315D"/>
    <w:rsid w:val="3E573E64"/>
    <w:rsid w:val="3E5E1696"/>
    <w:rsid w:val="3E625FE8"/>
    <w:rsid w:val="3E635325"/>
    <w:rsid w:val="3E697E6B"/>
    <w:rsid w:val="3E6D7B2B"/>
    <w:rsid w:val="3E71020D"/>
    <w:rsid w:val="3E7517F2"/>
    <w:rsid w:val="3E7D49A4"/>
    <w:rsid w:val="3E7E0ECE"/>
    <w:rsid w:val="3E7E72AB"/>
    <w:rsid w:val="3E871BD7"/>
    <w:rsid w:val="3E875C2E"/>
    <w:rsid w:val="3E8B7D7E"/>
    <w:rsid w:val="3E923E36"/>
    <w:rsid w:val="3E937C1C"/>
    <w:rsid w:val="3E953DD9"/>
    <w:rsid w:val="3E993C5F"/>
    <w:rsid w:val="3E9A1FA2"/>
    <w:rsid w:val="3EA11583"/>
    <w:rsid w:val="3EA95EEA"/>
    <w:rsid w:val="3EAB2402"/>
    <w:rsid w:val="3EAC3055"/>
    <w:rsid w:val="3EAD680F"/>
    <w:rsid w:val="3EAE54E2"/>
    <w:rsid w:val="3EB05C6A"/>
    <w:rsid w:val="3EB2553E"/>
    <w:rsid w:val="3EB412B6"/>
    <w:rsid w:val="3EBB5AF0"/>
    <w:rsid w:val="3EBC016B"/>
    <w:rsid w:val="3EC6723B"/>
    <w:rsid w:val="3ECF4A76"/>
    <w:rsid w:val="3ED06584"/>
    <w:rsid w:val="3ED07D11"/>
    <w:rsid w:val="3ED63BAD"/>
    <w:rsid w:val="3ED935D4"/>
    <w:rsid w:val="3EDA0523"/>
    <w:rsid w:val="3EDB37A7"/>
    <w:rsid w:val="3EDC6A5F"/>
    <w:rsid w:val="3EE412EC"/>
    <w:rsid w:val="3EE4746F"/>
    <w:rsid w:val="3EF26282"/>
    <w:rsid w:val="3EF40890"/>
    <w:rsid w:val="3EF61210"/>
    <w:rsid w:val="3EF740B2"/>
    <w:rsid w:val="3EFE6FA3"/>
    <w:rsid w:val="3F055FB6"/>
    <w:rsid w:val="3F0C144A"/>
    <w:rsid w:val="3F0E1D24"/>
    <w:rsid w:val="3F121C36"/>
    <w:rsid w:val="3F155CAF"/>
    <w:rsid w:val="3F2120C2"/>
    <w:rsid w:val="3F220CE5"/>
    <w:rsid w:val="3F2E6FDD"/>
    <w:rsid w:val="3F3D79D1"/>
    <w:rsid w:val="3F3E2382"/>
    <w:rsid w:val="3F3F385D"/>
    <w:rsid w:val="3F450160"/>
    <w:rsid w:val="3F4D34B9"/>
    <w:rsid w:val="3F4E57AE"/>
    <w:rsid w:val="3F4F0FDF"/>
    <w:rsid w:val="3F4F484B"/>
    <w:rsid w:val="3F505E3C"/>
    <w:rsid w:val="3F542D36"/>
    <w:rsid w:val="3F636838"/>
    <w:rsid w:val="3F674001"/>
    <w:rsid w:val="3F6A1801"/>
    <w:rsid w:val="3F6C7DE3"/>
    <w:rsid w:val="3F70114B"/>
    <w:rsid w:val="3F7353F9"/>
    <w:rsid w:val="3F7F1D14"/>
    <w:rsid w:val="3F80563C"/>
    <w:rsid w:val="3F8535B1"/>
    <w:rsid w:val="3F8A0269"/>
    <w:rsid w:val="3F8A6D39"/>
    <w:rsid w:val="3F9205BB"/>
    <w:rsid w:val="3F9B2476"/>
    <w:rsid w:val="3FA622F7"/>
    <w:rsid w:val="3FB16234"/>
    <w:rsid w:val="3FC4377B"/>
    <w:rsid w:val="3FCA6E4A"/>
    <w:rsid w:val="3FCD5A29"/>
    <w:rsid w:val="3FCE5D57"/>
    <w:rsid w:val="3FD51CBE"/>
    <w:rsid w:val="3FD676E2"/>
    <w:rsid w:val="3FDA2F9E"/>
    <w:rsid w:val="3FE200A5"/>
    <w:rsid w:val="3FE45BCB"/>
    <w:rsid w:val="3FE57D85"/>
    <w:rsid w:val="3FEC2CD2"/>
    <w:rsid w:val="3FEE2A60"/>
    <w:rsid w:val="3FF20A09"/>
    <w:rsid w:val="3FF21A8E"/>
    <w:rsid w:val="3FF35E0E"/>
    <w:rsid w:val="3FF878C8"/>
    <w:rsid w:val="3FFD07E4"/>
    <w:rsid w:val="3FFD4EDF"/>
    <w:rsid w:val="4009730B"/>
    <w:rsid w:val="400A0885"/>
    <w:rsid w:val="40152228"/>
    <w:rsid w:val="401C2D5A"/>
    <w:rsid w:val="401D732F"/>
    <w:rsid w:val="40251D40"/>
    <w:rsid w:val="4028272F"/>
    <w:rsid w:val="402B55A8"/>
    <w:rsid w:val="40374A9F"/>
    <w:rsid w:val="403B7C43"/>
    <w:rsid w:val="4044666A"/>
    <w:rsid w:val="404F7F9C"/>
    <w:rsid w:val="4051010A"/>
    <w:rsid w:val="405A40CD"/>
    <w:rsid w:val="40667434"/>
    <w:rsid w:val="40685259"/>
    <w:rsid w:val="406C133E"/>
    <w:rsid w:val="40750941"/>
    <w:rsid w:val="407A6407"/>
    <w:rsid w:val="407F3C99"/>
    <w:rsid w:val="4081166C"/>
    <w:rsid w:val="408A281A"/>
    <w:rsid w:val="40971CE2"/>
    <w:rsid w:val="40973FE2"/>
    <w:rsid w:val="40980764"/>
    <w:rsid w:val="40A97CEF"/>
    <w:rsid w:val="40AA2239"/>
    <w:rsid w:val="40AD55F7"/>
    <w:rsid w:val="40B11DA2"/>
    <w:rsid w:val="40B732E0"/>
    <w:rsid w:val="40BF3F42"/>
    <w:rsid w:val="40C13209"/>
    <w:rsid w:val="40CE0D64"/>
    <w:rsid w:val="40D247C3"/>
    <w:rsid w:val="40DE6ABE"/>
    <w:rsid w:val="40E13EB9"/>
    <w:rsid w:val="40E17ABC"/>
    <w:rsid w:val="40E23A1F"/>
    <w:rsid w:val="40EB2F11"/>
    <w:rsid w:val="40ED6E5B"/>
    <w:rsid w:val="40F16B34"/>
    <w:rsid w:val="40F57374"/>
    <w:rsid w:val="40F77B80"/>
    <w:rsid w:val="40FA6665"/>
    <w:rsid w:val="40FB141E"/>
    <w:rsid w:val="40FE2CBD"/>
    <w:rsid w:val="410302D3"/>
    <w:rsid w:val="410342DD"/>
    <w:rsid w:val="41071552"/>
    <w:rsid w:val="411E6EBB"/>
    <w:rsid w:val="41297C9A"/>
    <w:rsid w:val="412C782A"/>
    <w:rsid w:val="413003AC"/>
    <w:rsid w:val="41306BEE"/>
    <w:rsid w:val="41317EE9"/>
    <w:rsid w:val="41326E0A"/>
    <w:rsid w:val="41354204"/>
    <w:rsid w:val="413F548F"/>
    <w:rsid w:val="414937FA"/>
    <w:rsid w:val="414A1831"/>
    <w:rsid w:val="41507367"/>
    <w:rsid w:val="415665A5"/>
    <w:rsid w:val="415723CD"/>
    <w:rsid w:val="416054D2"/>
    <w:rsid w:val="41614FF9"/>
    <w:rsid w:val="4162324B"/>
    <w:rsid w:val="416357E8"/>
    <w:rsid w:val="416A65A4"/>
    <w:rsid w:val="41775363"/>
    <w:rsid w:val="4189279D"/>
    <w:rsid w:val="419158DF"/>
    <w:rsid w:val="419378A9"/>
    <w:rsid w:val="419B49AF"/>
    <w:rsid w:val="41A23EC9"/>
    <w:rsid w:val="41A33677"/>
    <w:rsid w:val="41A41AB6"/>
    <w:rsid w:val="41A97838"/>
    <w:rsid w:val="41AA4BF2"/>
    <w:rsid w:val="41B12670"/>
    <w:rsid w:val="41B63597"/>
    <w:rsid w:val="41B920F6"/>
    <w:rsid w:val="41C061C4"/>
    <w:rsid w:val="41C829F4"/>
    <w:rsid w:val="41CF2AA3"/>
    <w:rsid w:val="41CF4F1A"/>
    <w:rsid w:val="41D378AA"/>
    <w:rsid w:val="41D97F4D"/>
    <w:rsid w:val="41DD0B24"/>
    <w:rsid w:val="41DF2AEE"/>
    <w:rsid w:val="41E40DBF"/>
    <w:rsid w:val="41EA4FEF"/>
    <w:rsid w:val="41EC520B"/>
    <w:rsid w:val="41EE2D31"/>
    <w:rsid w:val="41F22734"/>
    <w:rsid w:val="41F87CF0"/>
    <w:rsid w:val="4200449D"/>
    <w:rsid w:val="42044303"/>
    <w:rsid w:val="420C765B"/>
    <w:rsid w:val="42167A80"/>
    <w:rsid w:val="421A6D27"/>
    <w:rsid w:val="421D0A44"/>
    <w:rsid w:val="421F2752"/>
    <w:rsid w:val="422233B0"/>
    <w:rsid w:val="42277FF1"/>
    <w:rsid w:val="4229621B"/>
    <w:rsid w:val="42311CF9"/>
    <w:rsid w:val="42317321"/>
    <w:rsid w:val="423220D9"/>
    <w:rsid w:val="423631E1"/>
    <w:rsid w:val="423A3BCC"/>
    <w:rsid w:val="423A5F76"/>
    <w:rsid w:val="423D40E1"/>
    <w:rsid w:val="42440BA3"/>
    <w:rsid w:val="424C7A58"/>
    <w:rsid w:val="424E57D2"/>
    <w:rsid w:val="424F2700"/>
    <w:rsid w:val="425C1690"/>
    <w:rsid w:val="425F1C1D"/>
    <w:rsid w:val="427032CD"/>
    <w:rsid w:val="427074B9"/>
    <w:rsid w:val="42721F4D"/>
    <w:rsid w:val="4273569E"/>
    <w:rsid w:val="42777576"/>
    <w:rsid w:val="42802EBB"/>
    <w:rsid w:val="42890CAC"/>
    <w:rsid w:val="428A2D72"/>
    <w:rsid w:val="428B0580"/>
    <w:rsid w:val="4292190E"/>
    <w:rsid w:val="4295746D"/>
    <w:rsid w:val="429C09DF"/>
    <w:rsid w:val="42AE012B"/>
    <w:rsid w:val="42B26C49"/>
    <w:rsid w:val="42BA70B7"/>
    <w:rsid w:val="42BE6BA7"/>
    <w:rsid w:val="42C1233C"/>
    <w:rsid w:val="42C26F2B"/>
    <w:rsid w:val="42C854ED"/>
    <w:rsid w:val="42C972FA"/>
    <w:rsid w:val="42CC706C"/>
    <w:rsid w:val="42CD6DEA"/>
    <w:rsid w:val="42D17381"/>
    <w:rsid w:val="42D80421"/>
    <w:rsid w:val="42DE54FE"/>
    <w:rsid w:val="42DF08CC"/>
    <w:rsid w:val="42E07C20"/>
    <w:rsid w:val="42E3216A"/>
    <w:rsid w:val="42E53623"/>
    <w:rsid w:val="42E97900"/>
    <w:rsid w:val="42F24D6A"/>
    <w:rsid w:val="42F44377"/>
    <w:rsid w:val="42FA42A8"/>
    <w:rsid w:val="4303030D"/>
    <w:rsid w:val="430B35CB"/>
    <w:rsid w:val="430F09DE"/>
    <w:rsid w:val="43135D00"/>
    <w:rsid w:val="431B6011"/>
    <w:rsid w:val="43227280"/>
    <w:rsid w:val="43235D6D"/>
    <w:rsid w:val="432A5FEB"/>
    <w:rsid w:val="43305190"/>
    <w:rsid w:val="43320B58"/>
    <w:rsid w:val="433618E3"/>
    <w:rsid w:val="433A4925"/>
    <w:rsid w:val="433A6FE6"/>
    <w:rsid w:val="43476B9D"/>
    <w:rsid w:val="43480868"/>
    <w:rsid w:val="434C41B3"/>
    <w:rsid w:val="4350713C"/>
    <w:rsid w:val="43592F22"/>
    <w:rsid w:val="435E0850"/>
    <w:rsid w:val="436653E0"/>
    <w:rsid w:val="43692CFC"/>
    <w:rsid w:val="43693E9E"/>
    <w:rsid w:val="436A531F"/>
    <w:rsid w:val="437C436D"/>
    <w:rsid w:val="438525C4"/>
    <w:rsid w:val="438E7965"/>
    <w:rsid w:val="4390015E"/>
    <w:rsid w:val="43923B90"/>
    <w:rsid w:val="43955E6F"/>
    <w:rsid w:val="43973496"/>
    <w:rsid w:val="439F6C52"/>
    <w:rsid w:val="43A713E9"/>
    <w:rsid w:val="43AF7FF1"/>
    <w:rsid w:val="43BF2BD7"/>
    <w:rsid w:val="43C4431A"/>
    <w:rsid w:val="43C81360"/>
    <w:rsid w:val="43CC170F"/>
    <w:rsid w:val="43D408FB"/>
    <w:rsid w:val="43DC3B62"/>
    <w:rsid w:val="43DD06A7"/>
    <w:rsid w:val="43E066A9"/>
    <w:rsid w:val="43EA7528"/>
    <w:rsid w:val="43F1096C"/>
    <w:rsid w:val="43F1234F"/>
    <w:rsid w:val="43F1711F"/>
    <w:rsid w:val="43F21CCA"/>
    <w:rsid w:val="43F8280E"/>
    <w:rsid w:val="43F9776B"/>
    <w:rsid w:val="4402047A"/>
    <w:rsid w:val="440700DA"/>
    <w:rsid w:val="4407632C"/>
    <w:rsid w:val="440E3217"/>
    <w:rsid w:val="441572A8"/>
    <w:rsid w:val="44175CA2"/>
    <w:rsid w:val="441B4094"/>
    <w:rsid w:val="442075D5"/>
    <w:rsid w:val="4423026D"/>
    <w:rsid w:val="442357B2"/>
    <w:rsid w:val="442962A2"/>
    <w:rsid w:val="44310BA6"/>
    <w:rsid w:val="443145CD"/>
    <w:rsid w:val="44314938"/>
    <w:rsid w:val="443A04B0"/>
    <w:rsid w:val="444236C2"/>
    <w:rsid w:val="4443776D"/>
    <w:rsid w:val="444409C6"/>
    <w:rsid w:val="4447766D"/>
    <w:rsid w:val="444926A6"/>
    <w:rsid w:val="444D0CE6"/>
    <w:rsid w:val="44522D23"/>
    <w:rsid w:val="44581A32"/>
    <w:rsid w:val="44586B88"/>
    <w:rsid w:val="445A46AE"/>
    <w:rsid w:val="445C4EC0"/>
    <w:rsid w:val="44620907"/>
    <w:rsid w:val="44670B79"/>
    <w:rsid w:val="446A724F"/>
    <w:rsid w:val="446E63AB"/>
    <w:rsid w:val="447D65EE"/>
    <w:rsid w:val="44822811"/>
    <w:rsid w:val="448803D1"/>
    <w:rsid w:val="44890AEF"/>
    <w:rsid w:val="448E25A9"/>
    <w:rsid w:val="44A05948"/>
    <w:rsid w:val="44AD3843"/>
    <w:rsid w:val="44AD6ED3"/>
    <w:rsid w:val="44B87626"/>
    <w:rsid w:val="44B951CC"/>
    <w:rsid w:val="44C23E2B"/>
    <w:rsid w:val="44C71617"/>
    <w:rsid w:val="44C77869"/>
    <w:rsid w:val="44CC64E3"/>
    <w:rsid w:val="44CD0C27"/>
    <w:rsid w:val="44CD14E0"/>
    <w:rsid w:val="44CF2D69"/>
    <w:rsid w:val="44D3620E"/>
    <w:rsid w:val="44D426B2"/>
    <w:rsid w:val="44D51750"/>
    <w:rsid w:val="44D53792"/>
    <w:rsid w:val="44D63DB5"/>
    <w:rsid w:val="44D646CD"/>
    <w:rsid w:val="44D67B06"/>
    <w:rsid w:val="44DA134B"/>
    <w:rsid w:val="44DF4291"/>
    <w:rsid w:val="44E31F82"/>
    <w:rsid w:val="44E572CA"/>
    <w:rsid w:val="44EA68A3"/>
    <w:rsid w:val="44EC4496"/>
    <w:rsid w:val="44EF7B55"/>
    <w:rsid w:val="44F20B0B"/>
    <w:rsid w:val="44FA26D1"/>
    <w:rsid w:val="44FB3352"/>
    <w:rsid w:val="450679CB"/>
    <w:rsid w:val="450E7246"/>
    <w:rsid w:val="451172DF"/>
    <w:rsid w:val="4514217D"/>
    <w:rsid w:val="451707F1"/>
    <w:rsid w:val="451F08B0"/>
    <w:rsid w:val="451F5CFD"/>
    <w:rsid w:val="45206E8C"/>
    <w:rsid w:val="452423E8"/>
    <w:rsid w:val="45246A6A"/>
    <w:rsid w:val="45254653"/>
    <w:rsid w:val="452C3BBB"/>
    <w:rsid w:val="452E5F4C"/>
    <w:rsid w:val="45382A24"/>
    <w:rsid w:val="453925C0"/>
    <w:rsid w:val="45442C68"/>
    <w:rsid w:val="4546274F"/>
    <w:rsid w:val="45486A67"/>
    <w:rsid w:val="454C4C9E"/>
    <w:rsid w:val="454F3A61"/>
    <w:rsid w:val="454F5022"/>
    <w:rsid w:val="455520C9"/>
    <w:rsid w:val="455F2EAD"/>
    <w:rsid w:val="45612018"/>
    <w:rsid w:val="45625BE8"/>
    <w:rsid w:val="45634DFC"/>
    <w:rsid w:val="4568688E"/>
    <w:rsid w:val="456D6663"/>
    <w:rsid w:val="456F05B2"/>
    <w:rsid w:val="456F23DB"/>
    <w:rsid w:val="45726666"/>
    <w:rsid w:val="45731317"/>
    <w:rsid w:val="457F7D46"/>
    <w:rsid w:val="45801129"/>
    <w:rsid w:val="458946E9"/>
    <w:rsid w:val="458A0FC3"/>
    <w:rsid w:val="45915C44"/>
    <w:rsid w:val="459221A6"/>
    <w:rsid w:val="4594599D"/>
    <w:rsid w:val="459534C4"/>
    <w:rsid w:val="4597723C"/>
    <w:rsid w:val="459F4F92"/>
    <w:rsid w:val="45A47C0E"/>
    <w:rsid w:val="45A8358C"/>
    <w:rsid w:val="45B315EE"/>
    <w:rsid w:val="45B92052"/>
    <w:rsid w:val="45C156DD"/>
    <w:rsid w:val="45C73FC5"/>
    <w:rsid w:val="45C75D73"/>
    <w:rsid w:val="45D67D64"/>
    <w:rsid w:val="45D71243"/>
    <w:rsid w:val="45D87F80"/>
    <w:rsid w:val="45DB181E"/>
    <w:rsid w:val="45E00A87"/>
    <w:rsid w:val="45E16D9E"/>
    <w:rsid w:val="45E979B0"/>
    <w:rsid w:val="45EA7CB3"/>
    <w:rsid w:val="45ED50AE"/>
    <w:rsid w:val="45F4643C"/>
    <w:rsid w:val="45FF636E"/>
    <w:rsid w:val="46001285"/>
    <w:rsid w:val="460E4673"/>
    <w:rsid w:val="460F14C8"/>
    <w:rsid w:val="46106E96"/>
    <w:rsid w:val="461122C2"/>
    <w:rsid w:val="46123A9F"/>
    <w:rsid w:val="461B3652"/>
    <w:rsid w:val="461E795D"/>
    <w:rsid w:val="461F5BAF"/>
    <w:rsid w:val="46200011"/>
    <w:rsid w:val="46204DD1"/>
    <w:rsid w:val="46252F12"/>
    <w:rsid w:val="463A67D2"/>
    <w:rsid w:val="463D2143"/>
    <w:rsid w:val="4645313C"/>
    <w:rsid w:val="4646797C"/>
    <w:rsid w:val="464815FC"/>
    <w:rsid w:val="46496788"/>
    <w:rsid w:val="46577FD6"/>
    <w:rsid w:val="46596F43"/>
    <w:rsid w:val="465B3FCD"/>
    <w:rsid w:val="46625A9C"/>
    <w:rsid w:val="46631A28"/>
    <w:rsid w:val="4668770C"/>
    <w:rsid w:val="46696E2A"/>
    <w:rsid w:val="466E268D"/>
    <w:rsid w:val="46733CB9"/>
    <w:rsid w:val="467557CF"/>
    <w:rsid w:val="46764C71"/>
    <w:rsid w:val="467A1461"/>
    <w:rsid w:val="467B6B5D"/>
    <w:rsid w:val="467D28D5"/>
    <w:rsid w:val="46836065"/>
    <w:rsid w:val="46926C27"/>
    <w:rsid w:val="46965745"/>
    <w:rsid w:val="46A240EA"/>
    <w:rsid w:val="46A824D0"/>
    <w:rsid w:val="46BF46CA"/>
    <w:rsid w:val="46C459D0"/>
    <w:rsid w:val="46C72675"/>
    <w:rsid w:val="46D240D1"/>
    <w:rsid w:val="46D5626E"/>
    <w:rsid w:val="46D955A7"/>
    <w:rsid w:val="46E464B1"/>
    <w:rsid w:val="46ED22FE"/>
    <w:rsid w:val="46F61143"/>
    <w:rsid w:val="46F74BFA"/>
    <w:rsid w:val="46FB7F8A"/>
    <w:rsid w:val="470152B5"/>
    <w:rsid w:val="47074746"/>
    <w:rsid w:val="47094169"/>
    <w:rsid w:val="470B2B38"/>
    <w:rsid w:val="470F2DF4"/>
    <w:rsid w:val="471175E7"/>
    <w:rsid w:val="47122C92"/>
    <w:rsid w:val="47133957"/>
    <w:rsid w:val="47134624"/>
    <w:rsid w:val="471E2059"/>
    <w:rsid w:val="472B40E0"/>
    <w:rsid w:val="472F5FEC"/>
    <w:rsid w:val="473D70ED"/>
    <w:rsid w:val="473E254D"/>
    <w:rsid w:val="4748078B"/>
    <w:rsid w:val="47485B11"/>
    <w:rsid w:val="47513B8F"/>
    <w:rsid w:val="475308B1"/>
    <w:rsid w:val="475D54DA"/>
    <w:rsid w:val="47665118"/>
    <w:rsid w:val="47685334"/>
    <w:rsid w:val="476C7693"/>
    <w:rsid w:val="4774202F"/>
    <w:rsid w:val="477737C9"/>
    <w:rsid w:val="477B4BD3"/>
    <w:rsid w:val="4783216D"/>
    <w:rsid w:val="47841B24"/>
    <w:rsid w:val="478443ED"/>
    <w:rsid w:val="47885E58"/>
    <w:rsid w:val="478D1BD8"/>
    <w:rsid w:val="478D3BAE"/>
    <w:rsid w:val="478F28C0"/>
    <w:rsid w:val="479229E6"/>
    <w:rsid w:val="47955B49"/>
    <w:rsid w:val="479F2B37"/>
    <w:rsid w:val="47A04ACD"/>
    <w:rsid w:val="47A07E0C"/>
    <w:rsid w:val="47B22084"/>
    <w:rsid w:val="47B5758B"/>
    <w:rsid w:val="47C63E08"/>
    <w:rsid w:val="47D169E9"/>
    <w:rsid w:val="47D746F2"/>
    <w:rsid w:val="47D85C25"/>
    <w:rsid w:val="47DE1152"/>
    <w:rsid w:val="47E31D59"/>
    <w:rsid w:val="47E93327"/>
    <w:rsid w:val="47EA3F9B"/>
    <w:rsid w:val="47EA6D7B"/>
    <w:rsid w:val="47ED7BFD"/>
    <w:rsid w:val="47F02A83"/>
    <w:rsid w:val="47F42723"/>
    <w:rsid w:val="47F54BC7"/>
    <w:rsid w:val="480768FB"/>
    <w:rsid w:val="480C1594"/>
    <w:rsid w:val="48174852"/>
    <w:rsid w:val="482069EB"/>
    <w:rsid w:val="48233009"/>
    <w:rsid w:val="482640F1"/>
    <w:rsid w:val="4828061F"/>
    <w:rsid w:val="482A25E9"/>
    <w:rsid w:val="483709F2"/>
    <w:rsid w:val="48391EBB"/>
    <w:rsid w:val="48397FAB"/>
    <w:rsid w:val="483B0352"/>
    <w:rsid w:val="484163C0"/>
    <w:rsid w:val="48446E3E"/>
    <w:rsid w:val="48496F13"/>
    <w:rsid w:val="484F4A12"/>
    <w:rsid w:val="4854425B"/>
    <w:rsid w:val="48576AF2"/>
    <w:rsid w:val="485B6C46"/>
    <w:rsid w:val="48643D4D"/>
    <w:rsid w:val="48666638"/>
    <w:rsid w:val="48671147"/>
    <w:rsid w:val="486C2EC9"/>
    <w:rsid w:val="4870272E"/>
    <w:rsid w:val="487D4E0F"/>
    <w:rsid w:val="487E46E3"/>
    <w:rsid w:val="48826EAD"/>
    <w:rsid w:val="4883307E"/>
    <w:rsid w:val="48880F98"/>
    <w:rsid w:val="488B434C"/>
    <w:rsid w:val="488C32A4"/>
    <w:rsid w:val="488C3DDF"/>
    <w:rsid w:val="48965ED0"/>
    <w:rsid w:val="489773CB"/>
    <w:rsid w:val="489E3154"/>
    <w:rsid w:val="489F6B33"/>
    <w:rsid w:val="48A00AFD"/>
    <w:rsid w:val="48A405ED"/>
    <w:rsid w:val="48A44149"/>
    <w:rsid w:val="48A835C4"/>
    <w:rsid w:val="48AB21BC"/>
    <w:rsid w:val="48AC1BB6"/>
    <w:rsid w:val="48AD4952"/>
    <w:rsid w:val="48B14895"/>
    <w:rsid w:val="48B620CF"/>
    <w:rsid w:val="48B848A3"/>
    <w:rsid w:val="48B9571B"/>
    <w:rsid w:val="48D16F09"/>
    <w:rsid w:val="48D569F9"/>
    <w:rsid w:val="48DB38E3"/>
    <w:rsid w:val="48DF33D4"/>
    <w:rsid w:val="48DF7179"/>
    <w:rsid w:val="48E00EFA"/>
    <w:rsid w:val="48E24C72"/>
    <w:rsid w:val="48E46C3C"/>
    <w:rsid w:val="48E47F90"/>
    <w:rsid w:val="48F001A6"/>
    <w:rsid w:val="48F4620E"/>
    <w:rsid w:val="48F77A6B"/>
    <w:rsid w:val="48F826E7"/>
    <w:rsid w:val="48F84300"/>
    <w:rsid w:val="48FE4842"/>
    <w:rsid w:val="48FF75D2"/>
    <w:rsid w:val="49015398"/>
    <w:rsid w:val="49044BE8"/>
    <w:rsid w:val="491C4CD2"/>
    <w:rsid w:val="4926338C"/>
    <w:rsid w:val="49267254"/>
    <w:rsid w:val="49325BF9"/>
    <w:rsid w:val="49373210"/>
    <w:rsid w:val="49382AE4"/>
    <w:rsid w:val="493A2D00"/>
    <w:rsid w:val="493C6959"/>
    <w:rsid w:val="495042D1"/>
    <w:rsid w:val="495A0CAC"/>
    <w:rsid w:val="495A5150"/>
    <w:rsid w:val="495D0879"/>
    <w:rsid w:val="495E69EE"/>
    <w:rsid w:val="495F0319"/>
    <w:rsid w:val="49600FDE"/>
    <w:rsid w:val="49620D0B"/>
    <w:rsid w:val="49646021"/>
    <w:rsid w:val="49647D7D"/>
    <w:rsid w:val="4966327A"/>
    <w:rsid w:val="49695393"/>
    <w:rsid w:val="496E6505"/>
    <w:rsid w:val="496F0BFB"/>
    <w:rsid w:val="49775B28"/>
    <w:rsid w:val="4979247F"/>
    <w:rsid w:val="497B6570"/>
    <w:rsid w:val="497D499A"/>
    <w:rsid w:val="497E2659"/>
    <w:rsid w:val="497E698A"/>
    <w:rsid w:val="49824864"/>
    <w:rsid w:val="49874CB3"/>
    <w:rsid w:val="49885819"/>
    <w:rsid w:val="4991359C"/>
    <w:rsid w:val="499D3868"/>
    <w:rsid w:val="499F2B63"/>
    <w:rsid w:val="49A10A86"/>
    <w:rsid w:val="49A34401"/>
    <w:rsid w:val="49A40179"/>
    <w:rsid w:val="49A5461D"/>
    <w:rsid w:val="49A55F90"/>
    <w:rsid w:val="49B02FC2"/>
    <w:rsid w:val="49B43922"/>
    <w:rsid w:val="49C4513B"/>
    <w:rsid w:val="49C600F0"/>
    <w:rsid w:val="49C8743E"/>
    <w:rsid w:val="49CC0F87"/>
    <w:rsid w:val="49D04453"/>
    <w:rsid w:val="49DA7BF0"/>
    <w:rsid w:val="49DB003F"/>
    <w:rsid w:val="49DC7715"/>
    <w:rsid w:val="49DE7247"/>
    <w:rsid w:val="49E50EBD"/>
    <w:rsid w:val="49EF3AEA"/>
    <w:rsid w:val="49F12706"/>
    <w:rsid w:val="49F77AC7"/>
    <w:rsid w:val="49FE1F7F"/>
    <w:rsid w:val="4A023139"/>
    <w:rsid w:val="4A070E34"/>
    <w:rsid w:val="4A0A0924"/>
    <w:rsid w:val="4A0A30B7"/>
    <w:rsid w:val="4A0A6B35"/>
    <w:rsid w:val="4A0F5F3A"/>
    <w:rsid w:val="4A174C26"/>
    <w:rsid w:val="4A1A160C"/>
    <w:rsid w:val="4A1F517A"/>
    <w:rsid w:val="4A23362D"/>
    <w:rsid w:val="4A2C07DB"/>
    <w:rsid w:val="4A2D3A0D"/>
    <w:rsid w:val="4A2F57AF"/>
    <w:rsid w:val="4A337893"/>
    <w:rsid w:val="4A353A3B"/>
    <w:rsid w:val="4A365275"/>
    <w:rsid w:val="4A3833FD"/>
    <w:rsid w:val="4A3B288C"/>
    <w:rsid w:val="4A3F72C9"/>
    <w:rsid w:val="4A414BDE"/>
    <w:rsid w:val="4A497D59"/>
    <w:rsid w:val="4A4A0D21"/>
    <w:rsid w:val="4A4E6A63"/>
    <w:rsid w:val="4A513E5D"/>
    <w:rsid w:val="4A51442D"/>
    <w:rsid w:val="4A5303DD"/>
    <w:rsid w:val="4A536D98"/>
    <w:rsid w:val="4A543A80"/>
    <w:rsid w:val="4A564D1D"/>
    <w:rsid w:val="4A581AD8"/>
    <w:rsid w:val="4A590F64"/>
    <w:rsid w:val="4A5C4AF7"/>
    <w:rsid w:val="4A5F709C"/>
    <w:rsid w:val="4A6E0EB3"/>
    <w:rsid w:val="4A6F4C2B"/>
    <w:rsid w:val="4A715EB9"/>
    <w:rsid w:val="4A743FEF"/>
    <w:rsid w:val="4A781A15"/>
    <w:rsid w:val="4A796ECA"/>
    <w:rsid w:val="4A7B1C14"/>
    <w:rsid w:val="4A7B576F"/>
    <w:rsid w:val="4A7D10F6"/>
    <w:rsid w:val="4A7D2B2B"/>
    <w:rsid w:val="4A7F4F5E"/>
    <w:rsid w:val="4A831CE7"/>
    <w:rsid w:val="4A855963"/>
    <w:rsid w:val="4A881849"/>
    <w:rsid w:val="4A8B5B61"/>
    <w:rsid w:val="4A8C67A3"/>
    <w:rsid w:val="4A8E4E92"/>
    <w:rsid w:val="4A8F0E29"/>
    <w:rsid w:val="4A8F2BD7"/>
    <w:rsid w:val="4A9102AB"/>
    <w:rsid w:val="4A9417AF"/>
    <w:rsid w:val="4AA42EB7"/>
    <w:rsid w:val="4AAF5028"/>
    <w:rsid w:val="4AB024C8"/>
    <w:rsid w:val="4AB32D6A"/>
    <w:rsid w:val="4AB651B1"/>
    <w:rsid w:val="4ABA7310"/>
    <w:rsid w:val="4ABB6956"/>
    <w:rsid w:val="4ABE526B"/>
    <w:rsid w:val="4ABF34BD"/>
    <w:rsid w:val="4ACA3C0F"/>
    <w:rsid w:val="4ACC2FCA"/>
    <w:rsid w:val="4ACC5108"/>
    <w:rsid w:val="4ACE54AE"/>
    <w:rsid w:val="4ACF1226"/>
    <w:rsid w:val="4AD02255"/>
    <w:rsid w:val="4AD8632C"/>
    <w:rsid w:val="4ADC0A78"/>
    <w:rsid w:val="4ADD30F4"/>
    <w:rsid w:val="4AE502F7"/>
    <w:rsid w:val="4AE91F81"/>
    <w:rsid w:val="4AEB42B2"/>
    <w:rsid w:val="4AEC019D"/>
    <w:rsid w:val="4AF224AF"/>
    <w:rsid w:val="4AF561A9"/>
    <w:rsid w:val="4AF60EA8"/>
    <w:rsid w:val="4AF61DBC"/>
    <w:rsid w:val="4B064F25"/>
    <w:rsid w:val="4B0E7738"/>
    <w:rsid w:val="4B0F349C"/>
    <w:rsid w:val="4B103D18"/>
    <w:rsid w:val="4B1C6CAA"/>
    <w:rsid w:val="4B293761"/>
    <w:rsid w:val="4B2B3DC2"/>
    <w:rsid w:val="4B2E419E"/>
    <w:rsid w:val="4B3317B5"/>
    <w:rsid w:val="4B336318"/>
    <w:rsid w:val="4B346350"/>
    <w:rsid w:val="4B3931A2"/>
    <w:rsid w:val="4B3F3D7D"/>
    <w:rsid w:val="4B413ED2"/>
    <w:rsid w:val="4B481704"/>
    <w:rsid w:val="4B4C6E14"/>
    <w:rsid w:val="4B4F5E16"/>
    <w:rsid w:val="4B53638C"/>
    <w:rsid w:val="4B575289"/>
    <w:rsid w:val="4B5810FE"/>
    <w:rsid w:val="4B614AD9"/>
    <w:rsid w:val="4B642E0C"/>
    <w:rsid w:val="4B6A1E86"/>
    <w:rsid w:val="4B757146"/>
    <w:rsid w:val="4B7757A2"/>
    <w:rsid w:val="4B7B5F60"/>
    <w:rsid w:val="4B7C7600"/>
    <w:rsid w:val="4B7D1A66"/>
    <w:rsid w:val="4B7F0E9E"/>
    <w:rsid w:val="4B8173C1"/>
    <w:rsid w:val="4B874FF0"/>
    <w:rsid w:val="4B8818E3"/>
    <w:rsid w:val="4B891CCB"/>
    <w:rsid w:val="4B9C3A90"/>
    <w:rsid w:val="4B9F6E4A"/>
    <w:rsid w:val="4BA2067E"/>
    <w:rsid w:val="4BA92E34"/>
    <w:rsid w:val="4BAA2E2E"/>
    <w:rsid w:val="4BB24DCF"/>
    <w:rsid w:val="4BBA0128"/>
    <w:rsid w:val="4BCE14DD"/>
    <w:rsid w:val="4BCE772F"/>
    <w:rsid w:val="4BD73B3D"/>
    <w:rsid w:val="4BDE3E16"/>
    <w:rsid w:val="4BE03DDA"/>
    <w:rsid w:val="4BEB6533"/>
    <w:rsid w:val="4BF057AE"/>
    <w:rsid w:val="4BF278C2"/>
    <w:rsid w:val="4BFF5B3B"/>
    <w:rsid w:val="4C0513A3"/>
    <w:rsid w:val="4C06511B"/>
    <w:rsid w:val="4C084AEB"/>
    <w:rsid w:val="4C140009"/>
    <w:rsid w:val="4C175B1C"/>
    <w:rsid w:val="4C1B2975"/>
    <w:rsid w:val="4C245295"/>
    <w:rsid w:val="4C295C8F"/>
    <w:rsid w:val="4C2D78A1"/>
    <w:rsid w:val="4C3108CD"/>
    <w:rsid w:val="4C343F17"/>
    <w:rsid w:val="4C3677AE"/>
    <w:rsid w:val="4C3E48B5"/>
    <w:rsid w:val="4C3E6663"/>
    <w:rsid w:val="4C3E6CE0"/>
    <w:rsid w:val="4C416153"/>
    <w:rsid w:val="4C477AF8"/>
    <w:rsid w:val="4C4A0649"/>
    <w:rsid w:val="4C567E51"/>
    <w:rsid w:val="4C576223"/>
    <w:rsid w:val="4C5C2F8D"/>
    <w:rsid w:val="4C5C4994"/>
    <w:rsid w:val="4C5C4D3B"/>
    <w:rsid w:val="4C686721"/>
    <w:rsid w:val="4C6A56AA"/>
    <w:rsid w:val="4C704B6A"/>
    <w:rsid w:val="4C742085"/>
    <w:rsid w:val="4C756D12"/>
    <w:rsid w:val="4C7C3CEA"/>
    <w:rsid w:val="4C7E5ECA"/>
    <w:rsid w:val="4C876AA5"/>
    <w:rsid w:val="4C8D080C"/>
    <w:rsid w:val="4C8E5CBE"/>
    <w:rsid w:val="4C8F5132"/>
    <w:rsid w:val="4C912C37"/>
    <w:rsid w:val="4C9200CF"/>
    <w:rsid w:val="4C9269AF"/>
    <w:rsid w:val="4C93294E"/>
    <w:rsid w:val="4C937F6F"/>
    <w:rsid w:val="4C977A6F"/>
    <w:rsid w:val="4C9E35A6"/>
    <w:rsid w:val="4C9F4868"/>
    <w:rsid w:val="4CA7245A"/>
    <w:rsid w:val="4CA8223E"/>
    <w:rsid w:val="4CA824E5"/>
    <w:rsid w:val="4CAF1D13"/>
    <w:rsid w:val="4CB05B11"/>
    <w:rsid w:val="4CB614C5"/>
    <w:rsid w:val="4CBC4EB3"/>
    <w:rsid w:val="4CCA4638"/>
    <w:rsid w:val="4CCE2588"/>
    <w:rsid w:val="4CD50EF7"/>
    <w:rsid w:val="4CD55219"/>
    <w:rsid w:val="4CD722D5"/>
    <w:rsid w:val="4CD836D2"/>
    <w:rsid w:val="4CDA4EF7"/>
    <w:rsid w:val="4CDD40CE"/>
    <w:rsid w:val="4CDF32FF"/>
    <w:rsid w:val="4CDF6854"/>
    <w:rsid w:val="4CE03BBE"/>
    <w:rsid w:val="4CE0688B"/>
    <w:rsid w:val="4CF47EB8"/>
    <w:rsid w:val="4CF50563"/>
    <w:rsid w:val="4CFB6302"/>
    <w:rsid w:val="4D011D3B"/>
    <w:rsid w:val="4D075FF2"/>
    <w:rsid w:val="4D0A29E9"/>
    <w:rsid w:val="4D0E00FB"/>
    <w:rsid w:val="4D0F1DAD"/>
    <w:rsid w:val="4D113D78"/>
    <w:rsid w:val="4D16138E"/>
    <w:rsid w:val="4D176606"/>
    <w:rsid w:val="4D1C6956"/>
    <w:rsid w:val="4D20220D"/>
    <w:rsid w:val="4D2626D7"/>
    <w:rsid w:val="4D296FA7"/>
    <w:rsid w:val="4D2A29D1"/>
    <w:rsid w:val="4D2D025B"/>
    <w:rsid w:val="4D420ADF"/>
    <w:rsid w:val="4D467EC5"/>
    <w:rsid w:val="4D472E91"/>
    <w:rsid w:val="4D4971D6"/>
    <w:rsid w:val="4D4B54DB"/>
    <w:rsid w:val="4D54189E"/>
    <w:rsid w:val="4D546CA2"/>
    <w:rsid w:val="4D5F3B5F"/>
    <w:rsid w:val="4D633606"/>
    <w:rsid w:val="4D6640C3"/>
    <w:rsid w:val="4D6C0FAE"/>
    <w:rsid w:val="4D6E11CA"/>
    <w:rsid w:val="4D7438DF"/>
    <w:rsid w:val="4D8217F6"/>
    <w:rsid w:val="4D8762DB"/>
    <w:rsid w:val="4D89251C"/>
    <w:rsid w:val="4D8C3CBC"/>
    <w:rsid w:val="4D950505"/>
    <w:rsid w:val="4D961BD9"/>
    <w:rsid w:val="4D99740A"/>
    <w:rsid w:val="4DA15E1C"/>
    <w:rsid w:val="4DAE5A6A"/>
    <w:rsid w:val="4DB50BA7"/>
    <w:rsid w:val="4DB76F97"/>
    <w:rsid w:val="4DBB3289"/>
    <w:rsid w:val="4DBC0D82"/>
    <w:rsid w:val="4DBE3EFF"/>
    <w:rsid w:val="4DC21CF2"/>
    <w:rsid w:val="4DC62B16"/>
    <w:rsid w:val="4DC808DA"/>
    <w:rsid w:val="4DCD5D88"/>
    <w:rsid w:val="4DD03C33"/>
    <w:rsid w:val="4DD0503A"/>
    <w:rsid w:val="4DD0778F"/>
    <w:rsid w:val="4DD139BF"/>
    <w:rsid w:val="4DD23507"/>
    <w:rsid w:val="4DD46D16"/>
    <w:rsid w:val="4DD75D60"/>
    <w:rsid w:val="4DD80AEC"/>
    <w:rsid w:val="4DEA4CF4"/>
    <w:rsid w:val="4DEC4FB0"/>
    <w:rsid w:val="4DEF71A7"/>
    <w:rsid w:val="4DF53699"/>
    <w:rsid w:val="4DFE60AA"/>
    <w:rsid w:val="4E065212"/>
    <w:rsid w:val="4E075D8A"/>
    <w:rsid w:val="4E0871ED"/>
    <w:rsid w:val="4E0A0EF3"/>
    <w:rsid w:val="4E0D09E3"/>
    <w:rsid w:val="4E143B1F"/>
    <w:rsid w:val="4E1576A9"/>
    <w:rsid w:val="4E1866E0"/>
    <w:rsid w:val="4E19234D"/>
    <w:rsid w:val="4E1A4CDB"/>
    <w:rsid w:val="4E1B3100"/>
    <w:rsid w:val="4E1F1331"/>
    <w:rsid w:val="4E261AA5"/>
    <w:rsid w:val="4E265601"/>
    <w:rsid w:val="4E2A50F1"/>
    <w:rsid w:val="4E2C6419"/>
    <w:rsid w:val="4E3B75F1"/>
    <w:rsid w:val="4E401C57"/>
    <w:rsid w:val="4E4E7CF1"/>
    <w:rsid w:val="4E5C57B7"/>
    <w:rsid w:val="4E5E1563"/>
    <w:rsid w:val="4E612ADD"/>
    <w:rsid w:val="4E632C3C"/>
    <w:rsid w:val="4E6A7ED2"/>
    <w:rsid w:val="4E6B60F4"/>
    <w:rsid w:val="4E701A87"/>
    <w:rsid w:val="4E736B0C"/>
    <w:rsid w:val="4E7B594C"/>
    <w:rsid w:val="4E7E6702"/>
    <w:rsid w:val="4E8A2033"/>
    <w:rsid w:val="4E8E20B3"/>
    <w:rsid w:val="4E944C60"/>
    <w:rsid w:val="4E964534"/>
    <w:rsid w:val="4E9771AF"/>
    <w:rsid w:val="4EA25710"/>
    <w:rsid w:val="4EA45BF0"/>
    <w:rsid w:val="4EA52317"/>
    <w:rsid w:val="4EB04A26"/>
    <w:rsid w:val="4EBB6FE2"/>
    <w:rsid w:val="4EBD571F"/>
    <w:rsid w:val="4EC00FAD"/>
    <w:rsid w:val="4EC15329"/>
    <w:rsid w:val="4EC413CC"/>
    <w:rsid w:val="4EE11238"/>
    <w:rsid w:val="4EE345C6"/>
    <w:rsid w:val="4EE358D8"/>
    <w:rsid w:val="4EF16A78"/>
    <w:rsid w:val="4EFA796D"/>
    <w:rsid w:val="4EFD6795"/>
    <w:rsid w:val="4F063322"/>
    <w:rsid w:val="4F0A755A"/>
    <w:rsid w:val="4F0F2539"/>
    <w:rsid w:val="4F110E0F"/>
    <w:rsid w:val="4F125062"/>
    <w:rsid w:val="4F161B19"/>
    <w:rsid w:val="4F165675"/>
    <w:rsid w:val="4F1B18FD"/>
    <w:rsid w:val="4F221CA0"/>
    <w:rsid w:val="4F250C86"/>
    <w:rsid w:val="4F2C4E99"/>
    <w:rsid w:val="4F2E29BF"/>
    <w:rsid w:val="4F2F550B"/>
    <w:rsid w:val="4F361873"/>
    <w:rsid w:val="4F383366"/>
    <w:rsid w:val="4F3B7970"/>
    <w:rsid w:val="4F3F2E1E"/>
    <w:rsid w:val="4F42290E"/>
    <w:rsid w:val="4F495A4B"/>
    <w:rsid w:val="4F4C72E9"/>
    <w:rsid w:val="4F5023DA"/>
    <w:rsid w:val="4F505D6A"/>
    <w:rsid w:val="4F5C43FB"/>
    <w:rsid w:val="4F5D75C7"/>
    <w:rsid w:val="4F5E0577"/>
    <w:rsid w:val="4F632F15"/>
    <w:rsid w:val="4F6A135E"/>
    <w:rsid w:val="4F6A4986"/>
    <w:rsid w:val="4F6E3E12"/>
    <w:rsid w:val="4F736208"/>
    <w:rsid w:val="4F7D3946"/>
    <w:rsid w:val="4F7E0889"/>
    <w:rsid w:val="4F815C1D"/>
    <w:rsid w:val="4F8548EE"/>
    <w:rsid w:val="4F8847C5"/>
    <w:rsid w:val="4F937BB1"/>
    <w:rsid w:val="4F9547EC"/>
    <w:rsid w:val="4F9843DC"/>
    <w:rsid w:val="4F9D18F3"/>
    <w:rsid w:val="4FA57B27"/>
    <w:rsid w:val="4FA9473B"/>
    <w:rsid w:val="4FAA3E63"/>
    <w:rsid w:val="4FAB04B3"/>
    <w:rsid w:val="4FAC0B6A"/>
    <w:rsid w:val="4FAE5F73"/>
    <w:rsid w:val="4FB202AA"/>
    <w:rsid w:val="4FBE38BB"/>
    <w:rsid w:val="4FC05F17"/>
    <w:rsid w:val="4FC62A8C"/>
    <w:rsid w:val="4FC6709B"/>
    <w:rsid w:val="4FD56D87"/>
    <w:rsid w:val="4FD80B7D"/>
    <w:rsid w:val="4FDD2E12"/>
    <w:rsid w:val="4FE15C83"/>
    <w:rsid w:val="4FE20F0D"/>
    <w:rsid w:val="4FE51552"/>
    <w:rsid w:val="4FEB5019"/>
    <w:rsid w:val="4FEE4C6C"/>
    <w:rsid w:val="4FF35CDD"/>
    <w:rsid w:val="4FF37764"/>
    <w:rsid w:val="4FFF0BFE"/>
    <w:rsid w:val="50077348"/>
    <w:rsid w:val="500B5CA8"/>
    <w:rsid w:val="501047BA"/>
    <w:rsid w:val="50125308"/>
    <w:rsid w:val="50141FA4"/>
    <w:rsid w:val="50151DD1"/>
    <w:rsid w:val="501B51FD"/>
    <w:rsid w:val="50224A29"/>
    <w:rsid w:val="50241816"/>
    <w:rsid w:val="50242014"/>
    <w:rsid w:val="5026074A"/>
    <w:rsid w:val="502E5652"/>
    <w:rsid w:val="50342257"/>
    <w:rsid w:val="503C55AF"/>
    <w:rsid w:val="503D21FA"/>
    <w:rsid w:val="503E30D6"/>
    <w:rsid w:val="504B35D3"/>
    <w:rsid w:val="50503572"/>
    <w:rsid w:val="50504C4B"/>
    <w:rsid w:val="50526B81"/>
    <w:rsid w:val="50537FDF"/>
    <w:rsid w:val="50575F45"/>
    <w:rsid w:val="505F0E17"/>
    <w:rsid w:val="506D50C8"/>
    <w:rsid w:val="506D5769"/>
    <w:rsid w:val="507408A5"/>
    <w:rsid w:val="507C1E50"/>
    <w:rsid w:val="50882859"/>
    <w:rsid w:val="509C6E7C"/>
    <w:rsid w:val="509E126A"/>
    <w:rsid w:val="50A078EC"/>
    <w:rsid w:val="50A848D9"/>
    <w:rsid w:val="50AD3D8F"/>
    <w:rsid w:val="50B51E0A"/>
    <w:rsid w:val="50B67110"/>
    <w:rsid w:val="50C75CF5"/>
    <w:rsid w:val="50E3306D"/>
    <w:rsid w:val="50EC48E0"/>
    <w:rsid w:val="50F129D7"/>
    <w:rsid w:val="50F3026C"/>
    <w:rsid w:val="50F87728"/>
    <w:rsid w:val="50FB18B4"/>
    <w:rsid w:val="50FD6760"/>
    <w:rsid w:val="51002139"/>
    <w:rsid w:val="51065094"/>
    <w:rsid w:val="510A5F17"/>
    <w:rsid w:val="510C31D4"/>
    <w:rsid w:val="511A4C69"/>
    <w:rsid w:val="51204589"/>
    <w:rsid w:val="51215F2E"/>
    <w:rsid w:val="51241F77"/>
    <w:rsid w:val="51283F24"/>
    <w:rsid w:val="512D2140"/>
    <w:rsid w:val="5133736C"/>
    <w:rsid w:val="51346287"/>
    <w:rsid w:val="51410B3C"/>
    <w:rsid w:val="51474AF0"/>
    <w:rsid w:val="514A07F4"/>
    <w:rsid w:val="514C537E"/>
    <w:rsid w:val="5150612E"/>
    <w:rsid w:val="51510BE7"/>
    <w:rsid w:val="51540B0C"/>
    <w:rsid w:val="51551756"/>
    <w:rsid w:val="51560365"/>
    <w:rsid w:val="51574636"/>
    <w:rsid w:val="5162104E"/>
    <w:rsid w:val="516375F5"/>
    <w:rsid w:val="51671A39"/>
    <w:rsid w:val="516908B2"/>
    <w:rsid w:val="516B5D29"/>
    <w:rsid w:val="516C30E8"/>
    <w:rsid w:val="5176064D"/>
    <w:rsid w:val="51786173"/>
    <w:rsid w:val="517C5D2F"/>
    <w:rsid w:val="51864D34"/>
    <w:rsid w:val="518B5B5E"/>
    <w:rsid w:val="518C1C1F"/>
    <w:rsid w:val="518D75D4"/>
    <w:rsid w:val="51972107"/>
    <w:rsid w:val="519D3C33"/>
    <w:rsid w:val="519D3E2C"/>
    <w:rsid w:val="51B67994"/>
    <w:rsid w:val="51BA1A15"/>
    <w:rsid w:val="51BC7144"/>
    <w:rsid w:val="51C31BAA"/>
    <w:rsid w:val="51C4760A"/>
    <w:rsid w:val="51C643ED"/>
    <w:rsid w:val="51DA5080"/>
    <w:rsid w:val="51DE5C94"/>
    <w:rsid w:val="51E67581"/>
    <w:rsid w:val="51EC224D"/>
    <w:rsid w:val="51F06651"/>
    <w:rsid w:val="51F700A8"/>
    <w:rsid w:val="51FD7176"/>
    <w:rsid w:val="51FF6894"/>
    <w:rsid w:val="5204658D"/>
    <w:rsid w:val="520D378C"/>
    <w:rsid w:val="5216708E"/>
    <w:rsid w:val="52182365"/>
    <w:rsid w:val="521A1920"/>
    <w:rsid w:val="521E31BF"/>
    <w:rsid w:val="52214528"/>
    <w:rsid w:val="522D519C"/>
    <w:rsid w:val="523227C6"/>
    <w:rsid w:val="52350508"/>
    <w:rsid w:val="5235203B"/>
    <w:rsid w:val="5237602E"/>
    <w:rsid w:val="523A167B"/>
    <w:rsid w:val="523F5C83"/>
    <w:rsid w:val="52426781"/>
    <w:rsid w:val="52482B1A"/>
    <w:rsid w:val="52495D62"/>
    <w:rsid w:val="524963A9"/>
    <w:rsid w:val="524B22E0"/>
    <w:rsid w:val="524C40AA"/>
    <w:rsid w:val="524F4930"/>
    <w:rsid w:val="5250249C"/>
    <w:rsid w:val="52505342"/>
    <w:rsid w:val="525A147A"/>
    <w:rsid w:val="525B284C"/>
    <w:rsid w:val="525D2765"/>
    <w:rsid w:val="52632A25"/>
    <w:rsid w:val="52652A6D"/>
    <w:rsid w:val="526C1BBE"/>
    <w:rsid w:val="52720E14"/>
    <w:rsid w:val="52724270"/>
    <w:rsid w:val="528172AA"/>
    <w:rsid w:val="5282655C"/>
    <w:rsid w:val="52877175"/>
    <w:rsid w:val="528943B0"/>
    <w:rsid w:val="528F5E6A"/>
    <w:rsid w:val="52911BE2"/>
    <w:rsid w:val="5292170C"/>
    <w:rsid w:val="529B480F"/>
    <w:rsid w:val="529F2A87"/>
    <w:rsid w:val="52A122EE"/>
    <w:rsid w:val="52A2797A"/>
    <w:rsid w:val="52AC173A"/>
    <w:rsid w:val="52B02227"/>
    <w:rsid w:val="52B230A1"/>
    <w:rsid w:val="52B677DA"/>
    <w:rsid w:val="52B954D8"/>
    <w:rsid w:val="52C5700D"/>
    <w:rsid w:val="52C81D7D"/>
    <w:rsid w:val="52CA2422"/>
    <w:rsid w:val="52CC2C1B"/>
    <w:rsid w:val="52CC56A7"/>
    <w:rsid w:val="52D01858"/>
    <w:rsid w:val="52D10CEE"/>
    <w:rsid w:val="52DC2732"/>
    <w:rsid w:val="52DF18AF"/>
    <w:rsid w:val="52E86357"/>
    <w:rsid w:val="52E87F7C"/>
    <w:rsid w:val="52F45CCD"/>
    <w:rsid w:val="52F51D6F"/>
    <w:rsid w:val="53067495"/>
    <w:rsid w:val="5314011E"/>
    <w:rsid w:val="531E682A"/>
    <w:rsid w:val="531F7523"/>
    <w:rsid w:val="5328051C"/>
    <w:rsid w:val="532A715E"/>
    <w:rsid w:val="532B737A"/>
    <w:rsid w:val="532C36B9"/>
    <w:rsid w:val="532F2F36"/>
    <w:rsid w:val="53312A7E"/>
    <w:rsid w:val="53360094"/>
    <w:rsid w:val="53416F54"/>
    <w:rsid w:val="53533214"/>
    <w:rsid w:val="53557FAA"/>
    <w:rsid w:val="5358625C"/>
    <w:rsid w:val="53590024"/>
    <w:rsid w:val="53672207"/>
    <w:rsid w:val="536746F1"/>
    <w:rsid w:val="536A3CA7"/>
    <w:rsid w:val="536A5F90"/>
    <w:rsid w:val="536B3490"/>
    <w:rsid w:val="536E339F"/>
    <w:rsid w:val="537269F0"/>
    <w:rsid w:val="53773429"/>
    <w:rsid w:val="537806AC"/>
    <w:rsid w:val="537A201C"/>
    <w:rsid w:val="537A46AB"/>
    <w:rsid w:val="537C3F13"/>
    <w:rsid w:val="537F14BD"/>
    <w:rsid w:val="538A5B0B"/>
    <w:rsid w:val="538C5F06"/>
    <w:rsid w:val="538E14FD"/>
    <w:rsid w:val="53956627"/>
    <w:rsid w:val="539C3BAB"/>
    <w:rsid w:val="539D6365"/>
    <w:rsid w:val="539F05A5"/>
    <w:rsid w:val="539F20DD"/>
    <w:rsid w:val="53A039CC"/>
    <w:rsid w:val="53A1505A"/>
    <w:rsid w:val="53A45945"/>
    <w:rsid w:val="53AC47FA"/>
    <w:rsid w:val="53AE0572"/>
    <w:rsid w:val="53B12890"/>
    <w:rsid w:val="53B16B88"/>
    <w:rsid w:val="53B35B89"/>
    <w:rsid w:val="53B4545D"/>
    <w:rsid w:val="53B55872"/>
    <w:rsid w:val="53B67427"/>
    <w:rsid w:val="53B9577A"/>
    <w:rsid w:val="53BC0A60"/>
    <w:rsid w:val="53BC2CEE"/>
    <w:rsid w:val="53BD07B5"/>
    <w:rsid w:val="53CF46F1"/>
    <w:rsid w:val="53D202F0"/>
    <w:rsid w:val="53DB0C3B"/>
    <w:rsid w:val="53DD00A8"/>
    <w:rsid w:val="53E75832"/>
    <w:rsid w:val="53E915AA"/>
    <w:rsid w:val="53E947CB"/>
    <w:rsid w:val="53EB70D0"/>
    <w:rsid w:val="53EF44A2"/>
    <w:rsid w:val="53F02939"/>
    <w:rsid w:val="53FC493E"/>
    <w:rsid w:val="5402245E"/>
    <w:rsid w:val="54063E08"/>
    <w:rsid w:val="540939FA"/>
    <w:rsid w:val="540C4083"/>
    <w:rsid w:val="540F7CC5"/>
    <w:rsid w:val="541505F1"/>
    <w:rsid w:val="54162015"/>
    <w:rsid w:val="5422686A"/>
    <w:rsid w:val="5430335B"/>
    <w:rsid w:val="54303F89"/>
    <w:rsid w:val="54342F8A"/>
    <w:rsid w:val="543437E8"/>
    <w:rsid w:val="54354E9B"/>
    <w:rsid w:val="543F741C"/>
    <w:rsid w:val="544D10B1"/>
    <w:rsid w:val="545B0BEE"/>
    <w:rsid w:val="545F4A15"/>
    <w:rsid w:val="5463310B"/>
    <w:rsid w:val="546670D7"/>
    <w:rsid w:val="54696247"/>
    <w:rsid w:val="547031DC"/>
    <w:rsid w:val="547664B7"/>
    <w:rsid w:val="54956FDB"/>
    <w:rsid w:val="54962859"/>
    <w:rsid w:val="549834E1"/>
    <w:rsid w:val="54996B2C"/>
    <w:rsid w:val="54997397"/>
    <w:rsid w:val="54A67981"/>
    <w:rsid w:val="54AE4077"/>
    <w:rsid w:val="54BC6CBF"/>
    <w:rsid w:val="54C52883"/>
    <w:rsid w:val="54CB0CB0"/>
    <w:rsid w:val="54D02DB7"/>
    <w:rsid w:val="54D27953"/>
    <w:rsid w:val="54D55852"/>
    <w:rsid w:val="54D56656"/>
    <w:rsid w:val="54D73F56"/>
    <w:rsid w:val="54DA0EF3"/>
    <w:rsid w:val="54E20E33"/>
    <w:rsid w:val="54E56216"/>
    <w:rsid w:val="54F42701"/>
    <w:rsid w:val="54F73313"/>
    <w:rsid w:val="54F80955"/>
    <w:rsid w:val="55041CB8"/>
    <w:rsid w:val="55124B31"/>
    <w:rsid w:val="551C775D"/>
    <w:rsid w:val="55226F68"/>
    <w:rsid w:val="55261EF6"/>
    <w:rsid w:val="552F123F"/>
    <w:rsid w:val="55314FB7"/>
    <w:rsid w:val="553152CF"/>
    <w:rsid w:val="55410DBD"/>
    <w:rsid w:val="55452810"/>
    <w:rsid w:val="554A7FA2"/>
    <w:rsid w:val="554D5DB2"/>
    <w:rsid w:val="555170A7"/>
    <w:rsid w:val="55517407"/>
    <w:rsid w:val="55560EC1"/>
    <w:rsid w:val="555869E7"/>
    <w:rsid w:val="555C536E"/>
    <w:rsid w:val="555F29A9"/>
    <w:rsid w:val="55604E7D"/>
    <w:rsid w:val="5563174F"/>
    <w:rsid w:val="55652EB2"/>
    <w:rsid w:val="5568451C"/>
    <w:rsid w:val="556E7FB9"/>
    <w:rsid w:val="55702A14"/>
    <w:rsid w:val="5573126C"/>
    <w:rsid w:val="557650C0"/>
    <w:rsid w:val="55791BB1"/>
    <w:rsid w:val="557E5000"/>
    <w:rsid w:val="557F21C6"/>
    <w:rsid w:val="557F63BE"/>
    <w:rsid w:val="55821647"/>
    <w:rsid w:val="55855303"/>
    <w:rsid w:val="5587536D"/>
    <w:rsid w:val="55880F72"/>
    <w:rsid w:val="55896F47"/>
    <w:rsid w:val="558D0F16"/>
    <w:rsid w:val="55911EF9"/>
    <w:rsid w:val="55924389"/>
    <w:rsid w:val="55945546"/>
    <w:rsid w:val="559B174B"/>
    <w:rsid w:val="55A20145"/>
    <w:rsid w:val="55A51501"/>
    <w:rsid w:val="55A559A5"/>
    <w:rsid w:val="55A76EA1"/>
    <w:rsid w:val="55A92F1A"/>
    <w:rsid w:val="55AF05D2"/>
    <w:rsid w:val="55B1434A"/>
    <w:rsid w:val="55B31E70"/>
    <w:rsid w:val="55C7591B"/>
    <w:rsid w:val="55CE0CF4"/>
    <w:rsid w:val="55D50038"/>
    <w:rsid w:val="55E069DD"/>
    <w:rsid w:val="55E23389"/>
    <w:rsid w:val="55E262B1"/>
    <w:rsid w:val="55E521A5"/>
    <w:rsid w:val="55EE10FA"/>
    <w:rsid w:val="55F06C20"/>
    <w:rsid w:val="55F07AF3"/>
    <w:rsid w:val="560101C1"/>
    <w:rsid w:val="560C77D2"/>
    <w:rsid w:val="56116F26"/>
    <w:rsid w:val="56166E44"/>
    <w:rsid w:val="561F7CD2"/>
    <w:rsid w:val="56242D6E"/>
    <w:rsid w:val="5627460C"/>
    <w:rsid w:val="562C1E22"/>
    <w:rsid w:val="5630700A"/>
    <w:rsid w:val="56327239"/>
    <w:rsid w:val="56332FB1"/>
    <w:rsid w:val="563C00B7"/>
    <w:rsid w:val="5641747C"/>
    <w:rsid w:val="564178E0"/>
    <w:rsid w:val="564E6D54"/>
    <w:rsid w:val="565A0D35"/>
    <w:rsid w:val="565A3DF3"/>
    <w:rsid w:val="565E4DBB"/>
    <w:rsid w:val="5661367A"/>
    <w:rsid w:val="56624097"/>
    <w:rsid w:val="567D7EA3"/>
    <w:rsid w:val="56813D1C"/>
    <w:rsid w:val="56831254"/>
    <w:rsid w:val="5683561C"/>
    <w:rsid w:val="56871C31"/>
    <w:rsid w:val="56874EEC"/>
    <w:rsid w:val="56883BAB"/>
    <w:rsid w:val="568D682E"/>
    <w:rsid w:val="568E6439"/>
    <w:rsid w:val="5693185F"/>
    <w:rsid w:val="569D2D1C"/>
    <w:rsid w:val="56A1616C"/>
    <w:rsid w:val="56A36AFD"/>
    <w:rsid w:val="56A77B69"/>
    <w:rsid w:val="56AF0889"/>
    <w:rsid w:val="56B22A9C"/>
    <w:rsid w:val="56BA5480"/>
    <w:rsid w:val="56BC0AF3"/>
    <w:rsid w:val="56BC6B02"/>
    <w:rsid w:val="56C41E5B"/>
    <w:rsid w:val="56C43C09"/>
    <w:rsid w:val="56C74A68"/>
    <w:rsid w:val="56C87B9D"/>
    <w:rsid w:val="56CD51B3"/>
    <w:rsid w:val="56DB78D0"/>
    <w:rsid w:val="56E25EA7"/>
    <w:rsid w:val="56EC2FE4"/>
    <w:rsid w:val="56EE0C86"/>
    <w:rsid w:val="56EE26EA"/>
    <w:rsid w:val="56EE45EC"/>
    <w:rsid w:val="56FE68E2"/>
    <w:rsid w:val="56FF749B"/>
    <w:rsid w:val="57032983"/>
    <w:rsid w:val="570C69D2"/>
    <w:rsid w:val="571132F2"/>
    <w:rsid w:val="57150E92"/>
    <w:rsid w:val="571701DC"/>
    <w:rsid w:val="571F7091"/>
    <w:rsid w:val="57266657"/>
    <w:rsid w:val="572D0B5E"/>
    <w:rsid w:val="573174F0"/>
    <w:rsid w:val="57347E8E"/>
    <w:rsid w:val="574336A2"/>
    <w:rsid w:val="57480A98"/>
    <w:rsid w:val="57566F57"/>
    <w:rsid w:val="575D46F7"/>
    <w:rsid w:val="576553EC"/>
    <w:rsid w:val="576F0018"/>
    <w:rsid w:val="57720880"/>
    <w:rsid w:val="57757D1E"/>
    <w:rsid w:val="57767D2C"/>
    <w:rsid w:val="57812F2D"/>
    <w:rsid w:val="57856834"/>
    <w:rsid w:val="57874BC1"/>
    <w:rsid w:val="5787555B"/>
    <w:rsid w:val="578A6C00"/>
    <w:rsid w:val="578B4B81"/>
    <w:rsid w:val="578E6FEA"/>
    <w:rsid w:val="579204A6"/>
    <w:rsid w:val="57961A49"/>
    <w:rsid w:val="579D6934"/>
    <w:rsid w:val="579E22CF"/>
    <w:rsid w:val="57A13842"/>
    <w:rsid w:val="57A57DAA"/>
    <w:rsid w:val="57AA2DFF"/>
    <w:rsid w:val="57AC250F"/>
    <w:rsid w:val="57B14FC1"/>
    <w:rsid w:val="57B40121"/>
    <w:rsid w:val="57B72A76"/>
    <w:rsid w:val="57B91294"/>
    <w:rsid w:val="57C06AC6"/>
    <w:rsid w:val="57C14700"/>
    <w:rsid w:val="57C33EC0"/>
    <w:rsid w:val="57C3426C"/>
    <w:rsid w:val="57CA6A87"/>
    <w:rsid w:val="57CB596F"/>
    <w:rsid w:val="57CE1F93"/>
    <w:rsid w:val="57D12C9E"/>
    <w:rsid w:val="57D63BF4"/>
    <w:rsid w:val="57D8673A"/>
    <w:rsid w:val="57DC15CD"/>
    <w:rsid w:val="57E1213B"/>
    <w:rsid w:val="57E9582E"/>
    <w:rsid w:val="57E97DCB"/>
    <w:rsid w:val="57EB596B"/>
    <w:rsid w:val="58020E8D"/>
    <w:rsid w:val="58030761"/>
    <w:rsid w:val="580A1DD1"/>
    <w:rsid w:val="580C5867"/>
    <w:rsid w:val="580E3569"/>
    <w:rsid w:val="58175EB7"/>
    <w:rsid w:val="581761E1"/>
    <w:rsid w:val="581D5CC6"/>
    <w:rsid w:val="58247055"/>
    <w:rsid w:val="58262DCD"/>
    <w:rsid w:val="582B0382"/>
    <w:rsid w:val="582E2D88"/>
    <w:rsid w:val="58311772"/>
    <w:rsid w:val="58341764"/>
    <w:rsid w:val="58466FCB"/>
    <w:rsid w:val="58496ABB"/>
    <w:rsid w:val="584B041F"/>
    <w:rsid w:val="58514021"/>
    <w:rsid w:val="58535244"/>
    <w:rsid w:val="58676F42"/>
    <w:rsid w:val="58726012"/>
    <w:rsid w:val="58767D0F"/>
    <w:rsid w:val="58786758"/>
    <w:rsid w:val="587A7F2D"/>
    <w:rsid w:val="5884038D"/>
    <w:rsid w:val="58857262"/>
    <w:rsid w:val="588743D1"/>
    <w:rsid w:val="5887701A"/>
    <w:rsid w:val="58895265"/>
    <w:rsid w:val="588B2CD2"/>
    <w:rsid w:val="588C14D4"/>
    <w:rsid w:val="589426B8"/>
    <w:rsid w:val="58A75590"/>
    <w:rsid w:val="58AE2DC2"/>
    <w:rsid w:val="58B20C49"/>
    <w:rsid w:val="58B2640F"/>
    <w:rsid w:val="58B54151"/>
    <w:rsid w:val="58B83228"/>
    <w:rsid w:val="58BD6565"/>
    <w:rsid w:val="58BF3144"/>
    <w:rsid w:val="58BF61C9"/>
    <w:rsid w:val="58CA1A20"/>
    <w:rsid w:val="58DB7D6A"/>
    <w:rsid w:val="58DC67E4"/>
    <w:rsid w:val="58E14F46"/>
    <w:rsid w:val="58E31E31"/>
    <w:rsid w:val="58E42448"/>
    <w:rsid w:val="58E660B8"/>
    <w:rsid w:val="58E9203E"/>
    <w:rsid w:val="58EB361A"/>
    <w:rsid w:val="58EE6B19"/>
    <w:rsid w:val="58F26C87"/>
    <w:rsid w:val="58FB40A0"/>
    <w:rsid w:val="58FC1D80"/>
    <w:rsid w:val="58FC6D00"/>
    <w:rsid w:val="58FF0F1D"/>
    <w:rsid w:val="59025A5F"/>
    <w:rsid w:val="5915699E"/>
    <w:rsid w:val="591846FB"/>
    <w:rsid w:val="591A2D58"/>
    <w:rsid w:val="591B0458"/>
    <w:rsid w:val="591F3F7B"/>
    <w:rsid w:val="592506EE"/>
    <w:rsid w:val="592E353E"/>
    <w:rsid w:val="592F3AB1"/>
    <w:rsid w:val="593A6404"/>
    <w:rsid w:val="593D0ED1"/>
    <w:rsid w:val="59430FAD"/>
    <w:rsid w:val="594C1FD3"/>
    <w:rsid w:val="594D4389"/>
    <w:rsid w:val="595079D6"/>
    <w:rsid w:val="59522B0E"/>
    <w:rsid w:val="59522BBF"/>
    <w:rsid w:val="59561C53"/>
    <w:rsid w:val="596737B7"/>
    <w:rsid w:val="596B3E9E"/>
    <w:rsid w:val="596F4300"/>
    <w:rsid w:val="59750134"/>
    <w:rsid w:val="597931D9"/>
    <w:rsid w:val="597F36AF"/>
    <w:rsid w:val="5980193C"/>
    <w:rsid w:val="59815DE1"/>
    <w:rsid w:val="59822285"/>
    <w:rsid w:val="598F49A2"/>
    <w:rsid w:val="599124C8"/>
    <w:rsid w:val="59914276"/>
    <w:rsid w:val="59926240"/>
    <w:rsid w:val="59953C87"/>
    <w:rsid w:val="59980B06"/>
    <w:rsid w:val="599B388F"/>
    <w:rsid w:val="599B50F5"/>
    <w:rsid w:val="599C0E6D"/>
    <w:rsid w:val="59A044B9"/>
    <w:rsid w:val="59A21D30"/>
    <w:rsid w:val="59A33FA9"/>
    <w:rsid w:val="59A37A63"/>
    <w:rsid w:val="59AA358A"/>
    <w:rsid w:val="59AB03BC"/>
    <w:rsid w:val="59AB2E5E"/>
    <w:rsid w:val="59BB12F3"/>
    <w:rsid w:val="59C0439F"/>
    <w:rsid w:val="59C823C8"/>
    <w:rsid w:val="59CA3C2C"/>
    <w:rsid w:val="59CC1752"/>
    <w:rsid w:val="59CD72F8"/>
    <w:rsid w:val="59D619EE"/>
    <w:rsid w:val="59F451B9"/>
    <w:rsid w:val="59FE2EB9"/>
    <w:rsid w:val="5A03107C"/>
    <w:rsid w:val="5A0507C0"/>
    <w:rsid w:val="5A05552B"/>
    <w:rsid w:val="5A0C1B4F"/>
    <w:rsid w:val="5A221C65"/>
    <w:rsid w:val="5A250E62"/>
    <w:rsid w:val="5A2626D5"/>
    <w:rsid w:val="5A352EE9"/>
    <w:rsid w:val="5A3D61AC"/>
    <w:rsid w:val="5A4237C2"/>
    <w:rsid w:val="5A4E5A9E"/>
    <w:rsid w:val="5A4E660B"/>
    <w:rsid w:val="5A517EA9"/>
    <w:rsid w:val="5A5667DA"/>
    <w:rsid w:val="5A572D65"/>
    <w:rsid w:val="5A5E3D40"/>
    <w:rsid w:val="5A5F2D65"/>
    <w:rsid w:val="5A5F6122"/>
    <w:rsid w:val="5A643739"/>
    <w:rsid w:val="5A673F4C"/>
    <w:rsid w:val="5A6C0280"/>
    <w:rsid w:val="5A6C2F4C"/>
    <w:rsid w:val="5A6F347D"/>
    <w:rsid w:val="5A7616BE"/>
    <w:rsid w:val="5A772680"/>
    <w:rsid w:val="5A7B0E38"/>
    <w:rsid w:val="5A8266E8"/>
    <w:rsid w:val="5A84528E"/>
    <w:rsid w:val="5A871D24"/>
    <w:rsid w:val="5A952A38"/>
    <w:rsid w:val="5A966DFF"/>
    <w:rsid w:val="5A980C37"/>
    <w:rsid w:val="5A994AFB"/>
    <w:rsid w:val="5A9A1850"/>
    <w:rsid w:val="5AA12BDF"/>
    <w:rsid w:val="5AA71877"/>
    <w:rsid w:val="5AB63779"/>
    <w:rsid w:val="5AB71CF9"/>
    <w:rsid w:val="5AB945CF"/>
    <w:rsid w:val="5ABA5EB7"/>
    <w:rsid w:val="5ABC02AD"/>
    <w:rsid w:val="5ABD033C"/>
    <w:rsid w:val="5ABD109B"/>
    <w:rsid w:val="5ABE2233"/>
    <w:rsid w:val="5ABF12B7"/>
    <w:rsid w:val="5AC02307"/>
    <w:rsid w:val="5AC440C3"/>
    <w:rsid w:val="5AC97A40"/>
    <w:rsid w:val="5ACC62F1"/>
    <w:rsid w:val="5ACF7990"/>
    <w:rsid w:val="5AD56A45"/>
    <w:rsid w:val="5ADE6A6A"/>
    <w:rsid w:val="5AE72DF7"/>
    <w:rsid w:val="5AEA5DC4"/>
    <w:rsid w:val="5AEB3ADF"/>
    <w:rsid w:val="5AF01470"/>
    <w:rsid w:val="5B005681"/>
    <w:rsid w:val="5B075B5F"/>
    <w:rsid w:val="5B0A7890"/>
    <w:rsid w:val="5B0B0058"/>
    <w:rsid w:val="5B0B00FF"/>
    <w:rsid w:val="5B123195"/>
    <w:rsid w:val="5B152917"/>
    <w:rsid w:val="5B1801BA"/>
    <w:rsid w:val="5B1A43C0"/>
    <w:rsid w:val="5B294420"/>
    <w:rsid w:val="5B3638CB"/>
    <w:rsid w:val="5B3B7932"/>
    <w:rsid w:val="5B467061"/>
    <w:rsid w:val="5B4B48F9"/>
    <w:rsid w:val="5B4D57C7"/>
    <w:rsid w:val="5B523ED9"/>
    <w:rsid w:val="5B551AD3"/>
    <w:rsid w:val="5B5A20B7"/>
    <w:rsid w:val="5B5C487A"/>
    <w:rsid w:val="5B5E7A1E"/>
    <w:rsid w:val="5B5F7201"/>
    <w:rsid w:val="5B653C0C"/>
    <w:rsid w:val="5B6A4A47"/>
    <w:rsid w:val="5B7756EE"/>
    <w:rsid w:val="5B7C4BEC"/>
    <w:rsid w:val="5B7E04FF"/>
    <w:rsid w:val="5B8B705E"/>
    <w:rsid w:val="5B8D4F11"/>
    <w:rsid w:val="5B8D5A02"/>
    <w:rsid w:val="5B903BC0"/>
    <w:rsid w:val="5B917873"/>
    <w:rsid w:val="5B951BA1"/>
    <w:rsid w:val="5B9E36A4"/>
    <w:rsid w:val="5BA60FE5"/>
    <w:rsid w:val="5BA67D81"/>
    <w:rsid w:val="5BA74384"/>
    <w:rsid w:val="5BB4028C"/>
    <w:rsid w:val="5BB667F6"/>
    <w:rsid w:val="5BB673CC"/>
    <w:rsid w:val="5BBE50CA"/>
    <w:rsid w:val="5BBF7D40"/>
    <w:rsid w:val="5BC50F47"/>
    <w:rsid w:val="5BC709A1"/>
    <w:rsid w:val="5BC8419B"/>
    <w:rsid w:val="5BCC4CCC"/>
    <w:rsid w:val="5BCF6C3E"/>
    <w:rsid w:val="5BD42B40"/>
    <w:rsid w:val="5BDF5D95"/>
    <w:rsid w:val="5BE308B1"/>
    <w:rsid w:val="5BE54B74"/>
    <w:rsid w:val="5BF738E4"/>
    <w:rsid w:val="5BF925A6"/>
    <w:rsid w:val="5BFC5391"/>
    <w:rsid w:val="5BFE5E0F"/>
    <w:rsid w:val="5BFE7528"/>
    <w:rsid w:val="5BFF13ED"/>
    <w:rsid w:val="5C001B87"/>
    <w:rsid w:val="5C003935"/>
    <w:rsid w:val="5C0276AD"/>
    <w:rsid w:val="5C074CC3"/>
    <w:rsid w:val="5C115B42"/>
    <w:rsid w:val="5C164F06"/>
    <w:rsid w:val="5C167844"/>
    <w:rsid w:val="5C1E28F1"/>
    <w:rsid w:val="5C1F6022"/>
    <w:rsid w:val="5C205D85"/>
    <w:rsid w:val="5C207B33"/>
    <w:rsid w:val="5C212A04"/>
    <w:rsid w:val="5C213CB4"/>
    <w:rsid w:val="5C294C3A"/>
    <w:rsid w:val="5C2F7D76"/>
    <w:rsid w:val="5C311D40"/>
    <w:rsid w:val="5C321C26"/>
    <w:rsid w:val="5C333BAD"/>
    <w:rsid w:val="5C3364DD"/>
    <w:rsid w:val="5C3774BC"/>
    <w:rsid w:val="5C3929A3"/>
    <w:rsid w:val="5C425CFC"/>
    <w:rsid w:val="5C427AAA"/>
    <w:rsid w:val="5C4662A8"/>
    <w:rsid w:val="5C4B1054"/>
    <w:rsid w:val="5C4F3F3D"/>
    <w:rsid w:val="5C4F43C2"/>
    <w:rsid w:val="5C5272EE"/>
    <w:rsid w:val="5C5530FD"/>
    <w:rsid w:val="5C57046E"/>
    <w:rsid w:val="5C5D48E3"/>
    <w:rsid w:val="5C612941"/>
    <w:rsid w:val="5C621EFA"/>
    <w:rsid w:val="5C624224"/>
    <w:rsid w:val="5C637EAA"/>
    <w:rsid w:val="5C676F3A"/>
    <w:rsid w:val="5C693288"/>
    <w:rsid w:val="5C6A7000"/>
    <w:rsid w:val="5C790656"/>
    <w:rsid w:val="5C846314"/>
    <w:rsid w:val="5C89586F"/>
    <w:rsid w:val="5C8E2DDD"/>
    <w:rsid w:val="5C98591B"/>
    <w:rsid w:val="5C9B1827"/>
    <w:rsid w:val="5C9C401E"/>
    <w:rsid w:val="5C9D5B9A"/>
    <w:rsid w:val="5CA165A5"/>
    <w:rsid w:val="5CA3732E"/>
    <w:rsid w:val="5CA50038"/>
    <w:rsid w:val="5CAA7F6E"/>
    <w:rsid w:val="5CAB54B0"/>
    <w:rsid w:val="5CAC3AE0"/>
    <w:rsid w:val="5CB73814"/>
    <w:rsid w:val="5CBD56CA"/>
    <w:rsid w:val="5CC86FE7"/>
    <w:rsid w:val="5CCA5AFB"/>
    <w:rsid w:val="5CCB5CF1"/>
    <w:rsid w:val="5CD22ECF"/>
    <w:rsid w:val="5CD66444"/>
    <w:rsid w:val="5CE03921"/>
    <w:rsid w:val="5CE24B33"/>
    <w:rsid w:val="5CE25D24"/>
    <w:rsid w:val="5CE6590A"/>
    <w:rsid w:val="5CE768A3"/>
    <w:rsid w:val="5CE9261B"/>
    <w:rsid w:val="5CEC5C8B"/>
    <w:rsid w:val="5CF214D0"/>
    <w:rsid w:val="5CF3349A"/>
    <w:rsid w:val="5D041203"/>
    <w:rsid w:val="5D064F7B"/>
    <w:rsid w:val="5D0D6309"/>
    <w:rsid w:val="5D102ADF"/>
    <w:rsid w:val="5D105DFA"/>
    <w:rsid w:val="5D123920"/>
    <w:rsid w:val="5D12456E"/>
    <w:rsid w:val="5D177188"/>
    <w:rsid w:val="5D1E0374"/>
    <w:rsid w:val="5D1E0517"/>
    <w:rsid w:val="5D1E59F1"/>
    <w:rsid w:val="5D235B2D"/>
    <w:rsid w:val="5D276C9F"/>
    <w:rsid w:val="5D2911B6"/>
    <w:rsid w:val="5D30024A"/>
    <w:rsid w:val="5D322637"/>
    <w:rsid w:val="5D3C04A3"/>
    <w:rsid w:val="5D4810F0"/>
    <w:rsid w:val="5D485594"/>
    <w:rsid w:val="5D4F6922"/>
    <w:rsid w:val="5D5932FD"/>
    <w:rsid w:val="5D5C2DED"/>
    <w:rsid w:val="5D5E14A4"/>
    <w:rsid w:val="5D5F08B8"/>
    <w:rsid w:val="5D635F29"/>
    <w:rsid w:val="5D6A2924"/>
    <w:rsid w:val="5D6B1F56"/>
    <w:rsid w:val="5D6B6345"/>
    <w:rsid w:val="5D6C748A"/>
    <w:rsid w:val="5D6F64ED"/>
    <w:rsid w:val="5D704AEA"/>
    <w:rsid w:val="5D8908FE"/>
    <w:rsid w:val="5D8D11F8"/>
    <w:rsid w:val="5D8E4107"/>
    <w:rsid w:val="5D8F4370"/>
    <w:rsid w:val="5D900CE9"/>
    <w:rsid w:val="5D916F3A"/>
    <w:rsid w:val="5D95524F"/>
    <w:rsid w:val="5D9F625E"/>
    <w:rsid w:val="5DB239C4"/>
    <w:rsid w:val="5DCA41FA"/>
    <w:rsid w:val="5DCC7F73"/>
    <w:rsid w:val="5DD706C5"/>
    <w:rsid w:val="5DE6739D"/>
    <w:rsid w:val="5DEC7EDD"/>
    <w:rsid w:val="5DED177F"/>
    <w:rsid w:val="5DF15AB1"/>
    <w:rsid w:val="5DF375E2"/>
    <w:rsid w:val="5DF90ED6"/>
    <w:rsid w:val="5DF94AE0"/>
    <w:rsid w:val="5DF97524"/>
    <w:rsid w:val="5DFC5B86"/>
    <w:rsid w:val="5DFE3A5D"/>
    <w:rsid w:val="5E08444B"/>
    <w:rsid w:val="5E094F05"/>
    <w:rsid w:val="5E0C4813"/>
    <w:rsid w:val="5E1A3A26"/>
    <w:rsid w:val="5E1B6804"/>
    <w:rsid w:val="5E20485F"/>
    <w:rsid w:val="5E224E2A"/>
    <w:rsid w:val="5E227B93"/>
    <w:rsid w:val="5E2467F1"/>
    <w:rsid w:val="5E276A3A"/>
    <w:rsid w:val="5E3818C6"/>
    <w:rsid w:val="5E417349"/>
    <w:rsid w:val="5E467412"/>
    <w:rsid w:val="5E5140D5"/>
    <w:rsid w:val="5E5463B1"/>
    <w:rsid w:val="5E567766"/>
    <w:rsid w:val="5E59187D"/>
    <w:rsid w:val="5E5E3AA1"/>
    <w:rsid w:val="5E63268B"/>
    <w:rsid w:val="5E6463FD"/>
    <w:rsid w:val="5E6A428F"/>
    <w:rsid w:val="5E6A6839"/>
    <w:rsid w:val="5E6F71DE"/>
    <w:rsid w:val="5E704161"/>
    <w:rsid w:val="5E750A2C"/>
    <w:rsid w:val="5E766130"/>
    <w:rsid w:val="5E781EA8"/>
    <w:rsid w:val="5E802B0B"/>
    <w:rsid w:val="5E854BB4"/>
    <w:rsid w:val="5E895E64"/>
    <w:rsid w:val="5E8C3611"/>
    <w:rsid w:val="5EA74DC4"/>
    <w:rsid w:val="5EB56C59"/>
    <w:rsid w:val="5EC450EE"/>
    <w:rsid w:val="5EC5419E"/>
    <w:rsid w:val="5ECC7F7D"/>
    <w:rsid w:val="5ECD756E"/>
    <w:rsid w:val="5ECF76FD"/>
    <w:rsid w:val="5ED0267E"/>
    <w:rsid w:val="5ED22C0C"/>
    <w:rsid w:val="5ED82947"/>
    <w:rsid w:val="5EE06817"/>
    <w:rsid w:val="5EE67042"/>
    <w:rsid w:val="5EE76303"/>
    <w:rsid w:val="5EEB0463"/>
    <w:rsid w:val="5EEF4B90"/>
    <w:rsid w:val="5EF3152F"/>
    <w:rsid w:val="5EF37781"/>
    <w:rsid w:val="5EFC30FF"/>
    <w:rsid w:val="5EFC4888"/>
    <w:rsid w:val="5EFD5F0A"/>
    <w:rsid w:val="5F021772"/>
    <w:rsid w:val="5F02510D"/>
    <w:rsid w:val="5F076D88"/>
    <w:rsid w:val="5F1242B1"/>
    <w:rsid w:val="5F1A2B43"/>
    <w:rsid w:val="5F1B7866"/>
    <w:rsid w:val="5F1C4C6E"/>
    <w:rsid w:val="5F1F40D2"/>
    <w:rsid w:val="5F230311"/>
    <w:rsid w:val="5F2416E8"/>
    <w:rsid w:val="5F3660A7"/>
    <w:rsid w:val="5F3A53B0"/>
    <w:rsid w:val="5F435D3B"/>
    <w:rsid w:val="5F465B03"/>
    <w:rsid w:val="5F4C7C75"/>
    <w:rsid w:val="5F4D5334"/>
    <w:rsid w:val="5F4F29D2"/>
    <w:rsid w:val="5F526256"/>
    <w:rsid w:val="5F585957"/>
    <w:rsid w:val="5F5E109E"/>
    <w:rsid w:val="5F697A43"/>
    <w:rsid w:val="5F6C5DA4"/>
    <w:rsid w:val="5F7A755A"/>
    <w:rsid w:val="5F7C36DA"/>
    <w:rsid w:val="5F7D1AA0"/>
    <w:rsid w:val="5F7F21BE"/>
    <w:rsid w:val="5F7F49CA"/>
    <w:rsid w:val="5F7F61AA"/>
    <w:rsid w:val="5F830B05"/>
    <w:rsid w:val="5F8474E0"/>
    <w:rsid w:val="5F8623A3"/>
    <w:rsid w:val="5F8F0C27"/>
    <w:rsid w:val="5F952518"/>
    <w:rsid w:val="5F9D1739"/>
    <w:rsid w:val="5FAB21D2"/>
    <w:rsid w:val="5FAF7A78"/>
    <w:rsid w:val="5FB31A19"/>
    <w:rsid w:val="5FB40AB0"/>
    <w:rsid w:val="5FB62D8C"/>
    <w:rsid w:val="5FB639AA"/>
    <w:rsid w:val="5FB63C90"/>
    <w:rsid w:val="5FB7255D"/>
    <w:rsid w:val="5FB837BB"/>
    <w:rsid w:val="5FC45AC0"/>
    <w:rsid w:val="5FC54A0B"/>
    <w:rsid w:val="5FCD3B2E"/>
    <w:rsid w:val="5FCE4A2E"/>
    <w:rsid w:val="5FD757AB"/>
    <w:rsid w:val="5FD858FE"/>
    <w:rsid w:val="5FD940C3"/>
    <w:rsid w:val="5FDE21DF"/>
    <w:rsid w:val="5FE01AB3"/>
    <w:rsid w:val="5FE720A9"/>
    <w:rsid w:val="5FEA2932"/>
    <w:rsid w:val="5FEE32D8"/>
    <w:rsid w:val="5FF10884"/>
    <w:rsid w:val="5FF63683"/>
    <w:rsid w:val="5FF664F9"/>
    <w:rsid w:val="5FFD1E54"/>
    <w:rsid w:val="5FFD65BC"/>
    <w:rsid w:val="60002269"/>
    <w:rsid w:val="600402D6"/>
    <w:rsid w:val="60065E82"/>
    <w:rsid w:val="600734E4"/>
    <w:rsid w:val="600D4FD2"/>
    <w:rsid w:val="60151BC1"/>
    <w:rsid w:val="60193217"/>
    <w:rsid w:val="601E70CA"/>
    <w:rsid w:val="602045A6"/>
    <w:rsid w:val="602B6B61"/>
    <w:rsid w:val="602C4242"/>
    <w:rsid w:val="6031230F"/>
    <w:rsid w:val="603351A5"/>
    <w:rsid w:val="60380B55"/>
    <w:rsid w:val="603B318E"/>
    <w:rsid w:val="604007A4"/>
    <w:rsid w:val="60466E6A"/>
    <w:rsid w:val="605424A1"/>
    <w:rsid w:val="60566E36"/>
    <w:rsid w:val="605B738C"/>
    <w:rsid w:val="605C18BA"/>
    <w:rsid w:val="605D615C"/>
    <w:rsid w:val="60662351"/>
    <w:rsid w:val="60687CFB"/>
    <w:rsid w:val="606A72AE"/>
    <w:rsid w:val="606F2E37"/>
    <w:rsid w:val="607448F1"/>
    <w:rsid w:val="6075318E"/>
    <w:rsid w:val="60771F58"/>
    <w:rsid w:val="607C15BD"/>
    <w:rsid w:val="60803296"/>
    <w:rsid w:val="60872A92"/>
    <w:rsid w:val="608A5EDE"/>
    <w:rsid w:val="608A7377"/>
    <w:rsid w:val="608E1541"/>
    <w:rsid w:val="60910C4E"/>
    <w:rsid w:val="609873FF"/>
    <w:rsid w:val="60A40FE4"/>
    <w:rsid w:val="60A65281"/>
    <w:rsid w:val="60A8526E"/>
    <w:rsid w:val="60A9079D"/>
    <w:rsid w:val="60AA73D0"/>
    <w:rsid w:val="60AE3960"/>
    <w:rsid w:val="60B92304"/>
    <w:rsid w:val="60BE52FB"/>
    <w:rsid w:val="60C2565D"/>
    <w:rsid w:val="60C55DFF"/>
    <w:rsid w:val="60CA4511"/>
    <w:rsid w:val="60CA5F02"/>
    <w:rsid w:val="60CC405A"/>
    <w:rsid w:val="60D37EE7"/>
    <w:rsid w:val="60D456DF"/>
    <w:rsid w:val="60D94755"/>
    <w:rsid w:val="60DF7FBD"/>
    <w:rsid w:val="60E05AE3"/>
    <w:rsid w:val="60F63558"/>
    <w:rsid w:val="60F90400"/>
    <w:rsid w:val="60FF3C8B"/>
    <w:rsid w:val="6105554A"/>
    <w:rsid w:val="61073372"/>
    <w:rsid w:val="61237194"/>
    <w:rsid w:val="61265737"/>
    <w:rsid w:val="612773A5"/>
    <w:rsid w:val="61340A0F"/>
    <w:rsid w:val="61371BA7"/>
    <w:rsid w:val="613876CD"/>
    <w:rsid w:val="613D2F35"/>
    <w:rsid w:val="614479B7"/>
    <w:rsid w:val="614B11AE"/>
    <w:rsid w:val="6151151A"/>
    <w:rsid w:val="615564D1"/>
    <w:rsid w:val="61572249"/>
    <w:rsid w:val="6162474A"/>
    <w:rsid w:val="61642270"/>
    <w:rsid w:val="6169212F"/>
    <w:rsid w:val="616E1341"/>
    <w:rsid w:val="617061D0"/>
    <w:rsid w:val="61736957"/>
    <w:rsid w:val="617526CF"/>
    <w:rsid w:val="61824E34"/>
    <w:rsid w:val="6192443B"/>
    <w:rsid w:val="6192502F"/>
    <w:rsid w:val="61932B55"/>
    <w:rsid w:val="6193423A"/>
    <w:rsid w:val="619937C2"/>
    <w:rsid w:val="619D39D4"/>
    <w:rsid w:val="619F7C50"/>
    <w:rsid w:val="61AD3C17"/>
    <w:rsid w:val="61AE3F53"/>
    <w:rsid w:val="61B42017"/>
    <w:rsid w:val="61BD7BD2"/>
    <w:rsid w:val="61BE46C5"/>
    <w:rsid w:val="61C268C2"/>
    <w:rsid w:val="61C97752"/>
    <w:rsid w:val="61CD3879"/>
    <w:rsid w:val="61CD3E67"/>
    <w:rsid w:val="61CE7A99"/>
    <w:rsid w:val="61D218D0"/>
    <w:rsid w:val="61D33FFB"/>
    <w:rsid w:val="61D4389A"/>
    <w:rsid w:val="61D47012"/>
    <w:rsid w:val="61D70C94"/>
    <w:rsid w:val="61DC274E"/>
    <w:rsid w:val="61E15FB7"/>
    <w:rsid w:val="61E215D8"/>
    <w:rsid w:val="61EB34D9"/>
    <w:rsid w:val="61F73E9D"/>
    <w:rsid w:val="61F956FE"/>
    <w:rsid w:val="61FC694D"/>
    <w:rsid w:val="61FD339F"/>
    <w:rsid w:val="61FD47F9"/>
    <w:rsid w:val="6202328F"/>
    <w:rsid w:val="620370AE"/>
    <w:rsid w:val="62047ED8"/>
    <w:rsid w:val="6205764C"/>
    <w:rsid w:val="62066A55"/>
    <w:rsid w:val="620F495A"/>
    <w:rsid w:val="6211356D"/>
    <w:rsid w:val="62132BD6"/>
    <w:rsid w:val="62145A44"/>
    <w:rsid w:val="6214670D"/>
    <w:rsid w:val="621853E9"/>
    <w:rsid w:val="621B3775"/>
    <w:rsid w:val="6220263B"/>
    <w:rsid w:val="62364782"/>
    <w:rsid w:val="623B33AC"/>
    <w:rsid w:val="623B407A"/>
    <w:rsid w:val="623F4029"/>
    <w:rsid w:val="62477053"/>
    <w:rsid w:val="624B3430"/>
    <w:rsid w:val="62506DB6"/>
    <w:rsid w:val="62516C98"/>
    <w:rsid w:val="62593D9F"/>
    <w:rsid w:val="625D4BD7"/>
    <w:rsid w:val="625E018B"/>
    <w:rsid w:val="626369CC"/>
    <w:rsid w:val="6267026A"/>
    <w:rsid w:val="62691290"/>
    <w:rsid w:val="626A6CC2"/>
    <w:rsid w:val="62724E61"/>
    <w:rsid w:val="627B3D15"/>
    <w:rsid w:val="6280757E"/>
    <w:rsid w:val="62826B2B"/>
    <w:rsid w:val="628E28E5"/>
    <w:rsid w:val="62974B97"/>
    <w:rsid w:val="6299063F"/>
    <w:rsid w:val="629A371D"/>
    <w:rsid w:val="629B6889"/>
    <w:rsid w:val="629D3C8C"/>
    <w:rsid w:val="62A768B8"/>
    <w:rsid w:val="62A96AD4"/>
    <w:rsid w:val="62AD10C0"/>
    <w:rsid w:val="62AD4774"/>
    <w:rsid w:val="62AE2E05"/>
    <w:rsid w:val="62B05707"/>
    <w:rsid w:val="62BE3C02"/>
    <w:rsid w:val="62C0797A"/>
    <w:rsid w:val="62CF7BBD"/>
    <w:rsid w:val="62D00E2B"/>
    <w:rsid w:val="62D41677"/>
    <w:rsid w:val="62D47311"/>
    <w:rsid w:val="62D96C8E"/>
    <w:rsid w:val="62E53885"/>
    <w:rsid w:val="62E85CE4"/>
    <w:rsid w:val="62ED59CC"/>
    <w:rsid w:val="62EE4B17"/>
    <w:rsid w:val="62F11E84"/>
    <w:rsid w:val="62F24C89"/>
    <w:rsid w:val="62F45876"/>
    <w:rsid w:val="62F615EE"/>
    <w:rsid w:val="62FA7359"/>
    <w:rsid w:val="630B5392"/>
    <w:rsid w:val="630C7063"/>
    <w:rsid w:val="63133F00"/>
    <w:rsid w:val="63195863"/>
    <w:rsid w:val="631B2116"/>
    <w:rsid w:val="631D301E"/>
    <w:rsid w:val="63244057"/>
    <w:rsid w:val="632919C3"/>
    <w:rsid w:val="63311480"/>
    <w:rsid w:val="633A0C85"/>
    <w:rsid w:val="633A772C"/>
    <w:rsid w:val="63400ABB"/>
    <w:rsid w:val="634074F4"/>
    <w:rsid w:val="63412B5B"/>
    <w:rsid w:val="634A36E8"/>
    <w:rsid w:val="63543E6F"/>
    <w:rsid w:val="63576530"/>
    <w:rsid w:val="63596C8F"/>
    <w:rsid w:val="635A7DCF"/>
    <w:rsid w:val="635D341B"/>
    <w:rsid w:val="635E2806"/>
    <w:rsid w:val="63620B3B"/>
    <w:rsid w:val="6368793A"/>
    <w:rsid w:val="636B1FDC"/>
    <w:rsid w:val="636D2CF1"/>
    <w:rsid w:val="637223F4"/>
    <w:rsid w:val="6372245C"/>
    <w:rsid w:val="63750610"/>
    <w:rsid w:val="63766402"/>
    <w:rsid w:val="637A221F"/>
    <w:rsid w:val="637B5DFA"/>
    <w:rsid w:val="63860BC4"/>
    <w:rsid w:val="63862972"/>
    <w:rsid w:val="638766EA"/>
    <w:rsid w:val="638B5C28"/>
    <w:rsid w:val="638B7C07"/>
    <w:rsid w:val="6394356A"/>
    <w:rsid w:val="63952BB5"/>
    <w:rsid w:val="6397692D"/>
    <w:rsid w:val="639A2609"/>
    <w:rsid w:val="639D5F0D"/>
    <w:rsid w:val="63A252D2"/>
    <w:rsid w:val="63A7229D"/>
    <w:rsid w:val="63A92B04"/>
    <w:rsid w:val="63AA3B18"/>
    <w:rsid w:val="63AA6D32"/>
    <w:rsid w:val="63AB23D8"/>
    <w:rsid w:val="63AC1A08"/>
    <w:rsid w:val="63AE352A"/>
    <w:rsid w:val="63BD15DA"/>
    <w:rsid w:val="63BF79C4"/>
    <w:rsid w:val="63C01E4D"/>
    <w:rsid w:val="63C05D69"/>
    <w:rsid w:val="63C358DD"/>
    <w:rsid w:val="63C35952"/>
    <w:rsid w:val="63C619AD"/>
    <w:rsid w:val="63C61B2C"/>
    <w:rsid w:val="63C67D02"/>
    <w:rsid w:val="63C80FC1"/>
    <w:rsid w:val="63C90AB0"/>
    <w:rsid w:val="63CE60C7"/>
    <w:rsid w:val="63D27965"/>
    <w:rsid w:val="63D341AA"/>
    <w:rsid w:val="63D40BE9"/>
    <w:rsid w:val="63D86BC7"/>
    <w:rsid w:val="63E1404C"/>
    <w:rsid w:val="63E31B72"/>
    <w:rsid w:val="63E419D3"/>
    <w:rsid w:val="63F0603D"/>
    <w:rsid w:val="63FC771D"/>
    <w:rsid w:val="64012DCD"/>
    <w:rsid w:val="64025D70"/>
    <w:rsid w:val="640B731B"/>
    <w:rsid w:val="640D4E41"/>
    <w:rsid w:val="64102431"/>
    <w:rsid w:val="64104931"/>
    <w:rsid w:val="641B4A71"/>
    <w:rsid w:val="641E704E"/>
    <w:rsid w:val="641F561C"/>
    <w:rsid w:val="641F6922"/>
    <w:rsid w:val="64290D34"/>
    <w:rsid w:val="642C1431"/>
    <w:rsid w:val="642C6B67"/>
    <w:rsid w:val="642D6AEC"/>
    <w:rsid w:val="642F3034"/>
    <w:rsid w:val="642F4DB7"/>
    <w:rsid w:val="64303A7F"/>
    <w:rsid w:val="64393C41"/>
    <w:rsid w:val="643E149E"/>
    <w:rsid w:val="644B11AC"/>
    <w:rsid w:val="644F5459"/>
    <w:rsid w:val="64591E34"/>
    <w:rsid w:val="645E38EF"/>
    <w:rsid w:val="64650CAD"/>
    <w:rsid w:val="646625F9"/>
    <w:rsid w:val="64700725"/>
    <w:rsid w:val="64825690"/>
    <w:rsid w:val="64835103"/>
    <w:rsid w:val="648E4455"/>
    <w:rsid w:val="649153C5"/>
    <w:rsid w:val="649248BA"/>
    <w:rsid w:val="64943DC3"/>
    <w:rsid w:val="649B069F"/>
    <w:rsid w:val="64A0404D"/>
    <w:rsid w:val="64A5243A"/>
    <w:rsid w:val="64A726D6"/>
    <w:rsid w:val="64A91E63"/>
    <w:rsid w:val="64B05BB8"/>
    <w:rsid w:val="64B41760"/>
    <w:rsid w:val="64B61035"/>
    <w:rsid w:val="64BC2030"/>
    <w:rsid w:val="64BF0EAE"/>
    <w:rsid w:val="64CD1105"/>
    <w:rsid w:val="64CF321D"/>
    <w:rsid w:val="64CF3D12"/>
    <w:rsid w:val="64D47847"/>
    <w:rsid w:val="64D911C7"/>
    <w:rsid w:val="64DC2686"/>
    <w:rsid w:val="64EA463E"/>
    <w:rsid w:val="64EA6FA5"/>
    <w:rsid w:val="64EB0DEE"/>
    <w:rsid w:val="64EE6A69"/>
    <w:rsid w:val="64F139D5"/>
    <w:rsid w:val="64F531DE"/>
    <w:rsid w:val="64F76D04"/>
    <w:rsid w:val="64FE7722"/>
    <w:rsid w:val="650009EB"/>
    <w:rsid w:val="650758FE"/>
    <w:rsid w:val="650A037B"/>
    <w:rsid w:val="650B494C"/>
    <w:rsid w:val="65110961"/>
    <w:rsid w:val="65136487"/>
    <w:rsid w:val="651F62A0"/>
    <w:rsid w:val="65240694"/>
    <w:rsid w:val="65241E31"/>
    <w:rsid w:val="65281AE4"/>
    <w:rsid w:val="652C6B7D"/>
    <w:rsid w:val="6530528B"/>
    <w:rsid w:val="65307BFF"/>
    <w:rsid w:val="65373578"/>
    <w:rsid w:val="65385633"/>
    <w:rsid w:val="653B59DE"/>
    <w:rsid w:val="653D5765"/>
    <w:rsid w:val="654422F5"/>
    <w:rsid w:val="65495B74"/>
    <w:rsid w:val="654A6311"/>
    <w:rsid w:val="654B2514"/>
    <w:rsid w:val="654C7BEB"/>
    <w:rsid w:val="654D6009"/>
    <w:rsid w:val="65504CF3"/>
    <w:rsid w:val="65536317"/>
    <w:rsid w:val="65562818"/>
    <w:rsid w:val="655A40B6"/>
    <w:rsid w:val="655B7E2E"/>
    <w:rsid w:val="65634E0E"/>
    <w:rsid w:val="656C4C34"/>
    <w:rsid w:val="657038D9"/>
    <w:rsid w:val="657F1D6E"/>
    <w:rsid w:val="65856C59"/>
    <w:rsid w:val="65956E9C"/>
    <w:rsid w:val="659A0956"/>
    <w:rsid w:val="65A747C3"/>
    <w:rsid w:val="65A92947"/>
    <w:rsid w:val="65B85280"/>
    <w:rsid w:val="65B91987"/>
    <w:rsid w:val="65BA7D85"/>
    <w:rsid w:val="65BB2309"/>
    <w:rsid w:val="65BF25B2"/>
    <w:rsid w:val="65C12D88"/>
    <w:rsid w:val="65C501CB"/>
    <w:rsid w:val="65CF567B"/>
    <w:rsid w:val="65D11E9E"/>
    <w:rsid w:val="65D14811"/>
    <w:rsid w:val="65D14C99"/>
    <w:rsid w:val="65D24D07"/>
    <w:rsid w:val="65D26280"/>
    <w:rsid w:val="65D33E68"/>
    <w:rsid w:val="65D56FFB"/>
    <w:rsid w:val="65DD27DF"/>
    <w:rsid w:val="65E87914"/>
    <w:rsid w:val="65EA18C4"/>
    <w:rsid w:val="65F86C0F"/>
    <w:rsid w:val="65F8742B"/>
    <w:rsid w:val="65FC6F1B"/>
    <w:rsid w:val="660008FD"/>
    <w:rsid w:val="660A5ADC"/>
    <w:rsid w:val="660B04BE"/>
    <w:rsid w:val="660F30F2"/>
    <w:rsid w:val="66102F5E"/>
    <w:rsid w:val="66105C3E"/>
    <w:rsid w:val="66195D1F"/>
    <w:rsid w:val="661B1485"/>
    <w:rsid w:val="661B4043"/>
    <w:rsid w:val="661D0982"/>
    <w:rsid w:val="661E3335"/>
    <w:rsid w:val="663366B5"/>
    <w:rsid w:val="663F14FE"/>
    <w:rsid w:val="6641537E"/>
    <w:rsid w:val="66437557"/>
    <w:rsid w:val="664734C6"/>
    <w:rsid w:val="664A1868"/>
    <w:rsid w:val="664B39FF"/>
    <w:rsid w:val="66571568"/>
    <w:rsid w:val="66580C2D"/>
    <w:rsid w:val="665A4FC1"/>
    <w:rsid w:val="665C3E5E"/>
    <w:rsid w:val="665F384E"/>
    <w:rsid w:val="6665218B"/>
    <w:rsid w:val="666D3936"/>
    <w:rsid w:val="666D606B"/>
    <w:rsid w:val="6671682D"/>
    <w:rsid w:val="6672542F"/>
    <w:rsid w:val="667568A4"/>
    <w:rsid w:val="66856386"/>
    <w:rsid w:val="66876CE5"/>
    <w:rsid w:val="66882EA5"/>
    <w:rsid w:val="668E5B5C"/>
    <w:rsid w:val="6694548C"/>
    <w:rsid w:val="66974E96"/>
    <w:rsid w:val="6699509E"/>
    <w:rsid w:val="66A01F9C"/>
    <w:rsid w:val="66A07583"/>
    <w:rsid w:val="66A15D14"/>
    <w:rsid w:val="66A4362F"/>
    <w:rsid w:val="66A97F8A"/>
    <w:rsid w:val="66AD418E"/>
    <w:rsid w:val="66AF21F1"/>
    <w:rsid w:val="66AF5135"/>
    <w:rsid w:val="66B3204D"/>
    <w:rsid w:val="66B52AAA"/>
    <w:rsid w:val="66B71DB0"/>
    <w:rsid w:val="66C814F3"/>
    <w:rsid w:val="66CA0DC7"/>
    <w:rsid w:val="66CD08B8"/>
    <w:rsid w:val="66D121B7"/>
    <w:rsid w:val="66D2489B"/>
    <w:rsid w:val="66D64CA0"/>
    <w:rsid w:val="66D93700"/>
    <w:rsid w:val="66DE56BD"/>
    <w:rsid w:val="66EC6F90"/>
    <w:rsid w:val="66F916AD"/>
    <w:rsid w:val="67063D26"/>
    <w:rsid w:val="670F4BE0"/>
    <w:rsid w:val="671604B0"/>
    <w:rsid w:val="671F124A"/>
    <w:rsid w:val="672E1017"/>
    <w:rsid w:val="6731233A"/>
    <w:rsid w:val="67350A3A"/>
    <w:rsid w:val="6737004A"/>
    <w:rsid w:val="673750A5"/>
    <w:rsid w:val="67392F67"/>
    <w:rsid w:val="673A5DE2"/>
    <w:rsid w:val="673F1F59"/>
    <w:rsid w:val="673F75D2"/>
    <w:rsid w:val="674212A6"/>
    <w:rsid w:val="67427FD5"/>
    <w:rsid w:val="6743677C"/>
    <w:rsid w:val="67513297"/>
    <w:rsid w:val="675C576A"/>
    <w:rsid w:val="676034DA"/>
    <w:rsid w:val="67627219"/>
    <w:rsid w:val="67627252"/>
    <w:rsid w:val="676C5323"/>
    <w:rsid w:val="676E3C82"/>
    <w:rsid w:val="677231A8"/>
    <w:rsid w:val="677671A1"/>
    <w:rsid w:val="677677BF"/>
    <w:rsid w:val="677A33C6"/>
    <w:rsid w:val="677B0314"/>
    <w:rsid w:val="677B44B9"/>
    <w:rsid w:val="677F56B4"/>
    <w:rsid w:val="6784366C"/>
    <w:rsid w:val="67892A30"/>
    <w:rsid w:val="678D2CDF"/>
    <w:rsid w:val="679972D2"/>
    <w:rsid w:val="67A45ABC"/>
    <w:rsid w:val="67A81366"/>
    <w:rsid w:val="67C27CF0"/>
    <w:rsid w:val="67C50EA5"/>
    <w:rsid w:val="67C717AB"/>
    <w:rsid w:val="67C938CC"/>
    <w:rsid w:val="67CB3049"/>
    <w:rsid w:val="67CC6DC1"/>
    <w:rsid w:val="67CF7936"/>
    <w:rsid w:val="67D0342B"/>
    <w:rsid w:val="67D068B1"/>
    <w:rsid w:val="67D77FE7"/>
    <w:rsid w:val="67DD0FCE"/>
    <w:rsid w:val="67DF7D18"/>
    <w:rsid w:val="67E759A9"/>
    <w:rsid w:val="67F17AB6"/>
    <w:rsid w:val="67F56318"/>
    <w:rsid w:val="67F73631"/>
    <w:rsid w:val="67F95701"/>
    <w:rsid w:val="67F97372"/>
    <w:rsid w:val="68120FE3"/>
    <w:rsid w:val="68142C42"/>
    <w:rsid w:val="681522BE"/>
    <w:rsid w:val="681A79B2"/>
    <w:rsid w:val="681B7D03"/>
    <w:rsid w:val="681F6961"/>
    <w:rsid w:val="68213B91"/>
    <w:rsid w:val="68232E85"/>
    <w:rsid w:val="68273598"/>
    <w:rsid w:val="68273FF7"/>
    <w:rsid w:val="68275A80"/>
    <w:rsid w:val="682766B9"/>
    <w:rsid w:val="68282249"/>
    <w:rsid w:val="682E182A"/>
    <w:rsid w:val="682F5783"/>
    <w:rsid w:val="68394C10"/>
    <w:rsid w:val="683A3D2B"/>
    <w:rsid w:val="68415BFC"/>
    <w:rsid w:val="68461C7B"/>
    <w:rsid w:val="685A261F"/>
    <w:rsid w:val="685C4343"/>
    <w:rsid w:val="68610A2F"/>
    <w:rsid w:val="68630438"/>
    <w:rsid w:val="686A0DDB"/>
    <w:rsid w:val="686B482C"/>
    <w:rsid w:val="686B6ED5"/>
    <w:rsid w:val="686C0416"/>
    <w:rsid w:val="686F60CA"/>
    <w:rsid w:val="68784853"/>
    <w:rsid w:val="687D16C4"/>
    <w:rsid w:val="687D2CDD"/>
    <w:rsid w:val="68805514"/>
    <w:rsid w:val="6888718C"/>
    <w:rsid w:val="688B2376"/>
    <w:rsid w:val="688E4077"/>
    <w:rsid w:val="68953657"/>
    <w:rsid w:val="6897117D"/>
    <w:rsid w:val="689F6BE7"/>
    <w:rsid w:val="68A0202E"/>
    <w:rsid w:val="68A65864"/>
    <w:rsid w:val="68AC53C7"/>
    <w:rsid w:val="68AD6BF3"/>
    <w:rsid w:val="68AE1608"/>
    <w:rsid w:val="68B07589"/>
    <w:rsid w:val="68B63407"/>
    <w:rsid w:val="68B7181F"/>
    <w:rsid w:val="68B83CE8"/>
    <w:rsid w:val="68CF4DBB"/>
    <w:rsid w:val="68D73C6F"/>
    <w:rsid w:val="68D75A1D"/>
    <w:rsid w:val="68D93544"/>
    <w:rsid w:val="68DF607A"/>
    <w:rsid w:val="68E05EC2"/>
    <w:rsid w:val="68E7549C"/>
    <w:rsid w:val="68F44821"/>
    <w:rsid w:val="68F47BF7"/>
    <w:rsid w:val="68F51F91"/>
    <w:rsid w:val="68FB795E"/>
    <w:rsid w:val="68FC5484"/>
    <w:rsid w:val="68FE72F2"/>
    <w:rsid w:val="69006D22"/>
    <w:rsid w:val="690D143F"/>
    <w:rsid w:val="69110F2F"/>
    <w:rsid w:val="69114627"/>
    <w:rsid w:val="69126A56"/>
    <w:rsid w:val="691471DA"/>
    <w:rsid w:val="691A7A58"/>
    <w:rsid w:val="691C2FA7"/>
    <w:rsid w:val="691D6134"/>
    <w:rsid w:val="69316E2F"/>
    <w:rsid w:val="693469CC"/>
    <w:rsid w:val="693C36F0"/>
    <w:rsid w:val="694110E9"/>
    <w:rsid w:val="69482477"/>
    <w:rsid w:val="69495A83"/>
    <w:rsid w:val="694A6435"/>
    <w:rsid w:val="694C640B"/>
    <w:rsid w:val="694D30E5"/>
    <w:rsid w:val="694E2071"/>
    <w:rsid w:val="69547A1A"/>
    <w:rsid w:val="69580A57"/>
    <w:rsid w:val="695903BF"/>
    <w:rsid w:val="695B03FD"/>
    <w:rsid w:val="696169CE"/>
    <w:rsid w:val="696252D8"/>
    <w:rsid w:val="696A3DD5"/>
    <w:rsid w:val="696C43B8"/>
    <w:rsid w:val="69716ACA"/>
    <w:rsid w:val="69750B98"/>
    <w:rsid w:val="69766163"/>
    <w:rsid w:val="697A3B33"/>
    <w:rsid w:val="697E224C"/>
    <w:rsid w:val="697E2AE2"/>
    <w:rsid w:val="698907FB"/>
    <w:rsid w:val="698922C8"/>
    <w:rsid w:val="6990454A"/>
    <w:rsid w:val="69934C07"/>
    <w:rsid w:val="69B01856"/>
    <w:rsid w:val="69B10893"/>
    <w:rsid w:val="69B60325"/>
    <w:rsid w:val="69B94C3F"/>
    <w:rsid w:val="69BB0E9B"/>
    <w:rsid w:val="69BF6BDD"/>
    <w:rsid w:val="69C1324F"/>
    <w:rsid w:val="69C1328C"/>
    <w:rsid w:val="69C663ED"/>
    <w:rsid w:val="69CB218E"/>
    <w:rsid w:val="69CE02FF"/>
    <w:rsid w:val="69D44760"/>
    <w:rsid w:val="69E05367"/>
    <w:rsid w:val="69E228CC"/>
    <w:rsid w:val="69E6302D"/>
    <w:rsid w:val="69EE6CD8"/>
    <w:rsid w:val="69EF4EBB"/>
    <w:rsid w:val="69F43947"/>
    <w:rsid w:val="69F97B76"/>
    <w:rsid w:val="6A0A33F3"/>
    <w:rsid w:val="6A0A4204"/>
    <w:rsid w:val="6A0B3BD1"/>
    <w:rsid w:val="6A0D5B9B"/>
    <w:rsid w:val="6A0E546F"/>
    <w:rsid w:val="6A0F6173"/>
    <w:rsid w:val="6A1F3D5D"/>
    <w:rsid w:val="6A2353BE"/>
    <w:rsid w:val="6A2968F8"/>
    <w:rsid w:val="6A2C1D99"/>
    <w:rsid w:val="6A2E5B11"/>
    <w:rsid w:val="6A356465"/>
    <w:rsid w:val="6A364455"/>
    <w:rsid w:val="6A3A673C"/>
    <w:rsid w:val="6A3B44C7"/>
    <w:rsid w:val="6A3D724E"/>
    <w:rsid w:val="6A3F1A49"/>
    <w:rsid w:val="6A3F26B9"/>
    <w:rsid w:val="6A427FA9"/>
    <w:rsid w:val="6A4C5F97"/>
    <w:rsid w:val="6A520EC7"/>
    <w:rsid w:val="6A544BA7"/>
    <w:rsid w:val="6A564E8E"/>
    <w:rsid w:val="6A5F3F1C"/>
    <w:rsid w:val="6A5F5CCB"/>
    <w:rsid w:val="6A6053C5"/>
    <w:rsid w:val="6A611A43"/>
    <w:rsid w:val="6A6652AB"/>
    <w:rsid w:val="6A694D9B"/>
    <w:rsid w:val="6A6B3750"/>
    <w:rsid w:val="6A6E4160"/>
    <w:rsid w:val="6A763BAE"/>
    <w:rsid w:val="6A7A48B2"/>
    <w:rsid w:val="6A7C4ACE"/>
    <w:rsid w:val="6A7F636D"/>
    <w:rsid w:val="6A817C2F"/>
    <w:rsid w:val="6A880C15"/>
    <w:rsid w:val="6A8F531E"/>
    <w:rsid w:val="6A9A5064"/>
    <w:rsid w:val="6A9A5C09"/>
    <w:rsid w:val="6A9D7DEE"/>
    <w:rsid w:val="6A9F07BD"/>
    <w:rsid w:val="6AA234F3"/>
    <w:rsid w:val="6AA33E09"/>
    <w:rsid w:val="6AA513BB"/>
    <w:rsid w:val="6AA64F74"/>
    <w:rsid w:val="6AA93F18"/>
    <w:rsid w:val="6AAA2146"/>
    <w:rsid w:val="6AAB53B4"/>
    <w:rsid w:val="6AB75B07"/>
    <w:rsid w:val="6AB778B5"/>
    <w:rsid w:val="6AC00E5F"/>
    <w:rsid w:val="6AC062F3"/>
    <w:rsid w:val="6AC33DB7"/>
    <w:rsid w:val="6AD00976"/>
    <w:rsid w:val="6AD0774F"/>
    <w:rsid w:val="6AD11075"/>
    <w:rsid w:val="6AD47DD8"/>
    <w:rsid w:val="6AD531E8"/>
    <w:rsid w:val="6AD71D05"/>
    <w:rsid w:val="6AD9782B"/>
    <w:rsid w:val="6ADB7A47"/>
    <w:rsid w:val="6AEA2879"/>
    <w:rsid w:val="6AEF34F2"/>
    <w:rsid w:val="6AF24D91"/>
    <w:rsid w:val="6AF503DD"/>
    <w:rsid w:val="6AF87E20"/>
    <w:rsid w:val="6AFF6C3F"/>
    <w:rsid w:val="6B027F9E"/>
    <w:rsid w:val="6B06379C"/>
    <w:rsid w:val="6B0A032C"/>
    <w:rsid w:val="6B0A3E88"/>
    <w:rsid w:val="6B0C5E52"/>
    <w:rsid w:val="6B0E3787"/>
    <w:rsid w:val="6B144D07"/>
    <w:rsid w:val="6B1559A0"/>
    <w:rsid w:val="6B19056F"/>
    <w:rsid w:val="6B1B317A"/>
    <w:rsid w:val="6B1D6B42"/>
    <w:rsid w:val="6B1E5B86"/>
    <w:rsid w:val="6B1F797E"/>
    <w:rsid w:val="6B241925"/>
    <w:rsid w:val="6B2667E8"/>
    <w:rsid w:val="6B2A57DF"/>
    <w:rsid w:val="6B320D3C"/>
    <w:rsid w:val="6B322639"/>
    <w:rsid w:val="6B351059"/>
    <w:rsid w:val="6B37143F"/>
    <w:rsid w:val="6B376C47"/>
    <w:rsid w:val="6B453112"/>
    <w:rsid w:val="6B4750DC"/>
    <w:rsid w:val="6B5646EA"/>
    <w:rsid w:val="6B5D66AE"/>
    <w:rsid w:val="6B605638"/>
    <w:rsid w:val="6B623CC4"/>
    <w:rsid w:val="6B6C4B43"/>
    <w:rsid w:val="6B6D177C"/>
    <w:rsid w:val="6B6F2CF5"/>
    <w:rsid w:val="6B754194"/>
    <w:rsid w:val="6B7B5EB4"/>
    <w:rsid w:val="6B804DE4"/>
    <w:rsid w:val="6B833C3B"/>
    <w:rsid w:val="6B8A6DCC"/>
    <w:rsid w:val="6B9318D3"/>
    <w:rsid w:val="6B9876E6"/>
    <w:rsid w:val="6B9C7C3A"/>
    <w:rsid w:val="6B9D0FB9"/>
    <w:rsid w:val="6B9D6AAA"/>
    <w:rsid w:val="6BA415BE"/>
    <w:rsid w:val="6BA77929"/>
    <w:rsid w:val="6BAA11C7"/>
    <w:rsid w:val="6BAA566B"/>
    <w:rsid w:val="6BAA7419"/>
    <w:rsid w:val="6BB01783"/>
    <w:rsid w:val="6BB1752D"/>
    <w:rsid w:val="6BB64010"/>
    <w:rsid w:val="6BBB7311"/>
    <w:rsid w:val="6BC56001"/>
    <w:rsid w:val="6BC57A0E"/>
    <w:rsid w:val="6BCA4391"/>
    <w:rsid w:val="6BCE135A"/>
    <w:rsid w:val="6BD66460"/>
    <w:rsid w:val="6BD745DA"/>
    <w:rsid w:val="6BDB79C2"/>
    <w:rsid w:val="6BDF70C3"/>
    <w:rsid w:val="6BE13F7B"/>
    <w:rsid w:val="6BE97F42"/>
    <w:rsid w:val="6BED4FCC"/>
    <w:rsid w:val="6BEF307E"/>
    <w:rsid w:val="6BF504B7"/>
    <w:rsid w:val="6C027255"/>
    <w:rsid w:val="6C0905E4"/>
    <w:rsid w:val="6C094140"/>
    <w:rsid w:val="6C1250E0"/>
    <w:rsid w:val="6C1A49C3"/>
    <w:rsid w:val="6C262F44"/>
    <w:rsid w:val="6C2F4A7F"/>
    <w:rsid w:val="6C335374"/>
    <w:rsid w:val="6C3D6C4A"/>
    <w:rsid w:val="6C405507"/>
    <w:rsid w:val="6C423AF6"/>
    <w:rsid w:val="6C4871C0"/>
    <w:rsid w:val="6C5B4ADD"/>
    <w:rsid w:val="6C62028C"/>
    <w:rsid w:val="6C63334B"/>
    <w:rsid w:val="6C636C38"/>
    <w:rsid w:val="6C657D25"/>
    <w:rsid w:val="6C6E1CB6"/>
    <w:rsid w:val="6C7672FB"/>
    <w:rsid w:val="6C7F1C9A"/>
    <w:rsid w:val="6C801B61"/>
    <w:rsid w:val="6C816ED0"/>
    <w:rsid w:val="6C854432"/>
    <w:rsid w:val="6C8E0AE9"/>
    <w:rsid w:val="6C947F85"/>
    <w:rsid w:val="6C950778"/>
    <w:rsid w:val="6C9A123C"/>
    <w:rsid w:val="6CA6001D"/>
    <w:rsid w:val="6CAD0F6F"/>
    <w:rsid w:val="6CB70040"/>
    <w:rsid w:val="6CB93660"/>
    <w:rsid w:val="6CBC0597"/>
    <w:rsid w:val="6CC10EBE"/>
    <w:rsid w:val="6CC14A1B"/>
    <w:rsid w:val="6CC45EC4"/>
    <w:rsid w:val="6CC50CCF"/>
    <w:rsid w:val="6CCC0425"/>
    <w:rsid w:val="6CD1692E"/>
    <w:rsid w:val="6CD26C28"/>
    <w:rsid w:val="6CD82C2E"/>
    <w:rsid w:val="6CDD2478"/>
    <w:rsid w:val="6CDF1C45"/>
    <w:rsid w:val="6CE54BAD"/>
    <w:rsid w:val="6CE801F9"/>
    <w:rsid w:val="6CEC68FA"/>
    <w:rsid w:val="6CED0077"/>
    <w:rsid w:val="6CED47E1"/>
    <w:rsid w:val="6CF0035A"/>
    <w:rsid w:val="6CF05300"/>
    <w:rsid w:val="6CF119A0"/>
    <w:rsid w:val="6CF34B03"/>
    <w:rsid w:val="6CF62502"/>
    <w:rsid w:val="6CF94FF3"/>
    <w:rsid w:val="6D033D14"/>
    <w:rsid w:val="6D033DB1"/>
    <w:rsid w:val="6D0B213A"/>
    <w:rsid w:val="6D123701"/>
    <w:rsid w:val="6D175EDC"/>
    <w:rsid w:val="6D1D52DA"/>
    <w:rsid w:val="6D231255"/>
    <w:rsid w:val="6D276146"/>
    <w:rsid w:val="6D3275A6"/>
    <w:rsid w:val="6D37068F"/>
    <w:rsid w:val="6D3708FB"/>
    <w:rsid w:val="6D395B5A"/>
    <w:rsid w:val="6D3F3B91"/>
    <w:rsid w:val="6D401DE3"/>
    <w:rsid w:val="6D461AE4"/>
    <w:rsid w:val="6D480C98"/>
    <w:rsid w:val="6D4B6B44"/>
    <w:rsid w:val="6D4D2752"/>
    <w:rsid w:val="6D5037F4"/>
    <w:rsid w:val="6D543AE1"/>
    <w:rsid w:val="6D555861"/>
    <w:rsid w:val="6D5737F1"/>
    <w:rsid w:val="6D6535F8"/>
    <w:rsid w:val="6D6C5F0F"/>
    <w:rsid w:val="6D6F5CCE"/>
    <w:rsid w:val="6D793D76"/>
    <w:rsid w:val="6D876552"/>
    <w:rsid w:val="6D8A1806"/>
    <w:rsid w:val="6D8C1D3C"/>
    <w:rsid w:val="6D910891"/>
    <w:rsid w:val="6D917741"/>
    <w:rsid w:val="6D97577B"/>
    <w:rsid w:val="6D995997"/>
    <w:rsid w:val="6D995D71"/>
    <w:rsid w:val="6D9B170F"/>
    <w:rsid w:val="6D9D0B36"/>
    <w:rsid w:val="6DA935FA"/>
    <w:rsid w:val="6DAA3701"/>
    <w:rsid w:val="6DB34098"/>
    <w:rsid w:val="6DB36F07"/>
    <w:rsid w:val="6DB545B6"/>
    <w:rsid w:val="6DB73597"/>
    <w:rsid w:val="6DB86E0B"/>
    <w:rsid w:val="6DBA1F83"/>
    <w:rsid w:val="6DC17BD6"/>
    <w:rsid w:val="6DC42A14"/>
    <w:rsid w:val="6DC522E8"/>
    <w:rsid w:val="6DD07697"/>
    <w:rsid w:val="6DD30EA9"/>
    <w:rsid w:val="6DD651AD"/>
    <w:rsid w:val="6DDE15FC"/>
    <w:rsid w:val="6DE02FB4"/>
    <w:rsid w:val="6DE07122"/>
    <w:rsid w:val="6DE2543F"/>
    <w:rsid w:val="6DE2733E"/>
    <w:rsid w:val="6DE309C1"/>
    <w:rsid w:val="6DE75249"/>
    <w:rsid w:val="6DF01F14"/>
    <w:rsid w:val="6DF16B65"/>
    <w:rsid w:val="6DF57072"/>
    <w:rsid w:val="6E010407"/>
    <w:rsid w:val="6E0214E2"/>
    <w:rsid w:val="6E042FF9"/>
    <w:rsid w:val="6E0948CB"/>
    <w:rsid w:val="6E0F4DD7"/>
    <w:rsid w:val="6E1119D2"/>
    <w:rsid w:val="6E113780"/>
    <w:rsid w:val="6E14501E"/>
    <w:rsid w:val="6E153270"/>
    <w:rsid w:val="6E162B44"/>
    <w:rsid w:val="6E2F0BDE"/>
    <w:rsid w:val="6E421B8B"/>
    <w:rsid w:val="6E431E5D"/>
    <w:rsid w:val="6E4A0A40"/>
    <w:rsid w:val="6E4D65CA"/>
    <w:rsid w:val="6E510767"/>
    <w:rsid w:val="6E514CED"/>
    <w:rsid w:val="6E592861"/>
    <w:rsid w:val="6E5A5127"/>
    <w:rsid w:val="6E6E75D4"/>
    <w:rsid w:val="6E6F3EBC"/>
    <w:rsid w:val="6E7969A0"/>
    <w:rsid w:val="6E874491"/>
    <w:rsid w:val="6E891568"/>
    <w:rsid w:val="6E8B52E0"/>
    <w:rsid w:val="6E8E4DD0"/>
    <w:rsid w:val="6E9028F6"/>
    <w:rsid w:val="6E906D9A"/>
    <w:rsid w:val="6E91041D"/>
    <w:rsid w:val="6E9308F3"/>
    <w:rsid w:val="6E995A75"/>
    <w:rsid w:val="6E9A3775"/>
    <w:rsid w:val="6E9C573F"/>
    <w:rsid w:val="6EA14120"/>
    <w:rsid w:val="6EA41295"/>
    <w:rsid w:val="6EA85314"/>
    <w:rsid w:val="6EAE7C82"/>
    <w:rsid w:val="6EB563D5"/>
    <w:rsid w:val="6EBE032E"/>
    <w:rsid w:val="6EBF47AB"/>
    <w:rsid w:val="6EC151A6"/>
    <w:rsid w:val="6EC46A44"/>
    <w:rsid w:val="6EC6456A"/>
    <w:rsid w:val="6EC922AC"/>
    <w:rsid w:val="6ED24CBD"/>
    <w:rsid w:val="6ED654CB"/>
    <w:rsid w:val="6ED92677"/>
    <w:rsid w:val="6EDB1760"/>
    <w:rsid w:val="6EE1106C"/>
    <w:rsid w:val="6EE67BF3"/>
    <w:rsid w:val="6EEB3FD1"/>
    <w:rsid w:val="6EF86FCD"/>
    <w:rsid w:val="6F030CAB"/>
    <w:rsid w:val="6F04315E"/>
    <w:rsid w:val="6F045092"/>
    <w:rsid w:val="6F094457"/>
    <w:rsid w:val="6F0C0B4A"/>
    <w:rsid w:val="6F0C6AD3"/>
    <w:rsid w:val="6F1855CE"/>
    <w:rsid w:val="6F1C23DC"/>
    <w:rsid w:val="6F1C3120"/>
    <w:rsid w:val="6F1F2A8E"/>
    <w:rsid w:val="6F204757"/>
    <w:rsid w:val="6F2179F2"/>
    <w:rsid w:val="6F225983"/>
    <w:rsid w:val="6F2614AD"/>
    <w:rsid w:val="6F3040D9"/>
    <w:rsid w:val="6F325181"/>
    <w:rsid w:val="6F34206A"/>
    <w:rsid w:val="6F350CF4"/>
    <w:rsid w:val="6F3B6D06"/>
    <w:rsid w:val="6F4100FA"/>
    <w:rsid w:val="6F451C36"/>
    <w:rsid w:val="6F476578"/>
    <w:rsid w:val="6F4C2DD8"/>
    <w:rsid w:val="6F4F27B2"/>
    <w:rsid w:val="6F507677"/>
    <w:rsid w:val="6F525DFE"/>
    <w:rsid w:val="6F594314"/>
    <w:rsid w:val="6F5D7020"/>
    <w:rsid w:val="6F5E0C47"/>
    <w:rsid w:val="6F60051B"/>
    <w:rsid w:val="6F610009"/>
    <w:rsid w:val="6F64763C"/>
    <w:rsid w:val="6F72024E"/>
    <w:rsid w:val="6F721E20"/>
    <w:rsid w:val="6F771D08"/>
    <w:rsid w:val="6F790A02"/>
    <w:rsid w:val="6F7A7103"/>
    <w:rsid w:val="6F810491"/>
    <w:rsid w:val="6F8306AD"/>
    <w:rsid w:val="6F887A72"/>
    <w:rsid w:val="6F8C0E33"/>
    <w:rsid w:val="6F8F6E20"/>
    <w:rsid w:val="6F8F7052"/>
    <w:rsid w:val="6F906D41"/>
    <w:rsid w:val="6F921B6C"/>
    <w:rsid w:val="6F942D96"/>
    <w:rsid w:val="6F942F12"/>
    <w:rsid w:val="6F9957DB"/>
    <w:rsid w:val="6F9C52CB"/>
    <w:rsid w:val="6FA14630"/>
    <w:rsid w:val="6FA26D85"/>
    <w:rsid w:val="6FAD6CB0"/>
    <w:rsid w:val="6FAE731B"/>
    <w:rsid w:val="6FB37E5B"/>
    <w:rsid w:val="6FB70357"/>
    <w:rsid w:val="6FBF29F0"/>
    <w:rsid w:val="6FC767EC"/>
    <w:rsid w:val="6FCD38F6"/>
    <w:rsid w:val="6FD435EC"/>
    <w:rsid w:val="6FD456A4"/>
    <w:rsid w:val="6FE27182"/>
    <w:rsid w:val="6FF66875"/>
    <w:rsid w:val="6FF84BF7"/>
    <w:rsid w:val="6FF944CB"/>
    <w:rsid w:val="6FF9591C"/>
    <w:rsid w:val="6FFB3825"/>
    <w:rsid w:val="6FFB3878"/>
    <w:rsid w:val="6FFC5590"/>
    <w:rsid w:val="6FFE71E9"/>
    <w:rsid w:val="6FFF35F9"/>
    <w:rsid w:val="700213CA"/>
    <w:rsid w:val="70027824"/>
    <w:rsid w:val="700F1F41"/>
    <w:rsid w:val="70113683"/>
    <w:rsid w:val="70133636"/>
    <w:rsid w:val="701C5DAF"/>
    <w:rsid w:val="701F7840"/>
    <w:rsid w:val="702459EC"/>
    <w:rsid w:val="702932C7"/>
    <w:rsid w:val="702E23C7"/>
    <w:rsid w:val="703006B9"/>
    <w:rsid w:val="703425A5"/>
    <w:rsid w:val="7036571F"/>
    <w:rsid w:val="703D085C"/>
    <w:rsid w:val="703E6CEE"/>
    <w:rsid w:val="70447E3C"/>
    <w:rsid w:val="70455831"/>
    <w:rsid w:val="70467D61"/>
    <w:rsid w:val="70467F16"/>
    <w:rsid w:val="704B26F7"/>
    <w:rsid w:val="70515DF0"/>
    <w:rsid w:val="70563E4B"/>
    <w:rsid w:val="705C5B69"/>
    <w:rsid w:val="706B361B"/>
    <w:rsid w:val="706D1DD0"/>
    <w:rsid w:val="7072176C"/>
    <w:rsid w:val="70741DA4"/>
    <w:rsid w:val="70766E0C"/>
    <w:rsid w:val="70814BED"/>
    <w:rsid w:val="70856B87"/>
    <w:rsid w:val="708A46FF"/>
    <w:rsid w:val="708F6BDE"/>
    <w:rsid w:val="709016B1"/>
    <w:rsid w:val="7093013C"/>
    <w:rsid w:val="709A7A5C"/>
    <w:rsid w:val="709C1767"/>
    <w:rsid w:val="709F32C5"/>
    <w:rsid w:val="70A2124C"/>
    <w:rsid w:val="70A46B2D"/>
    <w:rsid w:val="70A526E5"/>
    <w:rsid w:val="70AD3491"/>
    <w:rsid w:val="70B119F5"/>
    <w:rsid w:val="70B52AE8"/>
    <w:rsid w:val="70BA3C5B"/>
    <w:rsid w:val="70BA5657"/>
    <w:rsid w:val="70BF74C3"/>
    <w:rsid w:val="70C0121E"/>
    <w:rsid w:val="70C5283E"/>
    <w:rsid w:val="70C8530E"/>
    <w:rsid w:val="70C920F0"/>
    <w:rsid w:val="70D32D6D"/>
    <w:rsid w:val="70D527EE"/>
    <w:rsid w:val="70D65711"/>
    <w:rsid w:val="70D91FB4"/>
    <w:rsid w:val="70E228AC"/>
    <w:rsid w:val="70E7076F"/>
    <w:rsid w:val="70EF0BBB"/>
    <w:rsid w:val="70FC4273"/>
    <w:rsid w:val="71000227"/>
    <w:rsid w:val="71045BCB"/>
    <w:rsid w:val="71072B3B"/>
    <w:rsid w:val="71103918"/>
    <w:rsid w:val="711103FF"/>
    <w:rsid w:val="7113780F"/>
    <w:rsid w:val="711E4053"/>
    <w:rsid w:val="7122272F"/>
    <w:rsid w:val="71273103"/>
    <w:rsid w:val="71290DE0"/>
    <w:rsid w:val="712A389A"/>
    <w:rsid w:val="712F66ED"/>
    <w:rsid w:val="71397A77"/>
    <w:rsid w:val="713C4FB8"/>
    <w:rsid w:val="713E0FAB"/>
    <w:rsid w:val="71467DAE"/>
    <w:rsid w:val="714874B8"/>
    <w:rsid w:val="714B51FB"/>
    <w:rsid w:val="714E7C4B"/>
    <w:rsid w:val="7157701B"/>
    <w:rsid w:val="715B5300"/>
    <w:rsid w:val="716B764B"/>
    <w:rsid w:val="717B5AE0"/>
    <w:rsid w:val="717F6C52"/>
    <w:rsid w:val="718132C5"/>
    <w:rsid w:val="7184366B"/>
    <w:rsid w:val="719170B1"/>
    <w:rsid w:val="7193397A"/>
    <w:rsid w:val="71953DAE"/>
    <w:rsid w:val="71997F20"/>
    <w:rsid w:val="719D6961"/>
    <w:rsid w:val="719E7E5D"/>
    <w:rsid w:val="71A75D22"/>
    <w:rsid w:val="71B2527A"/>
    <w:rsid w:val="71B27028"/>
    <w:rsid w:val="71B6097C"/>
    <w:rsid w:val="71BE249C"/>
    <w:rsid w:val="71C84C96"/>
    <w:rsid w:val="71CB1E97"/>
    <w:rsid w:val="71CB7019"/>
    <w:rsid w:val="71D21098"/>
    <w:rsid w:val="71D27F8A"/>
    <w:rsid w:val="71E74F23"/>
    <w:rsid w:val="71EA4A14"/>
    <w:rsid w:val="71F14E1A"/>
    <w:rsid w:val="71FD64F5"/>
    <w:rsid w:val="72005FE5"/>
    <w:rsid w:val="72070EBA"/>
    <w:rsid w:val="72077373"/>
    <w:rsid w:val="720B59E7"/>
    <w:rsid w:val="720C2BDC"/>
    <w:rsid w:val="720C4F1A"/>
    <w:rsid w:val="72105C8C"/>
    <w:rsid w:val="721970A7"/>
    <w:rsid w:val="721B6203"/>
    <w:rsid w:val="7220249A"/>
    <w:rsid w:val="72271D55"/>
    <w:rsid w:val="72274603"/>
    <w:rsid w:val="722953B8"/>
    <w:rsid w:val="722A06AD"/>
    <w:rsid w:val="723652CB"/>
    <w:rsid w:val="72553024"/>
    <w:rsid w:val="72587BCF"/>
    <w:rsid w:val="725F2A5A"/>
    <w:rsid w:val="726227FC"/>
    <w:rsid w:val="72655E48"/>
    <w:rsid w:val="726647C0"/>
    <w:rsid w:val="7266656B"/>
    <w:rsid w:val="726A5F20"/>
    <w:rsid w:val="726B719A"/>
    <w:rsid w:val="726E1D51"/>
    <w:rsid w:val="72757625"/>
    <w:rsid w:val="727B2391"/>
    <w:rsid w:val="728304BF"/>
    <w:rsid w:val="728409C4"/>
    <w:rsid w:val="728A1B72"/>
    <w:rsid w:val="728B1D53"/>
    <w:rsid w:val="728C5ACB"/>
    <w:rsid w:val="72940D9C"/>
    <w:rsid w:val="72987FCC"/>
    <w:rsid w:val="729A01E8"/>
    <w:rsid w:val="729D55E2"/>
    <w:rsid w:val="72A37CB3"/>
    <w:rsid w:val="72A9667D"/>
    <w:rsid w:val="72AC2EE6"/>
    <w:rsid w:val="72B52609"/>
    <w:rsid w:val="72B55021"/>
    <w:rsid w:val="72B868C0"/>
    <w:rsid w:val="72BC20E7"/>
    <w:rsid w:val="72C253DC"/>
    <w:rsid w:val="72C60FDD"/>
    <w:rsid w:val="72C6668F"/>
    <w:rsid w:val="72C926B8"/>
    <w:rsid w:val="72D66D46"/>
    <w:rsid w:val="72D8096A"/>
    <w:rsid w:val="72DA05E4"/>
    <w:rsid w:val="72DC5FB7"/>
    <w:rsid w:val="72DD619C"/>
    <w:rsid w:val="72E71E32"/>
    <w:rsid w:val="72E86CB2"/>
    <w:rsid w:val="72F0605A"/>
    <w:rsid w:val="72F35B4A"/>
    <w:rsid w:val="72F571CC"/>
    <w:rsid w:val="72F64A4B"/>
    <w:rsid w:val="72FA7515"/>
    <w:rsid w:val="73096F9C"/>
    <w:rsid w:val="73102B81"/>
    <w:rsid w:val="73122968"/>
    <w:rsid w:val="73131F38"/>
    <w:rsid w:val="731E2F6D"/>
    <w:rsid w:val="731F5D5E"/>
    <w:rsid w:val="73237DA4"/>
    <w:rsid w:val="7327134F"/>
    <w:rsid w:val="732D4BB8"/>
    <w:rsid w:val="732E437C"/>
    <w:rsid w:val="732E7825"/>
    <w:rsid w:val="733028FA"/>
    <w:rsid w:val="7332693A"/>
    <w:rsid w:val="73390EC9"/>
    <w:rsid w:val="73391640"/>
    <w:rsid w:val="7343262D"/>
    <w:rsid w:val="734819F2"/>
    <w:rsid w:val="734C0DB6"/>
    <w:rsid w:val="73560E02"/>
    <w:rsid w:val="73717788"/>
    <w:rsid w:val="737260E5"/>
    <w:rsid w:val="73777C8C"/>
    <w:rsid w:val="737E18B7"/>
    <w:rsid w:val="73813156"/>
    <w:rsid w:val="738B59F9"/>
    <w:rsid w:val="738B5D82"/>
    <w:rsid w:val="738C51C1"/>
    <w:rsid w:val="738E13CF"/>
    <w:rsid w:val="738F00AC"/>
    <w:rsid w:val="738F5872"/>
    <w:rsid w:val="73922C6D"/>
    <w:rsid w:val="73956B0F"/>
    <w:rsid w:val="739E67E5"/>
    <w:rsid w:val="739F4CAA"/>
    <w:rsid w:val="73A97D1F"/>
    <w:rsid w:val="73AF2734"/>
    <w:rsid w:val="73B25097"/>
    <w:rsid w:val="73B755D9"/>
    <w:rsid w:val="73BF371A"/>
    <w:rsid w:val="73BF44D7"/>
    <w:rsid w:val="73C51AD5"/>
    <w:rsid w:val="73DC038C"/>
    <w:rsid w:val="73DD7FA9"/>
    <w:rsid w:val="73DF1592"/>
    <w:rsid w:val="73DF272C"/>
    <w:rsid w:val="73ED07EB"/>
    <w:rsid w:val="73F10F45"/>
    <w:rsid w:val="73F1776E"/>
    <w:rsid w:val="73F2195D"/>
    <w:rsid w:val="74017DF2"/>
    <w:rsid w:val="740276AD"/>
    <w:rsid w:val="74055B35"/>
    <w:rsid w:val="740718AD"/>
    <w:rsid w:val="7418365E"/>
    <w:rsid w:val="741E793C"/>
    <w:rsid w:val="74237D69"/>
    <w:rsid w:val="7426655C"/>
    <w:rsid w:val="742A10F7"/>
    <w:rsid w:val="742C4E6F"/>
    <w:rsid w:val="742E508B"/>
    <w:rsid w:val="74315E46"/>
    <w:rsid w:val="74324450"/>
    <w:rsid w:val="7438129D"/>
    <w:rsid w:val="743D75D2"/>
    <w:rsid w:val="743E2778"/>
    <w:rsid w:val="7443665D"/>
    <w:rsid w:val="74477EFB"/>
    <w:rsid w:val="7448080C"/>
    <w:rsid w:val="744F4C3F"/>
    <w:rsid w:val="7455275F"/>
    <w:rsid w:val="745E3944"/>
    <w:rsid w:val="7465624D"/>
    <w:rsid w:val="74687728"/>
    <w:rsid w:val="746A5998"/>
    <w:rsid w:val="74721E24"/>
    <w:rsid w:val="74782CF2"/>
    <w:rsid w:val="747A06B4"/>
    <w:rsid w:val="747A3EB5"/>
    <w:rsid w:val="747D583E"/>
    <w:rsid w:val="74821FF6"/>
    <w:rsid w:val="74895A9B"/>
    <w:rsid w:val="74933140"/>
    <w:rsid w:val="74A013B9"/>
    <w:rsid w:val="74A03796"/>
    <w:rsid w:val="74A41FE6"/>
    <w:rsid w:val="74A803D8"/>
    <w:rsid w:val="74AC7D5E"/>
    <w:rsid w:val="74B42F52"/>
    <w:rsid w:val="74B90999"/>
    <w:rsid w:val="74BB4445"/>
    <w:rsid w:val="74BC06D1"/>
    <w:rsid w:val="74C04701"/>
    <w:rsid w:val="74C062AF"/>
    <w:rsid w:val="74C257D4"/>
    <w:rsid w:val="74C96B62"/>
    <w:rsid w:val="74D20734"/>
    <w:rsid w:val="74D278E1"/>
    <w:rsid w:val="74D53759"/>
    <w:rsid w:val="74D608F5"/>
    <w:rsid w:val="74DC0661"/>
    <w:rsid w:val="74DD15ED"/>
    <w:rsid w:val="74E94603"/>
    <w:rsid w:val="74FA089B"/>
    <w:rsid w:val="74FE1E1A"/>
    <w:rsid w:val="750556C0"/>
    <w:rsid w:val="750F6AB9"/>
    <w:rsid w:val="7513602F"/>
    <w:rsid w:val="75137DDD"/>
    <w:rsid w:val="751A6F30"/>
    <w:rsid w:val="751C453B"/>
    <w:rsid w:val="75273889"/>
    <w:rsid w:val="75295853"/>
    <w:rsid w:val="752D672E"/>
    <w:rsid w:val="753164B5"/>
    <w:rsid w:val="75345A53"/>
    <w:rsid w:val="7534653E"/>
    <w:rsid w:val="7536299A"/>
    <w:rsid w:val="75376BD7"/>
    <w:rsid w:val="753A1435"/>
    <w:rsid w:val="753A7A60"/>
    <w:rsid w:val="754E0E15"/>
    <w:rsid w:val="75521133"/>
    <w:rsid w:val="75600A65"/>
    <w:rsid w:val="756949EA"/>
    <w:rsid w:val="756E6E1F"/>
    <w:rsid w:val="756E770A"/>
    <w:rsid w:val="757C5983"/>
    <w:rsid w:val="758670CC"/>
    <w:rsid w:val="75906A9D"/>
    <w:rsid w:val="759116BE"/>
    <w:rsid w:val="759F78C3"/>
    <w:rsid w:val="75A13617"/>
    <w:rsid w:val="75AB6268"/>
    <w:rsid w:val="75B22026"/>
    <w:rsid w:val="75B22D3C"/>
    <w:rsid w:val="75B23A9A"/>
    <w:rsid w:val="75B31AF2"/>
    <w:rsid w:val="75C15A8B"/>
    <w:rsid w:val="75C25F33"/>
    <w:rsid w:val="75C37A55"/>
    <w:rsid w:val="75C910E8"/>
    <w:rsid w:val="75D03F20"/>
    <w:rsid w:val="75D237F5"/>
    <w:rsid w:val="75D25EEA"/>
    <w:rsid w:val="75D370D8"/>
    <w:rsid w:val="75DC697D"/>
    <w:rsid w:val="75E43347"/>
    <w:rsid w:val="75E60DC3"/>
    <w:rsid w:val="75F467E1"/>
    <w:rsid w:val="75F47C0F"/>
    <w:rsid w:val="75F57246"/>
    <w:rsid w:val="75FC0AF1"/>
    <w:rsid w:val="75FC5F5A"/>
    <w:rsid w:val="75FE45EA"/>
    <w:rsid w:val="75FF1536"/>
    <w:rsid w:val="7601057E"/>
    <w:rsid w:val="760925E8"/>
    <w:rsid w:val="760C31AA"/>
    <w:rsid w:val="761D691B"/>
    <w:rsid w:val="762069DE"/>
    <w:rsid w:val="76232CDF"/>
    <w:rsid w:val="762A53DF"/>
    <w:rsid w:val="763079CC"/>
    <w:rsid w:val="7635099D"/>
    <w:rsid w:val="76360227"/>
    <w:rsid w:val="76393874"/>
    <w:rsid w:val="764138C0"/>
    <w:rsid w:val="76436491"/>
    <w:rsid w:val="76482972"/>
    <w:rsid w:val="764F753B"/>
    <w:rsid w:val="7652226E"/>
    <w:rsid w:val="765608C9"/>
    <w:rsid w:val="76573B9A"/>
    <w:rsid w:val="76607052"/>
    <w:rsid w:val="766240A3"/>
    <w:rsid w:val="76653245"/>
    <w:rsid w:val="76674F2A"/>
    <w:rsid w:val="766A6E7D"/>
    <w:rsid w:val="766A7ED1"/>
    <w:rsid w:val="766C59F7"/>
    <w:rsid w:val="766F3739"/>
    <w:rsid w:val="767876E4"/>
    <w:rsid w:val="76832D47"/>
    <w:rsid w:val="768626D1"/>
    <w:rsid w:val="768841D7"/>
    <w:rsid w:val="768E1E11"/>
    <w:rsid w:val="768E2076"/>
    <w:rsid w:val="76911902"/>
    <w:rsid w:val="769720E3"/>
    <w:rsid w:val="76996CDE"/>
    <w:rsid w:val="769B0E9D"/>
    <w:rsid w:val="769F7A2D"/>
    <w:rsid w:val="76A63920"/>
    <w:rsid w:val="76BA1882"/>
    <w:rsid w:val="76C24285"/>
    <w:rsid w:val="76C32279"/>
    <w:rsid w:val="76C66DF5"/>
    <w:rsid w:val="76C731C3"/>
    <w:rsid w:val="76CF28F7"/>
    <w:rsid w:val="76D0525F"/>
    <w:rsid w:val="76D2017F"/>
    <w:rsid w:val="76D30231"/>
    <w:rsid w:val="76D46766"/>
    <w:rsid w:val="76DD0554"/>
    <w:rsid w:val="76E87C8D"/>
    <w:rsid w:val="76E934EC"/>
    <w:rsid w:val="76EB7E51"/>
    <w:rsid w:val="76EF0F0D"/>
    <w:rsid w:val="76F31C74"/>
    <w:rsid w:val="76F459ED"/>
    <w:rsid w:val="76F61765"/>
    <w:rsid w:val="76F641D5"/>
    <w:rsid w:val="76F679B7"/>
    <w:rsid w:val="76F93003"/>
    <w:rsid w:val="76FD1273"/>
    <w:rsid w:val="76FF4ABD"/>
    <w:rsid w:val="77040325"/>
    <w:rsid w:val="770420D4"/>
    <w:rsid w:val="770F2826"/>
    <w:rsid w:val="770F53F7"/>
    <w:rsid w:val="7715521D"/>
    <w:rsid w:val="77167266"/>
    <w:rsid w:val="771A18F7"/>
    <w:rsid w:val="771D3195"/>
    <w:rsid w:val="771F6F0D"/>
    <w:rsid w:val="772375CF"/>
    <w:rsid w:val="772A140E"/>
    <w:rsid w:val="772C13DB"/>
    <w:rsid w:val="77324E93"/>
    <w:rsid w:val="773A0A2A"/>
    <w:rsid w:val="773D1CA3"/>
    <w:rsid w:val="77457675"/>
    <w:rsid w:val="77503477"/>
    <w:rsid w:val="77514BED"/>
    <w:rsid w:val="77535E37"/>
    <w:rsid w:val="77550B81"/>
    <w:rsid w:val="775C296F"/>
    <w:rsid w:val="775E0C7C"/>
    <w:rsid w:val="7762504C"/>
    <w:rsid w:val="776C1A27"/>
    <w:rsid w:val="776E4808"/>
    <w:rsid w:val="777059BB"/>
    <w:rsid w:val="7771703D"/>
    <w:rsid w:val="7772178D"/>
    <w:rsid w:val="777346C5"/>
    <w:rsid w:val="77746307"/>
    <w:rsid w:val="77762421"/>
    <w:rsid w:val="777811EF"/>
    <w:rsid w:val="777D5A6A"/>
    <w:rsid w:val="778154D2"/>
    <w:rsid w:val="7783749C"/>
    <w:rsid w:val="778570FD"/>
    <w:rsid w:val="77876861"/>
    <w:rsid w:val="778C0D80"/>
    <w:rsid w:val="778D031B"/>
    <w:rsid w:val="77903967"/>
    <w:rsid w:val="77970808"/>
    <w:rsid w:val="779A20A0"/>
    <w:rsid w:val="77A56508"/>
    <w:rsid w:val="77AA7094"/>
    <w:rsid w:val="77AE203F"/>
    <w:rsid w:val="77B328A2"/>
    <w:rsid w:val="77B5517C"/>
    <w:rsid w:val="77B56B1F"/>
    <w:rsid w:val="77B959B9"/>
    <w:rsid w:val="77B96653"/>
    <w:rsid w:val="77BA09E4"/>
    <w:rsid w:val="77C05177"/>
    <w:rsid w:val="77C74BC9"/>
    <w:rsid w:val="77CB1098"/>
    <w:rsid w:val="77CC258D"/>
    <w:rsid w:val="77CC3B2B"/>
    <w:rsid w:val="77CC670C"/>
    <w:rsid w:val="77D01FB6"/>
    <w:rsid w:val="77D71596"/>
    <w:rsid w:val="77DA2E34"/>
    <w:rsid w:val="77DE74D4"/>
    <w:rsid w:val="77E54CD2"/>
    <w:rsid w:val="77E88F2A"/>
    <w:rsid w:val="77EE5BF7"/>
    <w:rsid w:val="77EF4B32"/>
    <w:rsid w:val="77F174F7"/>
    <w:rsid w:val="77F21374"/>
    <w:rsid w:val="77F268C7"/>
    <w:rsid w:val="77FA2B72"/>
    <w:rsid w:val="78014DB2"/>
    <w:rsid w:val="780F09F4"/>
    <w:rsid w:val="781110D7"/>
    <w:rsid w:val="78177BE5"/>
    <w:rsid w:val="781B5927"/>
    <w:rsid w:val="781E5417"/>
    <w:rsid w:val="7836450F"/>
    <w:rsid w:val="784213A1"/>
    <w:rsid w:val="784529A4"/>
    <w:rsid w:val="784721A1"/>
    <w:rsid w:val="784847F3"/>
    <w:rsid w:val="784A10AC"/>
    <w:rsid w:val="784D67ED"/>
    <w:rsid w:val="784E15F3"/>
    <w:rsid w:val="7851451E"/>
    <w:rsid w:val="78581156"/>
    <w:rsid w:val="7859644F"/>
    <w:rsid w:val="78623556"/>
    <w:rsid w:val="786C319A"/>
    <w:rsid w:val="7874676C"/>
    <w:rsid w:val="7875124E"/>
    <w:rsid w:val="78765AD1"/>
    <w:rsid w:val="7879264D"/>
    <w:rsid w:val="787943FB"/>
    <w:rsid w:val="788A485A"/>
    <w:rsid w:val="78931861"/>
    <w:rsid w:val="789C26A7"/>
    <w:rsid w:val="78A0407E"/>
    <w:rsid w:val="78A3591C"/>
    <w:rsid w:val="78A90480"/>
    <w:rsid w:val="78AB77B5"/>
    <w:rsid w:val="78AD7B11"/>
    <w:rsid w:val="78AF2839"/>
    <w:rsid w:val="78B13B95"/>
    <w:rsid w:val="78B542FD"/>
    <w:rsid w:val="78BC49E1"/>
    <w:rsid w:val="78BE0E43"/>
    <w:rsid w:val="78C03FBC"/>
    <w:rsid w:val="78C175D4"/>
    <w:rsid w:val="78C618B9"/>
    <w:rsid w:val="78CA10FB"/>
    <w:rsid w:val="78CC3620"/>
    <w:rsid w:val="78CC4E73"/>
    <w:rsid w:val="78D322FD"/>
    <w:rsid w:val="78DD180F"/>
    <w:rsid w:val="78DE6954"/>
    <w:rsid w:val="78E04A44"/>
    <w:rsid w:val="78E06AB0"/>
    <w:rsid w:val="78E407A2"/>
    <w:rsid w:val="78E90AFB"/>
    <w:rsid w:val="78EF46BD"/>
    <w:rsid w:val="78F61505"/>
    <w:rsid w:val="78F77F8A"/>
    <w:rsid w:val="78F82897"/>
    <w:rsid w:val="78FE2CD2"/>
    <w:rsid w:val="78FE2DC7"/>
    <w:rsid w:val="79020895"/>
    <w:rsid w:val="790A4622"/>
    <w:rsid w:val="790F0DA0"/>
    <w:rsid w:val="791C598A"/>
    <w:rsid w:val="791C7AE1"/>
    <w:rsid w:val="79202AC9"/>
    <w:rsid w:val="792132B2"/>
    <w:rsid w:val="79230432"/>
    <w:rsid w:val="79290AFD"/>
    <w:rsid w:val="79316479"/>
    <w:rsid w:val="793B6CE8"/>
    <w:rsid w:val="793F3897"/>
    <w:rsid w:val="7940152C"/>
    <w:rsid w:val="7947274B"/>
    <w:rsid w:val="794E5888"/>
    <w:rsid w:val="794F113B"/>
    <w:rsid w:val="79534A1E"/>
    <w:rsid w:val="79642BC0"/>
    <w:rsid w:val="79661558"/>
    <w:rsid w:val="796706F8"/>
    <w:rsid w:val="796B2CB2"/>
    <w:rsid w:val="79782264"/>
    <w:rsid w:val="79782905"/>
    <w:rsid w:val="797C3087"/>
    <w:rsid w:val="797D37A9"/>
    <w:rsid w:val="79836B0A"/>
    <w:rsid w:val="798435BE"/>
    <w:rsid w:val="79872B48"/>
    <w:rsid w:val="79892D64"/>
    <w:rsid w:val="798970A0"/>
    <w:rsid w:val="798D1378"/>
    <w:rsid w:val="79975997"/>
    <w:rsid w:val="79982FA7"/>
    <w:rsid w:val="799A287B"/>
    <w:rsid w:val="79A526D4"/>
    <w:rsid w:val="79A944B7"/>
    <w:rsid w:val="79AC5CCE"/>
    <w:rsid w:val="79AD0E20"/>
    <w:rsid w:val="79AE27CB"/>
    <w:rsid w:val="79B53B59"/>
    <w:rsid w:val="79B7076B"/>
    <w:rsid w:val="79BB40EC"/>
    <w:rsid w:val="79BC4F18"/>
    <w:rsid w:val="79C67BEE"/>
    <w:rsid w:val="79C93160"/>
    <w:rsid w:val="79CC08A3"/>
    <w:rsid w:val="79CC4220"/>
    <w:rsid w:val="79D82893"/>
    <w:rsid w:val="79E85CDC"/>
    <w:rsid w:val="79EA2C5F"/>
    <w:rsid w:val="79F226B7"/>
    <w:rsid w:val="79F301DD"/>
    <w:rsid w:val="79F75F20"/>
    <w:rsid w:val="79F803B0"/>
    <w:rsid w:val="79FB69E3"/>
    <w:rsid w:val="79FC52E4"/>
    <w:rsid w:val="79FE105C"/>
    <w:rsid w:val="79FF3026"/>
    <w:rsid w:val="79FF5316"/>
    <w:rsid w:val="7A065B08"/>
    <w:rsid w:val="7A081EDB"/>
    <w:rsid w:val="7A097A01"/>
    <w:rsid w:val="7A0D126A"/>
    <w:rsid w:val="7A0F1515"/>
    <w:rsid w:val="7A13262E"/>
    <w:rsid w:val="7A141937"/>
    <w:rsid w:val="7A1545F8"/>
    <w:rsid w:val="7A181646"/>
    <w:rsid w:val="7A293F92"/>
    <w:rsid w:val="7A364017"/>
    <w:rsid w:val="7A3F486C"/>
    <w:rsid w:val="7A406FE4"/>
    <w:rsid w:val="7A432F13"/>
    <w:rsid w:val="7A466E78"/>
    <w:rsid w:val="7A490C32"/>
    <w:rsid w:val="7A4D3D91"/>
    <w:rsid w:val="7A524B86"/>
    <w:rsid w:val="7A58405D"/>
    <w:rsid w:val="7A5E6E0D"/>
    <w:rsid w:val="7A6112C8"/>
    <w:rsid w:val="7A6228A3"/>
    <w:rsid w:val="7A6338EF"/>
    <w:rsid w:val="7A65732D"/>
    <w:rsid w:val="7A6C3DE2"/>
    <w:rsid w:val="7A6D4434"/>
    <w:rsid w:val="7A7059CC"/>
    <w:rsid w:val="7A746447"/>
    <w:rsid w:val="7A76421D"/>
    <w:rsid w:val="7A770E9D"/>
    <w:rsid w:val="7A7E219D"/>
    <w:rsid w:val="7A7F0D6A"/>
    <w:rsid w:val="7A7F1A71"/>
    <w:rsid w:val="7A7F316F"/>
    <w:rsid w:val="7A806FA1"/>
    <w:rsid w:val="7A822A1F"/>
    <w:rsid w:val="7A8235A7"/>
    <w:rsid w:val="7A8265E1"/>
    <w:rsid w:val="7A8335BE"/>
    <w:rsid w:val="7A957D10"/>
    <w:rsid w:val="7A997B20"/>
    <w:rsid w:val="7A997D68"/>
    <w:rsid w:val="7A9D6AC7"/>
    <w:rsid w:val="7AA02113"/>
    <w:rsid w:val="7AA178D5"/>
    <w:rsid w:val="7AA214C2"/>
    <w:rsid w:val="7AAB0BDA"/>
    <w:rsid w:val="7AAF78F5"/>
    <w:rsid w:val="7AB20098"/>
    <w:rsid w:val="7AB530B6"/>
    <w:rsid w:val="7AB7745D"/>
    <w:rsid w:val="7ABE6A3D"/>
    <w:rsid w:val="7AC027DA"/>
    <w:rsid w:val="7AC712C7"/>
    <w:rsid w:val="7ACE08F5"/>
    <w:rsid w:val="7AD1051F"/>
    <w:rsid w:val="7AD16771"/>
    <w:rsid w:val="7AD7365B"/>
    <w:rsid w:val="7ADF57DD"/>
    <w:rsid w:val="7AE30252"/>
    <w:rsid w:val="7AE81482"/>
    <w:rsid w:val="7AE84E6F"/>
    <w:rsid w:val="7AEF2E2C"/>
    <w:rsid w:val="7AF43C8E"/>
    <w:rsid w:val="7AF83CFD"/>
    <w:rsid w:val="7B0D7956"/>
    <w:rsid w:val="7B0E3CB2"/>
    <w:rsid w:val="7B1228E5"/>
    <w:rsid w:val="7B1437A2"/>
    <w:rsid w:val="7B18439F"/>
    <w:rsid w:val="7B1D0C00"/>
    <w:rsid w:val="7B212602"/>
    <w:rsid w:val="7B29035B"/>
    <w:rsid w:val="7B332F87"/>
    <w:rsid w:val="7B39479D"/>
    <w:rsid w:val="7B3B6F12"/>
    <w:rsid w:val="7B450F0D"/>
    <w:rsid w:val="7B474E14"/>
    <w:rsid w:val="7B4A56E6"/>
    <w:rsid w:val="7B4B1144"/>
    <w:rsid w:val="7B4D150D"/>
    <w:rsid w:val="7B510AC6"/>
    <w:rsid w:val="7B5C7176"/>
    <w:rsid w:val="7B641393"/>
    <w:rsid w:val="7B686D42"/>
    <w:rsid w:val="7B784E3E"/>
    <w:rsid w:val="7B7A6E08"/>
    <w:rsid w:val="7B841746"/>
    <w:rsid w:val="7B841A35"/>
    <w:rsid w:val="7B882459"/>
    <w:rsid w:val="7B902188"/>
    <w:rsid w:val="7B9A0FB5"/>
    <w:rsid w:val="7B9D1F0E"/>
    <w:rsid w:val="7B9E37A2"/>
    <w:rsid w:val="7BA3268F"/>
    <w:rsid w:val="7BAB4517"/>
    <w:rsid w:val="7BB54B84"/>
    <w:rsid w:val="7BBA7205"/>
    <w:rsid w:val="7BBB218D"/>
    <w:rsid w:val="7BBC2F7D"/>
    <w:rsid w:val="7BBC4968"/>
    <w:rsid w:val="7BC6204D"/>
    <w:rsid w:val="7BD42D6C"/>
    <w:rsid w:val="7BE95D3C"/>
    <w:rsid w:val="7BED03FD"/>
    <w:rsid w:val="7BF1074D"/>
    <w:rsid w:val="7BFF2E69"/>
    <w:rsid w:val="7BFF730D"/>
    <w:rsid w:val="7C042B76"/>
    <w:rsid w:val="7C070929"/>
    <w:rsid w:val="7C092E58"/>
    <w:rsid w:val="7C094EBC"/>
    <w:rsid w:val="7C0C1990"/>
    <w:rsid w:val="7C1475DC"/>
    <w:rsid w:val="7C1568F9"/>
    <w:rsid w:val="7C2F74FB"/>
    <w:rsid w:val="7C3C2310"/>
    <w:rsid w:val="7C4276DA"/>
    <w:rsid w:val="7C4349F2"/>
    <w:rsid w:val="7C44572E"/>
    <w:rsid w:val="7C496766"/>
    <w:rsid w:val="7C4A5122"/>
    <w:rsid w:val="7C55517F"/>
    <w:rsid w:val="7C583C78"/>
    <w:rsid w:val="7C6223AF"/>
    <w:rsid w:val="7C6467C9"/>
    <w:rsid w:val="7C681B51"/>
    <w:rsid w:val="7C683105"/>
    <w:rsid w:val="7C6C5AC7"/>
    <w:rsid w:val="7C6F4493"/>
    <w:rsid w:val="7C702246"/>
    <w:rsid w:val="7C725FBB"/>
    <w:rsid w:val="7C7863FB"/>
    <w:rsid w:val="7C7B0F4D"/>
    <w:rsid w:val="7C800D38"/>
    <w:rsid w:val="7C865339"/>
    <w:rsid w:val="7C88395E"/>
    <w:rsid w:val="7C885555"/>
    <w:rsid w:val="7C8B573A"/>
    <w:rsid w:val="7C932167"/>
    <w:rsid w:val="7C951615"/>
    <w:rsid w:val="7CA25D66"/>
    <w:rsid w:val="7CA3339F"/>
    <w:rsid w:val="7CA67789"/>
    <w:rsid w:val="7CC13AEF"/>
    <w:rsid w:val="7CC3033B"/>
    <w:rsid w:val="7CC6544B"/>
    <w:rsid w:val="7CC654D6"/>
    <w:rsid w:val="7CCE3522"/>
    <w:rsid w:val="7CD42548"/>
    <w:rsid w:val="7CD70FA1"/>
    <w:rsid w:val="7CE0751B"/>
    <w:rsid w:val="7CE4128A"/>
    <w:rsid w:val="7CE502B1"/>
    <w:rsid w:val="7CE85FC4"/>
    <w:rsid w:val="7CEE7E6B"/>
    <w:rsid w:val="7CF36E72"/>
    <w:rsid w:val="7CF624BE"/>
    <w:rsid w:val="7CF92B0F"/>
    <w:rsid w:val="7CFC5143"/>
    <w:rsid w:val="7D0239FF"/>
    <w:rsid w:val="7D027606"/>
    <w:rsid w:val="7D027725"/>
    <w:rsid w:val="7D09504D"/>
    <w:rsid w:val="7D0A5F6A"/>
    <w:rsid w:val="7D0B583E"/>
    <w:rsid w:val="7D0F1BE7"/>
    <w:rsid w:val="7D0F3580"/>
    <w:rsid w:val="7D121754"/>
    <w:rsid w:val="7D187EC7"/>
    <w:rsid w:val="7D24527D"/>
    <w:rsid w:val="7D2747F6"/>
    <w:rsid w:val="7D2B70C2"/>
    <w:rsid w:val="7D2C69EB"/>
    <w:rsid w:val="7D2D7DA9"/>
    <w:rsid w:val="7D3D633F"/>
    <w:rsid w:val="7D3E6730"/>
    <w:rsid w:val="7D537911"/>
    <w:rsid w:val="7D55370C"/>
    <w:rsid w:val="7D5736C8"/>
    <w:rsid w:val="7D5854BA"/>
    <w:rsid w:val="7D5E40CD"/>
    <w:rsid w:val="7D600227"/>
    <w:rsid w:val="7D60202E"/>
    <w:rsid w:val="7D605748"/>
    <w:rsid w:val="7D6733BC"/>
    <w:rsid w:val="7D6B4695"/>
    <w:rsid w:val="7D6D4175"/>
    <w:rsid w:val="7D6E474B"/>
    <w:rsid w:val="7D724517"/>
    <w:rsid w:val="7D743812"/>
    <w:rsid w:val="7D775435"/>
    <w:rsid w:val="7D7D4373"/>
    <w:rsid w:val="7D844429"/>
    <w:rsid w:val="7D8D75F2"/>
    <w:rsid w:val="7D9067BB"/>
    <w:rsid w:val="7D910439"/>
    <w:rsid w:val="7D93477A"/>
    <w:rsid w:val="7D963880"/>
    <w:rsid w:val="7D9B1E29"/>
    <w:rsid w:val="7D9C12B8"/>
    <w:rsid w:val="7DA0242A"/>
    <w:rsid w:val="7DA93C3D"/>
    <w:rsid w:val="7DAB498C"/>
    <w:rsid w:val="7DB7441C"/>
    <w:rsid w:val="7DB7626F"/>
    <w:rsid w:val="7DB85AE5"/>
    <w:rsid w:val="7DBE54A9"/>
    <w:rsid w:val="7DC91981"/>
    <w:rsid w:val="7DC97BD3"/>
    <w:rsid w:val="7DCC321F"/>
    <w:rsid w:val="7DCD56F2"/>
    <w:rsid w:val="7DCE6F97"/>
    <w:rsid w:val="7DD345AE"/>
    <w:rsid w:val="7DD65C90"/>
    <w:rsid w:val="7DD804D3"/>
    <w:rsid w:val="7DDD291E"/>
    <w:rsid w:val="7DE15CAB"/>
    <w:rsid w:val="7DE27CBA"/>
    <w:rsid w:val="7DE332EE"/>
    <w:rsid w:val="7DE95B7F"/>
    <w:rsid w:val="7DF369FE"/>
    <w:rsid w:val="7E016B48"/>
    <w:rsid w:val="7E01736D"/>
    <w:rsid w:val="7E0230E5"/>
    <w:rsid w:val="7E05211B"/>
    <w:rsid w:val="7E094473"/>
    <w:rsid w:val="7E0F0CA5"/>
    <w:rsid w:val="7E102012"/>
    <w:rsid w:val="7E131711"/>
    <w:rsid w:val="7E1F5A45"/>
    <w:rsid w:val="7E21356B"/>
    <w:rsid w:val="7E2458E7"/>
    <w:rsid w:val="7E260B81"/>
    <w:rsid w:val="7E2C35D6"/>
    <w:rsid w:val="7E2D7886"/>
    <w:rsid w:val="7E34554D"/>
    <w:rsid w:val="7E356A1C"/>
    <w:rsid w:val="7E3A287F"/>
    <w:rsid w:val="7E3F1C43"/>
    <w:rsid w:val="7E42697B"/>
    <w:rsid w:val="7E466A7F"/>
    <w:rsid w:val="7E5849CF"/>
    <w:rsid w:val="7E5F6222"/>
    <w:rsid w:val="7E7A3F89"/>
    <w:rsid w:val="7E854BB5"/>
    <w:rsid w:val="7E867872"/>
    <w:rsid w:val="7E885027"/>
    <w:rsid w:val="7E8E561B"/>
    <w:rsid w:val="7E9401E1"/>
    <w:rsid w:val="7E957AB5"/>
    <w:rsid w:val="7E9A09BC"/>
    <w:rsid w:val="7E9C52E7"/>
    <w:rsid w:val="7EA146AC"/>
    <w:rsid w:val="7EA1645A"/>
    <w:rsid w:val="7EA42042"/>
    <w:rsid w:val="7EA4471E"/>
    <w:rsid w:val="7EAA17B2"/>
    <w:rsid w:val="7EAA19A4"/>
    <w:rsid w:val="7EAA7834"/>
    <w:rsid w:val="7EAB1087"/>
    <w:rsid w:val="7EAF0B77"/>
    <w:rsid w:val="7EB40940"/>
    <w:rsid w:val="7EB96407"/>
    <w:rsid w:val="7EC363D0"/>
    <w:rsid w:val="7EC65EC0"/>
    <w:rsid w:val="7ECB3BDE"/>
    <w:rsid w:val="7ED067BF"/>
    <w:rsid w:val="7ED63594"/>
    <w:rsid w:val="7EDF426C"/>
    <w:rsid w:val="7EE83135"/>
    <w:rsid w:val="7EEA02BF"/>
    <w:rsid w:val="7EEA08E1"/>
    <w:rsid w:val="7EEA6053"/>
    <w:rsid w:val="7EF9164F"/>
    <w:rsid w:val="7EFB49D6"/>
    <w:rsid w:val="7F001CE7"/>
    <w:rsid w:val="7F0815D8"/>
    <w:rsid w:val="7F08297D"/>
    <w:rsid w:val="7F087514"/>
    <w:rsid w:val="7F1C462C"/>
    <w:rsid w:val="7F20767F"/>
    <w:rsid w:val="7F2C5674"/>
    <w:rsid w:val="7F2C666B"/>
    <w:rsid w:val="7F30481B"/>
    <w:rsid w:val="7F364DF4"/>
    <w:rsid w:val="7F370B6C"/>
    <w:rsid w:val="7F3823EB"/>
    <w:rsid w:val="7F3E014D"/>
    <w:rsid w:val="7F4C3808"/>
    <w:rsid w:val="7F4D213E"/>
    <w:rsid w:val="7F5355D5"/>
    <w:rsid w:val="7F550EDD"/>
    <w:rsid w:val="7F552EF4"/>
    <w:rsid w:val="7F5746DA"/>
    <w:rsid w:val="7F583EFC"/>
    <w:rsid w:val="7F5F8F8D"/>
    <w:rsid w:val="7F6148E6"/>
    <w:rsid w:val="7F6E5A61"/>
    <w:rsid w:val="7F6F0306"/>
    <w:rsid w:val="7F765B38"/>
    <w:rsid w:val="7F7936A4"/>
    <w:rsid w:val="7F7A4080"/>
    <w:rsid w:val="7F7F2C3F"/>
    <w:rsid w:val="7F824394"/>
    <w:rsid w:val="7F8244DD"/>
    <w:rsid w:val="7F840255"/>
    <w:rsid w:val="7F863192"/>
    <w:rsid w:val="7F8A5140"/>
    <w:rsid w:val="7F8D69DE"/>
    <w:rsid w:val="7F8E2BA0"/>
    <w:rsid w:val="7F9A127E"/>
    <w:rsid w:val="7F9B509B"/>
    <w:rsid w:val="7FA24E5C"/>
    <w:rsid w:val="7FA60A1F"/>
    <w:rsid w:val="7FA7268A"/>
    <w:rsid w:val="7FAA66BB"/>
    <w:rsid w:val="7FAD6919"/>
    <w:rsid w:val="7FB0104A"/>
    <w:rsid w:val="7FB51B8D"/>
    <w:rsid w:val="7FB56661"/>
    <w:rsid w:val="7FBF50D1"/>
    <w:rsid w:val="7FC45C05"/>
    <w:rsid w:val="7FC56178"/>
    <w:rsid w:val="7FD0349B"/>
    <w:rsid w:val="7FD64829"/>
    <w:rsid w:val="7FD840FD"/>
    <w:rsid w:val="7FDB599C"/>
    <w:rsid w:val="7FDD1C52"/>
    <w:rsid w:val="7FE24F7C"/>
    <w:rsid w:val="7FE46CF5"/>
    <w:rsid w:val="7FE47E50"/>
    <w:rsid w:val="7FE5681A"/>
    <w:rsid w:val="7FE7141A"/>
    <w:rsid w:val="7FED68B4"/>
    <w:rsid w:val="7FED73DC"/>
    <w:rsid w:val="7FF07699"/>
    <w:rsid w:val="7FF20DCC"/>
    <w:rsid w:val="7FF4717D"/>
    <w:rsid w:val="7FF52F01"/>
    <w:rsid w:val="7FF85200"/>
    <w:rsid w:val="7FFA7FB6"/>
    <w:rsid w:val="7FFB603E"/>
    <w:rsid w:val="BF7B22C4"/>
    <w:rsid w:val="EFF29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iPriority="39"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qFormat="1" w:uiPriority="0" w:semiHidden="0" w:name="table of authorities" w:locked="1"/>
    <w:lsdException w:unhideWhenUsed="0" w:uiPriority="0" w:semiHidden="0" w:name="macro" w:locked="1"/>
    <w:lsdException w:qFormat="1" w:uiPriority="99"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qFormat="1" w:unhideWhenUsed="0" w:uiPriority="0" w:semiHidden="0" w:name="List 2" w:locked="1"/>
    <w:lsdException w:qFormat="1" w:uiPriority="99"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99"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9"/>
    <w:pPr>
      <w:keepNext/>
      <w:keepLines/>
      <w:outlineLvl w:val="1"/>
    </w:pPr>
    <w:rPr>
      <w:rFonts w:ascii="Cambria" w:hAnsi="Cambria"/>
      <w:b/>
      <w:bCs/>
      <w:szCs w:val="32"/>
    </w:rPr>
  </w:style>
  <w:style w:type="paragraph" w:styleId="4">
    <w:name w:val="heading 3"/>
    <w:basedOn w:val="1"/>
    <w:next w:val="1"/>
    <w:qFormat/>
    <w:locked/>
    <w:uiPriority w:val="0"/>
    <w:pPr>
      <w:keepNext/>
      <w:keepLines/>
      <w:spacing w:before="260" w:after="260" w:line="413" w:lineRule="auto"/>
      <w:outlineLvl w:val="2"/>
    </w:pPr>
    <w:rPr>
      <w:rFonts w:ascii="Calibri" w:hAnsi="Calibri"/>
      <w:b/>
      <w:sz w:val="32"/>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5">
    <w:name w:val="List 3"/>
    <w:basedOn w:val="1"/>
    <w:unhideWhenUsed/>
    <w:qFormat/>
    <w:locked/>
    <w:uiPriority w:val="99"/>
    <w:pPr>
      <w:ind w:left="1260" w:hanging="420"/>
    </w:pPr>
  </w:style>
  <w:style w:type="paragraph" w:styleId="6">
    <w:name w:val="table of authorities"/>
    <w:basedOn w:val="1"/>
    <w:next w:val="1"/>
    <w:unhideWhenUsed/>
    <w:qFormat/>
    <w:locked/>
    <w:uiPriority w:val="0"/>
    <w:pPr>
      <w:ind w:left="420" w:leftChars="200"/>
    </w:pPr>
  </w:style>
  <w:style w:type="paragraph" w:styleId="7">
    <w:name w:val="Normal Indent"/>
    <w:basedOn w:val="1"/>
    <w:qFormat/>
    <w:locked/>
    <w:uiPriority w:val="0"/>
    <w:pPr>
      <w:ind w:firstLine="420" w:firstLineChars="200"/>
    </w:pPr>
  </w:style>
  <w:style w:type="paragraph" w:styleId="8">
    <w:name w:val="toa heading"/>
    <w:basedOn w:val="1"/>
    <w:next w:val="1"/>
    <w:unhideWhenUsed/>
    <w:qFormat/>
    <w:locked/>
    <w:uiPriority w:val="99"/>
    <w:pPr>
      <w:spacing w:before="120"/>
    </w:pPr>
    <w:rPr>
      <w:rFonts w:ascii="Cambria" w:hAnsi="Cambria"/>
      <w:sz w:val="24"/>
    </w:rPr>
  </w:style>
  <w:style w:type="paragraph" w:styleId="9">
    <w:name w:val="annotation text"/>
    <w:basedOn w:val="1"/>
    <w:link w:val="42"/>
    <w:semiHidden/>
    <w:qFormat/>
    <w:uiPriority w:val="0"/>
    <w:pPr>
      <w:jc w:val="left"/>
    </w:pPr>
    <w:rPr>
      <w:kern w:val="0"/>
      <w:sz w:val="24"/>
      <w:szCs w:val="20"/>
    </w:rPr>
  </w:style>
  <w:style w:type="paragraph" w:styleId="10">
    <w:name w:val="Body Text"/>
    <w:basedOn w:val="1"/>
    <w:next w:val="11"/>
    <w:link w:val="52"/>
    <w:qFormat/>
    <w:uiPriority w:val="0"/>
    <w:pPr>
      <w:widowControl/>
      <w:spacing w:line="360" w:lineRule="auto"/>
      <w:ind w:firstLine="602" w:firstLineChars="200"/>
    </w:pPr>
    <w:rPr>
      <w:kern w:val="0"/>
      <w:sz w:val="24"/>
      <w:szCs w:val="20"/>
    </w:rPr>
  </w:style>
  <w:style w:type="paragraph" w:customStyle="1" w:styleId="11">
    <w:name w:val="Normal (Web)1"/>
    <w:basedOn w:val="1"/>
    <w:next w:val="12"/>
    <w:qFormat/>
    <w:uiPriority w:val="0"/>
    <w:pPr>
      <w:widowControl/>
      <w:jc w:val="left"/>
    </w:pPr>
    <w:rPr>
      <w:rFonts w:ascii="宋体"/>
      <w:kern w:val="0"/>
      <w:sz w:val="24"/>
      <w:szCs w:val="21"/>
    </w:rPr>
  </w:style>
  <w:style w:type="paragraph" w:customStyle="1" w:styleId="12">
    <w:name w:val="Date1"/>
    <w:basedOn w:val="1"/>
    <w:next w:val="1"/>
    <w:qFormat/>
    <w:uiPriority w:val="0"/>
    <w:pPr>
      <w:ind w:left="2500" w:leftChars="2500"/>
    </w:pPr>
  </w:style>
  <w:style w:type="paragraph" w:styleId="13">
    <w:name w:val="Body Text Indent"/>
    <w:basedOn w:val="1"/>
    <w:next w:val="14"/>
    <w:link w:val="44"/>
    <w:qFormat/>
    <w:uiPriority w:val="0"/>
    <w:pPr>
      <w:spacing w:after="120"/>
      <w:ind w:left="420" w:leftChars="200"/>
    </w:pPr>
    <w:rPr>
      <w:kern w:val="0"/>
      <w:sz w:val="24"/>
      <w:szCs w:val="20"/>
    </w:rPr>
  </w:style>
  <w:style w:type="paragraph" w:styleId="14">
    <w:name w:val="header"/>
    <w:basedOn w:val="1"/>
    <w:next w:val="15"/>
    <w:link w:val="45"/>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15">
    <w:name w:val="样式5"/>
    <w:basedOn w:val="16"/>
    <w:qFormat/>
    <w:uiPriority w:val="0"/>
    <w:pPr>
      <w:spacing w:line="380" w:lineRule="exact"/>
      <w:ind w:firstLine="566" w:firstLineChars="202"/>
    </w:pPr>
    <w:rPr>
      <w:rFonts w:eastAsia="华文行楷"/>
      <w:sz w:val="28"/>
    </w:rPr>
  </w:style>
  <w:style w:type="paragraph" w:customStyle="1" w:styleId="16">
    <w:name w:val="样式3"/>
    <w:basedOn w:val="17"/>
    <w:qFormat/>
    <w:uiPriority w:val="0"/>
    <w:pPr>
      <w:snapToGrid w:val="0"/>
      <w:ind w:firstLine="539"/>
      <w:jc w:val="center"/>
    </w:pPr>
    <w:rPr>
      <w:rFonts w:ascii="黑体" w:hAnsi="宋体" w:eastAsia="黑体"/>
      <w:color w:val="000000"/>
    </w:rPr>
  </w:style>
  <w:style w:type="paragraph" w:styleId="17">
    <w:name w:val="List"/>
    <w:basedOn w:val="1"/>
    <w:qFormat/>
    <w:locked/>
    <w:uiPriority w:val="0"/>
    <w:pPr>
      <w:widowControl/>
      <w:spacing w:line="440" w:lineRule="exact"/>
      <w:ind w:left="200" w:hanging="200"/>
      <w:jc w:val="left"/>
    </w:pPr>
    <w:rPr>
      <w:kern w:val="0"/>
      <w:sz w:val="24"/>
      <w:szCs w:val="20"/>
    </w:rPr>
  </w:style>
  <w:style w:type="paragraph" w:styleId="18">
    <w:name w:val="List 2"/>
    <w:basedOn w:val="1"/>
    <w:qFormat/>
    <w:locked/>
    <w:uiPriority w:val="0"/>
    <w:pPr>
      <w:ind w:left="100" w:leftChars="200" w:hanging="200" w:hangingChars="200"/>
      <w:contextualSpacing/>
    </w:pPr>
  </w:style>
  <w:style w:type="paragraph" w:styleId="19">
    <w:name w:val="Plain Text"/>
    <w:basedOn w:val="1"/>
    <w:next w:val="20"/>
    <w:qFormat/>
    <w:locked/>
    <w:uiPriority w:val="0"/>
    <w:pPr>
      <w:spacing w:line="240" w:lineRule="atLeast"/>
    </w:pPr>
    <w:rPr>
      <w:rFonts w:ascii="宋体" w:hAnsi="Courier New"/>
      <w:sz w:val="28"/>
    </w:rPr>
  </w:style>
  <w:style w:type="paragraph" w:customStyle="1" w:styleId="20">
    <w:name w:val="Default"/>
    <w:basedOn w:val="21"/>
    <w:next w:val="10"/>
    <w:qFormat/>
    <w:uiPriority w:val="0"/>
    <w:pPr>
      <w:autoSpaceDE w:val="0"/>
      <w:autoSpaceDN w:val="0"/>
    </w:pPr>
  </w:style>
  <w:style w:type="paragraph" w:customStyle="1" w:styleId="21">
    <w:name w:val="纯文本1"/>
    <w:basedOn w:val="1"/>
    <w:qFormat/>
    <w:uiPriority w:val="0"/>
    <w:pPr>
      <w:adjustRightInd w:val="0"/>
    </w:pPr>
    <w:rPr>
      <w:rFonts w:ascii="宋体" w:hAnsi="Courier New"/>
    </w:rPr>
  </w:style>
  <w:style w:type="paragraph" w:styleId="22">
    <w:name w:val="List Bullet 5"/>
    <w:basedOn w:val="1"/>
    <w:qFormat/>
    <w:locked/>
    <w:uiPriority w:val="0"/>
    <w:pPr>
      <w:numPr>
        <w:ilvl w:val="0"/>
        <w:numId w:val="1"/>
      </w:numPr>
    </w:pPr>
  </w:style>
  <w:style w:type="paragraph" w:styleId="23">
    <w:name w:val="Date"/>
    <w:basedOn w:val="1"/>
    <w:next w:val="1"/>
    <w:link w:val="46"/>
    <w:qFormat/>
    <w:uiPriority w:val="0"/>
    <w:pPr>
      <w:ind w:left="100" w:leftChars="2500"/>
    </w:pPr>
    <w:rPr>
      <w:kern w:val="0"/>
      <w:sz w:val="24"/>
      <w:szCs w:val="20"/>
    </w:rPr>
  </w:style>
  <w:style w:type="paragraph" w:styleId="24">
    <w:name w:val="Body Text Indent 2"/>
    <w:basedOn w:val="1"/>
    <w:unhideWhenUsed/>
    <w:qFormat/>
    <w:locked/>
    <w:uiPriority w:val="0"/>
    <w:pPr>
      <w:spacing w:after="120" w:line="480" w:lineRule="auto"/>
      <w:ind w:left="420" w:leftChars="200"/>
    </w:pPr>
  </w:style>
  <w:style w:type="paragraph" w:styleId="25">
    <w:name w:val="Balloon Text"/>
    <w:basedOn w:val="1"/>
    <w:link w:val="47"/>
    <w:semiHidden/>
    <w:qFormat/>
    <w:uiPriority w:val="0"/>
    <w:rPr>
      <w:kern w:val="0"/>
      <w:sz w:val="18"/>
      <w:szCs w:val="20"/>
    </w:rPr>
  </w:style>
  <w:style w:type="paragraph" w:styleId="26">
    <w:name w:val="footer"/>
    <w:basedOn w:val="1"/>
    <w:link w:val="48"/>
    <w:qFormat/>
    <w:uiPriority w:val="99"/>
    <w:pPr>
      <w:tabs>
        <w:tab w:val="center" w:pos="4153"/>
        <w:tab w:val="right" w:pos="8306"/>
      </w:tabs>
      <w:snapToGrid w:val="0"/>
      <w:jc w:val="left"/>
    </w:pPr>
    <w:rPr>
      <w:kern w:val="0"/>
      <w:sz w:val="18"/>
      <w:szCs w:val="20"/>
    </w:rPr>
  </w:style>
  <w:style w:type="paragraph" w:styleId="27">
    <w:name w:val="toc 1"/>
    <w:basedOn w:val="1"/>
    <w:next w:val="1"/>
    <w:unhideWhenUsed/>
    <w:qFormat/>
    <w:locked/>
    <w:uiPriority w:val="39"/>
    <w:rPr>
      <w:sz w:val="24"/>
    </w:rPr>
  </w:style>
  <w:style w:type="paragraph" w:styleId="28">
    <w:name w:val="Normal (Web)"/>
    <w:basedOn w:val="1"/>
    <w:link w:val="49"/>
    <w:qFormat/>
    <w:uiPriority w:val="0"/>
    <w:pPr>
      <w:widowControl/>
      <w:spacing w:before="100" w:beforeAutospacing="1" w:after="100" w:afterAutospacing="1"/>
      <w:jc w:val="left"/>
    </w:pPr>
    <w:rPr>
      <w:rFonts w:ascii="宋体" w:hAnsi="宋体"/>
      <w:kern w:val="0"/>
      <w:sz w:val="24"/>
      <w:szCs w:val="20"/>
    </w:rPr>
  </w:style>
  <w:style w:type="paragraph" w:styleId="29">
    <w:name w:val="Title"/>
    <w:basedOn w:val="1"/>
    <w:next w:val="1"/>
    <w:qFormat/>
    <w:locked/>
    <w:uiPriority w:val="0"/>
    <w:pPr>
      <w:spacing w:before="240" w:after="60"/>
      <w:jc w:val="center"/>
      <w:outlineLvl w:val="0"/>
    </w:pPr>
    <w:rPr>
      <w:rFonts w:eastAsia="方正大标宋_GBK"/>
      <w:b/>
      <w:bCs/>
      <w:sz w:val="44"/>
      <w:szCs w:val="32"/>
    </w:rPr>
  </w:style>
  <w:style w:type="paragraph" w:styleId="30">
    <w:name w:val="annotation subject"/>
    <w:basedOn w:val="9"/>
    <w:next w:val="9"/>
    <w:link w:val="50"/>
    <w:semiHidden/>
    <w:qFormat/>
    <w:uiPriority w:val="0"/>
    <w:rPr>
      <w:b/>
      <w:kern w:val="2"/>
    </w:rPr>
  </w:style>
  <w:style w:type="paragraph" w:styleId="31">
    <w:name w:val="Body Text First Indent"/>
    <w:basedOn w:val="10"/>
    <w:next w:val="1"/>
    <w:link w:val="51"/>
    <w:qFormat/>
    <w:locked/>
    <w:uiPriority w:val="99"/>
    <w:pPr>
      <w:ind w:firstLine="420" w:firstLineChars="100"/>
    </w:pPr>
  </w:style>
  <w:style w:type="paragraph" w:styleId="32">
    <w:name w:val="Body Text First Indent 2"/>
    <w:basedOn w:val="13"/>
    <w:next w:val="13"/>
    <w:qFormat/>
    <w:locked/>
    <w:uiPriority w:val="0"/>
    <w:pPr>
      <w:ind w:firstLine="420" w:firstLineChars="200"/>
    </w:p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locked/>
    <w:uiPriority w:val="0"/>
    <w:rPr>
      <w:b/>
    </w:rPr>
  </w:style>
  <w:style w:type="character" w:styleId="37">
    <w:name w:val="page number"/>
    <w:qFormat/>
    <w:locked/>
    <w:uiPriority w:val="0"/>
  </w:style>
  <w:style w:type="character" w:styleId="38">
    <w:name w:val="Hyperlink"/>
    <w:basedOn w:val="35"/>
    <w:qFormat/>
    <w:locked/>
    <w:uiPriority w:val="99"/>
    <w:rPr>
      <w:color w:val="0000FF"/>
      <w:u w:val="single"/>
    </w:rPr>
  </w:style>
  <w:style w:type="character" w:styleId="39">
    <w:name w:val="annotation reference"/>
    <w:semiHidden/>
    <w:qFormat/>
    <w:uiPriority w:val="0"/>
    <w:rPr>
      <w:sz w:val="21"/>
    </w:rPr>
  </w:style>
  <w:style w:type="paragraph" w:customStyle="1" w:styleId="40">
    <w:name w:val="标题2"/>
    <w:unhideWhenUsed/>
    <w:qFormat/>
    <w:uiPriority w:val="2"/>
    <w:pPr>
      <w:outlineLvl w:val="2"/>
    </w:pPr>
    <w:rPr>
      <w:rFonts w:ascii="Calibri" w:hAnsi="Calibri" w:eastAsia="宋体" w:cs="Times New Roman"/>
      <w:kern w:val="2"/>
      <w:sz w:val="21"/>
      <w:szCs w:val="22"/>
      <w:lang w:val="en-US" w:eastAsia="zh-CN" w:bidi="ar-SA"/>
    </w:rPr>
  </w:style>
  <w:style w:type="paragraph" w:customStyle="1" w:styleId="41">
    <w:name w:val="样式1"/>
    <w:basedOn w:val="6"/>
    <w:qFormat/>
    <w:uiPriority w:val="0"/>
    <w:pPr>
      <w:ind w:firstLine="510"/>
    </w:pPr>
    <w:rPr>
      <w:szCs w:val="20"/>
    </w:rPr>
  </w:style>
  <w:style w:type="character" w:customStyle="1" w:styleId="42">
    <w:name w:val="批注文字 字符"/>
    <w:link w:val="9"/>
    <w:qFormat/>
    <w:locked/>
    <w:uiPriority w:val="0"/>
    <w:rPr>
      <w:rFonts w:ascii="Times New Roman" w:hAnsi="Times New Roman" w:eastAsia="宋体"/>
      <w:sz w:val="24"/>
    </w:rPr>
  </w:style>
  <w:style w:type="character" w:customStyle="1" w:styleId="43">
    <w:name w:val="正文文本 字符2"/>
    <w:basedOn w:val="35"/>
    <w:qFormat/>
    <w:locked/>
    <w:uiPriority w:val="0"/>
    <w:rPr>
      <w:rFonts w:ascii="Times New Roman" w:hAnsi="Times New Roman" w:eastAsia="宋体"/>
      <w:sz w:val="24"/>
    </w:rPr>
  </w:style>
  <w:style w:type="character" w:customStyle="1" w:styleId="44">
    <w:name w:val="正文文本缩进 字符"/>
    <w:link w:val="13"/>
    <w:semiHidden/>
    <w:qFormat/>
    <w:locked/>
    <w:uiPriority w:val="0"/>
    <w:rPr>
      <w:rFonts w:ascii="Times New Roman" w:hAnsi="Times New Roman" w:eastAsia="宋体"/>
      <w:sz w:val="24"/>
    </w:rPr>
  </w:style>
  <w:style w:type="character" w:customStyle="1" w:styleId="45">
    <w:name w:val="页眉 字符"/>
    <w:link w:val="14"/>
    <w:qFormat/>
    <w:locked/>
    <w:uiPriority w:val="0"/>
    <w:rPr>
      <w:sz w:val="18"/>
    </w:rPr>
  </w:style>
  <w:style w:type="character" w:customStyle="1" w:styleId="46">
    <w:name w:val="日期 字符1"/>
    <w:link w:val="23"/>
    <w:qFormat/>
    <w:locked/>
    <w:uiPriority w:val="0"/>
    <w:rPr>
      <w:rFonts w:ascii="Times New Roman" w:hAnsi="Times New Roman" w:eastAsia="宋体"/>
      <w:sz w:val="24"/>
    </w:rPr>
  </w:style>
  <w:style w:type="character" w:customStyle="1" w:styleId="47">
    <w:name w:val="批注框文本 字符"/>
    <w:link w:val="25"/>
    <w:semiHidden/>
    <w:qFormat/>
    <w:locked/>
    <w:uiPriority w:val="0"/>
    <w:rPr>
      <w:rFonts w:ascii="Times New Roman" w:hAnsi="Times New Roman" w:eastAsia="宋体"/>
      <w:sz w:val="18"/>
    </w:rPr>
  </w:style>
  <w:style w:type="character" w:customStyle="1" w:styleId="48">
    <w:name w:val="页脚 字符1"/>
    <w:link w:val="26"/>
    <w:qFormat/>
    <w:locked/>
    <w:uiPriority w:val="99"/>
    <w:rPr>
      <w:sz w:val="18"/>
    </w:rPr>
  </w:style>
  <w:style w:type="character" w:customStyle="1" w:styleId="49">
    <w:name w:val="普通(网站) 字符"/>
    <w:link w:val="28"/>
    <w:qFormat/>
    <w:locked/>
    <w:uiPriority w:val="0"/>
    <w:rPr>
      <w:rFonts w:ascii="宋体" w:hAnsi="宋体" w:eastAsia="宋体"/>
      <w:sz w:val="24"/>
    </w:rPr>
  </w:style>
  <w:style w:type="character" w:customStyle="1" w:styleId="50">
    <w:name w:val="批注主题 字符"/>
    <w:link w:val="30"/>
    <w:semiHidden/>
    <w:qFormat/>
    <w:locked/>
    <w:uiPriority w:val="0"/>
    <w:rPr>
      <w:rFonts w:ascii="Times New Roman" w:hAnsi="Times New Roman" w:eastAsia="宋体"/>
      <w:b/>
      <w:kern w:val="2"/>
      <w:sz w:val="24"/>
    </w:rPr>
  </w:style>
  <w:style w:type="character" w:customStyle="1" w:styleId="51">
    <w:name w:val="正文文本首行缩进 字符"/>
    <w:link w:val="31"/>
    <w:qFormat/>
    <w:uiPriority w:val="99"/>
  </w:style>
  <w:style w:type="character" w:customStyle="1" w:styleId="52">
    <w:name w:val="正文文本 字符"/>
    <w:link w:val="10"/>
    <w:qFormat/>
    <w:locked/>
    <w:uiPriority w:val="0"/>
    <w:rPr>
      <w:rFonts w:ascii="Times New Roman" w:hAnsi="Times New Roman" w:eastAsia="宋体"/>
      <w:sz w:val="24"/>
    </w:rPr>
  </w:style>
  <w:style w:type="paragraph" w:customStyle="1" w:styleId="53">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54">
    <w:name w:val="样式 正文文本缩进 + 行距: 1.5 倍行距"/>
    <w:basedOn w:val="13"/>
    <w:qFormat/>
    <w:uiPriority w:val="0"/>
    <w:pPr>
      <w:spacing w:line="360" w:lineRule="auto"/>
      <w:ind w:left="0" w:leftChars="0" w:firstLine="560" w:firstLineChars="200"/>
    </w:pPr>
    <w:rPr>
      <w:rFonts w:cs="宋体"/>
      <w:b/>
      <w:bCs/>
      <w:sz w:val="28"/>
    </w:rPr>
  </w:style>
  <w:style w:type="paragraph" w:customStyle="1" w:styleId="55">
    <w:name w:val="样式 标题 1 + 四号 段前: 0 磅 段后: 0 磅 行距: 1.5 倍行距"/>
    <w:basedOn w:val="56"/>
    <w:next w:val="57"/>
    <w:qFormat/>
    <w:uiPriority w:val="0"/>
    <w:pPr>
      <w:spacing w:line="360" w:lineRule="auto"/>
      <w:jc w:val="center"/>
    </w:pPr>
  </w:style>
  <w:style w:type="paragraph" w:customStyle="1" w:styleId="56">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57">
    <w:name w:val="文本正文"/>
    <w:basedOn w:val="1"/>
    <w:qFormat/>
    <w:uiPriority w:val="0"/>
    <w:pPr>
      <w:snapToGrid w:val="0"/>
      <w:spacing w:line="360" w:lineRule="auto"/>
      <w:ind w:firstLine="510"/>
      <w:jc w:val="left"/>
    </w:pPr>
    <w:rPr>
      <w:spacing w:val="4"/>
      <w:kern w:val="24"/>
      <w:lang w:val="zh-CN"/>
    </w:rPr>
  </w:style>
  <w:style w:type="character" w:customStyle="1" w:styleId="58">
    <w:name w:val="Char Char3"/>
    <w:qFormat/>
    <w:locked/>
    <w:uiPriority w:val="0"/>
    <w:rPr>
      <w:rFonts w:eastAsia="宋体"/>
      <w:kern w:val="2"/>
      <w:sz w:val="28"/>
      <w:szCs w:val="24"/>
      <w:lang w:val="en-US" w:eastAsia="zh-CN" w:bidi="ar-SA"/>
    </w:rPr>
  </w:style>
  <w:style w:type="character" w:customStyle="1" w:styleId="59">
    <w:name w:val="日期 字符"/>
    <w:semiHidden/>
    <w:qFormat/>
    <w:uiPriority w:val="0"/>
    <w:rPr>
      <w:rFonts w:ascii="Times New Roman" w:hAnsi="Times New Roman" w:eastAsia="宋体"/>
      <w:sz w:val="24"/>
    </w:rPr>
  </w:style>
  <w:style w:type="character" w:customStyle="1" w:styleId="60">
    <w:name w:val="页脚 字符"/>
    <w:qFormat/>
    <w:uiPriority w:val="99"/>
  </w:style>
  <w:style w:type="character" w:customStyle="1" w:styleId="61">
    <w:name w:val="fontstyle01"/>
    <w:qFormat/>
    <w:uiPriority w:val="0"/>
    <w:rPr>
      <w:rFonts w:hint="eastAsia" w:ascii="宋体" w:hAnsi="宋体" w:eastAsia="宋体"/>
      <w:color w:val="000000"/>
      <w:sz w:val="24"/>
      <w:szCs w:val="24"/>
    </w:rPr>
  </w:style>
  <w:style w:type="character" w:customStyle="1" w:styleId="62">
    <w:name w:val="正文文本_"/>
    <w:qFormat/>
    <w:uiPriority w:val="0"/>
    <w:rPr>
      <w:rFonts w:ascii="宋体" w:eastAsia="宋体" w:cs="宋体"/>
      <w:sz w:val="22"/>
      <w:szCs w:val="22"/>
      <w:u w:val="none"/>
    </w:rPr>
  </w:style>
  <w:style w:type="character" w:customStyle="1" w:styleId="63">
    <w:name w:val="批注文字 字符1"/>
    <w:semiHidden/>
    <w:qFormat/>
    <w:uiPriority w:val="0"/>
    <w:rPr>
      <w:rFonts w:ascii="Times New Roman" w:hAnsi="Times New Roman" w:eastAsia="宋体"/>
      <w:sz w:val="24"/>
    </w:rPr>
  </w:style>
  <w:style w:type="character" w:customStyle="1" w:styleId="64">
    <w:name w:val="正文文本 字符1"/>
    <w:semiHidden/>
    <w:qFormat/>
    <w:uiPriority w:val="0"/>
    <w:rPr>
      <w:rFonts w:ascii="Times New Roman" w:hAnsi="Times New Roman" w:eastAsia="宋体"/>
      <w:sz w:val="24"/>
    </w:rPr>
  </w:style>
  <w:style w:type="character" w:customStyle="1" w:styleId="65">
    <w:name w:val="表格 Char"/>
    <w:link w:val="66"/>
    <w:qFormat/>
    <w:locked/>
    <w:uiPriority w:val="0"/>
    <w:rPr>
      <w:rFonts w:ascii="宋体"/>
      <w:sz w:val="21"/>
    </w:rPr>
  </w:style>
  <w:style w:type="paragraph" w:customStyle="1" w:styleId="66">
    <w:name w:val="表格"/>
    <w:basedOn w:val="7"/>
    <w:link w:val="65"/>
    <w:qFormat/>
    <w:uiPriority w:val="0"/>
    <w:pPr>
      <w:adjustRightInd w:val="0"/>
      <w:snapToGrid w:val="0"/>
      <w:spacing w:beforeLines="10" w:afterLines="10" w:line="259" w:lineRule="auto"/>
      <w:jc w:val="center"/>
    </w:pPr>
    <w:rPr>
      <w:rFonts w:ascii="宋体"/>
      <w:kern w:val="0"/>
      <w:szCs w:val="20"/>
    </w:rPr>
  </w:style>
  <w:style w:type="character" w:customStyle="1" w:styleId="67">
    <w:name w:val="fontstyle21"/>
    <w:qFormat/>
    <w:uiPriority w:val="0"/>
    <w:rPr>
      <w:rFonts w:ascii="TimesNewRomanPSMT" w:hAnsi="TimesNewRomanPSMT" w:eastAsia="TimesNewRomanPSMT" w:cs="TimesNewRomanPSMT"/>
      <w:color w:val="000000"/>
      <w:sz w:val="24"/>
      <w:szCs w:val="24"/>
    </w:rPr>
  </w:style>
  <w:style w:type="paragraph" w:customStyle="1" w:styleId="68">
    <w:name w:val="正文LTT"/>
    <w:basedOn w:val="1"/>
    <w:qFormat/>
    <w:uiPriority w:val="0"/>
    <w:pPr>
      <w:spacing w:line="360" w:lineRule="auto"/>
      <w:ind w:firstLine="440" w:firstLineChars="200"/>
    </w:pPr>
    <w:rPr>
      <w:sz w:val="24"/>
    </w:rPr>
  </w:style>
  <w:style w:type="paragraph" w:customStyle="1" w:styleId="69">
    <w:name w:val="表格文字LTT"/>
    <w:basedOn w:val="1"/>
    <w:next w:val="1"/>
    <w:qFormat/>
    <w:uiPriority w:val="0"/>
    <w:pPr>
      <w:spacing w:before="60" w:after="60"/>
      <w:jc w:val="center"/>
    </w:pPr>
  </w:style>
  <w:style w:type="paragraph" w:customStyle="1" w:styleId="70">
    <w:name w:val="表格题注"/>
    <w:basedOn w:val="1"/>
    <w:qFormat/>
    <w:uiPriority w:val="0"/>
    <w:pPr>
      <w:adjustRightInd w:val="0"/>
      <w:snapToGrid w:val="0"/>
      <w:jc w:val="center"/>
    </w:pPr>
    <w:rPr>
      <w:rFonts w:ascii="宋体"/>
      <w:b/>
    </w:rPr>
  </w:style>
  <w:style w:type="paragraph" w:customStyle="1" w:styleId="71">
    <w:name w:val="表头1"/>
    <w:basedOn w:val="1"/>
    <w:next w:val="1"/>
    <w:qFormat/>
    <w:uiPriority w:val="0"/>
    <w:pPr>
      <w:jc w:val="center"/>
    </w:pPr>
    <w:rPr>
      <w:b/>
      <w:color w:val="000000"/>
      <w:szCs w:val="20"/>
    </w:rPr>
  </w:style>
  <w:style w:type="paragraph" w:customStyle="1" w:styleId="72">
    <w:name w:val="样式6"/>
    <w:basedOn w:val="1"/>
    <w:qFormat/>
    <w:uiPriority w:val="0"/>
    <w:pPr>
      <w:autoSpaceDE w:val="0"/>
      <w:autoSpaceDN w:val="0"/>
      <w:adjustRightInd w:val="0"/>
      <w:spacing w:line="360" w:lineRule="auto"/>
      <w:ind w:firstLine="480" w:firstLineChars="200"/>
    </w:pPr>
    <w:rPr>
      <w:rFonts w:cs="宋体"/>
      <w:kern w:val="0"/>
      <w:sz w:val="24"/>
      <w:lang w:val="zh-CN"/>
    </w:rPr>
  </w:style>
  <w:style w:type="paragraph" w:customStyle="1" w:styleId="73">
    <w:name w:val="表题"/>
    <w:basedOn w:val="1"/>
    <w:qFormat/>
    <w:uiPriority w:val="0"/>
    <w:pPr>
      <w:tabs>
        <w:tab w:val="left" w:pos="357"/>
      </w:tabs>
    </w:pPr>
    <w:rPr>
      <w:rFonts w:hAnsi="宋体"/>
      <w:b/>
    </w:rPr>
  </w:style>
  <w:style w:type="paragraph" w:customStyle="1" w:styleId="74">
    <w:name w:val="表格标题LTT"/>
    <w:basedOn w:val="1"/>
    <w:next w:val="68"/>
    <w:qFormat/>
    <w:uiPriority w:val="0"/>
    <w:pPr>
      <w:spacing w:before="120"/>
      <w:jc w:val="center"/>
    </w:pPr>
    <w:rPr>
      <w:b/>
    </w:rPr>
  </w:style>
  <w:style w:type="paragraph" w:customStyle="1" w:styleId="75">
    <w:name w:val="表内容"/>
    <w:basedOn w:val="1"/>
    <w:qFormat/>
    <w:uiPriority w:val="0"/>
    <w:pPr>
      <w:adjustRightInd w:val="0"/>
      <w:snapToGrid w:val="0"/>
      <w:jc w:val="center"/>
    </w:pPr>
    <w:rPr>
      <w:rFonts w:ascii="Calibri" w:hAnsi="Calibri"/>
      <w:color w:val="000000"/>
      <w:kern w:val="0"/>
      <w:szCs w:val="21"/>
    </w:rPr>
  </w:style>
  <w:style w:type="paragraph" w:customStyle="1" w:styleId="7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77">
    <w:name w:val="表标题1"/>
    <w:next w:val="75"/>
    <w:qFormat/>
    <w:uiPriority w:val="99"/>
    <w:pPr>
      <w:widowControl w:val="0"/>
      <w:numPr>
        <w:ilvl w:val="0"/>
        <w:numId w:val="2"/>
      </w:numPr>
      <w:autoSpaceDE w:val="0"/>
      <w:autoSpaceDN w:val="0"/>
      <w:adjustRightInd w:val="0"/>
      <w:snapToGrid w:val="0"/>
      <w:jc w:val="center"/>
    </w:pPr>
    <w:rPr>
      <w:rFonts w:ascii="Times New Roman" w:hAnsi="Times New Roman" w:eastAsia="宋体" w:cs="Times New Roman"/>
      <w:b/>
      <w:color w:val="000000"/>
      <w:sz w:val="21"/>
      <w:szCs w:val="24"/>
      <w:lang w:val="en-US" w:eastAsia="zh-CN" w:bidi="ar-SA"/>
    </w:rPr>
  </w:style>
  <w:style w:type="paragraph" w:customStyle="1" w:styleId="78">
    <w:name w:val="环评正文"/>
    <w:basedOn w:val="1"/>
    <w:qFormat/>
    <w:uiPriority w:val="0"/>
    <w:pPr>
      <w:spacing w:line="360" w:lineRule="auto"/>
      <w:ind w:firstLine="480" w:firstLineChars="200"/>
    </w:pPr>
    <w:rPr>
      <w:kern w:val="0"/>
      <w:sz w:val="24"/>
    </w:rPr>
  </w:style>
  <w:style w:type="paragraph" w:customStyle="1" w:styleId="79">
    <w:name w:val="1正文"/>
    <w:basedOn w:val="1"/>
    <w:qFormat/>
    <w:uiPriority w:val="0"/>
    <w:pPr>
      <w:spacing w:line="500" w:lineRule="exact"/>
      <w:ind w:firstLine="588" w:firstLineChars="196"/>
    </w:pPr>
    <w:rPr>
      <w:rFonts w:eastAsia="楷体_GB2312"/>
      <w:sz w:val="30"/>
      <w:szCs w:val="30"/>
    </w:rPr>
  </w:style>
  <w:style w:type="paragraph" w:customStyle="1" w:styleId="80">
    <w:name w:val="样式 表格001 + Arial 五号 行距: 最小值 0 磅"/>
    <w:basedOn w:val="1"/>
    <w:qFormat/>
    <w:uiPriority w:val="0"/>
    <w:pPr>
      <w:spacing w:line="0" w:lineRule="atLeast"/>
      <w:ind w:firstLine="880" w:firstLineChars="200"/>
      <w:jc w:val="center"/>
    </w:pPr>
    <w:rPr>
      <w:rFonts w:ascii="Arial" w:hAnsi="Arial" w:cs="Arial"/>
      <w:spacing w:val="10"/>
      <w:sz w:val="24"/>
    </w:rPr>
  </w:style>
  <w:style w:type="paragraph" w:customStyle="1" w:styleId="8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2">
    <w:name w:val="表标题LTT"/>
    <w:basedOn w:val="1"/>
    <w:next w:val="1"/>
    <w:qFormat/>
    <w:uiPriority w:val="0"/>
    <w:pPr>
      <w:spacing w:before="120"/>
      <w:jc w:val="center"/>
    </w:pPr>
    <w:rPr>
      <w:b/>
    </w:rPr>
  </w:style>
  <w:style w:type="paragraph" w:customStyle="1" w:styleId="83">
    <w:name w:val="样式 列表 2 + 华文仿宋 居中"/>
    <w:basedOn w:val="18"/>
    <w:qFormat/>
    <w:uiPriority w:val="99"/>
    <w:pPr>
      <w:ind w:left="180" w:leftChars="0" w:hanging="180" w:hangingChars="75"/>
    </w:pPr>
    <w:rPr>
      <w:rFonts w:hAnsi="宋体"/>
    </w:rPr>
  </w:style>
  <w:style w:type="paragraph" w:customStyle="1" w:styleId="84">
    <w:name w:val="表图"/>
    <w:basedOn w:val="1"/>
    <w:qFormat/>
    <w:uiPriority w:val="0"/>
    <w:pPr>
      <w:spacing w:line="320" w:lineRule="exact"/>
      <w:jc w:val="center"/>
    </w:pPr>
    <w:rPr>
      <w:szCs w:val="20"/>
    </w:rPr>
  </w:style>
  <w:style w:type="paragraph" w:customStyle="1" w:styleId="85">
    <w:name w:val="曹1.1"/>
    <w:basedOn w:val="1"/>
    <w:qFormat/>
    <w:uiPriority w:val="0"/>
    <w:pPr>
      <w:spacing w:line="360" w:lineRule="auto"/>
    </w:pPr>
    <w:rPr>
      <w:b/>
      <w:sz w:val="24"/>
    </w:rPr>
  </w:style>
  <w:style w:type="paragraph" w:customStyle="1" w:styleId="86">
    <w:name w:val="表头"/>
    <w:basedOn w:val="87"/>
    <w:next w:val="1"/>
    <w:qFormat/>
    <w:uiPriority w:val="0"/>
    <w:pPr>
      <w:spacing w:line="500" w:lineRule="exact"/>
      <w:ind w:firstLine="2347" w:firstLineChars="974"/>
    </w:pPr>
    <w:rPr>
      <w:kern w:val="0"/>
      <w:szCs w:val="24"/>
    </w:rPr>
  </w:style>
  <w:style w:type="paragraph" w:customStyle="1" w:styleId="87">
    <w:name w:val="表格文字"/>
    <w:basedOn w:val="41"/>
    <w:next w:val="1"/>
    <w:qFormat/>
    <w:uiPriority w:val="0"/>
    <w:pPr>
      <w:jc w:val="center"/>
    </w:pPr>
    <w:rPr>
      <w:rFonts w:ascii="Arial" w:hAnsi="Arial"/>
    </w:rPr>
  </w:style>
  <w:style w:type="paragraph" w:customStyle="1" w:styleId="88">
    <w:name w:val="加粗"/>
    <w:basedOn w:val="1"/>
    <w:qFormat/>
    <w:uiPriority w:val="0"/>
    <w:rPr>
      <w:rFonts w:ascii="宋体" w:hAnsi="宋体"/>
      <w:b/>
      <w:color w:val="000000"/>
    </w:rPr>
  </w:style>
  <w:style w:type="paragraph" w:customStyle="1" w:styleId="89">
    <w:name w:val="表格文字-hao-居中"/>
    <w:qFormat/>
    <w:uiPriority w:val="0"/>
    <w:pPr>
      <w:adjustRightInd w:val="0"/>
      <w:snapToGrid w:val="0"/>
      <w:jc w:val="center"/>
    </w:pPr>
    <w:rPr>
      <w:rFonts w:ascii="Times New Roman" w:hAnsi="Times New Roman" w:eastAsia="宋体" w:cs="Times New Roman"/>
      <w:sz w:val="21"/>
      <w:szCs w:val="24"/>
      <w:lang w:val="en-US" w:eastAsia="zh-CN" w:bidi="ar-SA"/>
    </w:rPr>
  </w:style>
  <w:style w:type="paragraph" w:customStyle="1" w:styleId="90">
    <w:name w:val="标准正文"/>
    <w:basedOn w:val="1"/>
    <w:qFormat/>
    <w:uiPriority w:val="0"/>
    <w:pPr>
      <w:widowControl/>
      <w:spacing w:line="360" w:lineRule="auto"/>
      <w:ind w:firstLine="480" w:firstLineChars="200"/>
      <w:jc w:val="left"/>
    </w:pPr>
    <w:rPr>
      <w:rFonts w:hAnsi="宋体"/>
      <w:kern w:val="0"/>
      <w:sz w:val="24"/>
      <w:szCs w:val="20"/>
    </w:rPr>
  </w:style>
  <w:style w:type="paragraph" w:customStyle="1" w:styleId="91">
    <w:name w:val="表标题4"/>
    <w:basedOn w:val="77"/>
    <w:next w:val="75"/>
    <w:unhideWhenUsed/>
    <w:qFormat/>
    <w:uiPriority w:val="0"/>
    <w:pPr>
      <w:numPr>
        <w:numId w:val="3"/>
      </w:numPr>
    </w:pPr>
    <w:rPr>
      <w:rFonts w:hint="eastAsia"/>
    </w:rPr>
  </w:style>
  <w:style w:type="paragraph" w:customStyle="1" w:styleId="92">
    <w:name w:val="正文加粗"/>
    <w:basedOn w:val="1"/>
    <w:qFormat/>
    <w:uiPriority w:val="0"/>
    <w:rPr>
      <w:b/>
      <w:color w:val="000000"/>
    </w:rPr>
  </w:style>
  <w:style w:type="paragraph" w:customStyle="1" w:styleId="93">
    <w:name w:val="正文1"/>
    <w:basedOn w:val="1"/>
    <w:qFormat/>
    <w:uiPriority w:val="0"/>
    <w:pPr>
      <w:tabs>
        <w:tab w:val="left" w:pos="5327"/>
        <w:tab w:val="left" w:pos="6326"/>
        <w:tab w:val="left" w:pos="7230"/>
        <w:tab w:val="left" w:pos="9301"/>
      </w:tabs>
      <w:autoSpaceDE w:val="0"/>
      <w:autoSpaceDN w:val="0"/>
      <w:spacing w:line="560" w:lineRule="exact"/>
      <w:ind w:firstLine="560"/>
    </w:pPr>
    <w:rPr>
      <w:rFonts w:ascii="Arial Narrow" w:hAnsi="Arial Narrow"/>
      <w:color w:val="000000"/>
      <w:kern w:val="10"/>
      <w:sz w:val="28"/>
      <w:szCs w:val="28"/>
    </w:rPr>
  </w:style>
  <w:style w:type="paragraph" w:customStyle="1" w:styleId="94">
    <w:name w:val="表格标题"/>
    <w:basedOn w:val="1"/>
    <w:next w:val="1"/>
    <w:qFormat/>
    <w:uiPriority w:val="0"/>
    <w:pPr>
      <w:jc w:val="center"/>
    </w:pPr>
    <w:rPr>
      <w:rFonts w:hint="eastAsia"/>
      <w:b/>
    </w:rPr>
  </w:style>
  <w:style w:type="paragraph" w:customStyle="1" w:styleId="95">
    <w:name w:val="表格文字2"/>
    <w:basedOn w:val="1"/>
    <w:qFormat/>
    <w:uiPriority w:val="0"/>
    <w:pPr>
      <w:tabs>
        <w:tab w:val="left" w:pos="277"/>
        <w:tab w:val="left" w:pos="600"/>
        <w:tab w:val="left" w:pos="780"/>
        <w:tab w:val="left" w:pos="2517"/>
      </w:tabs>
      <w:jc w:val="center"/>
    </w:pPr>
    <w:rPr>
      <w:rFonts w:ascii="宋体" w:hAnsi="宋体"/>
      <w:kern w:val="0"/>
      <w:szCs w:val="21"/>
    </w:rPr>
  </w:style>
  <w:style w:type="paragraph" w:customStyle="1" w:styleId="96">
    <w:name w:val="表格内容"/>
    <w:basedOn w:val="94"/>
    <w:next w:val="1"/>
    <w:qFormat/>
    <w:uiPriority w:val="0"/>
    <w:pPr>
      <w:widowControl/>
      <w:adjustRightInd w:val="0"/>
      <w:spacing w:before="60" w:after="60"/>
    </w:pPr>
    <w:rPr>
      <w:rFonts w:cs="Courier New"/>
      <w:kern w:val="0"/>
      <w:szCs w:val="21"/>
    </w:rPr>
  </w:style>
  <w:style w:type="paragraph" w:customStyle="1" w:styleId="97">
    <w:name w:val="正文首行缩进 2 + Times New Roman"/>
    <w:basedOn w:val="1"/>
    <w:qFormat/>
    <w:uiPriority w:val="0"/>
    <w:pPr>
      <w:tabs>
        <w:tab w:val="left" w:pos="0"/>
        <w:tab w:val="left" w:pos="870"/>
        <w:tab w:val="left" w:pos="3150"/>
      </w:tabs>
      <w:autoSpaceDE w:val="0"/>
      <w:autoSpaceDN w:val="0"/>
      <w:ind w:firstLine="480"/>
    </w:pPr>
    <w:rPr>
      <w:kern w:val="0"/>
    </w:rPr>
  </w:style>
  <w:style w:type="paragraph" w:customStyle="1" w:styleId="98">
    <w:name w:val="表标题7"/>
    <w:next w:val="75"/>
    <w:qFormat/>
    <w:uiPriority w:val="0"/>
    <w:pPr>
      <w:numPr>
        <w:ilvl w:val="0"/>
        <w:numId w:val="4"/>
      </w:numPr>
      <w:adjustRightInd w:val="0"/>
      <w:snapToGrid w:val="0"/>
      <w:jc w:val="center"/>
    </w:pPr>
    <w:rPr>
      <w:rFonts w:ascii="Times New Roman" w:hAnsi="Times New Roman" w:eastAsia="宋体" w:cs="Times New Roman"/>
      <w:b/>
      <w:sz w:val="21"/>
      <w:lang w:val="en-US" w:eastAsia="zh-CN" w:bidi="ar-SA"/>
    </w:rPr>
  </w:style>
  <w:style w:type="paragraph" w:customStyle="1" w:styleId="99">
    <w:name w:val="1正文段落"/>
    <w:basedOn w:val="1"/>
    <w:unhideWhenUsed/>
    <w:qFormat/>
    <w:uiPriority w:val="0"/>
    <w:pPr>
      <w:adjustRightInd w:val="0"/>
      <w:snapToGrid w:val="0"/>
      <w:spacing w:line="360" w:lineRule="auto"/>
      <w:ind w:firstLine="200" w:firstLineChars="200"/>
    </w:pPr>
    <w:rPr>
      <w:snapToGrid w:val="0"/>
    </w:rPr>
  </w:style>
  <w:style w:type="paragraph" w:customStyle="1" w:styleId="100">
    <w:name w:val="表标题3"/>
    <w:basedOn w:val="1"/>
    <w:next w:val="75"/>
    <w:qFormat/>
    <w:uiPriority w:val="0"/>
    <w:pPr>
      <w:numPr>
        <w:ilvl w:val="0"/>
        <w:numId w:val="5"/>
      </w:numPr>
      <w:autoSpaceDE w:val="0"/>
      <w:autoSpaceDN w:val="0"/>
      <w:jc w:val="center"/>
    </w:pPr>
    <w:rPr>
      <w:b/>
      <w:color w:val="000000"/>
      <w:kern w:val="0"/>
    </w:rPr>
  </w:style>
  <w:style w:type="paragraph" w:customStyle="1" w:styleId="101">
    <w:name w:val="Table Paragraph"/>
    <w:basedOn w:val="1"/>
    <w:unhideWhenUsed/>
    <w:qFormat/>
    <w:uiPriority w:val="1"/>
    <w:rPr>
      <w:sz w:val="24"/>
    </w:rPr>
  </w:style>
  <w:style w:type="paragraph" w:customStyle="1" w:styleId="102">
    <w:name w:val="表文字"/>
    <w:basedOn w:val="1"/>
    <w:qFormat/>
    <w:uiPriority w:val="0"/>
    <w:pPr>
      <w:jc w:val="center"/>
    </w:pPr>
    <w:rPr>
      <w:szCs w:val="20"/>
    </w:rPr>
  </w:style>
  <w:style w:type="paragraph" w:customStyle="1" w:styleId="103">
    <w:name w:val="表头文字"/>
    <w:basedOn w:val="102"/>
    <w:qFormat/>
    <w:uiPriority w:val="0"/>
    <w:rPr>
      <w:b/>
    </w:rPr>
  </w:style>
  <w:style w:type="paragraph" w:customStyle="1" w:styleId="104">
    <w:name w:val="自定义表头"/>
    <w:basedOn w:val="1"/>
    <w:qFormat/>
    <w:uiPriority w:val="0"/>
    <w:pPr>
      <w:spacing w:line="500" w:lineRule="exact"/>
      <w:ind w:firstLine="560" w:firstLineChars="200"/>
      <w:jc w:val="center"/>
    </w:pPr>
    <w:rPr>
      <w:rFonts w:eastAsia="Times New Roman"/>
      <w:b/>
      <w:sz w:val="24"/>
      <w:szCs w:val="20"/>
    </w:rPr>
  </w:style>
  <w:style w:type="paragraph" w:customStyle="1" w:styleId="105">
    <w:name w:val="表格环评"/>
    <w:basedOn w:val="1"/>
    <w:next w:val="1"/>
    <w:qFormat/>
    <w:uiPriority w:val="0"/>
    <w:pPr>
      <w:adjustRightInd w:val="0"/>
      <w:snapToGrid w:val="0"/>
      <w:jc w:val="center"/>
    </w:pPr>
    <w:rPr>
      <w:rFonts w:ascii="宋体" w:hAnsi="宋体"/>
      <w:kern w:val="0"/>
      <w:szCs w:val="20"/>
    </w:rPr>
  </w:style>
  <w:style w:type="paragraph" w:customStyle="1" w:styleId="106">
    <w:name w:val="样式12"/>
    <w:basedOn w:val="72"/>
    <w:qFormat/>
    <w:uiPriority w:val="0"/>
    <w:rPr>
      <w:rFonts w:hAnsi="宋体"/>
    </w:rPr>
  </w:style>
  <w:style w:type="paragraph" w:customStyle="1" w:styleId="107">
    <w:name w:val="WPSOffice手动目录 1"/>
    <w:unhideWhenUsed/>
    <w:qFormat/>
    <w:uiPriority w:val="0"/>
    <w:rPr>
      <w:rFonts w:ascii="Calibri" w:hAnsi="Calibri" w:eastAsia="宋体" w:cs="Times New Roman"/>
      <w:lang w:val="en-US" w:eastAsia="zh-CN" w:bidi="ar-SA"/>
    </w:rPr>
  </w:style>
  <w:style w:type="paragraph" w:customStyle="1" w:styleId="108">
    <w:name w:val="表格正文"/>
    <w:basedOn w:val="1"/>
    <w:next w:val="1"/>
    <w:qFormat/>
    <w:uiPriority w:val="0"/>
    <w:pPr>
      <w:jc w:val="center"/>
    </w:pPr>
  </w:style>
  <w:style w:type="paragraph" w:customStyle="1" w:styleId="109">
    <w:name w:val="pic-info"/>
    <w:basedOn w:val="1"/>
    <w:qFormat/>
    <w:uiPriority w:val="0"/>
    <w:pPr>
      <w:widowControl/>
      <w:spacing w:before="100" w:beforeAutospacing="1" w:after="100" w:afterAutospacing="1"/>
      <w:jc w:val="left"/>
    </w:pPr>
    <w:rPr>
      <w:rFonts w:ascii="宋体" w:hAnsi="宋体" w:cs="宋体"/>
      <w:kern w:val="0"/>
    </w:rPr>
  </w:style>
  <w:style w:type="character" w:customStyle="1" w:styleId="110">
    <w:name w:val="hrz正文 Char"/>
    <w:link w:val="111"/>
    <w:qFormat/>
    <w:uiPriority w:val="0"/>
    <w:rPr>
      <w:rFonts w:ascii="Times New Roman" w:hAnsi="Times New Roman"/>
      <w:sz w:val="24"/>
    </w:rPr>
  </w:style>
  <w:style w:type="paragraph" w:customStyle="1" w:styleId="111">
    <w:name w:val="hrz正文"/>
    <w:basedOn w:val="1"/>
    <w:link w:val="110"/>
    <w:qFormat/>
    <w:uiPriority w:val="0"/>
    <w:pPr>
      <w:spacing w:line="360" w:lineRule="auto"/>
      <w:ind w:firstLine="600" w:firstLineChars="200"/>
    </w:pPr>
    <w:rPr>
      <w:sz w:val="24"/>
    </w:rPr>
  </w:style>
  <w:style w:type="paragraph" w:customStyle="1" w:styleId="112">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13">
    <w:name w:val="样式 样式 左 首行缩进:  2 字符 + 首行缩进:  2 字符"/>
    <w:basedOn w:val="1"/>
    <w:qFormat/>
    <w:uiPriority w:val="0"/>
    <w:pPr>
      <w:adjustRightInd w:val="0"/>
      <w:snapToGrid w:val="0"/>
      <w:ind w:left="1134" w:firstLine="480"/>
      <w:jc w:val="left"/>
    </w:pPr>
    <w:rPr>
      <w:rFonts w:cs="宋体"/>
      <w:color w:val="000000"/>
      <w:szCs w:val="20"/>
    </w:rPr>
  </w:style>
  <w:style w:type="paragraph" w:styleId="114">
    <w:name w:val="No Spacing"/>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15">
    <w:name w:val="表格文字 Char"/>
    <w:qFormat/>
    <w:locked/>
    <w:uiPriority w:val="99"/>
    <w:rPr>
      <w:sz w:val="21"/>
      <w:lang w:bidi="ar-SA"/>
    </w:rPr>
  </w:style>
  <w:style w:type="paragraph" w:customStyle="1" w:styleId="116">
    <w:name w:val="正文首行缩进 21"/>
    <w:basedOn w:val="13"/>
    <w:next w:val="13"/>
    <w:qFormat/>
    <w:uiPriority w:val="0"/>
    <w:pPr>
      <w:spacing w:after="0"/>
      <w:ind w:firstLine="420" w:firstLineChars="200"/>
    </w:pPr>
    <w:rPr>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emf"/><Relationship Id="rId20" Type="http://schemas.openxmlformats.org/officeDocument/2006/relationships/oleObject" Target="embeddings/Microsoft_Visio_2003-2010___6.vsd"/><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Microsoft_Visio_2003-2010___5.vsd"/><Relationship Id="rId17" Type="http://schemas.openxmlformats.org/officeDocument/2006/relationships/image" Target="media/image6.emf"/><Relationship Id="rId16" Type="http://schemas.openxmlformats.org/officeDocument/2006/relationships/image" Target="media/image5.emf"/><Relationship Id="rId15" Type="http://schemas.openxmlformats.org/officeDocument/2006/relationships/oleObject" Target="embeddings/Microsoft_Visio_2003-2010___4.vsd"/><Relationship Id="rId14" Type="http://schemas.openxmlformats.org/officeDocument/2006/relationships/image" Target="media/image4.emf"/><Relationship Id="rId13" Type="http://schemas.openxmlformats.org/officeDocument/2006/relationships/oleObject" Target="embeddings/Microsoft_Visio_2003-2010___3.vsd"/><Relationship Id="rId12" Type="http://schemas.openxmlformats.org/officeDocument/2006/relationships/image" Target="media/image3.emf"/><Relationship Id="rId11" Type="http://schemas.openxmlformats.org/officeDocument/2006/relationships/oleObject" Target="embeddings/Microsoft_Visio_2003-2010___2.vsd"/><Relationship Id="rId10" Type="http://schemas.openxmlformats.org/officeDocument/2006/relationships/oleObject" Target="embeddings/Microsoft_Visio_2003-2010___1.vsd"/><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114</Pages>
  <Words>582</Words>
  <Characters>622</Characters>
  <Lines>6014</Lines>
  <Paragraphs>5263</Paragraphs>
  <TotalTime>7</TotalTime>
  <ScaleCrop>false</ScaleCrop>
  <LinksUpToDate>false</LinksUpToDate>
  <CharactersWithSpaces>733</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2025-12-15T09:51:00Z</dcterms:created>
  <dc:creator>lhj</dc:creator>
  <cp:lastModifiedBy>丫头</cp:lastModifiedBy>
  <cp:lastPrinted>2026-02-05T09:39:00Z</cp:lastPrinted>
  <dcterms:modified xsi:type="dcterms:W3CDTF">2026-10-21T01:36:40Z</dcterms:modified>
  <dc:title>附件2</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73CC3B70A7FF40F5B18A2E5A9334DF10_13</vt:lpwstr>
  </property>
  <property fmtid="{D5CDD505-2E9C-101B-9397-08002B2CF9AE}" pid="4" name="KSOTemplateDocerSaveRecord">
    <vt:lpwstr>eyJoZGlkIjoiMzEwNTM5NzYwMDRjMzkwZTVkZjY2ODkwMGIxNGU0OTUiLCJ1c2VySWQiOiIyMzM5NzUyODQifQ==</vt:lpwstr>
  </property>
</Properties>
</file>