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8F5840">
      <w:pPr>
        <w:bidi w:val="0"/>
        <w:rPr>
          <w:rFonts w:hint="default"/>
          <w:color w:val="000000" w:themeColor="text1"/>
          <w14:textFill>
            <w14:solidFill>
              <w14:schemeClr w14:val="tx1"/>
            </w14:solidFill>
          </w14:textFill>
        </w:rPr>
      </w:pPr>
      <w:bookmarkStart w:id="0" w:name="_Toc10343"/>
    </w:p>
    <w:p w14:paraId="5DC132A8">
      <w:pPr>
        <w:pStyle w:val="30"/>
        <w:rPr>
          <w:rFonts w:hint="default"/>
          <w:color w:val="000000" w:themeColor="text1"/>
          <w14:textFill>
            <w14:solidFill>
              <w14:schemeClr w14:val="tx1"/>
            </w14:solidFill>
          </w14:textFill>
        </w:rPr>
      </w:pPr>
    </w:p>
    <w:p w14:paraId="0AD77C87">
      <w:pPr>
        <w:pStyle w:val="29"/>
        <w:rPr>
          <w:rFonts w:hint="default"/>
          <w:color w:val="000000" w:themeColor="text1"/>
          <w14:textFill>
            <w14:solidFill>
              <w14:schemeClr w14:val="tx1"/>
            </w14:solidFill>
          </w14:textFill>
        </w:rPr>
      </w:pPr>
    </w:p>
    <w:p w14:paraId="1EA3CBAB">
      <w:pPr>
        <w:pStyle w:val="30"/>
        <w:rPr>
          <w:rFonts w:hint="default"/>
          <w:color w:val="000000" w:themeColor="text1"/>
          <w14:textFill>
            <w14:solidFill>
              <w14:schemeClr w14:val="tx1"/>
            </w14:solidFill>
          </w14:textFill>
        </w:rPr>
      </w:pPr>
    </w:p>
    <w:p w14:paraId="772DA6A8">
      <w:pPr>
        <w:adjustRightInd w:val="0"/>
        <w:snapToGrid w:val="0"/>
        <w:jc w:val="center"/>
        <w:outlineLvl w:val="0"/>
        <w:rPr>
          <w:rFonts w:hint="default" w:ascii="Times New Roman" w:hAnsi="Times New Roman" w:cs="Times New Roman"/>
          <w:bCs/>
          <w:color w:val="000000" w:themeColor="text1"/>
          <w:sz w:val="72"/>
          <w:szCs w:val="72"/>
          <w14:textFill>
            <w14:solidFill>
              <w14:schemeClr w14:val="tx1"/>
            </w14:solidFill>
          </w14:textFill>
        </w:rPr>
      </w:pPr>
      <w:bookmarkStart w:id="1" w:name="_Toc4456"/>
      <w:bookmarkStart w:id="2" w:name="_Toc32263"/>
      <w:bookmarkStart w:id="3" w:name="_Toc16399"/>
      <w:r>
        <w:rPr>
          <w:rFonts w:hint="default" w:ascii="Times New Roman" w:hAnsi="Times New Roman" w:eastAsia="方正小标宋_GBK" w:cs="Times New Roman"/>
          <w:bCs/>
          <w:color w:val="000000" w:themeColor="text1"/>
          <w:sz w:val="72"/>
          <w:szCs w:val="72"/>
          <w14:textFill>
            <w14:solidFill>
              <w14:schemeClr w14:val="tx1"/>
            </w14:solidFill>
          </w14:textFill>
        </w:rPr>
        <w:t>建设项目环境影响报告表</w:t>
      </w:r>
      <w:bookmarkEnd w:id="0"/>
      <w:bookmarkEnd w:id="1"/>
      <w:bookmarkEnd w:id="2"/>
      <w:bookmarkEnd w:id="3"/>
    </w:p>
    <w:p w14:paraId="17988F2B">
      <w:pPr>
        <w:adjustRightInd w:val="0"/>
        <w:snapToGrid w:val="0"/>
        <w:spacing w:before="192" w:beforeLines="80"/>
        <w:jc w:val="center"/>
        <w:rPr>
          <w:rFonts w:hint="default" w:ascii="Times New Roman" w:hAnsi="Times New Roman" w:eastAsia="楷体_GB2312" w:cs="Times New Roman"/>
          <w:bCs/>
          <w:color w:val="000000" w:themeColor="text1"/>
          <w:sz w:val="48"/>
          <w:szCs w:val="48"/>
          <w14:textFill>
            <w14:solidFill>
              <w14:schemeClr w14:val="tx1"/>
            </w14:solidFill>
          </w14:textFill>
        </w:rPr>
      </w:pPr>
      <w:r>
        <w:rPr>
          <w:rFonts w:hint="default" w:ascii="Times New Roman" w:hAnsi="Times New Roman" w:eastAsia="楷体_GB2312" w:cs="Times New Roman"/>
          <w:bCs/>
          <w:color w:val="000000" w:themeColor="text1"/>
          <w:sz w:val="48"/>
          <w:szCs w:val="48"/>
          <w14:textFill>
            <w14:solidFill>
              <w14:schemeClr w14:val="tx1"/>
            </w14:solidFill>
          </w14:textFill>
        </w:rPr>
        <w:t>（污染影响类）</w:t>
      </w:r>
    </w:p>
    <w:p w14:paraId="3E2F5713">
      <w:pPr>
        <w:adjustRightInd w:val="0"/>
        <w:snapToGrid w:val="0"/>
        <w:spacing w:before="192" w:beforeLines="80"/>
        <w:jc w:val="center"/>
        <w:rPr>
          <w:rFonts w:hint="default" w:ascii="Times New Roman" w:hAnsi="Times New Roman" w:cs="Times New Roman"/>
          <w:bCs/>
          <w:color w:val="000000" w:themeColor="text1"/>
          <w:sz w:val="36"/>
          <w:szCs w:val="36"/>
          <w14:textFill>
            <w14:solidFill>
              <w14:schemeClr w14:val="tx1"/>
            </w14:solidFill>
          </w14:textFill>
        </w:rPr>
      </w:pPr>
    </w:p>
    <w:p w14:paraId="52E735E1">
      <w:pPr>
        <w:jc w:val="center"/>
        <w:rPr>
          <w:rFonts w:hint="default" w:ascii="Times New Roman" w:hAnsi="Times New Roman" w:cs="Times New Roman"/>
          <w:color w:val="000000" w:themeColor="text1"/>
          <w:sz w:val="36"/>
          <w:szCs w:val="36"/>
          <w14:textFill>
            <w14:solidFill>
              <w14:schemeClr w14:val="tx1"/>
            </w14:solidFill>
          </w14:textFill>
        </w:rPr>
      </w:pPr>
    </w:p>
    <w:p w14:paraId="20C8DF6F">
      <w:pPr>
        <w:jc w:val="center"/>
        <w:rPr>
          <w:rFonts w:hint="default" w:ascii="Times New Roman" w:hAnsi="Times New Roman" w:cs="Times New Roman"/>
          <w:color w:val="000000" w:themeColor="text1"/>
          <w:sz w:val="36"/>
          <w:szCs w:val="36"/>
          <w14:textFill>
            <w14:solidFill>
              <w14:schemeClr w14:val="tx1"/>
            </w14:solidFill>
          </w14:textFill>
        </w:rPr>
      </w:pPr>
    </w:p>
    <w:p w14:paraId="16E73C49">
      <w:pPr>
        <w:ind w:firstLine="1040"/>
        <w:rPr>
          <w:rFonts w:hint="default" w:ascii="Times New Roman" w:hAnsi="Times New Roman" w:cs="Times New Roman"/>
          <w:color w:val="000000" w:themeColor="text1"/>
          <w:sz w:val="36"/>
          <w:szCs w:val="36"/>
          <w14:textFill>
            <w14:solidFill>
              <w14:schemeClr w14:val="tx1"/>
            </w14:solidFill>
          </w14:textFill>
        </w:rPr>
      </w:pPr>
    </w:p>
    <w:p w14:paraId="4AA7791C">
      <w:pPr>
        <w:ind w:firstLine="1040"/>
        <w:rPr>
          <w:rFonts w:hint="default" w:ascii="Times New Roman" w:hAnsi="Times New Roman" w:cs="Times New Roman"/>
          <w:color w:val="000000" w:themeColor="text1"/>
          <w:sz w:val="36"/>
          <w:szCs w:val="36"/>
          <w14:textFill>
            <w14:solidFill>
              <w14:schemeClr w14:val="tx1"/>
            </w14:solidFill>
          </w14:textFill>
        </w:rPr>
      </w:pPr>
    </w:p>
    <w:p w14:paraId="426AF905">
      <w:pPr>
        <w:pStyle w:val="29"/>
        <w:rPr>
          <w:rFonts w:hint="default" w:ascii="Times New Roman" w:hAnsi="Times New Roman" w:cs="Times New Roman"/>
          <w:color w:val="000000" w:themeColor="text1"/>
          <w:sz w:val="36"/>
          <w:szCs w:val="36"/>
          <w14:textFill>
            <w14:solidFill>
              <w14:schemeClr w14:val="tx1"/>
            </w14:solidFill>
          </w14:textFill>
        </w:rPr>
      </w:pPr>
    </w:p>
    <w:p w14:paraId="49509DF7">
      <w:pPr>
        <w:rPr>
          <w:rFonts w:hint="default" w:ascii="Times New Roman" w:hAnsi="Times New Roman" w:cs="Times New Roman"/>
          <w:color w:val="000000" w:themeColor="text1"/>
          <w:sz w:val="36"/>
          <w:szCs w:val="36"/>
          <w14:textFill>
            <w14:solidFill>
              <w14:schemeClr w14:val="tx1"/>
            </w14:solidFill>
          </w14:textFill>
        </w:rPr>
      </w:pPr>
    </w:p>
    <w:p w14:paraId="050A4066">
      <w:pPr>
        <w:pStyle w:val="29"/>
        <w:rPr>
          <w:rFonts w:hint="default" w:ascii="Times New Roman" w:hAnsi="Times New Roman" w:cs="Times New Roman"/>
          <w:color w:val="000000" w:themeColor="text1"/>
          <w14:textFill>
            <w14:solidFill>
              <w14:schemeClr w14:val="tx1"/>
            </w14:solidFill>
          </w14:textFill>
        </w:rPr>
      </w:pPr>
    </w:p>
    <w:p w14:paraId="4B78397C">
      <w:pPr>
        <w:ind w:firstLine="1040"/>
        <w:rPr>
          <w:rFonts w:hint="default" w:ascii="Times New Roman" w:hAnsi="Times New Roman" w:cs="Times New Roman"/>
          <w:color w:val="000000" w:themeColor="text1"/>
          <w:sz w:val="36"/>
          <w:szCs w:val="36"/>
          <w14:textFill>
            <w14:solidFill>
              <w14:schemeClr w14:val="tx1"/>
            </w14:solidFill>
          </w14:textFill>
        </w:rPr>
      </w:pPr>
    </w:p>
    <w:p w14:paraId="480E5DE8">
      <w:pPr>
        <w:ind w:firstLine="1040"/>
        <w:rPr>
          <w:rFonts w:hint="default" w:ascii="Times New Roman" w:hAnsi="Times New Roman" w:cs="Times New Roman"/>
          <w:color w:val="000000" w:themeColor="text1"/>
          <w:sz w:val="36"/>
          <w:szCs w:val="36"/>
          <w14:textFill>
            <w14:solidFill>
              <w14:schemeClr w14:val="tx1"/>
            </w14:solidFill>
          </w14:textFill>
        </w:rPr>
      </w:pPr>
    </w:p>
    <w:p w14:paraId="00D36F05">
      <w:pPr>
        <w:spacing w:line="360" w:lineRule="auto"/>
        <w:ind w:left="4698" w:hanging="4698" w:hangingChars="1300"/>
        <w:jc w:val="both"/>
        <w:rPr>
          <w:rFonts w:hint="default" w:ascii="Times New Roman" w:hAnsi="Times New Roman" w:eastAsia="仿宋" w:cs="Times New Roman"/>
          <w:b/>
          <w:color w:val="000000" w:themeColor="text1"/>
          <w:sz w:val="36"/>
          <w:szCs w:val="36"/>
          <w14:textFill>
            <w14:solidFill>
              <w14:schemeClr w14:val="tx1"/>
            </w14:solidFill>
          </w14:textFill>
        </w:rPr>
      </w:pPr>
    </w:p>
    <w:p w14:paraId="3E78C660">
      <w:pPr>
        <w:keepNext w:val="0"/>
        <w:keepLines w:val="0"/>
        <w:pageBreakBefore w:val="0"/>
        <w:widowControl w:val="0"/>
        <w:kinsoku/>
        <w:wordWrap/>
        <w:overflowPunct/>
        <w:topLinePunct w:val="0"/>
        <w:autoSpaceDE/>
        <w:autoSpaceDN/>
        <w:bidi w:val="0"/>
        <w:adjustRightInd/>
        <w:snapToGrid/>
        <w:spacing w:line="360" w:lineRule="auto"/>
        <w:ind w:left="3253" w:hanging="3253" w:hangingChars="900"/>
        <w:jc w:val="left"/>
        <w:textAlignment w:val="auto"/>
        <w:rPr>
          <w:rFonts w:hint="default" w:ascii="Times New Roman" w:hAnsi="Times New Roman" w:eastAsia="仿宋" w:cs="Times New Roman"/>
          <w:b/>
          <w:color w:val="000000" w:themeColor="text1"/>
          <w:sz w:val="36"/>
          <w:szCs w:val="36"/>
          <w:u w:val="single"/>
          <w:lang w:val="en-US" w:eastAsia="zh-CN"/>
          <w14:textFill>
            <w14:solidFill>
              <w14:schemeClr w14:val="tx1"/>
            </w14:solidFill>
          </w14:textFill>
        </w:rPr>
      </w:pPr>
      <w:r>
        <w:rPr>
          <w:rFonts w:hint="default" w:ascii="Times New Roman" w:hAnsi="Times New Roman" w:eastAsia="仿宋" w:cs="Times New Roman"/>
          <w:b/>
          <w:color w:val="000000" w:themeColor="text1"/>
          <w:sz w:val="36"/>
          <w:szCs w:val="36"/>
          <w14:textFill>
            <w14:solidFill>
              <w14:schemeClr w14:val="tx1"/>
            </w14:solidFill>
          </w14:textFill>
        </w:rPr>
        <w:t>项  目  名  称</w:t>
      </w:r>
      <w:r>
        <w:rPr>
          <w:rFonts w:hint="default" w:ascii="Times New Roman" w:hAnsi="Times New Roman" w:eastAsia="仿宋" w:cs="Times New Roman"/>
          <w:b/>
          <w:color w:val="000000" w:themeColor="text1"/>
          <w:sz w:val="36"/>
          <w:szCs w:val="36"/>
          <w:lang w:val="en-US" w:eastAsia="zh-CN"/>
          <w14:textFill>
            <w14:solidFill>
              <w14:schemeClr w14:val="tx1"/>
            </w14:solidFill>
          </w14:textFill>
        </w:rPr>
        <w:t xml:space="preserve">  </w:t>
      </w:r>
      <w:r>
        <w:rPr>
          <w:rFonts w:hint="default" w:ascii="Times New Roman" w:hAnsi="Times New Roman" w:eastAsia="仿宋" w:cs="Times New Roman"/>
          <w:b/>
          <w:color w:val="000000" w:themeColor="text1"/>
          <w:sz w:val="36"/>
          <w:szCs w:val="36"/>
          <w14:textFill>
            <w14:solidFill>
              <w14:schemeClr w14:val="tx1"/>
            </w14:solidFill>
          </w14:textFill>
        </w:rPr>
        <w:t>：</w:t>
      </w:r>
      <w:bookmarkStart w:id="4" w:name="OLE_LINK1"/>
      <w:r>
        <w:rPr>
          <w:rFonts w:hint="eastAsia" w:eastAsia="仿宋" w:cs="Times New Roman"/>
          <w:b/>
          <w:color w:val="000000" w:themeColor="text1"/>
          <w:sz w:val="36"/>
          <w:szCs w:val="36"/>
          <w:u w:val="single"/>
          <w:lang w:val="en-US" w:eastAsia="zh-CN"/>
          <w14:textFill>
            <w14:solidFill>
              <w14:schemeClr w14:val="tx1"/>
            </w14:solidFill>
          </w14:textFill>
        </w:rPr>
        <w:t>密胺餐具智能化生产基地建设项目</w:t>
      </w:r>
      <w:bookmarkEnd w:id="4"/>
      <w:r>
        <w:rPr>
          <w:rFonts w:hint="eastAsia" w:eastAsia="仿宋" w:cs="Times New Roman"/>
          <w:b/>
          <w:color w:val="000000" w:themeColor="text1"/>
          <w:sz w:val="36"/>
          <w:szCs w:val="36"/>
          <w:u w:val="single"/>
          <w:lang w:val="en-US" w:eastAsia="zh-CN"/>
          <w14:textFill>
            <w14:solidFill>
              <w14:schemeClr w14:val="tx1"/>
            </w14:solidFill>
          </w14:textFill>
        </w:rPr>
        <w:t xml:space="preserve"> </w:t>
      </w:r>
    </w:p>
    <w:p w14:paraId="49504208">
      <w:pPr>
        <w:spacing w:line="360" w:lineRule="auto"/>
        <w:rPr>
          <w:rFonts w:hint="default" w:ascii="Times New Roman" w:hAnsi="Times New Roman" w:eastAsia="仿宋" w:cs="Times New Roman"/>
          <w:b/>
          <w:color w:val="000000" w:themeColor="text1"/>
          <w:sz w:val="36"/>
          <w:szCs w:val="36"/>
          <w:lang w:val="en-US"/>
          <w14:textFill>
            <w14:solidFill>
              <w14:schemeClr w14:val="tx1"/>
            </w14:solidFill>
          </w14:textFill>
        </w:rPr>
      </w:pPr>
      <w:r>
        <w:rPr>
          <w:rFonts w:hint="default" w:ascii="Times New Roman" w:hAnsi="Times New Roman" w:eastAsia="仿宋" w:cs="Times New Roman"/>
          <w:b/>
          <w:color w:val="000000" w:themeColor="text1"/>
          <w:sz w:val="36"/>
          <w:szCs w:val="36"/>
          <w14:textFill>
            <w14:solidFill>
              <w14:schemeClr w14:val="tx1"/>
            </w14:solidFill>
          </w14:textFill>
        </w:rPr>
        <w:t>建设单位（盖章）：</w:t>
      </w:r>
      <w:r>
        <w:rPr>
          <w:rFonts w:hint="default" w:ascii="Times New Roman" w:hAnsi="Times New Roman" w:eastAsia="仿宋" w:cs="Times New Roman"/>
          <w:b/>
          <w:color w:val="000000" w:themeColor="text1"/>
          <w:sz w:val="36"/>
          <w:szCs w:val="36"/>
          <w:u w:val="single"/>
          <w14:textFill>
            <w14:solidFill>
              <w14:schemeClr w14:val="tx1"/>
            </w14:solidFill>
          </w14:textFill>
        </w:rPr>
        <w:t>云</w:t>
      </w:r>
      <w:r>
        <w:rPr>
          <w:rFonts w:hint="eastAsia" w:eastAsia="仿宋" w:cs="Times New Roman"/>
          <w:b/>
          <w:color w:val="000000" w:themeColor="text1"/>
          <w:sz w:val="36"/>
          <w:szCs w:val="36"/>
          <w:u w:val="single"/>
          <w:lang w:val="en-US" w:eastAsia="zh-CN"/>
          <w14:textFill>
            <w14:solidFill>
              <w14:schemeClr w14:val="tx1"/>
            </w14:solidFill>
          </w14:textFill>
        </w:rPr>
        <w:t xml:space="preserve">南盛玥密胺制品有限公司       </w:t>
      </w:r>
    </w:p>
    <w:p w14:paraId="051978D3">
      <w:pPr>
        <w:spacing w:line="360" w:lineRule="auto"/>
        <w:rPr>
          <w:rFonts w:hint="default" w:ascii="Times New Roman" w:hAnsi="Times New Roman" w:eastAsia="仿宋" w:cs="Times New Roman"/>
          <w:b/>
          <w:color w:val="000000" w:themeColor="text1"/>
          <w:sz w:val="36"/>
          <w:szCs w:val="36"/>
          <w:u w:val="single"/>
          <w14:textFill>
            <w14:solidFill>
              <w14:schemeClr w14:val="tx1"/>
            </w14:solidFill>
          </w14:textFill>
        </w:rPr>
      </w:pPr>
      <w:r>
        <w:rPr>
          <w:rFonts w:hint="default" w:ascii="Times New Roman" w:hAnsi="Times New Roman" w:eastAsia="仿宋" w:cs="Times New Roman"/>
          <w:b/>
          <w:color w:val="000000" w:themeColor="text1"/>
          <w:sz w:val="36"/>
          <w:szCs w:val="36"/>
          <w14:textFill>
            <w14:solidFill>
              <w14:schemeClr w14:val="tx1"/>
            </w14:solidFill>
          </w14:textFill>
        </w:rPr>
        <w:t>编  制  日  期</w:t>
      </w:r>
      <w:r>
        <w:rPr>
          <w:rFonts w:hint="default" w:ascii="Times New Roman" w:hAnsi="Times New Roman" w:eastAsia="仿宋" w:cs="Times New Roman"/>
          <w:b/>
          <w:color w:val="000000" w:themeColor="text1"/>
          <w:sz w:val="36"/>
          <w:szCs w:val="36"/>
          <w:lang w:val="en-US" w:eastAsia="zh-CN"/>
          <w14:textFill>
            <w14:solidFill>
              <w14:schemeClr w14:val="tx1"/>
            </w14:solidFill>
          </w14:textFill>
        </w:rPr>
        <w:t xml:space="preserve">  </w:t>
      </w:r>
      <w:r>
        <w:rPr>
          <w:rFonts w:hint="default" w:ascii="Times New Roman" w:hAnsi="Times New Roman" w:eastAsia="仿宋" w:cs="Times New Roman"/>
          <w:b/>
          <w:color w:val="000000" w:themeColor="text1"/>
          <w:sz w:val="36"/>
          <w:szCs w:val="36"/>
          <w14:textFill>
            <w14:solidFill>
              <w14:schemeClr w14:val="tx1"/>
            </w14:solidFill>
          </w14:textFill>
        </w:rPr>
        <w:t>：</w:t>
      </w:r>
      <w:r>
        <w:rPr>
          <w:rFonts w:hint="default" w:ascii="Times New Roman" w:hAnsi="Times New Roman" w:eastAsia="仿宋" w:cs="Times New Roman"/>
          <w:b/>
          <w:color w:val="000000" w:themeColor="text1"/>
          <w:sz w:val="36"/>
          <w:szCs w:val="36"/>
          <w:u w:val="single"/>
          <w14:textFill>
            <w14:solidFill>
              <w14:schemeClr w14:val="tx1"/>
            </w14:solidFill>
          </w14:textFill>
        </w:rPr>
        <w:t>202</w:t>
      </w:r>
      <w:r>
        <w:rPr>
          <w:rFonts w:hint="eastAsia" w:eastAsia="仿宋" w:cs="Times New Roman"/>
          <w:b/>
          <w:color w:val="000000" w:themeColor="text1"/>
          <w:sz w:val="36"/>
          <w:szCs w:val="36"/>
          <w:u w:val="single"/>
          <w:lang w:val="en-US" w:eastAsia="zh-CN"/>
          <w14:textFill>
            <w14:solidFill>
              <w14:schemeClr w14:val="tx1"/>
            </w14:solidFill>
          </w14:textFill>
        </w:rPr>
        <w:t>6</w:t>
      </w:r>
      <w:r>
        <w:rPr>
          <w:rFonts w:hint="default" w:ascii="Times New Roman" w:hAnsi="Times New Roman" w:eastAsia="仿宋" w:cs="Times New Roman"/>
          <w:b/>
          <w:color w:val="000000" w:themeColor="text1"/>
          <w:sz w:val="36"/>
          <w:szCs w:val="36"/>
          <w:u w:val="single"/>
          <w14:textFill>
            <w14:solidFill>
              <w14:schemeClr w14:val="tx1"/>
            </w14:solidFill>
          </w14:textFill>
        </w:rPr>
        <w:t>年</w:t>
      </w:r>
      <w:r>
        <w:rPr>
          <w:rFonts w:hint="eastAsia" w:eastAsia="仿宋" w:cs="Times New Roman"/>
          <w:b/>
          <w:color w:val="000000" w:themeColor="text1"/>
          <w:sz w:val="36"/>
          <w:szCs w:val="36"/>
          <w:u w:val="single"/>
          <w:lang w:val="en-US" w:eastAsia="zh-CN"/>
          <w14:textFill>
            <w14:solidFill>
              <w14:schemeClr w14:val="tx1"/>
            </w14:solidFill>
          </w14:textFill>
        </w:rPr>
        <w:t>10</w:t>
      </w:r>
      <w:r>
        <w:rPr>
          <w:rFonts w:hint="default" w:ascii="Times New Roman" w:hAnsi="Times New Roman" w:eastAsia="仿宋" w:cs="Times New Roman"/>
          <w:b/>
          <w:color w:val="000000" w:themeColor="text1"/>
          <w:sz w:val="36"/>
          <w:szCs w:val="36"/>
          <w:u w:val="single"/>
          <w14:textFill>
            <w14:solidFill>
              <w14:schemeClr w14:val="tx1"/>
            </w14:solidFill>
          </w14:textFill>
        </w:rPr>
        <w:t>月</w:t>
      </w:r>
      <w:r>
        <w:rPr>
          <w:rFonts w:hint="default" w:ascii="Times New Roman" w:hAnsi="Times New Roman" w:eastAsia="仿宋" w:cs="Times New Roman"/>
          <w:b/>
          <w:color w:val="000000" w:themeColor="text1"/>
          <w:sz w:val="36"/>
          <w:szCs w:val="36"/>
          <w:u w:val="single"/>
          <w:lang w:val="en-US" w:eastAsia="zh-CN"/>
          <w14:textFill>
            <w14:solidFill>
              <w14:schemeClr w14:val="tx1"/>
            </w14:solidFill>
          </w14:textFill>
        </w:rPr>
        <w:t xml:space="preserve"> </w:t>
      </w:r>
      <w:r>
        <w:rPr>
          <w:rFonts w:hint="eastAsia" w:eastAsia="仿宋" w:cs="Times New Roman"/>
          <w:b/>
          <w:color w:val="000000" w:themeColor="text1"/>
          <w:sz w:val="36"/>
          <w:szCs w:val="36"/>
          <w:u w:val="single"/>
          <w:lang w:val="en-US" w:eastAsia="zh-CN"/>
          <w14:textFill>
            <w14:solidFill>
              <w14:schemeClr w14:val="tx1"/>
            </w14:solidFill>
          </w14:textFill>
        </w:rPr>
        <w:t xml:space="preserve">                    </w:t>
      </w:r>
    </w:p>
    <w:p w14:paraId="2196BB41">
      <w:pPr>
        <w:adjustRightInd w:val="0"/>
        <w:snapToGrid w:val="0"/>
        <w:spacing w:line="360" w:lineRule="auto"/>
        <w:ind w:firstLine="1040"/>
        <w:rPr>
          <w:rFonts w:hint="default" w:ascii="Times New Roman" w:hAnsi="Times New Roman" w:cs="Times New Roman"/>
          <w:color w:val="000000" w:themeColor="text1"/>
          <w:sz w:val="36"/>
          <w:szCs w:val="36"/>
          <w:u w:val="single"/>
          <w14:textFill>
            <w14:solidFill>
              <w14:schemeClr w14:val="tx1"/>
            </w14:solidFill>
          </w14:textFill>
        </w:rPr>
      </w:pPr>
      <w:bookmarkStart w:id="5" w:name="_Hlk57884087"/>
    </w:p>
    <w:p w14:paraId="450F782E">
      <w:pPr>
        <w:adjustRightInd w:val="0"/>
        <w:snapToGrid w:val="0"/>
        <w:spacing w:line="288" w:lineRule="auto"/>
        <w:ind w:firstLine="1040"/>
        <w:rPr>
          <w:rFonts w:hint="default" w:ascii="Times New Roman" w:hAnsi="Times New Roman" w:cs="Times New Roman"/>
          <w:color w:val="000000" w:themeColor="text1"/>
          <w:sz w:val="36"/>
          <w:szCs w:val="36"/>
          <w14:textFill>
            <w14:solidFill>
              <w14:schemeClr w14:val="tx1"/>
            </w14:solidFill>
          </w14:textFill>
        </w:rPr>
      </w:pPr>
    </w:p>
    <w:bookmarkEnd w:id="5"/>
    <w:p w14:paraId="0DA06390">
      <w:pPr>
        <w:adjustRightInd w:val="0"/>
        <w:snapToGrid w:val="0"/>
        <w:spacing w:line="288" w:lineRule="auto"/>
        <w:jc w:val="center"/>
        <w:rPr>
          <w:rFonts w:hint="default" w:ascii="Times New Roman" w:hAnsi="Times New Roman" w:cs="Times New Roman"/>
          <w:color w:val="000000" w:themeColor="text1"/>
          <w:sz w:val="36"/>
          <w:szCs w:val="36"/>
          <w14:textFill>
            <w14:solidFill>
              <w14:schemeClr w14:val="tx1"/>
            </w14:solidFill>
          </w14:textFill>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r>
        <w:rPr>
          <w:rFonts w:hint="default" w:ascii="Times New Roman" w:hAnsi="Times New Roman" w:cs="Times New Roman"/>
          <w:color w:val="000000" w:themeColor="text1"/>
          <w:sz w:val="36"/>
          <w:szCs w:val="36"/>
          <w14:textFill>
            <w14:solidFill>
              <w14:schemeClr w14:val="tx1"/>
            </w14:solidFill>
          </w14:textFill>
        </w:rPr>
        <w:t>中华人民共和国生态环境部</w:t>
      </w:r>
    </w:p>
    <w:sdt>
      <w:sdtPr>
        <w:rPr>
          <w:rFonts w:ascii="宋体" w:hAnsi="宋体" w:eastAsia="宋体" w:cs="Times New Roman"/>
          <w:color w:val="000000" w:themeColor="text1"/>
          <w:kern w:val="2"/>
          <w:sz w:val="21"/>
          <w:szCs w:val="24"/>
          <w:lang w:val="en-US" w:eastAsia="zh-CN" w:bidi="ar-SA"/>
          <w14:textFill>
            <w14:solidFill>
              <w14:schemeClr w14:val="tx1"/>
            </w14:solidFill>
          </w14:textFill>
        </w:rPr>
        <w:id w:val="147473267"/>
        <w15:color w:val="DBDBDB"/>
        <w:docPartObj>
          <w:docPartGallery w:val="Table of Contents"/>
          <w:docPartUnique/>
        </w:docPartObj>
      </w:sdtPr>
      <w:sdtEndP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sdtEndPr>
      <w:sdtContent>
        <w:p w14:paraId="41C5D719">
          <w:pPr>
            <w:spacing w:before="0" w:beforeLines="0" w:after="0" w:afterLines="0" w:line="240" w:lineRule="auto"/>
            <w:ind w:left="0" w:leftChars="0" w:right="0" w:rightChars="0" w:firstLine="0" w:firstLineChars="0"/>
            <w:jc w:val="center"/>
            <w:rPr>
              <w:b/>
              <w:bCs/>
              <w:color w:val="000000" w:themeColor="text1"/>
              <w:sz w:val="32"/>
              <w:szCs w:val="40"/>
              <w14:textFill>
                <w14:solidFill>
                  <w14:schemeClr w14:val="tx1"/>
                </w14:solidFill>
              </w14:textFill>
            </w:rPr>
          </w:pPr>
          <w:r>
            <w:rPr>
              <w:rFonts w:ascii="宋体" w:hAnsi="宋体" w:eastAsia="宋体"/>
              <w:b/>
              <w:bCs/>
              <w:color w:val="000000" w:themeColor="text1"/>
              <w:sz w:val="32"/>
              <w:szCs w:val="40"/>
              <w14:textFill>
                <w14:solidFill>
                  <w14:schemeClr w14:val="tx1"/>
                </w14:solidFill>
              </w14:textFill>
            </w:rPr>
            <w:t>目录</w:t>
          </w:r>
        </w:p>
        <w:p w14:paraId="429FB300">
          <w:pPr>
            <w:pStyle w:val="22"/>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b/>
              <w:bCs/>
              <w:color w:val="000000" w:themeColor="text1"/>
              <w:sz w:val="24"/>
              <w:szCs w:val="32"/>
              <w14:textFill>
                <w14:solidFill>
                  <w14:schemeClr w14:val="tx1"/>
                </w14:solidFill>
              </w14:textFill>
            </w:rPr>
          </w:pPr>
          <w:r>
            <w:rPr>
              <w:rFonts w:hint="default"/>
              <w:color w:val="000000" w:themeColor="text1"/>
              <w14:textFill>
                <w14:solidFill>
                  <w14:schemeClr w14:val="tx1"/>
                </w14:solidFill>
              </w14:textFill>
            </w:rPr>
            <w:fldChar w:fldCharType="begin"/>
          </w:r>
          <w:r>
            <w:rPr>
              <w:rFonts w:hint="default"/>
              <w:color w:val="000000" w:themeColor="text1"/>
              <w14:textFill>
                <w14:solidFill>
                  <w14:schemeClr w14:val="tx1"/>
                </w14:solidFill>
              </w14:textFill>
            </w:rPr>
            <w:instrText xml:space="preserve">TOC \o "1-3" \h \u </w:instrText>
          </w:r>
          <w:r>
            <w:rPr>
              <w:rFonts w:hint="default"/>
              <w:color w:val="000000" w:themeColor="text1"/>
              <w14:textFill>
                <w14:solidFill>
                  <w14:schemeClr w14:val="tx1"/>
                </w14:solidFill>
              </w14:textFill>
            </w:rPr>
            <w:fldChar w:fldCharType="separate"/>
          </w:r>
          <w:r>
            <w:rPr>
              <w:rFonts w:hint="default"/>
              <w:b/>
              <w:bCs/>
              <w:color w:val="000000" w:themeColor="text1"/>
              <w:sz w:val="24"/>
              <w:szCs w:val="32"/>
              <w14:textFill>
                <w14:solidFill>
                  <w14:schemeClr w14:val="tx1"/>
                </w14:solidFill>
              </w14:textFill>
            </w:rPr>
            <w:fldChar w:fldCharType="begin"/>
          </w:r>
          <w:r>
            <w:rPr>
              <w:rFonts w:hint="default"/>
              <w:b/>
              <w:bCs/>
              <w:color w:val="000000" w:themeColor="text1"/>
              <w:sz w:val="24"/>
              <w:szCs w:val="32"/>
              <w14:textFill>
                <w14:solidFill>
                  <w14:schemeClr w14:val="tx1"/>
                </w14:solidFill>
              </w14:textFill>
            </w:rPr>
            <w:instrText xml:space="preserve"> HYPERLINK \l _Toc18650 </w:instrText>
          </w:r>
          <w:r>
            <w:rPr>
              <w:rFonts w:hint="default"/>
              <w:b/>
              <w:bCs/>
              <w:color w:val="000000" w:themeColor="text1"/>
              <w:sz w:val="24"/>
              <w:szCs w:val="32"/>
              <w14:textFill>
                <w14:solidFill>
                  <w14:schemeClr w14:val="tx1"/>
                </w14:solidFill>
              </w14:textFill>
            </w:rPr>
            <w:fldChar w:fldCharType="separate"/>
          </w:r>
          <w:r>
            <w:rPr>
              <w:rFonts w:hint="default" w:ascii="Times New Roman" w:hAnsi="Times New Roman" w:cs="Times New Roman"/>
              <w:b/>
              <w:bCs/>
              <w:snapToGrid w:val="0"/>
              <w:color w:val="000000" w:themeColor="text1"/>
              <w:sz w:val="24"/>
              <w:szCs w:val="32"/>
              <w14:textFill>
                <w14:solidFill>
                  <w14:schemeClr w14:val="tx1"/>
                </w14:solidFill>
              </w14:textFill>
            </w:rPr>
            <w:t>一、建设项目基本情况</w:t>
          </w:r>
          <w:r>
            <w:rPr>
              <w:b/>
              <w:bCs/>
              <w:color w:val="000000" w:themeColor="text1"/>
              <w:sz w:val="24"/>
              <w:szCs w:val="32"/>
              <w14:textFill>
                <w14:solidFill>
                  <w14:schemeClr w14:val="tx1"/>
                </w14:solidFill>
              </w14:textFill>
            </w:rPr>
            <w:tab/>
          </w:r>
          <w:r>
            <w:rPr>
              <w:b/>
              <w:bCs/>
              <w:color w:val="000000" w:themeColor="text1"/>
              <w:sz w:val="24"/>
              <w:szCs w:val="32"/>
              <w14:textFill>
                <w14:solidFill>
                  <w14:schemeClr w14:val="tx1"/>
                </w14:solidFill>
              </w14:textFill>
            </w:rPr>
            <w:fldChar w:fldCharType="begin"/>
          </w:r>
          <w:r>
            <w:rPr>
              <w:b/>
              <w:bCs/>
              <w:color w:val="000000" w:themeColor="text1"/>
              <w:sz w:val="24"/>
              <w:szCs w:val="32"/>
              <w14:textFill>
                <w14:solidFill>
                  <w14:schemeClr w14:val="tx1"/>
                </w14:solidFill>
              </w14:textFill>
            </w:rPr>
            <w:instrText xml:space="preserve"> PAGEREF _Toc18650 \h </w:instrText>
          </w:r>
          <w:r>
            <w:rPr>
              <w:b/>
              <w:bCs/>
              <w:color w:val="000000" w:themeColor="text1"/>
              <w:sz w:val="24"/>
              <w:szCs w:val="32"/>
              <w14:textFill>
                <w14:solidFill>
                  <w14:schemeClr w14:val="tx1"/>
                </w14:solidFill>
              </w14:textFill>
            </w:rPr>
            <w:fldChar w:fldCharType="separate"/>
          </w:r>
          <w:r>
            <w:rPr>
              <w:b/>
              <w:bCs/>
              <w:color w:val="000000" w:themeColor="text1"/>
              <w:sz w:val="24"/>
              <w:szCs w:val="32"/>
              <w14:textFill>
                <w14:solidFill>
                  <w14:schemeClr w14:val="tx1"/>
                </w14:solidFill>
              </w14:textFill>
            </w:rPr>
            <w:t>1</w:t>
          </w:r>
          <w:r>
            <w:rPr>
              <w:b/>
              <w:bCs/>
              <w:color w:val="000000" w:themeColor="text1"/>
              <w:sz w:val="24"/>
              <w:szCs w:val="32"/>
              <w14:textFill>
                <w14:solidFill>
                  <w14:schemeClr w14:val="tx1"/>
                </w14:solidFill>
              </w14:textFill>
            </w:rPr>
            <w:fldChar w:fldCharType="end"/>
          </w:r>
          <w:r>
            <w:rPr>
              <w:rFonts w:hint="default"/>
              <w:b/>
              <w:bCs/>
              <w:color w:val="000000" w:themeColor="text1"/>
              <w:sz w:val="24"/>
              <w:szCs w:val="32"/>
              <w14:textFill>
                <w14:solidFill>
                  <w14:schemeClr w14:val="tx1"/>
                </w14:solidFill>
              </w14:textFill>
            </w:rPr>
            <w:fldChar w:fldCharType="end"/>
          </w:r>
        </w:p>
        <w:p w14:paraId="5227CBDF">
          <w:pPr>
            <w:pStyle w:val="22"/>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b/>
              <w:bCs/>
              <w:color w:val="000000" w:themeColor="text1"/>
              <w:sz w:val="24"/>
              <w:szCs w:val="32"/>
              <w14:textFill>
                <w14:solidFill>
                  <w14:schemeClr w14:val="tx1"/>
                </w14:solidFill>
              </w14:textFill>
            </w:rPr>
          </w:pPr>
          <w:r>
            <w:rPr>
              <w:rFonts w:hint="default"/>
              <w:b/>
              <w:bCs/>
              <w:color w:val="000000" w:themeColor="text1"/>
              <w:sz w:val="24"/>
              <w:szCs w:val="32"/>
              <w14:textFill>
                <w14:solidFill>
                  <w14:schemeClr w14:val="tx1"/>
                </w14:solidFill>
              </w14:textFill>
            </w:rPr>
            <w:fldChar w:fldCharType="begin"/>
          </w:r>
          <w:r>
            <w:rPr>
              <w:rFonts w:hint="default"/>
              <w:b/>
              <w:bCs/>
              <w:color w:val="000000" w:themeColor="text1"/>
              <w:sz w:val="24"/>
              <w:szCs w:val="32"/>
              <w14:textFill>
                <w14:solidFill>
                  <w14:schemeClr w14:val="tx1"/>
                </w14:solidFill>
              </w14:textFill>
            </w:rPr>
            <w:instrText xml:space="preserve"> HYPERLINK \l _Toc25364 </w:instrText>
          </w:r>
          <w:r>
            <w:rPr>
              <w:rFonts w:hint="default"/>
              <w:b/>
              <w:bCs/>
              <w:color w:val="000000" w:themeColor="text1"/>
              <w:sz w:val="24"/>
              <w:szCs w:val="32"/>
              <w14:textFill>
                <w14:solidFill>
                  <w14:schemeClr w14:val="tx1"/>
                </w14:solidFill>
              </w14:textFill>
            </w:rPr>
            <w:fldChar w:fldCharType="separate"/>
          </w:r>
          <w:r>
            <w:rPr>
              <w:rFonts w:hint="default"/>
              <w:b/>
              <w:bCs/>
              <w:color w:val="000000" w:themeColor="text1"/>
              <w:sz w:val="24"/>
              <w:szCs w:val="32"/>
              <w14:textFill>
                <w14:solidFill>
                  <w14:schemeClr w14:val="tx1"/>
                </w14:solidFill>
              </w14:textFill>
            </w:rPr>
            <w:t>二、建设项目工程分析</w:t>
          </w:r>
          <w:r>
            <w:rPr>
              <w:b/>
              <w:bCs/>
              <w:color w:val="000000" w:themeColor="text1"/>
              <w:sz w:val="24"/>
              <w:szCs w:val="32"/>
              <w14:textFill>
                <w14:solidFill>
                  <w14:schemeClr w14:val="tx1"/>
                </w14:solidFill>
              </w14:textFill>
            </w:rPr>
            <w:tab/>
          </w:r>
          <w:r>
            <w:rPr>
              <w:b/>
              <w:bCs/>
              <w:color w:val="000000" w:themeColor="text1"/>
              <w:sz w:val="24"/>
              <w:szCs w:val="32"/>
              <w14:textFill>
                <w14:solidFill>
                  <w14:schemeClr w14:val="tx1"/>
                </w14:solidFill>
              </w14:textFill>
            </w:rPr>
            <w:fldChar w:fldCharType="begin"/>
          </w:r>
          <w:r>
            <w:rPr>
              <w:b/>
              <w:bCs/>
              <w:color w:val="000000" w:themeColor="text1"/>
              <w:sz w:val="24"/>
              <w:szCs w:val="32"/>
              <w14:textFill>
                <w14:solidFill>
                  <w14:schemeClr w14:val="tx1"/>
                </w14:solidFill>
              </w14:textFill>
            </w:rPr>
            <w:instrText xml:space="preserve"> PAGEREF _Toc25364 \h </w:instrText>
          </w:r>
          <w:r>
            <w:rPr>
              <w:b/>
              <w:bCs/>
              <w:color w:val="000000" w:themeColor="text1"/>
              <w:sz w:val="24"/>
              <w:szCs w:val="32"/>
              <w14:textFill>
                <w14:solidFill>
                  <w14:schemeClr w14:val="tx1"/>
                </w14:solidFill>
              </w14:textFill>
            </w:rPr>
            <w:fldChar w:fldCharType="separate"/>
          </w:r>
          <w:r>
            <w:rPr>
              <w:b/>
              <w:bCs/>
              <w:color w:val="000000" w:themeColor="text1"/>
              <w:sz w:val="24"/>
              <w:szCs w:val="32"/>
              <w14:textFill>
                <w14:solidFill>
                  <w14:schemeClr w14:val="tx1"/>
                </w14:solidFill>
              </w14:textFill>
            </w:rPr>
            <w:t>39</w:t>
          </w:r>
          <w:r>
            <w:rPr>
              <w:b/>
              <w:bCs/>
              <w:color w:val="000000" w:themeColor="text1"/>
              <w:sz w:val="24"/>
              <w:szCs w:val="32"/>
              <w14:textFill>
                <w14:solidFill>
                  <w14:schemeClr w14:val="tx1"/>
                </w14:solidFill>
              </w14:textFill>
            </w:rPr>
            <w:fldChar w:fldCharType="end"/>
          </w:r>
          <w:r>
            <w:rPr>
              <w:rFonts w:hint="default"/>
              <w:b/>
              <w:bCs/>
              <w:color w:val="000000" w:themeColor="text1"/>
              <w:sz w:val="24"/>
              <w:szCs w:val="32"/>
              <w14:textFill>
                <w14:solidFill>
                  <w14:schemeClr w14:val="tx1"/>
                </w14:solidFill>
              </w14:textFill>
            </w:rPr>
            <w:fldChar w:fldCharType="end"/>
          </w:r>
        </w:p>
        <w:p w14:paraId="7A04D159">
          <w:pPr>
            <w:pStyle w:val="22"/>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b/>
              <w:bCs/>
              <w:color w:val="000000" w:themeColor="text1"/>
              <w:sz w:val="24"/>
              <w:szCs w:val="32"/>
              <w14:textFill>
                <w14:solidFill>
                  <w14:schemeClr w14:val="tx1"/>
                </w14:solidFill>
              </w14:textFill>
            </w:rPr>
          </w:pPr>
          <w:r>
            <w:rPr>
              <w:rFonts w:hint="default"/>
              <w:b/>
              <w:bCs/>
              <w:color w:val="000000" w:themeColor="text1"/>
              <w:sz w:val="24"/>
              <w:szCs w:val="32"/>
              <w14:textFill>
                <w14:solidFill>
                  <w14:schemeClr w14:val="tx1"/>
                </w14:solidFill>
              </w14:textFill>
            </w:rPr>
            <w:fldChar w:fldCharType="begin"/>
          </w:r>
          <w:r>
            <w:rPr>
              <w:rFonts w:hint="default"/>
              <w:b/>
              <w:bCs/>
              <w:color w:val="000000" w:themeColor="text1"/>
              <w:sz w:val="24"/>
              <w:szCs w:val="32"/>
              <w14:textFill>
                <w14:solidFill>
                  <w14:schemeClr w14:val="tx1"/>
                </w14:solidFill>
              </w14:textFill>
            </w:rPr>
            <w:instrText xml:space="preserve"> HYPERLINK \l _Toc14856 </w:instrText>
          </w:r>
          <w:r>
            <w:rPr>
              <w:rFonts w:hint="default"/>
              <w:b/>
              <w:bCs/>
              <w:color w:val="000000" w:themeColor="text1"/>
              <w:sz w:val="24"/>
              <w:szCs w:val="32"/>
              <w14:textFill>
                <w14:solidFill>
                  <w14:schemeClr w14:val="tx1"/>
                </w14:solidFill>
              </w14:textFill>
            </w:rPr>
            <w:fldChar w:fldCharType="separate"/>
          </w:r>
          <w:r>
            <w:rPr>
              <w:rFonts w:hint="default" w:ascii="Times New Roman" w:hAnsi="Times New Roman" w:cs="Times New Roman"/>
              <w:b/>
              <w:bCs/>
              <w:snapToGrid w:val="0"/>
              <w:color w:val="000000" w:themeColor="text1"/>
              <w:sz w:val="24"/>
              <w:szCs w:val="32"/>
              <w14:textFill>
                <w14:solidFill>
                  <w14:schemeClr w14:val="tx1"/>
                </w14:solidFill>
              </w14:textFill>
            </w:rPr>
            <w:t>三、区域环境质量现状、环境保护目标及评价标准</w:t>
          </w:r>
          <w:r>
            <w:rPr>
              <w:b/>
              <w:bCs/>
              <w:color w:val="000000" w:themeColor="text1"/>
              <w:sz w:val="24"/>
              <w:szCs w:val="32"/>
              <w14:textFill>
                <w14:solidFill>
                  <w14:schemeClr w14:val="tx1"/>
                </w14:solidFill>
              </w14:textFill>
            </w:rPr>
            <w:tab/>
          </w:r>
          <w:r>
            <w:rPr>
              <w:b/>
              <w:bCs/>
              <w:color w:val="000000" w:themeColor="text1"/>
              <w:sz w:val="24"/>
              <w:szCs w:val="32"/>
              <w14:textFill>
                <w14:solidFill>
                  <w14:schemeClr w14:val="tx1"/>
                </w14:solidFill>
              </w14:textFill>
            </w:rPr>
            <w:fldChar w:fldCharType="begin"/>
          </w:r>
          <w:r>
            <w:rPr>
              <w:b/>
              <w:bCs/>
              <w:color w:val="000000" w:themeColor="text1"/>
              <w:sz w:val="24"/>
              <w:szCs w:val="32"/>
              <w14:textFill>
                <w14:solidFill>
                  <w14:schemeClr w14:val="tx1"/>
                </w14:solidFill>
              </w14:textFill>
            </w:rPr>
            <w:instrText xml:space="preserve"> PAGEREF _Toc14856 \h </w:instrText>
          </w:r>
          <w:r>
            <w:rPr>
              <w:b/>
              <w:bCs/>
              <w:color w:val="000000" w:themeColor="text1"/>
              <w:sz w:val="24"/>
              <w:szCs w:val="32"/>
              <w14:textFill>
                <w14:solidFill>
                  <w14:schemeClr w14:val="tx1"/>
                </w14:solidFill>
              </w14:textFill>
            </w:rPr>
            <w:fldChar w:fldCharType="separate"/>
          </w:r>
          <w:r>
            <w:rPr>
              <w:b/>
              <w:bCs/>
              <w:color w:val="000000" w:themeColor="text1"/>
              <w:sz w:val="24"/>
              <w:szCs w:val="32"/>
              <w14:textFill>
                <w14:solidFill>
                  <w14:schemeClr w14:val="tx1"/>
                </w14:solidFill>
              </w14:textFill>
            </w:rPr>
            <w:t>61</w:t>
          </w:r>
          <w:r>
            <w:rPr>
              <w:b/>
              <w:bCs/>
              <w:color w:val="000000" w:themeColor="text1"/>
              <w:sz w:val="24"/>
              <w:szCs w:val="32"/>
              <w14:textFill>
                <w14:solidFill>
                  <w14:schemeClr w14:val="tx1"/>
                </w14:solidFill>
              </w14:textFill>
            </w:rPr>
            <w:fldChar w:fldCharType="end"/>
          </w:r>
          <w:r>
            <w:rPr>
              <w:rFonts w:hint="default"/>
              <w:b/>
              <w:bCs/>
              <w:color w:val="000000" w:themeColor="text1"/>
              <w:sz w:val="24"/>
              <w:szCs w:val="32"/>
              <w14:textFill>
                <w14:solidFill>
                  <w14:schemeClr w14:val="tx1"/>
                </w14:solidFill>
              </w14:textFill>
            </w:rPr>
            <w:fldChar w:fldCharType="end"/>
          </w:r>
        </w:p>
        <w:p w14:paraId="1D095F0B">
          <w:pPr>
            <w:pStyle w:val="22"/>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b/>
              <w:bCs/>
              <w:color w:val="000000" w:themeColor="text1"/>
              <w:sz w:val="24"/>
              <w:szCs w:val="32"/>
              <w14:textFill>
                <w14:solidFill>
                  <w14:schemeClr w14:val="tx1"/>
                </w14:solidFill>
              </w14:textFill>
            </w:rPr>
          </w:pPr>
          <w:r>
            <w:rPr>
              <w:rFonts w:hint="default"/>
              <w:b/>
              <w:bCs/>
              <w:color w:val="000000" w:themeColor="text1"/>
              <w:sz w:val="24"/>
              <w:szCs w:val="32"/>
              <w14:textFill>
                <w14:solidFill>
                  <w14:schemeClr w14:val="tx1"/>
                </w14:solidFill>
              </w14:textFill>
            </w:rPr>
            <w:fldChar w:fldCharType="begin"/>
          </w:r>
          <w:r>
            <w:rPr>
              <w:rFonts w:hint="default"/>
              <w:b/>
              <w:bCs/>
              <w:color w:val="000000" w:themeColor="text1"/>
              <w:sz w:val="24"/>
              <w:szCs w:val="32"/>
              <w14:textFill>
                <w14:solidFill>
                  <w14:schemeClr w14:val="tx1"/>
                </w14:solidFill>
              </w14:textFill>
            </w:rPr>
            <w:instrText xml:space="preserve"> HYPERLINK \l _Toc24454 </w:instrText>
          </w:r>
          <w:r>
            <w:rPr>
              <w:rFonts w:hint="default"/>
              <w:b/>
              <w:bCs/>
              <w:color w:val="000000" w:themeColor="text1"/>
              <w:sz w:val="24"/>
              <w:szCs w:val="32"/>
              <w14:textFill>
                <w14:solidFill>
                  <w14:schemeClr w14:val="tx1"/>
                </w14:solidFill>
              </w14:textFill>
            </w:rPr>
            <w:fldChar w:fldCharType="separate"/>
          </w:r>
          <w:r>
            <w:rPr>
              <w:rFonts w:hint="default" w:ascii="Times New Roman" w:hAnsi="Times New Roman" w:cs="Times New Roman"/>
              <w:b/>
              <w:bCs/>
              <w:snapToGrid w:val="0"/>
              <w:color w:val="000000" w:themeColor="text1"/>
              <w:sz w:val="24"/>
              <w:szCs w:val="32"/>
              <w14:textFill>
                <w14:solidFill>
                  <w14:schemeClr w14:val="tx1"/>
                </w14:solidFill>
              </w14:textFill>
            </w:rPr>
            <w:t>四、主要环境影响和保护措施</w:t>
          </w:r>
          <w:r>
            <w:rPr>
              <w:b/>
              <w:bCs/>
              <w:color w:val="000000" w:themeColor="text1"/>
              <w:sz w:val="24"/>
              <w:szCs w:val="32"/>
              <w14:textFill>
                <w14:solidFill>
                  <w14:schemeClr w14:val="tx1"/>
                </w14:solidFill>
              </w14:textFill>
            </w:rPr>
            <w:tab/>
          </w:r>
          <w:r>
            <w:rPr>
              <w:b/>
              <w:bCs/>
              <w:color w:val="000000" w:themeColor="text1"/>
              <w:sz w:val="24"/>
              <w:szCs w:val="32"/>
              <w14:textFill>
                <w14:solidFill>
                  <w14:schemeClr w14:val="tx1"/>
                </w14:solidFill>
              </w14:textFill>
            </w:rPr>
            <w:fldChar w:fldCharType="begin"/>
          </w:r>
          <w:r>
            <w:rPr>
              <w:b/>
              <w:bCs/>
              <w:color w:val="000000" w:themeColor="text1"/>
              <w:sz w:val="24"/>
              <w:szCs w:val="32"/>
              <w14:textFill>
                <w14:solidFill>
                  <w14:schemeClr w14:val="tx1"/>
                </w14:solidFill>
              </w14:textFill>
            </w:rPr>
            <w:instrText xml:space="preserve"> PAGEREF _Toc24454 \h </w:instrText>
          </w:r>
          <w:r>
            <w:rPr>
              <w:b/>
              <w:bCs/>
              <w:color w:val="000000" w:themeColor="text1"/>
              <w:sz w:val="24"/>
              <w:szCs w:val="32"/>
              <w14:textFill>
                <w14:solidFill>
                  <w14:schemeClr w14:val="tx1"/>
                </w14:solidFill>
              </w14:textFill>
            </w:rPr>
            <w:fldChar w:fldCharType="separate"/>
          </w:r>
          <w:r>
            <w:rPr>
              <w:b/>
              <w:bCs/>
              <w:color w:val="000000" w:themeColor="text1"/>
              <w:sz w:val="24"/>
              <w:szCs w:val="32"/>
              <w14:textFill>
                <w14:solidFill>
                  <w14:schemeClr w14:val="tx1"/>
                </w14:solidFill>
              </w14:textFill>
            </w:rPr>
            <w:t>77</w:t>
          </w:r>
          <w:r>
            <w:rPr>
              <w:b/>
              <w:bCs/>
              <w:color w:val="000000" w:themeColor="text1"/>
              <w:sz w:val="24"/>
              <w:szCs w:val="32"/>
              <w14:textFill>
                <w14:solidFill>
                  <w14:schemeClr w14:val="tx1"/>
                </w14:solidFill>
              </w14:textFill>
            </w:rPr>
            <w:fldChar w:fldCharType="end"/>
          </w:r>
          <w:r>
            <w:rPr>
              <w:rFonts w:hint="default"/>
              <w:b/>
              <w:bCs/>
              <w:color w:val="000000" w:themeColor="text1"/>
              <w:sz w:val="24"/>
              <w:szCs w:val="32"/>
              <w14:textFill>
                <w14:solidFill>
                  <w14:schemeClr w14:val="tx1"/>
                </w14:solidFill>
              </w14:textFill>
            </w:rPr>
            <w:fldChar w:fldCharType="end"/>
          </w:r>
        </w:p>
        <w:p w14:paraId="29C0B89F">
          <w:pPr>
            <w:pStyle w:val="22"/>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b/>
              <w:bCs/>
              <w:color w:val="000000" w:themeColor="text1"/>
              <w:sz w:val="24"/>
              <w:szCs w:val="32"/>
              <w14:textFill>
                <w14:solidFill>
                  <w14:schemeClr w14:val="tx1"/>
                </w14:solidFill>
              </w14:textFill>
            </w:rPr>
          </w:pPr>
          <w:r>
            <w:rPr>
              <w:rFonts w:hint="default"/>
              <w:b/>
              <w:bCs/>
              <w:color w:val="000000" w:themeColor="text1"/>
              <w:sz w:val="24"/>
              <w:szCs w:val="32"/>
              <w14:textFill>
                <w14:solidFill>
                  <w14:schemeClr w14:val="tx1"/>
                </w14:solidFill>
              </w14:textFill>
            </w:rPr>
            <w:fldChar w:fldCharType="begin"/>
          </w:r>
          <w:r>
            <w:rPr>
              <w:rFonts w:hint="default"/>
              <w:b/>
              <w:bCs/>
              <w:color w:val="000000" w:themeColor="text1"/>
              <w:sz w:val="24"/>
              <w:szCs w:val="32"/>
              <w14:textFill>
                <w14:solidFill>
                  <w14:schemeClr w14:val="tx1"/>
                </w14:solidFill>
              </w14:textFill>
            </w:rPr>
            <w:instrText xml:space="preserve"> HYPERLINK \l _Toc6743 </w:instrText>
          </w:r>
          <w:r>
            <w:rPr>
              <w:rFonts w:hint="default"/>
              <w:b/>
              <w:bCs/>
              <w:color w:val="000000" w:themeColor="text1"/>
              <w:sz w:val="24"/>
              <w:szCs w:val="32"/>
              <w14:textFill>
                <w14:solidFill>
                  <w14:schemeClr w14:val="tx1"/>
                </w14:solidFill>
              </w14:textFill>
            </w:rPr>
            <w:fldChar w:fldCharType="separate"/>
          </w:r>
          <w:r>
            <w:rPr>
              <w:rFonts w:hint="eastAsia" w:ascii="Times New Roman" w:hAnsi="Times New Roman" w:cs="Times New Roman"/>
              <w:b/>
              <w:bCs/>
              <w:snapToGrid w:val="0"/>
              <w:color w:val="000000" w:themeColor="text1"/>
              <w:sz w:val="24"/>
              <w:szCs w:val="32"/>
              <w14:textFill>
                <w14:solidFill>
                  <w14:schemeClr w14:val="tx1"/>
                </w14:solidFill>
              </w14:textFill>
            </w:rPr>
            <w:t>五、</w:t>
          </w:r>
          <w:r>
            <w:rPr>
              <w:rFonts w:hint="default" w:ascii="Times New Roman" w:hAnsi="Times New Roman" w:cs="Times New Roman"/>
              <w:b/>
              <w:bCs/>
              <w:snapToGrid w:val="0"/>
              <w:color w:val="000000" w:themeColor="text1"/>
              <w:sz w:val="24"/>
              <w:szCs w:val="32"/>
              <w:highlight w:val="none"/>
              <w14:textFill>
                <w14:solidFill>
                  <w14:schemeClr w14:val="tx1"/>
                </w14:solidFill>
              </w14:textFill>
            </w:rPr>
            <w:t>环境保护措施监督检查清单</w:t>
          </w:r>
          <w:r>
            <w:rPr>
              <w:b/>
              <w:bCs/>
              <w:color w:val="000000" w:themeColor="text1"/>
              <w:sz w:val="24"/>
              <w:szCs w:val="32"/>
              <w14:textFill>
                <w14:solidFill>
                  <w14:schemeClr w14:val="tx1"/>
                </w14:solidFill>
              </w14:textFill>
            </w:rPr>
            <w:tab/>
          </w:r>
          <w:r>
            <w:rPr>
              <w:b/>
              <w:bCs/>
              <w:color w:val="000000" w:themeColor="text1"/>
              <w:sz w:val="24"/>
              <w:szCs w:val="32"/>
              <w14:textFill>
                <w14:solidFill>
                  <w14:schemeClr w14:val="tx1"/>
                </w14:solidFill>
              </w14:textFill>
            </w:rPr>
            <w:fldChar w:fldCharType="begin"/>
          </w:r>
          <w:r>
            <w:rPr>
              <w:b/>
              <w:bCs/>
              <w:color w:val="000000" w:themeColor="text1"/>
              <w:sz w:val="24"/>
              <w:szCs w:val="32"/>
              <w14:textFill>
                <w14:solidFill>
                  <w14:schemeClr w14:val="tx1"/>
                </w14:solidFill>
              </w14:textFill>
            </w:rPr>
            <w:instrText xml:space="preserve"> PAGEREF _Toc6743 \h </w:instrText>
          </w:r>
          <w:r>
            <w:rPr>
              <w:b/>
              <w:bCs/>
              <w:color w:val="000000" w:themeColor="text1"/>
              <w:sz w:val="24"/>
              <w:szCs w:val="32"/>
              <w14:textFill>
                <w14:solidFill>
                  <w14:schemeClr w14:val="tx1"/>
                </w14:solidFill>
              </w14:textFill>
            </w:rPr>
            <w:fldChar w:fldCharType="separate"/>
          </w:r>
          <w:r>
            <w:rPr>
              <w:b/>
              <w:bCs/>
              <w:color w:val="000000" w:themeColor="text1"/>
              <w:sz w:val="24"/>
              <w:szCs w:val="32"/>
              <w14:textFill>
                <w14:solidFill>
                  <w14:schemeClr w14:val="tx1"/>
                </w14:solidFill>
              </w14:textFill>
            </w:rPr>
            <w:t>104</w:t>
          </w:r>
          <w:r>
            <w:rPr>
              <w:b/>
              <w:bCs/>
              <w:color w:val="000000" w:themeColor="text1"/>
              <w:sz w:val="24"/>
              <w:szCs w:val="32"/>
              <w14:textFill>
                <w14:solidFill>
                  <w14:schemeClr w14:val="tx1"/>
                </w14:solidFill>
              </w14:textFill>
            </w:rPr>
            <w:fldChar w:fldCharType="end"/>
          </w:r>
          <w:r>
            <w:rPr>
              <w:rFonts w:hint="default"/>
              <w:b/>
              <w:bCs/>
              <w:color w:val="000000" w:themeColor="text1"/>
              <w:sz w:val="24"/>
              <w:szCs w:val="32"/>
              <w14:textFill>
                <w14:solidFill>
                  <w14:schemeClr w14:val="tx1"/>
                </w14:solidFill>
              </w14:textFill>
            </w:rPr>
            <w:fldChar w:fldCharType="end"/>
          </w:r>
        </w:p>
        <w:p w14:paraId="39071224">
          <w:pPr>
            <w:pStyle w:val="22"/>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b/>
              <w:bCs/>
              <w:color w:val="000000" w:themeColor="text1"/>
              <w:sz w:val="24"/>
              <w:szCs w:val="32"/>
              <w14:textFill>
                <w14:solidFill>
                  <w14:schemeClr w14:val="tx1"/>
                </w14:solidFill>
              </w14:textFill>
            </w:rPr>
          </w:pPr>
          <w:r>
            <w:rPr>
              <w:rFonts w:hint="default"/>
              <w:b/>
              <w:bCs/>
              <w:color w:val="000000" w:themeColor="text1"/>
              <w:sz w:val="24"/>
              <w:szCs w:val="32"/>
              <w14:textFill>
                <w14:solidFill>
                  <w14:schemeClr w14:val="tx1"/>
                </w14:solidFill>
              </w14:textFill>
            </w:rPr>
            <w:fldChar w:fldCharType="begin"/>
          </w:r>
          <w:r>
            <w:rPr>
              <w:rFonts w:hint="default"/>
              <w:b/>
              <w:bCs/>
              <w:color w:val="000000" w:themeColor="text1"/>
              <w:sz w:val="24"/>
              <w:szCs w:val="32"/>
              <w14:textFill>
                <w14:solidFill>
                  <w14:schemeClr w14:val="tx1"/>
                </w14:solidFill>
              </w14:textFill>
            </w:rPr>
            <w:instrText xml:space="preserve"> HYPERLINK \l _Toc21254 </w:instrText>
          </w:r>
          <w:r>
            <w:rPr>
              <w:rFonts w:hint="default"/>
              <w:b/>
              <w:bCs/>
              <w:color w:val="000000" w:themeColor="text1"/>
              <w:sz w:val="24"/>
              <w:szCs w:val="32"/>
              <w14:textFill>
                <w14:solidFill>
                  <w14:schemeClr w14:val="tx1"/>
                </w14:solidFill>
              </w14:textFill>
            </w:rPr>
            <w:fldChar w:fldCharType="separate"/>
          </w:r>
          <w:r>
            <w:rPr>
              <w:rFonts w:hint="default" w:ascii="Times New Roman" w:hAnsi="Times New Roman" w:cs="Times New Roman"/>
              <w:b/>
              <w:bCs/>
              <w:snapToGrid w:val="0"/>
              <w:color w:val="000000" w:themeColor="text1"/>
              <w:sz w:val="24"/>
              <w:szCs w:val="32"/>
              <w14:textFill>
                <w14:solidFill>
                  <w14:schemeClr w14:val="tx1"/>
                </w14:solidFill>
              </w14:textFill>
            </w:rPr>
            <w:t>六、结论</w:t>
          </w:r>
          <w:r>
            <w:rPr>
              <w:b/>
              <w:bCs/>
              <w:color w:val="000000" w:themeColor="text1"/>
              <w:sz w:val="24"/>
              <w:szCs w:val="32"/>
              <w14:textFill>
                <w14:solidFill>
                  <w14:schemeClr w14:val="tx1"/>
                </w14:solidFill>
              </w14:textFill>
            </w:rPr>
            <w:tab/>
          </w:r>
          <w:r>
            <w:rPr>
              <w:b/>
              <w:bCs/>
              <w:color w:val="000000" w:themeColor="text1"/>
              <w:sz w:val="24"/>
              <w:szCs w:val="32"/>
              <w14:textFill>
                <w14:solidFill>
                  <w14:schemeClr w14:val="tx1"/>
                </w14:solidFill>
              </w14:textFill>
            </w:rPr>
            <w:fldChar w:fldCharType="begin"/>
          </w:r>
          <w:r>
            <w:rPr>
              <w:b/>
              <w:bCs/>
              <w:color w:val="000000" w:themeColor="text1"/>
              <w:sz w:val="24"/>
              <w:szCs w:val="32"/>
              <w14:textFill>
                <w14:solidFill>
                  <w14:schemeClr w14:val="tx1"/>
                </w14:solidFill>
              </w14:textFill>
            </w:rPr>
            <w:instrText xml:space="preserve"> PAGEREF _Toc21254 \h </w:instrText>
          </w:r>
          <w:r>
            <w:rPr>
              <w:b/>
              <w:bCs/>
              <w:color w:val="000000" w:themeColor="text1"/>
              <w:sz w:val="24"/>
              <w:szCs w:val="32"/>
              <w14:textFill>
                <w14:solidFill>
                  <w14:schemeClr w14:val="tx1"/>
                </w14:solidFill>
              </w14:textFill>
            </w:rPr>
            <w:fldChar w:fldCharType="separate"/>
          </w:r>
          <w:r>
            <w:rPr>
              <w:b/>
              <w:bCs/>
              <w:color w:val="000000" w:themeColor="text1"/>
              <w:sz w:val="24"/>
              <w:szCs w:val="32"/>
              <w14:textFill>
                <w14:solidFill>
                  <w14:schemeClr w14:val="tx1"/>
                </w14:solidFill>
              </w14:textFill>
            </w:rPr>
            <w:t>106</w:t>
          </w:r>
          <w:r>
            <w:rPr>
              <w:b/>
              <w:bCs/>
              <w:color w:val="000000" w:themeColor="text1"/>
              <w:sz w:val="24"/>
              <w:szCs w:val="32"/>
              <w14:textFill>
                <w14:solidFill>
                  <w14:schemeClr w14:val="tx1"/>
                </w14:solidFill>
              </w14:textFill>
            </w:rPr>
            <w:fldChar w:fldCharType="end"/>
          </w:r>
          <w:r>
            <w:rPr>
              <w:rFonts w:hint="default"/>
              <w:b/>
              <w:bCs/>
              <w:color w:val="000000" w:themeColor="text1"/>
              <w:sz w:val="24"/>
              <w:szCs w:val="32"/>
              <w14:textFill>
                <w14:solidFill>
                  <w14:schemeClr w14:val="tx1"/>
                </w14:solidFill>
              </w14:textFill>
            </w:rPr>
            <w:fldChar w:fldCharType="end"/>
          </w:r>
        </w:p>
        <w:p w14:paraId="23FE963A">
          <w:pPr>
            <w:pStyle w:val="22"/>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color w:val="000000" w:themeColor="text1"/>
              <w14:textFill>
                <w14:solidFill>
                  <w14:schemeClr w14:val="tx1"/>
                </w14:solidFill>
              </w14:textFill>
            </w:rPr>
          </w:pPr>
          <w:r>
            <w:rPr>
              <w:rFonts w:hint="default"/>
              <w:b/>
              <w:bCs/>
              <w:color w:val="000000" w:themeColor="text1"/>
              <w:sz w:val="24"/>
              <w:szCs w:val="32"/>
              <w14:textFill>
                <w14:solidFill>
                  <w14:schemeClr w14:val="tx1"/>
                </w14:solidFill>
              </w14:textFill>
            </w:rPr>
            <w:fldChar w:fldCharType="begin"/>
          </w:r>
          <w:r>
            <w:rPr>
              <w:rFonts w:hint="default"/>
              <w:b/>
              <w:bCs/>
              <w:color w:val="000000" w:themeColor="text1"/>
              <w:sz w:val="24"/>
              <w:szCs w:val="32"/>
              <w14:textFill>
                <w14:solidFill>
                  <w14:schemeClr w14:val="tx1"/>
                </w14:solidFill>
              </w14:textFill>
            </w:rPr>
            <w:instrText xml:space="preserve"> HYPERLINK \l _Toc10426 </w:instrText>
          </w:r>
          <w:r>
            <w:rPr>
              <w:rFonts w:hint="default"/>
              <w:b/>
              <w:bCs/>
              <w:color w:val="000000" w:themeColor="text1"/>
              <w:sz w:val="24"/>
              <w:szCs w:val="32"/>
              <w14:textFill>
                <w14:solidFill>
                  <w14:schemeClr w14:val="tx1"/>
                </w14:solidFill>
              </w14:textFill>
            </w:rPr>
            <w:fldChar w:fldCharType="separate"/>
          </w:r>
          <w:r>
            <w:rPr>
              <w:rFonts w:hint="default" w:ascii="Times New Roman" w:hAnsi="Times New Roman" w:eastAsia="黑体" w:cs="Times New Roman"/>
              <w:b/>
              <w:bCs/>
              <w:snapToGrid w:val="0"/>
              <w:color w:val="000000" w:themeColor="text1"/>
              <w:sz w:val="24"/>
              <w:szCs w:val="40"/>
              <w14:textFill>
                <w14:solidFill>
                  <w14:schemeClr w14:val="tx1"/>
                </w14:solidFill>
              </w14:textFill>
            </w:rPr>
            <w:t>附表</w:t>
          </w:r>
          <w:r>
            <w:rPr>
              <w:b/>
              <w:bCs/>
              <w:color w:val="000000" w:themeColor="text1"/>
              <w:sz w:val="24"/>
              <w:szCs w:val="32"/>
              <w14:textFill>
                <w14:solidFill>
                  <w14:schemeClr w14:val="tx1"/>
                </w14:solidFill>
              </w14:textFill>
            </w:rPr>
            <w:tab/>
          </w:r>
          <w:r>
            <w:rPr>
              <w:b/>
              <w:bCs/>
              <w:color w:val="000000" w:themeColor="text1"/>
              <w:sz w:val="24"/>
              <w:szCs w:val="32"/>
              <w14:textFill>
                <w14:solidFill>
                  <w14:schemeClr w14:val="tx1"/>
                </w14:solidFill>
              </w14:textFill>
            </w:rPr>
            <w:fldChar w:fldCharType="begin"/>
          </w:r>
          <w:r>
            <w:rPr>
              <w:b/>
              <w:bCs/>
              <w:color w:val="000000" w:themeColor="text1"/>
              <w:sz w:val="24"/>
              <w:szCs w:val="32"/>
              <w14:textFill>
                <w14:solidFill>
                  <w14:schemeClr w14:val="tx1"/>
                </w14:solidFill>
              </w14:textFill>
            </w:rPr>
            <w:instrText xml:space="preserve"> PAGEREF _Toc10426 \h </w:instrText>
          </w:r>
          <w:r>
            <w:rPr>
              <w:b/>
              <w:bCs/>
              <w:color w:val="000000" w:themeColor="text1"/>
              <w:sz w:val="24"/>
              <w:szCs w:val="32"/>
              <w14:textFill>
                <w14:solidFill>
                  <w14:schemeClr w14:val="tx1"/>
                </w14:solidFill>
              </w14:textFill>
            </w:rPr>
            <w:fldChar w:fldCharType="separate"/>
          </w:r>
          <w:r>
            <w:rPr>
              <w:b/>
              <w:bCs/>
              <w:color w:val="000000" w:themeColor="text1"/>
              <w:sz w:val="24"/>
              <w:szCs w:val="32"/>
              <w14:textFill>
                <w14:solidFill>
                  <w14:schemeClr w14:val="tx1"/>
                </w14:solidFill>
              </w14:textFill>
            </w:rPr>
            <w:t>107</w:t>
          </w:r>
          <w:r>
            <w:rPr>
              <w:b/>
              <w:bCs/>
              <w:color w:val="000000" w:themeColor="text1"/>
              <w:sz w:val="24"/>
              <w:szCs w:val="32"/>
              <w14:textFill>
                <w14:solidFill>
                  <w14:schemeClr w14:val="tx1"/>
                </w14:solidFill>
              </w14:textFill>
            </w:rPr>
            <w:fldChar w:fldCharType="end"/>
          </w:r>
          <w:r>
            <w:rPr>
              <w:rFonts w:hint="default"/>
              <w:b/>
              <w:bCs/>
              <w:color w:val="000000" w:themeColor="text1"/>
              <w:sz w:val="24"/>
              <w:szCs w:val="32"/>
              <w14:textFill>
                <w14:solidFill>
                  <w14:schemeClr w14:val="tx1"/>
                </w14:solidFill>
              </w14:textFill>
            </w:rPr>
            <w:fldChar w:fldCharType="end"/>
          </w:r>
        </w:p>
        <w:p w14:paraId="0B3D44E0">
          <w:pPr>
            <w:pStyle w:val="79"/>
            <w:bidi w:val="0"/>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color w:val="000000" w:themeColor="text1"/>
              <w14:textFill>
                <w14:solidFill>
                  <w14:schemeClr w14:val="tx1"/>
                </w14:solidFill>
              </w14:textFill>
            </w:rPr>
            <w:fldChar w:fldCharType="end"/>
          </w:r>
        </w:p>
      </w:sdtContent>
    </w:sdt>
    <w:p w14:paraId="51D7031D">
      <w:pPr>
        <w:pStyle w:val="79"/>
        <w:bidi w:val="0"/>
        <w:ind w:left="0" w:leftChars="0" w:firstLine="0" w:firstLineChars="0"/>
        <w:rPr>
          <w:rFonts w:hint="eastAsia" w:cs="Times New Roman"/>
          <w:b/>
          <w:bCs/>
          <w:color w:val="000000" w:themeColor="text1"/>
          <w:kern w:val="2"/>
          <w:sz w:val="24"/>
          <w:szCs w:val="24"/>
          <w:lang w:val="en-US" w:eastAsia="zh-CN" w:bidi="ar-SA"/>
          <w14:textFill>
            <w14:solidFill>
              <w14:schemeClr w14:val="tx1"/>
            </w14:solidFill>
          </w14:textFill>
        </w:rPr>
      </w:pPr>
      <w:r>
        <w:rPr>
          <w:rFonts w:hint="eastAsia" w:cs="Times New Roman"/>
          <w:b/>
          <w:bCs/>
          <w:color w:val="000000" w:themeColor="text1"/>
          <w:kern w:val="2"/>
          <w:sz w:val="24"/>
          <w:szCs w:val="24"/>
          <w:lang w:val="en-US" w:eastAsia="zh-CN" w:bidi="ar-SA"/>
          <w14:textFill>
            <w14:solidFill>
              <w14:schemeClr w14:val="tx1"/>
            </w14:solidFill>
          </w14:textFill>
        </w:rPr>
        <w:t>附件：</w:t>
      </w:r>
    </w:p>
    <w:p w14:paraId="2960608E">
      <w:pPr>
        <w:pStyle w:val="79"/>
        <w:bidi w:val="0"/>
        <w:ind w:left="0" w:leftChars="0" w:firstLine="0" w:firstLineChars="0"/>
        <w:rPr>
          <w:rFonts w:hint="eastAsia" w:cs="Times New Roman"/>
          <w:color w:val="000000" w:themeColor="text1"/>
          <w:kern w:val="2"/>
          <w:sz w:val="24"/>
          <w:szCs w:val="24"/>
          <w:lang w:val="en-US" w:eastAsia="zh-CN" w:bidi="ar-SA"/>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附件1 委托书；</w:t>
      </w:r>
    </w:p>
    <w:p w14:paraId="37351426">
      <w:pPr>
        <w:pStyle w:val="79"/>
        <w:bidi w:val="0"/>
        <w:ind w:left="0" w:leftChars="0" w:firstLine="0" w:firstLineChars="0"/>
        <w:rPr>
          <w:rFonts w:hint="eastAsia" w:cs="Times New Roman"/>
          <w:color w:val="000000" w:themeColor="text1"/>
          <w:kern w:val="2"/>
          <w:sz w:val="24"/>
          <w:szCs w:val="24"/>
          <w:lang w:val="en-US" w:eastAsia="zh-CN" w:bidi="ar-SA"/>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附件2 营业执照；</w:t>
      </w:r>
    </w:p>
    <w:p w14:paraId="7B23F3D3">
      <w:pPr>
        <w:pStyle w:val="79"/>
        <w:bidi w:val="0"/>
        <w:ind w:left="0" w:leftChars="0" w:firstLine="0" w:firstLineChars="0"/>
        <w:rPr>
          <w:rFonts w:hint="eastAsia" w:cs="Times New Roman"/>
          <w:color w:val="000000" w:themeColor="text1"/>
          <w:kern w:val="2"/>
          <w:sz w:val="24"/>
          <w:szCs w:val="24"/>
          <w:lang w:val="en-US" w:eastAsia="zh-CN" w:bidi="ar-SA"/>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附件3 投资备案证；</w:t>
      </w:r>
    </w:p>
    <w:p w14:paraId="7B24C656">
      <w:pPr>
        <w:pStyle w:val="79"/>
        <w:bidi w:val="0"/>
        <w:ind w:left="0" w:leftChars="0" w:firstLine="0" w:firstLineChars="0"/>
        <w:rPr>
          <w:rFonts w:hint="default" w:cs="Times New Roman"/>
          <w:color w:val="000000" w:themeColor="text1"/>
          <w:kern w:val="2"/>
          <w:sz w:val="24"/>
          <w:szCs w:val="24"/>
          <w:lang w:val="en-US" w:eastAsia="zh-CN" w:bidi="ar-SA"/>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附件4 项目租赁合同；</w:t>
      </w:r>
    </w:p>
    <w:p w14:paraId="73200A47">
      <w:pPr>
        <w:pStyle w:val="79"/>
        <w:bidi w:val="0"/>
        <w:ind w:left="0" w:leftChars="0" w:firstLine="0" w:firstLineChars="0"/>
        <w:rPr>
          <w:rFonts w:hint="eastAsia" w:cs="Times New Roman"/>
          <w:color w:val="000000" w:themeColor="text1"/>
          <w:kern w:val="2"/>
          <w:sz w:val="24"/>
          <w:szCs w:val="24"/>
          <w:lang w:val="en-US" w:eastAsia="zh-CN" w:bidi="ar-SA"/>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附件5 入园证明；</w:t>
      </w:r>
    </w:p>
    <w:p w14:paraId="70D57B1D">
      <w:pPr>
        <w:pStyle w:val="79"/>
        <w:bidi w:val="0"/>
        <w:ind w:left="0" w:leftChars="0" w:firstLine="0" w:firstLineChars="0"/>
        <w:rPr>
          <w:rFonts w:hint="default" w:cs="Times New Roman"/>
          <w:color w:val="000000" w:themeColor="text1"/>
          <w:kern w:val="2"/>
          <w:sz w:val="24"/>
          <w:szCs w:val="24"/>
          <w:lang w:val="en-US" w:eastAsia="zh-CN" w:bidi="ar-SA"/>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附件6 “三区三线”查询意见；</w:t>
      </w:r>
    </w:p>
    <w:p w14:paraId="23EF6F13">
      <w:pPr>
        <w:pStyle w:val="79"/>
        <w:bidi w:val="0"/>
        <w:ind w:left="0" w:leftChars="0" w:firstLine="0" w:firstLineChars="0"/>
        <w:rPr>
          <w:rFonts w:hint="eastAsia" w:cs="Times New Roman"/>
          <w:color w:val="000000" w:themeColor="text1"/>
          <w:kern w:val="2"/>
          <w:sz w:val="24"/>
          <w:szCs w:val="24"/>
          <w:lang w:val="en-US" w:eastAsia="zh-CN" w:bidi="ar-SA"/>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附件7 环境质量现状检测报告；</w:t>
      </w:r>
    </w:p>
    <w:p w14:paraId="189DF0EF">
      <w:pPr>
        <w:pStyle w:val="79"/>
        <w:bidi w:val="0"/>
        <w:ind w:left="0" w:leftChars="0" w:firstLine="0" w:firstLineChars="0"/>
        <w:rPr>
          <w:rFonts w:hint="eastAsia" w:cs="Times New Roman"/>
          <w:color w:val="000000" w:themeColor="text1"/>
          <w:kern w:val="2"/>
          <w:sz w:val="24"/>
          <w:szCs w:val="24"/>
          <w:lang w:val="en-US" w:eastAsia="zh-CN" w:bidi="ar-SA"/>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附件8 《玉溪市政府关于云南易门产业园区总体规划批复》（玉政复〔2023〕9号）；</w:t>
      </w:r>
    </w:p>
    <w:p w14:paraId="2E0CD3F2">
      <w:pPr>
        <w:pStyle w:val="79"/>
        <w:bidi w:val="0"/>
        <w:ind w:left="0" w:leftChars="0" w:firstLine="0" w:firstLineChars="0"/>
        <w:rPr>
          <w:rFonts w:hint="default" w:cs="Times New Roman"/>
          <w:color w:val="000000" w:themeColor="text1"/>
          <w:kern w:val="2"/>
          <w:sz w:val="24"/>
          <w:szCs w:val="24"/>
          <w:lang w:val="en-US" w:eastAsia="zh-CN" w:bidi="ar-SA"/>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附件9 《玉溪市生态环境局关于云南易门产业园区总体规划（修编）（2021-2035）环境影响报告书审查意见的函》（玉市环函〔2022〕32号）。</w:t>
      </w:r>
    </w:p>
    <w:p w14:paraId="474CE8FE">
      <w:pPr>
        <w:pStyle w:val="79"/>
        <w:bidi w:val="0"/>
        <w:ind w:left="0" w:leftChars="0" w:firstLine="0" w:firstLineChars="0"/>
        <w:rPr>
          <w:rFonts w:hint="default" w:cs="Times New Roman"/>
          <w:b w:val="0"/>
          <w:bCs w:val="0"/>
          <w:color w:val="000000" w:themeColor="text1"/>
          <w:kern w:val="2"/>
          <w:sz w:val="24"/>
          <w:szCs w:val="24"/>
          <w:lang w:val="en-US" w:eastAsia="zh-CN" w:bidi="ar-SA"/>
          <w14:textFill>
            <w14:solidFill>
              <w14:schemeClr w14:val="tx1"/>
            </w14:solidFill>
          </w14:textFill>
        </w:rPr>
      </w:pPr>
      <w:r>
        <w:rPr>
          <w:rFonts w:hint="eastAsia" w:cs="Times New Roman"/>
          <w:b w:val="0"/>
          <w:bCs w:val="0"/>
          <w:color w:val="000000" w:themeColor="text1"/>
          <w:kern w:val="2"/>
          <w:sz w:val="24"/>
          <w:szCs w:val="24"/>
          <w:lang w:val="en-US" w:eastAsia="zh-CN" w:bidi="ar-SA"/>
          <w14:textFill>
            <w14:solidFill>
              <w14:schemeClr w14:val="tx1"/>
            </w14:solidFill>
          </w14:textFill>
        </w:rPr>
        <w:t>附件10 三级审核表；</w:t>
      </w:r>
    </w:p>
    <w:p w14:paraId="31EEED3F">
      <w:pPr>
        <w:pStyle w:val="79"/>
        <w:bidi w:val="0"/>
        <w:ind w:left="0" w:leftChars="0" w:firstLine="0" w:firstLineChars="0"/>
        <w:rPr>
          <w:rFonts w:hint="default" w:cs="Times New Roman"/>
          <w:b w:val="0"/>
          <w:bCs w:val="0"/>
          <w:color w:val="000000" w:themeColor="text1"/>
          <w:kern w:val="2"/>
          <w:sz w:val="24"/>
          <w:szCs w:val="24"/>
          <w:lang w:val="en-US" w:eastAsia="zh-CN" w:bidi="ar-SA"/>
          <w14:textFill>
            <w14:solidFill>
              <w14:schemeClr w14:val="tx1"/>
            </w14:solidFill>
          </w14:textFill>
        </w:rPr>
      </w:pPr>
      <w:r>
        <w:rPr>
          <w:rFonts w:hint="eastAsia" w:cs="Times New Roman"/>
          <w:b w:val="0"/>
          <w:bCs w:val="0"/>
          <w:color w:val="000000" w:themeColor="text1"/>
          <w:kern w:val="2"/>
          <w:sz w:val="24"/>
          <w:szCs w:val="24"/>
          <w:lang w:val="en-US" w:eastAsia="zh-CN" w:bidi="ar-SA"/>
          <w14:textFill>
            <w14:solidFill>
              <w14:schemeClr w14:val="tx1"/>
            </w14:solidFill>
          </w14:textFill>
        </w:rPr>
        <w:t>附件11 项目进度表；</w:t>
      </w:r>
    </w:p>
    <w:p w14:paraId="6A8CB5EA">
      <w:pPr>
        <w:pStyle w:val="79"/>
        <w:bidi w:val="0"/>
        <w:ind w:left="0" w:leftChars="0" w:firstLine="0" w:firstLineChars="0"/>
        <w:rPr>
          <w:rFonts w:hint="default" w:cs="Times New Roman"/>
          <w:b w:val="0"/>
          <w:bCs w:val="0"/>
          <w:color w:val="000000" w:themeColor="text1"/>
          <w:kern w:val="2"/>
          <w:sz w:val="24"/>
          <w:szCs w:val="24"/>
          <w:lang w:val="en-US" w:eastAsia="zh-CN" w:bidi="ar-SA"/>
          <w14:textFill>
            <w14:solidFill>
              <w14:schemeClr w14:val="tx1"/>
            </w14:solidFill>
          </w14:textFill>
        </w:rPr>
      </w:pPr>
      <w:r>
        <w:rPr>
          <w:rFonts w:hint="eastAsia" w:cs="Times New Roman"/>
          <w:b w:val="0"/>
          <w:bCs w:val="0"/>
          <w:color w:val="000000" w:themeColor="text1"/>
          <w:kern w:val="2"/>
          <w:sz w:val="24"/>
          <w:szCs w:val="24"/>
          <w:lang w:val="en-US" w:eastAsia="zh-CN" w:bidi="ar-SA"/>
          <w14:textFill>
            <w14:solidFill>
              <w14:schemeClr w14:val="tx1"/>
            </w14:solidFill>
          </w14:textFill>
        </w:rPr>
        <w:t>附件12 环评合同；</w:t>
      </w:r>
    </w:p>
    <w:p w14:paraId="175B0290">
      <w:pPr>
        <w:pStyle w:val="79"/>
        <w:bidi w:val="0"/>
        <w:ind w:left="0" w:leftChars="0" w:firstLine="0" w:firstLineChars="0"/>
        <w:rPr>
          <w:rFonts w:hint="default" w:cs="Times New Roman"/>
          <w:b w:val="0"/>
          <w:bCs w:val="0"/>
          <w:color w:val="000000" w:themeColor="text1"/>
          <w:kern w:val="2"/>
          <w:sz w:val="24"/>
          <w:szCs w:val="24"/>
          <w:lang w:val="en-US" w:eastAsia="zh-CN" w:bidi="ar-SA"/>
          <w14:textFill>
            <w14:solidFill>
              <w14:schemeClr w14:val="tx1"/>
            </w14:solidFill>
          </w14:textFill>
        </w:rPr>
      </w:pPr>
      <w:r>
        <w:rPr>
          <w:rFonts w:hint="eastAsia" w:cs="Times New Roman"/>
          <w:b w:val="0"/>
          <w:bCs w:val="0"/>
          <w:color w:val="000000" w:themeColor="text1"/>
          <w:kern w:val="2"/>
          <w:sz w:val="24"/>
          <w:szCs w:val="24"/>
          <w:lang w:val="en-US" w:eastAsia="zh-CN" w:bidi="ar-SA"/>
          <w14:textFill>
            <w14:solidFill>
              <w14:schemeClr w14:val="tx1"/>
            </w14:solidFill>
          </w14:textFill>
        </w:rPr>
        <w:t>附件13 专家评审意见及修改清单。</w:t>
      </w:r>
    </w:p>
    <w:p w14:paraId="3A12C437">
      <w:pPr>
        <w:pStyle w:val="79"/>
        <w:bidi w:val="0"/>
        <w:ind w:left="0" w:leftChars="0" w:firstLine="0" w:firstLineChars="0"/>
        <w:rPr>
          <w:rFonts w:hint="eastAsia" w:cs="Times New Roman"/>
          <w:b w:val="0"/>
          <w:bCs w:val="0"/>
          <w:color w:val="000000" w:themeColor="text1"/>
          <w:kern w:val="2"/>
          <w:sz w:val="24"/>
          <w:szCs w:val="24"/>
          <w:lang w:val="en-US" w:eastAsia="zh-CN" w:bidi="ar-SA"/>
          <w14:textFill>
            <w14:solidFill>
              <w14:schemeClr w14:val="tx1"/>
            </w14:solidFill>
          </w14:textFill>
        </w:rPr>
      </w:pPr>
    </w:p>
    <w:p w14:paraId="08BE11E4">
      <w:pPr>
        <w:pStyle w:val="79"/>
        <w:bidi w:val="0"/>
        <w:ind w:left="0" w:leftChars="0" w:firstLine="0" w:firstLineChars="0"/>
        <w:rPr>
          <w:rFonts w:hint="eastAsia" w:cs="Times New Roman"/>
          <w:b/>
          <w:bCs/>
          <w:color w:val="000000" w:themeColor="text1"/>
          <w:kern w:val="2"/>
          <w:sz w:val="24"/>
          <w:szCs w:val="24"/>
          <w:lang w:val="en-US" w:eastAsia="zh-CN" w:bidi="ar-SA"/>
          <w14:textFill>
            <w14:solidFill>
              <w14:schemeClr w14:val="tx1"/>
            </w14:solidFill>
          </w14:textFill>
        </w:rPr>
      </w:pPr>
    </w:p>
    <w:p w14:paraId="44295ED9">
      <w:pPr>
        <w:pStyle w:val="79"/>
        <w:bidi w:val="0"/>
        <w:ind w:left="0" w:leftChars="0" w:firstLine="0" w:firstLineChars="0"/>
        <w:rPr>
          <w:rFonts w:hint="eastAsia" w:cs="Times New Roman"/>
          <w:b/>
          <w:bCs/>
          <w:color w:val="000000" w:themeColor="text1"/>
          <w:kern w:val="2"/>
          <w:sz w:val="24"/>
          <w:szCs w:val="24"/>
          <w:lang w:val="en-US" w:eastAsia="zh-CN" w:bidi="ar-SA"/>
          <w14:textFill>
            <w14:solidFill>
              <w14:schemeClr w14:val="tx1"/>
            </w14:solidFill>
          </w14:textFill>
        </w:rPr>
      </w:pPr>
    </w:p>
    <w:p w14:paraId="600BDE6D">
      <w:pPr>
        <w:pStyle w:val="79"/>
        <w:bidi w:val="0"/>
        <w:ind w:left="0" w:leftChars="0" w:firstLine="0" w:firstLineChars="0"/>
        <w:rPr>
          <w:rFonts w:hint="eastAsia" w:cs="Times New Roman"/>
          <w:b/>
          <w:bCs/>
          <w:color w:val="000000" w:themeColor="text1"/>
          <w:kern w:val="2"/>
          <w:sz w:val="24"/>
          <w:szCs w:val="24"/>
          <w:lang w:val="en-US" w:eastAsia="zh-CN" w:bidi="ar-SA"/>
          <w14:textFill>
            <w14:solidFill>
              <w14:schemeClr w14:val="tx1"/>
            </w14:solidFill>
          </w14:textFill>
        </w:rPr>
      </w:pPr>
    </w:p>
    <w:p w14:paraId="2D7F5083">
      <w:pPr>
        <w:pStyle w:val="79"/>
        <w:bidi w:val="0"/>
        <w:ind w:left="0" w:leftChars="0" w:firstLine="0" w:firstLineChars="0"/>
        <w:rPr>
          <w:rFonts w:hint="eastAsia" w:cs="Times New Roman"/>
          <w:b/>
          <w:bCs/>
          <w:color w:val="000000" w:themeColor="text1"/>
          <w:kern w:val="2"/>
          <w:sz w:val="24"/>
          <w:szCs w:val="24"/>
          <w:lang w:val="en-US" w:eastAsia="zh-CN" w:bidi="ar-SA"/>
          <w14:textFill>
            <w14:solidFill>
              <w14:schemeClr w14:val="tx1"/>
            </w14:solidFill>
          </w14:textFill>
        </w:rPr>
      </w:pPr>
    </w:p>
    <w:p w14:paraId="2A570569">
      <w:pPr>
        <w:pStyle w:val="79"/>
        <w:bidi w:val="0"/>
        <w:ind w:left="0" w:leftChars="0" w:firstLine="0" w:firstLineChars="0"/>
        <w:rPr>
          <w:rFonts w:hint="eastAsia" w:cs="Times New Roman"/>
          <w:b/>
          <w:bCs/>
          <w:color w:val="000000" w:themeColor="text1"/>
          <w:kern w:val="2"/>
          <w:sz w:val="24"/>
          <w:szCs w:val="24"/>
          <w:lang w:val="en-US" w:eastAsia="zh-CN" w:bidi="ar-SA"/>
          <w14:textFill>
            <w14:solidFill>
              <w14:schemeClr w14:val="tx1"/>
            </w14:solidFill>
          </w14:textFill>
        </w:rPr>
      </w:pPr>
    </w:p>
    <w:p w14:paraId="202C8823">
      <w:pPr>
        <w:pStyle w:val="79"/>
        <w:bidi w:val="0"/>
        <w:ind w:left="0" w:leftChars="0" w:firstLine="0" w:firstLineChars="0"/>
        <w:rPr>
          <w:rFonts w:hint="eastAsia" w:cs="Times New Roman"/>
          <w:b/>
          <w:bCs/>
          <w:color w:val="000000" w:themeColor="text1"/>
          <w:kern w:val="2"/>
          <w:sz w:val="24"/>
          <w:szCs w:val="24"/>
          <w:lang w:val="en-US" w:eastAsia="zh-CN" w:bidi="ar-SA"/>
          <w14:textFill>
            <w14:solidFill>
              <w14:schemeClr w14:val="tx1"/>
            </w14:solidFill>
          </w14:textFill>
        </w:rPr>
      </w:pPr>
    </w:p>
    <w:p w14:paraId="3C0458AD">
      <w:pPr>
        <w:pStyle w:val="79"/>
        <w:bidi w:val="0"/>
        <w:ind w:left="0" w:leftChars="0" w:firstLine="0" w:firstLineChars="0"/>
        <w:rPr>
          <w:rFonts w:hint="eastAsia" w:cs="Times New Roman"/>
          <w:b/>
          <w:bCs/>
          <w:color w:val="000000" w:themeColor="text1"/>
          <w:kern w:val="2"/>
          <w:sz w:val="24"/>
          <w:szCs w:val="24"/>
          <w:lang w:val="en-US" w:eastAsia="zh-CN" w:bidi="ar-SA"/>
          <w14:textFill>
            <w14:solidFill>
              <w14:schemeClr w14:val="tx1"/>
            </w14:solidFill>
          </w14:textFill>
        </w:rPr>
      </w:pPr>
      <w:r>
        <w:rPr>
          <w:rFonts w:hint="eastAsia" w:cs="Times New Roman"/>
          <w:b/>
          <w:bCs/>
          <w:color w:val="000000" w:themeColor="text1"/>
          <w:kern w:val="2"/>
          <w:sz w:val="24"/>
          <w:szCs w:val="24"/>
          <w:lang w:val="en-US" w:eastAsia="zh-CN" w:bidi="ar-SA"/>
          <w14:textFill>
            <w14:solidFill>
              <w14:schemeClr w14:val="tx1"/>
            </w14:solidFill>
          </w14:textFill>
        </w:rPr>
        <w:t>附图：</w:t>
      </w:r>
    </w:p>
    <w:p w14:paraId="1130BE41">
      <w:pPr>
        <w:pStyle w:val="79"/>
        <w:bidi w:val="0"/>
        <w:ind w:left="0" w:leftChars="0" w:firstLine="0" w:firstLineChars="0"/>
        <w:rPr>
          <w:rFonts w:hint="default" w:cs="Times New Roman"/>
          <w:color w:val="000000" w:themeColor="text1"/>
          <w:kern w:val="2"/>
          <w:sz w:val="24"/>
          <w:szCs w:val="24"/>
          <w:lang w:val="en-US" w:eastAsia="zh-CN" w:bidi="ar-SA"/>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附图1 项目地理位置图；</w:t>
      </w:r>
    </w:p>
    <w:p w14:paraId="5A733751">
      <w:pPr>
        <w:pStyle w:val="79"/>
        <w:bidi w:val="0"/>
        <w:ind w:left="0" w:leftChars="0" w:firstLine="0" w:firstLineChars="0"/>
        <w:rPr>
          <w:rFonts w:hint="default" w:cs="Times New Roman"/>
          <w:color w:val="000000" w:themeColor="text1"/>
          <w:kern w:val="2"/>
          <w:sz w:val="24"/>
          <w:szCs w:val="24"/>
          <w:lang w:val="en-US" w:eastAsia="zh-CN" w:bidi="ar-SA"/>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附图2 项目平面布置图；</w:t>
      </w:r>
    </w:p>
    <w:p w14:paraId="4836CF0A">
      <w:pPr>
        <w:pStyle w:val="79"/>
        <w:bidi w:val="0"/>
        <w:ind w:left="0" w:leftChars="0" w:firstLine="0" w:firstLineChars="0"/>
        <w:rPr>
          <w:rFonts w:hint="default" w:cs="Times New Roman"/>
          <w:color w:val="000000" w:themeColor="text1"/>
          <w:kern w:val="2"/>
          <w:sz w:val="24"/>
          <w:szCs w:val="24"/>
          <w:lang w:val="en-US" w:eastAsia="zh-CN" w:bidi="ar-SA"/>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附图3 项目周边环境图；</w:t>
      </w:r>
    </w:p>
    <w:p w14:paraId="76A1F8D9">
      <w:pPr>
        <w:pStyle w:val="79"/>
        <w:bidi w:val="0"/>
        <w:ind w:left="0" w:leftChars="0" w:firstLine="0" w:firstLineChars="0"/>
        <w:rPr>
          <w:rFonts w:hint="default" w:cs="Times New Roman"/>
          <w:color w:val="000000" w:themeColor="text1"/>
          <w:kern w:val="2"/>
          <w:sz w:val="24"/>
          <w:szCs w:val="24"/>
          <w:lang w:val="en-US" w:eastAsia="zh-CN" w:bidi="ar-SA"/>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附图4 项目评价范围图；</w:t>
      </w:r>
    </w:p>
    <w:p w14:paraId="30726729">
      <w:pPr>
        <w:pStyle w:val="79"/>
        <w:bidi w:val="0"/>
        <w:ind w:left="0" w:leftChars="0" w:firstLine="0" w:firstLineChars="0"/>
        <w:rPr>
          <w:rFonts w:hint="default" w:cs="Times New Roman"/>
          <w:color w:val="000000" w:themeColor="text1"/>
          <w:kern w:val="2"/>
          <w:sz w:val="24"/>
          <w:szCs w:val="24"/>
          <w:lang w:val="en-US" w:eastAsia="zh-CN" w:bidi="ar-SA"/>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附图5 项目区域水系图。</w:t>
      </w:r>
    </w:p>
    <w:p w14:paraId="0E541B5F">
      <w:pPr>
        <w:pStyle w:val="79"/>
        <w:bidi w:val="0"/>
        <w:ind w:left="0" w:leftChars="0" w:firstLine="0" w:firstLineChars="0"/>
        <w:rPr>
          <w:rFonts w:hint="eastAsia" w:cs="Times New Roman"/>
          <w:b/>
          <w:bCs/>
          <w:color w:val="000000" w:themeColor="text1"/>
          <w:kern w:val="2"/>
          <w:sz w:val="24"/>
          <w:szCs w:val="24"/>
          <w:lang w:val="en-US" w:eastAsia="zh-CN" w:bidi="ar-SA"/>
          <w14:textFill>
            <w14:solidFill>
              <w14:schemeClr w14:val="tx1"/>
            </w14:solidFill>
          </w14:textFill>
        </w:rPr>
      </w:pPr>
    </w:p>
    <w:p w14:paraId="695BB111">
      <w:pPr>
        <w:pStyle w:val="79"/>
        <w:bidi w:val="0"/>
        <w:ind w:left="0" w:leftChars="0" w:firstLine="0" w:firstLineChars="0"/>
        <w:rPr>
          <w:rFonts w:hint="eastAsia" w:cs="Times New Roman"/>
          <w:b/>
          <w:bCs/>
          <w:color w:val="000000" w:themeColor="text1"/>
          <w:kern w:val="2"/>
          <w:sz w:val="24"/>
          <w:szCs w:val="24"/>
          <w:lang w:val="en-US" w:eastAsia="zh-CN" w:bidi="ar-SA"/>
          <w14:textFill>
            <w14:solidFill>
              <w14:schemeClr w14:val="tx1"/>
            </w14:solidFill>
          </w14:textFill>
        </w:rPr>
      </w:pPr>
    </w:p>
    <w:p w14:paraId="57E9AFC2">
      <w:pPr>
        <w:pStyle w:val="79"/>
        <w:bidi w:val="0"/>
        <w:ind w:left="0" w:leftChars="0" w:firstLine="0" w:firstLineChars="0"/>
        <w:rPr>
          <w:rFonts w:hint="eastAsia" w:cs="Times New Roman"/>
          <w:b/>
          <w:bCs/>
          <w:color w:val="000000" w:themeColor="text1"/>
          <w:kern w:val="2"/>
          <w:sz w:val="24"/>
          <w:szCs w:val="24"/>
          <w:lang w:val="en-US" w:eastAsia="zh-CN" w:bidi="ar-SA"/>
          <w14:textFill>
            <w14:solidFill>
              <w14:schemeClr w14:val="tx1"/>
            </w14:solidFill>
          </w14:textFill>
        </w:rPr>
      </w:pPr>
      <w:r>
        <w:rPr>
          <w:rFonts w:hint="eastAsia" w:cs="Times New Roman"/>
          <w:b/>
          <w:bCs/>
          <w:color w:val="000000" w:themeColor="text1"/>
          <w:kern w:val="2"/>
          <w:sz w:val="24"/>
          <w:szCs w:val="24"/>
          <w:lang w:val="en-US" w:eastAsia="zh-CN" w:bidi="ar-SA"/>
          <w14:textFill>
            <w14:solidFill>
              <w14:schemeClr w14:val="tx1"/>
            </w14:solidFill>
          </w14:textFill>
        </w:rPr>
        <w:t>附表：</w:t>
      </w:r>
    </w:p>
    <w:p w14:paraId="7AB225D9">
      <w:pPr>
        <w:pStyle w:val="79"/>
        <w:bidi w:val="0"/>
        <w:ind w:left="0" w:leftChars="0" w:firstLine="0" w:firstLineChars="0"/>
        <w:rPr>
          <w:rFonts w:hint="default" w:cs="Times New Roman"/>
          <w:color w:val="000000" w:themeColor="text1"/>
          <w:kern w:val="2"/>
          <w:sz w:val="24"/>
          <w:szCs w:val="24"/>
          <w:lang w:val="en-US" w:eastAsia="zh-CN" w:bidi="ar-SA"/>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附表1 建设项目大气环境影响评价自查表</w:t>
      </w:r>
    </w:p>
    <w:p w14:paraId="0DA82F58">
      <w:pPr>
        <w:pStyle w:val="79"/>
        <w:bidi w:val="0"/>
        <w:ind w:left="0" w:leftChars="0" w:firstLine="0" w:firstLineChars="0"/>
        <w:rPr>
          <w:rFonts w:hint="default" w:cs="Times New Roman"/>
          <w:color w:val="000000" w:themeColor="text1"/>
          <w:kern w:val="2"/>
          <w:sz w:val="24"/>
          <w:szCs w:val="24"/>
          <w:lang w:val="en-US" w:eastAsia="zh-CN" w:bidi="ar-SA"/>
          <w14:textFill>
            <w14:solidFill>
              <w14:schemeClr w14:val="tx1"/>
            </w14:solidFill>
          </w14:textFill>
        </w:rPr>
        <w:sectPr>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14:paraId="32BFF3B5">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Cs w:val="24"/>
          <w14:textFill>
            <w14:solidFill>
              <w14:schemeClr w14:val="tx1"/>
            </w14:solidFill>
          </w14:textFill>
        </w:rPr>
      </w:pPr>
      <w:bookmarkStart w:id="6" w:name="_Toc18650"/>
      <w:bookmarkStart w:id="7" w:name="_Toc22361"/>
      <w:r>
        <w:rPr>
          <w:rFonts w:hint="default" w:ascii="Times New Roman" w:hAnsi="Times New Roman" w:cs="Times New Roman"/>
          <w:snapToGrid w:val="0"/>
          <w:color w:val="000000" w:themeColor="text1"/>
          <w:szCs w:val="24"/>
          <w14:textFill>
            <w14:solidFill>
              <w14:schemeClr w14:val="tx1"/>
            </w14:solidFill>
          </w14:textFill>
        </w:rPr>
        <w:t>一、建设项目基本情况</w:t>
      </w:r>
      <w:bookmarkEnd w:id="6"/>
      <w:bookmarkEnd w:id="7"/>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394"/>
        <w:gridCol w:w="2123"/>
        <w:gridCol w:w="1830"/>
        <w:gridCol w:w="3523"/>
      </w:tblGrid>
      <w:tr w14:paraId="26C596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456" w:type="dxa"/>
            <w:tcMar>
              <w:top w:w="16" w:type="dxa"/>
              <w:left w:w="16" w:type="dxa"/>
              <w:right w:w="16" w:type="dxa"/>
            </w:tcMar>
            <w:vAlign w:val="center"/>
          </w:tcPr>
          <w:p w14:paraId="17A91198">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建设项目名称</w:t>
            </w:r>
          </w:p>
        </w:tc>
        <w:tc>
          <w:tcPr>
            <w:tcW w:w="7414" w:type="dxa"/>
            <w:gridSpan w:val="3"/>
            <w:vAlign w:val="center"/>
          </w:tcPr>
          <w:p w14:paraId="43C86179">
            <w:pPr>
              <w:adjustRightInd w:val="0"/>
              <w:snapToGrid w:val="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密胺餐具智能化生产基地建设项目</w:t>
            </w:r>
          </w:p>
        </w:tc>
      </w:tr>
      <w:tr w14:paraId="5D2ADA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456" w:type="dxa"/>
            <w:tcMar>
              <w:top w:w="16" w:type="dxa"/>
              <w:left w:w="16" w:type="dxa"/>
              <w:right w:w="16" w:type="dxa"/>
            </w:tcMar>
            <w:vAlign w:val="center"/>
          </w:tcPr>
          <w:p w14:paraId="0D7C4CC0">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项目代码</w:t>
            </w:r>
          </w:p>
        </w:tc>
        <w:tc>
          <w:tcPr>
            <w:tcW w:w="7414" w:type="dxa"/>
            <w:gridSpan w:val="3"/>
            <w:vAlign w:val="center"/>
          </w:tcPr>
          <w:p w14:paraId="523ACBA2">
            <w:pPr>
              <w:adjustRightInd w:val="0"/>
              <w:snapToGrid w:val="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2605-530425-04-01-484637</w:t>
            </w:r>
          </w:p>
        </w:tc>
      </w:tr>
      <w:tr w14:paraId="6689AB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456" w:type="dxa"/>
            <w:tcMar>
              <w:top w:w="16" w:type="dxa"/>
              <w:left w:w="16" w:type="dxa"/>
              <w:right w:w="16" w:type="dxa"/>
            </w:tcMar>
            <w:vAlign w:val="center"/>
          </w:tcPr>
          <w:p w14:paraId="75B50326">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建设单位联系人</w:t>
            </w:r>
          </w:p>
        </w:tc>
        <w:tc>
          <w:tcPr>
            <w:tcW w:w="2110" w:type="dxa"/>
            <w:vAlign w:val="center"/>
          </w:tcPr>
          <w:p w14:paraId="70915F17">
            <w:pPr>
              <w:adjustRightInd w:val="0"/>
              <w:snapToGrid w:val="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李开蕊</w:t>
            </w:r>
          </w:p>
        </w:tc>
        <w:tc>
          <w:tcPr>
            <w:tcW w:w="1813" w:type="dxa"/>
            <w:vAlign w:val="center"/>
          </w:tcPr>
          <w:p w14:paraId="28F71858">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联系方式</w:t>
            </w:r>
          </w:p>
        </w:tc>
        <w:tc>
          <w:tcPr>
            <w:tcW w:w="3491" w:type="dxa"/>
            <w:vAlign w:val="center"/>
          </w:tcPr>
          <w:p w14:paraId="269235FA">
            <w:pPr>
              <w:adjustRightInd w:val="0"/>
              <w:snapToGrid w:val="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13096883300</w:t>
            </w:r>
          </w:p>
        </w:tc>
      </w:tr>
      <w:tr w14:paraId="6AF366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456" w:type="dxa"/>
            <w:tcMar>
              <w:top w:w="16" w:type="dxa"/>
              <w:left w:w="16" w:type="dxa"/>
              <w:right w:w="16" w:type="dxa"/>
            </w:tcMar>
            <w:vAlign w:val="center"/>
          </w:tcPr>
          <w:p w14:paraId="2CB8A966">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建设地点</w:t>
            </w:r>
          </w:p>
        </w:tc>
        <w:tc>
          <w:tcPr>
            <w:tcW w:w="7414" w:type="dxa"/>
            <w:gridSpan w:val="3"/>
            <w:vAlign w:val="center"/>
          </w:tcPr>
          <w:p w14:paraId="77941C35">
            <w:pPr>
              <w:adjustRightInd w:val="0"/>
              <w:snapToGrid w:val="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易门工业园区麦子田片区云南联帆建材科技有限公司厂房</w:t>
            </w:r>
          </w:p>
        </w:tc>
      </w:tr>
      <w:tr w14:paraId="09EA9A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456" w:type="dxa"/>
            <w:tcMar>
              <w:top w:w="16" w:type="dxa"/>
              <w:left w:w="16" w:type="dxa"/>
              <w:right w:w="16" w:type="dxa"/>
            </w:tcMar>
            <w:vAlign w:val="center"/>
          </w:tcPr>
          <w:p w14:paraId="286EED91">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地理坐标</w:t>
            </w:r>
          </w:p>
        </w:tc>
        <w:tc>
          <w:tcPr>
            <w:tcW w:w="7414" w:type="dxa"/>
            <w:gridSpan w:val="3"/>
            <w:vAlign w:val="center"/>
          </w:tcPr>
          <w:p w14:paraId="589DB1BC">
            <w:pPr>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u w:val="none"/>
                <w14:textFill>
                  <w14:solidFill>
                    <w14:schemeClr w14:val="tx1"/>
                  </w14:solidFill>
                </w14:textFill>
              </w:rPr>
              <w:t>（东经： 10</w:t>
            </w:r>
            <w:r>
              <w:rPr>
                <w:rFonts w:hint="default" w:ascii="Times New Roman" w:hAnsi="Times New Roman" w:cs="Times New Roman"/>
                <w:color w:val="000000" w:themeColor="text1"/>
                <w:sz w:val="24"/>
                <w:u w:val="none"/>
                <w:lang w:val="en-US" w:eastAsia="zh-CN"/>
                <w14:textFill>
                  <w14:solidFill>
                    <w14:schemeClr w14:val="tx1"/>
                  </w14:solidFill>
                </w14:textFill>
              </w:rPr>
              <w:t>2</w:t>
            </w:r>
            <w:r>
              <w:rPr>
                <w:rFonts w:hint="default" w:ascii="Times New Roman" w:hAnsi="Times New Roman" w:cs="Times New Roman"/>
                <w:color w:val="000000" w:themeColor="text1"/>
                <w:sz w:val="24"/>
                <w:u w:val="none"/>
                <w14:textFill>
                  <w14:solidFill>
                    <w14:schemeClr w14:val="tx1"/>
                  </w14:solidFill>
                </w14:textFill>
              </w:rPr>
              <w:t xml:space="preserve"> 度 </w:t>
            </w:r>
            <w:r>
              <w:rPr>
                <w:rFonts w:hint="eastAsia" w:cs="Times New Roman"/>
                <w:color w:val="000000" w:themeColor="text1"/>
                <w:sz w:val="24"/>
                <w:u w:val="none"/>
                <w:lang w:val="en-US" w:eastAsia="zh-CN"/>
                <w14:textFill>
                  <w14:solidFill>
                    <w14:schemeClr w14:val="tx1"/>
                  </w14:solidFill>
                </w14:textFill>
              </w:rPr>
              <w:t>13</w:t>
            </w:r>
            <w:r>
              <w:rPr>
                <w:rFonts w:hint="default" w:ascii="Times New Roman" w:hAnsi="Times New Roman" w:cs="Times New Roman"/>
                <w:color w:val="000000" w:themeColor="text1"/>
                <w:sz w:val="24"/>
                <w:u w:val="none"/>
                <w14:textFill>
                  <w14:solidFill>
                    <w14:schemeClr w14:val="tx1"/>
                  </w14:solidFill>
                </w14:textFill>
              </w:rPr>
              <w:t xml:space="preserve"> 分 </w:t>
            </w:r>
            <w:r>
              <w:rPr>
                <w:rFonts w:hint="eastAsia" w:cs="Times New Roman"/>
                <w:color w:val="000000" w:themeColor="text1"/>
                <w:sz w:val="24"/>
                <w:u w:val="none"/>
                <w:lang w:val="en-US" w:eastAsia="zh-CN"/>
                <w14:textFill>
                  <w14:solidFill>
                    <w14:schemeClr w14:val="tx1"/>
                  </w14:solidFill>
                </w14:textFill>
              </w:rPr>
              <w:t>01.081</w:t>
            </w:r>
            <w:r>
              <w:rPr>
                <w:rFonts w:hint="default" w:ascii="Times New Roman" w:hAnsi="Times New Roman" w:cs="Times New Roman"/>
                <w:color w:val="000000" w:themeColor="text1"/>
                <w:sz w:val="24"/>
                <w:u w:val="none"/>
                <w14:textFill>
                  <w14:solidFill>
                    <w14:schemeClr w14:val="tx1"/>
                  </w14:solidFill>
                </w14:textFill>
              </w:rPr>
              <w:t xml:space="preserve"> 秒，北纬</w:t>
            </w:r>
            <w:r>
              <w:rPr>
                <w:rFonts w:hint="eastAsia" w:cs="Times New Roman"/>
                <w:color w:val="000000" w:themeColor="text1"/>
                <w:sz w:val="24"/>
                <w:u w:val="none"/>
                <w:lang w:eastAsia="zh-CN"/>
                <w14:textFill>
                  <w14:solidFill>
                    <w14:schemeClr w14:val="tx1"/>
                  </w14:solidFill>
                </w14:textFill>
              </w:rPr>
              <w:t>：</w:t>
            </w:r>
            <w:r>
              <w:rPr>
                <w:rFonts w:hint="default" w:ascii="Times New Roman" w:hAnsi="Times New Roman" w:cs="Times New Roman"/>
                <w:color w:val="000000" w:themeColor="text1"/>
                <w:sz w:val="24"/>
                <w:u w:val="none"/>
                <w14:textFill>
                  <w14:solidFill>
                    <w14:schemeClr w14:val="tx1"/>
                  </w14:solidFill>
                </w14:textFill>
              </w:rPr>
              <w:t xml:space="preserve"> 2</w:t>
            </w:r>
            <w:r>
              <w:rPr>
                <w:rFonts w:hint="eastAsia" w:cs="Times New Roman"/>
                <w:color w:val="000000" w:themeColor="text1"/>
                <w:sz w:val="24"/>
                <w:u w:val="none"/>
                <w:lang w:val="en-US" w:eastAsia="zh-CN"/>
                <w14:textFill>
                  <w14:solidFill>
                    <w14:schemeClr w14:val="tx1"/>
                  </w14:solidFill>
                </w14:textFill>
              </w:rPr>
              <w:t>4</w:t>
            </w:r>
            <w:r>
              <w:rPr>
                <w:rFonts w:hint="default" w:ascii="Times New Roman" w:hAnsi="Times New Roman" w:cs="Times New Roman"/>
                <w:color w:val="000000" w:themeColor="text1"/>
                <w:sz w:val="24"/>
                <w:u w:val="none"/>
                <w14:textFill>
                  <w14:solidFill>
                    <w14:schemeClr w14:val="tx1"/>
                  </w14:solidFill>
                </w14:textFill>
              </w:rPr>
              <w:t xml:space="preserve"> 度 </w:t>
            </w:r>
            <w:r>
              <w:rPr>
                <w:rFonts w:hint="eastAsia" w:cs="Times New Roman"/>
                <w:color w:val="000000" w:themeColor="text1"/>
                <w:sz w:val="24"/>
                <w:u w:val="none"/>
                <w:lang w:val="en-US" w:eastAsia="zh-CN"/>
                <w14:textFill>
                  <w14:solidFill>
                    <w14:schemeClr w14:val="tx1"/>
                  </w14:solidFill>
                </w14:textFill>
              </w:rPr>
              <w:t>47</w:t>
            </w:r>
            <w:r>
              <w:rPr>
                <w:rFonts w:hint="default" w:ascii="Times New Roman" w:hAnsi="Times New Roman" w:cs="Times New Roman"/>
                <w:color w:val="000000" w:themeColor="text1"/>
                <w:sz w:val="24"/>
                <w:u w:val="none"/>
                <w14:textFill>
                  <w14:solidFill>
                    <w14:schemeClr w14:val="tx1"/>
                  </w14:solidFill>
                </w14:textFill>
              </w:rPr>
              <w:t xml:space="preserve"> 分 </w:t>
            </w:r>
            <w:r>
              <w:rPr>
                <w:rFonts w:hint="eastAsia" w:cs="Times New Roman"/>
                <w:color w:val="000000" w:themeColor="text1"/>
                <w:sz w:val="24"/>
                <w:u w:val="none"/>
                <w:lang w:val="en-US" w:eastAsia="zh-CN"/>
                <w14:textFill>
                  <w14:solidFill>
                    <w14:schemeClr w14:val="tx1"/>
                  </w14:solidFill>
                </w14:textFill>
              </w:rPr>
              <w:t>14.921</w:t>
            </w:r>
            <w:r>
              <w:rPr>
                <w:rFonts w:hint="default" w:ascii="Times New Roman" w:hAnsi="Times New Roman" w:cs="Times New Roman"/>
                <w:color w:val="000000" w:themeColor="text1"/>
                <w:sz w:val="24"/>
                <w:u w:val="none"/>
                <w14:textFill>
                  <w14:solidFill>
                    <w14:schemeClr w14:val="tx1"/>
                  </w14:solidFill>
                </w14:textFill>
              </w:rPr>
              <w:t xml:space="preserve"> 秒）</w:t>
            </w:r>
          </w:p>
        </w:tc>
      </w:tr>
      <w:tr w14:paraId="54C729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456" w:type="dxa"/>
            <w:tcMar>
              <w:top w:w="16" w:type="dxa"/>
              <w:left w:w="16" w:type="dxa"/>
              <w:right w:w="16" w:type="dxa"/>
            </w:tcMar>
            <w:vAlign w:val="center"/>
          </w:tcPr>
          <w:p w14:paraId="645B8C55">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国民经济</w:t>
            </w:r>
          </w:p>
          <w:p w14:paraId="08EF04A9">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行业类别</w:t>
            </w:r>
          </w:p>
        </w:tc>
        <w:tc>
          <w:tcPr>
            <w:tcW w:w="2110" w:type="dxa"/>
            <w:vAlign w:val="center"/>
          </w:tcPr>
          <w:p w14:paraId="6B2ADF2A">
            <w:pPr>
              <w:adjustRightInd w:val="0"/>
              <w:snapToGrid w:val="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2027 日用塑料制品制造</w:t>
            </w:r>
            <w:bookmarkStart w:id="533" w:name="_GoBack"/>
            <w:bookmarkEnd w:id="533"/>
          </w:p>
        </w:tc>
        <w:tc>
          <w:tcPr>
            <w:tcW w:w="1813" w:type="dxa"/>
            <w:vAlign w:val="center"/>
          </w:tcPr>
          <w:p w14:paraId="55F16981">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bookmarkStart w:id="8" w:name="_Hlk49843745"/>
            <w:r>
              <w:rPr>
                <w:rFonts w:hint="default" w:ascii="Times New Roman" w:hAnsi="Times New Roman" w:cs="Times New Roman"/>
                <w:color w:val="000000" w:themeColor="text1"/>
                <w:sz w:val="24"/>
                <w14:textFill>
                  <w14:solidFill>
                    <w14:schemeClr w14:val="tx1"/>
                  </w14:solidFill>
                </w14:textFill>
              </w:rPr>
              <w:t>建设项目</w:t>
            </w:r>
          </w:p>
          <w:p w14:paraId="7FB3F358">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行业类别</w:t>
            </w:r>
            <w:bookmarkEnd w:id="8"/>
          </w:p>
        </w:tc>
        <w:tc>
          <w:tcPr>
            <w:tcW w:w="3491" w:type="dxa"/>
            <w:vAlign w:val="center"/>
          </w:tcPr>
          <w:p w14:paraId="11454F76">
            <w:pPr>
              <w:numPr>
                <w:ilvl w:val="0"/>
                <w:numId w:val="0"/>
              </w:numPr>
              <w:adjustRightInd w:val="0"/>
              <w:snapToGrid w:val="0"/>
              <w:jc w:val="center"/>
              <w:rPr>
                <w:rFonts w:hint="eastAsia" w:cs="Times New Roman"/>
                <w:color w:val="000000" w:themeColor="text1"/>
                <w:sz w:val="24"/>
                <w:lang w:val="en-US" w:eastAsia="zh-CN"/>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二十六</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 xml:space="preserve">橡胶和塑料制品业 29 </w:t>
            </w:r>
          </w:p>
          <w:p w14:paraId="621ABF67">
            <w:pPr>
              <w:numPr>
                <w:ilvl w:val="0"/>
                <w:numId w:val="0"/>
              </w:numPr>
              <w:adjustRightInd w:val="0"/>
              <w:snapToGrid w:val="0"/>
              <w:jc w:val="both"/>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53</w:t>
            </w:r>
            <w:r>
              <w:rPr>
                <w:rFonts w:hint="default" w:ascii="Times New Roman" w:hAnsi="Times New Roman" w:eastAsia="宋体" w:cs="Times New Roman"/>
                <w:color w:val="000000" w:themeColor="text1"/>
                <w:sz w:val="24"/>
                <w:lang w:val="en-US" w:eastAsia="zh-CN"/>
                <w14:textFill>
                  <w14:solidFill>
                    <w14:schemeClr w14:val="tx1"/>
                  </w14:solidFill>
                </w14:textFill>
              </w:rPr>
              <w:t xml:space="preserve"> </w:t>
            </w:r>
            <w:r>
              <w:rPr>
                <w:rFonts w:hint="eastAsia" w:cs="Times New Roman"/>
                <w:color w:val="000000" w:themeColor="text1"/>
                <w:sz w:val="24"/>
                <w:lang w:val="en-US" w:eastAsia="zh-CN"/>
                <w14:textFill>
                  <w14:solidFill>
                    <w14:schemeClr w14:val="tx1"/>
                  </w14:solidFill>
                </w14:textFill>
              </w:rPr>
              <w:t>塑料制品业</w:t>
            </w:r>
            <w:r>
              <w:rPr>
                <w:rFonts w:hint="default" w:ascii="Times New Roman" w:hAnsi="Times New Roman" w:eastAsia="宋体" w:cs="Times New Roman"/>
                <w:color w:val="000000" w:themeColor="text1"/>
                <w:sz w:val="24"/>
                <w:lang w:val="en-US" w:eastAsia="zh-CN"/>
                <w14:textFill>
                  <w14:solidFill>
                    <w14:schemeClr w14:val="tx1"/>
                  </w14:solidFill>
                </w14:textFill>
              </w:rPr>
              <w:t xml:space="preserve"> </w:t>
            </w:r>
            <w:r>
              <w:rPr>
                <w:rFonts w:hint="eastAsia" w:cs="Times New Roman"/>
                <w:color w:val="000000" w:themeColor="text1"/>
                <w:sz w:val="24"/>
                <w:lang w:val="en-US" w:eastAsia="zh-CN"/>
                <w14:textFill>
                  <w14:solidFill>
                    <w14:schemeClr w14:val="tx1"/>
                  </w14:solidFill>
                </w14:textFill>
              </w:rPr>
              <w:t>292</w:t>
            </w:r>
            <w:r>
              <w:rPr>
                <w:rFonts w:hint="default" w:ascii="Times New Roman" w:hAnsi="Times New Roman" w:eastAsia="宋体" w:cs="Times New Roman"/>
                <w:color w:val="000000" w:themeColor="text1"/>
                <w:sz w:val="24"/>
                <w:lang w:val="en-US"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其他（年用非溶剂型低VOC</w:t>
            </w:r>
            <w:r>
              <w:rPr>
                <w:rFonts w:hint="eastAsia" w:cs="Times New Roman"/>
                <w:color w:val="000000" w:themeColor="text1"/>
                <w:sz w:val="24"/>
                <w:vertAlign w:val="subscript"/>
                <w:lang w:val="en-US" w:eastAsia="zh-CN"/>
                <w14:textFill>
                  <w14:solidFill>
                    <w14:schemeClr w14:val="tx1"/>
                  </w14:solidFill>
                </w14:textFill>
              </w:rPr>
              <w:t>S</w:t>
            </w:r>
            <w:r>
              <w:rPr>
                <w:rFonts w:hint="eastAsia" w:cs="Times New Roman"/>
                <w:color w:val="000000" w:themeColor="text1"/>
                <w:sz w:val="24"/>
                <w:lang w:val="en-US" w:eastAsia="zh-CN"/>
                <w14:textFill>
                  <w14:solidFill>
                    <w14:schemeClr w14:val="tx1"/>
                  </w14:solidFill>
                </w14:textFill>
              </w:rPr>
              <w:t>含量涂料10吨以下的除外）</w:t>
            </w:r>
          </w:p>
        </w:tc>
      </w:tr>
      <w:tr w14:paraId="2F6D52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456" w:type="dxa"/>
            <w:tcMar>
              <w:top w:w="16" w:type="dxa"/>
              <w:left w:w="16" w:type="dxa"/>
              <w:right w:w="16" w:type="dxa"/>
            </w:tcMar>
            <w:vAlign w:val="center"/>
          </w:tcPr>
          <w:p w14:paraId="18029B05">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建设性质</w:t>
            </w:r>
          </w:p>
        </w:tc>
        <w:tc>
          <w:tcPr>
            <w:tcW w:w="2110" w:type="dxa"/>
            <w:vAlign w:val="center"/>
          </w:tcPr>
          <w:p w14:paraId="4A8E0AEF">
            <w:pPr>
              <w:jc w:val="left"/>
              <w:rPr>
                <w:rFonts w:hint="default" w:ascii="Times New Roman" w:hAnsi="Times New Roman" w:cs="Times New Roman"/>
                <w:color w:val="000000" w:themeColor="text1"/>
                <w:sz w:val="24"/>
                <w14:textFill>
                  <w14:solidFill>
                    <w14:schemeClr w14:val="tx1"/>
                  </w14:solidFill>
                </w14:textFill>
              </w:rPr>
            </w:pP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新建（迁建）</w:t>
            </w:r>
          </w:p>
          <w:p w14:paraId="31524827">
            <w:pPr>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□改建</w:t>
            </w:r>
          </w:p>
          <w:p w14:paraId="4051D4B5">
            <w:pPr>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□扩建</w:t>
            </w:r>
          </w:p>
          <w:p w14:paraId="698C916B">
            <w:pPr>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□技术改造</w:t>
            </w:r>
          </w:p>
        </w:tc>
        <w:tc>
          <w:tcPr>
            <w:tcW w:w="1813" w:type="dxa"/>
            <w:vAlign w:val="center"/>
          </w:tcPr>
          <w:p w14:paraId="0E893E9D">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建设项目</w:t>
            </w:r>
          </w:p>
          <w:p w14:paraId="459FF15D">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申报情形</w:t>
            </w:r>
          </w:p>
        </w:tc>
        <w:tc>
          <w:tcPr>
            <w:tcW w:w="3491" w:type="dxa"/>
            <w:vAlign w:val="center"/>
          </w:tcPr>
          <w:p w14:paraId="5AB2CAF6">
            <w:pPr>
              <w:jc w:val="left"/>
              <w:rPr>
                <w:rFonts w:hint="default" w:ascii="Times New Roman" w:hAnsi="Times New Roman" w:cs="Times New Roman"/>
                <w:color w:val="000000" w:themeColor="text1"/>
                <w:sz w:val="24"/>
                <w14:textFill>
                  <w14:solidFill>
                    <w14:schemeClr w14:val="tx1"/>
                  </w14:solidFill>
                </w14:textFill>
              </w:rPr>
            </w:pP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首次申报项目</w:t>
            </w:r>
          </w:p>
          <w:p w14:paraId="6BF29916">
            <w:pPr>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□不予批准后再次申报项目</w:t>
            </w:r>
          </w:p>
          <w:p w14:paraId="1501895E">
            <w:pPr>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□超五年重新审核项目</w:t>
            </w:r>
          </w:p>
          <w:p w14:paraId="130C5594">
            <w:pPr>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□重大变动重新报批项目</w:t>
            </w:r>
          </w:p>
        </w:tc>
      </w:tr>
      <w:tr w14:paraId="0F5EA9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456" w:type="dxa"/>
            <w:tcMar>
              <w:top w:w="16" w:type="dxa"/>
              <w:left w:w="16" w:type="dxa"/>
              <w:right w:w="16" w:type="dxa"/>
            </w:tcMar>
            <w:vAlign w:val="center"/>
          </w:tcPr>
          <w:p w14:paraId="1F8238CA">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项目审批（核准</w:t>
            </w:r>
          </w:p>
          <w:p w14:paraId="3FE593D3">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备案）部门（选填）</w:t>
            </w:r>
          </w:p>
        </w:tc>
        <w:tc>
          <w:tcPr>
            <w:tcW w:w="2110" w:type="dxa"/>
            <w:vAlign w:val="center"/>
          </w:tcPr>
          <w:p w14:paraId="02A50240">
            <w:pPr>
              <w:adjustRightInd w:val="0"/>
              <w:snapToGrid w:val="0"/>
              <w:jc w:val="center"/>
              <w:rPr>
                <w:rFonts w:hint="eastAsia"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易门县发展和</w:t>
            </w:r>
          </w:p>
          <w:p w14:paraId="530CC3AD">
            <w:pPr>
              <w:adjustRightInd w:val="0"/>
              <w:snapToGrid w:val="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改革局</w:t>
            </w:r>
          </w:p>
        </w:tc>
        <w:tc>
          <w:tcPr>
            <w:tcW w:w="1813" w:type="dxa"/>
            <w:vAlign w:val="center"/>
          </w:tcPr>
          <w:p w14:paraId="7ADC402B">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项目审批（核准</w:t>
            </w:r>
          </w:p>
          <w:p w14:paraId="15029A33">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备案）文号（选填）</w:t>
            </w:r>
          </w:p>
        </w:tc>
        <w:tc>
          <w:tcPr>
            <w:tcW w:w="3491" w:type="dxa"/>
            <w:vAlign w:val="center"/>
          </w:tcPr>
          <w:p w14:paraId="3860F776">
            <w:pPr>
              <w:adjustRightInd w:val="0"/>
              <w:snapToGrid w:val="0"/>
              <w:jc w:val="center"/>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w:t>
            </w:r>
          </w:p>
        </w:tc>
      </w:tr>
      <w:tr w14:paraId="07CBC0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456" w:type="dxa"/>
            <w:tcMar>
              <w:top w:w="16" w:type="dxa"/>
              <w:left w:w="16" w:type="dxa"/>
              <w:right w:w="16" w:type="dxa"/>
            </w:tcMar>
            <w:vAlign w:val="center"/>
          </w:tcPr>
          <w:p w14:paraId="0720C3C5">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总投资（万元）</w:t>
            </w:r>
          </w:p>
        </w:tc>
        <w:tc>
          <w:tcPr>
            <w:tcW w:w="2110" w:type="dxa"/>
            <w:vAlign w:val="center"/>
          </w:tcPr>
          <w:p w14:paraId="3D890277">
            <w:pPr>
              <w:adjustRightInd w:val="0"/>
              <w:snapToGrid w:val="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800</w:t>
            </w:r>
          </w:p>
        </w:tc>
        <w:tc>
          <w:tcPr>
            <w:tcW w:w="1813" w:type="dxa"/>
            <w:tcMar>
              <w:top w:w="16" w:type="dxa"/>
              <w:left w:w="16" w:type="dxa"/>
              <w:right w:w="16" w:type="dxa"/>
            </w:tcMar>
            <w:vAlign w:val="center"/>
          </w:tcPr>
          <w:p w14:paraId="49F048DD">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环保投资（万元）</w:t>
            </w:r>
          </w:p>
        </w:tc>
        <w:tc>
          <w:tcPr>
            <w:tcW w:w="3491" w:type="dxa"/>
            <w:vAlign w:val="center"/>
          </w:tcPr>
          <w:p w14:paraId="33E25CB4">
            <w:pPr>
              <w:adjustRightInd w:val="0"/>
              <w:snapToGrid w:val="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74.00</w:t>
            </w:r>
          </w:p>
        </w:tc>
      </w:tr>
      <w:tr w14:paraId="2FE3AA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456" w:type="dxa"/>
            <w:tcMar>
              <w:top w:w="16" w:type="dxa"/>
              <w:left w:w="16" w:type="dxa"/>
              <w:right w:w="16" w:type="dxa"/>
            </w:tcMar>
            <w:vAlign w:val="center"/>
          </w:tcPr>
          <w:p w14:paraId="385D0B3F">
            <w:pPr>
              <w:adjustRightInd w:val="0"/>
              <w:snapToGrid w:val="0"/>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环保投资占比（%）</w:t>
            </w:r>
          </w:p>
        </w:tc>
        <w:tc>
          <w:tcPr>
            <w:tcW w:w="2110" w:type="dxa"/>
            <w:vAlign w:val="center"/>
          </w:tcPr>
          <w:p w14:paraId="5A309353">
            <w:pPr>
              <w:adjustRightInd w:val="0"/>
              <w:snapToGrid w:val="0"/>
              <w:jc w:val="cente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9.25</w:t>
            </w:r>
          </w:p>
        </w:tc>
        <w:tc>
          <w:tcPr>
            <w:tcW w:w="1813" w:type="dxa"/>
            <w:tcMar>
              <w:top w:w="16" w:type="dxa"/>
              <w:left w:w="16" w:type="dxa"/>
              <w:right w:w="16" w:type="dxa"/>
            </w:tcMar>
            <w:vAlign w:val="center"/>
          </w:tcPr>
          <w:p w14:paraId="58913410">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施工工期</w:t>
            </w:r>
          </w:p>
        </w:tc>
        <w:tc>
          <w:tcPr>
            <w:tcW w:w="3491" w:type="dxa"/>
            <w:vAlign w:val="center"/>
          </w:tcPr>
          <w:p w14:paraId="25392EA7">
            <w:pPr>
              <w:adjustRightInd w:val="0"/>
              <w:snapToGrid w:val="0"/>
              <w:jc w:val="center"/>
              <w:rPr>
                <w:rFonts w:hint="eastAsia"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2026年11月~2026年12月</w:t>
            </w:r>
          </w:p>
          <w:p w14:paraId="1D546EC4">
            <w:pPr>
              <w:pStyle w:val="30"/>
              <w:rPr>
                <w:rFonts w:hint="default"/>
                <w:color w:val="000000" w:themeColor="text1"/>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（施工工期1个月）</w:t>
            </w:r>
          </w:p>
        </w:tc>
      </w:tr>
      <w:tr w14:paraId="4B4599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456" w:type="dxa"/>
            <w:tcMar>
              <w:top w:w="16" w:type="dxa"/>
              <w:left w:w="16" w:type="dxa"/>
              <w:right w:w="16" w:type="dxa"/>
            </w:tcMar>
            <w:vAlign w:val="center"/>
          </w:tcPr>
          <w:p w14:paraId="324D8F43">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是否开工建设</w:t>
            </w:r>
          </w:p>
        </w:tc>
        <w:tc>
          <w:tcPr>
            <w:tcW w:w="2110" w:type="dxa"/>
            <w:vAlign w:val="center"/>
          </w:tcPr>
          <w:p w14:paraId="0A86B564">
            <w:pPr>
              <w:adjustRightInd w:val="0"/>
              <w:snapToGrid w:val="0"/>
              <w:rPr>
                <w:rFonts w:hint="default" w:ascii="Times New Roman" w:hAnsi="Times New Roman" w:cs="Times New Roman"/>
                <w:color w:val="000000" w:themeColor="text1"/>
                <w:sz w:val="24"/>
                <w14:textFill>
                  <w14:solidFill>
                    <w14:schemeClr w14:val="tx1"/>
                  </w14:solidFill>
                </w14:textFill>
              </w:rPr>
            </w:pP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否</w:t>
            </w:r>
          </w:p>
          <w:p w14:paraId="579E9827">
            <w:pPr>
              <w:adjustRightInd w:val="0"/>
              <w:snapToGrid w:val="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是：</w:t>
            </w:r>
            <w:r>
              <w:rPr>
                <w:rFonts w:hint="eastAsia" w:cs="Times New Roman"/>
                <w:color w:val="000000" w:themeColor="text1"/>
                <w:sz w:val="24"/>
                <w:u w:val="single"/>
                <w:lang w:val="en-US" w:eastAsia="zh-CN"/>
                <w14:textFill>
                  <w14:solidFill>
                    <w14:schemeClr w14:val="tx1"/>
                  </w14:solidFill>
                </w14:textFill>
              </w:rPr>
              <w:t xml:space="preserve">           </w:t>
            </w:r>
          </w:p>
        </w:tc>
        <w:tc>
          <w:tcPr>
            <w:tcW w:w="1813" w:type="dxa"/>
            <w:tcMar>
              <w:top w:w="16" w:type="dxa"/>
              <w:left w:w="16" w:type="dxa"/>
              <w:right w:w="16" w:type="dxa"/>
            </w:tcMar>
            <w:vAlign w:val="center"/>
          </w:tcPr>
          <w:p w14:paraId="12686D56">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用地（用海）</w:t>
            </w:r>
          </w:p>
          <w:p w14:paraId="0CC4EDD2">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面积（m</w:t>
            </w:r>
            <w:r>
              <w:rPr>
                <w:rFonts w:hint="default" w:ascii="Times New Roman" w:hAnsi="Times New Roman" w:cs="Times New Roman"/>
                <w:color w:val="000000" w:themeColor="text1"/>
                <w:sz w:val="24"/>
                <w:vertAlign w:val="superscript"/>
                <w14:textFill>
                  <w14:solidFill>
                    <w14:schemeClr w14:val="tx1"/>
                  </w14:solidFill>
                </w14:textFill>
              </w:rPr>
              <w:t>2</w:t>
            </w:r>
            <w:r>
              <w:rPr>
                <w:rFonts w:hint="default" w:ascii="Times New Roman" w:hAnsi="Times New Roman" w:cs="Times New Roman"/>
                <w:color w:val="000000" w:themeColor="text1"/>
                <w:sz w:val="24"/>
                <w14:textFill>
                  <w14:solidFill>
                    <w14:schemeClr w14:val="tx1"/>
                  </w14:solidFill>
                </w14:textFill>
              </w:rPr>
              <w:t>）</w:t>
            </w:r>
          </w:p>
        </w:tc>
        <w:tc>
          <w:tcPr>
            <w:tcW w:w="3491" w:type="dxa"/>
            <w:vAlign w:val="center"/>
          </w:tcPr>
          <w:p w14:paraId="75CF1FC2">
            <w:pPr>
              <w:adjustRightInd w:val="0"/>
              <w:snapToGrid w:val="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1400.00</w:t>
            </w:r>
          </w:p>
        </w:tc>
      </w:tr>
      <w:tr w14:paraId="7C6D44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56" w:type="dxa"/>
            <w:vAlign w:val="center"/>
          </w:tcPr>
          <w:p w14:paraId="6DDE3447">
            <w:pPr>
              <w:autoSpaceDE w:val="0"/>
              <w:autoSpaceDN w:val="0"/>
              <w:adjustRightInd w:val="0"/>
              <w:snapToGrid w:val="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专项评价设置情况</w:t>
            </w:r>
          </w:p>
        </w:tc>
        <w:tc>
          <w:tcPr>
            <w:tcW w:w="7414" w:type="dxa"/>
            <w:gridSpan w:val="3"/>
            <w:vAlign w:val="center"/>
          </w:tcPr>
          <w:p w14:paraId="5AE459AE">
            <w:pPr>
              <w:adjustRightInd w:val="0"/>
              <w:snapToGrid w:val="0"/>
              <w:spacing w:line="276" w:lineRule="auto"/>
              <w:jc w:val="center"/>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b/>
                <w:bCs/>
                <w:color w:val="000000" w:themeColor="text1"/>
                <w:szCs w:val="21"/>
                <w:highlight w:val="none"/>
                <w14:textFill>
                  <w14:solidFill>
                    <w14:schemeClr w14:val="tx1"/>
                  </w14:solidFill>
                </w14:textFill>
              </w:rPr>
              <w:t>表1-1    项目专项评价设置情况一览表</w:t>
            </w:r>
          </w:p>
          <w:tbl>
            <w:tblPr>
              <w:tblStyle w:val="31"/>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2579"/>
              <w:gridCol w:w="2947"/>
              <w:gridCol w:w="954"/>
            </w:tblGrid>
            <w:tr w14:paraId="169A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pct"/>
                  <w:shd w:val="clear" w:color="auto" w:fill="auto"/>
                  <w:noWrap w:val="0"/>
                  <w:vAlign w:val="center"/>
                </w:tcPr>
                <w:p w14:paraId="6E06649D">
                  <w:pPr>
                    <w:pStyle w:val="29"/>
                    <w:spacing w:before="0" w:after="0"/>
                    <w:ind w:firstLine="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专项评价类别</w:t>
                  </w:r>
                </w:p>
              </w:tc>
              <w:tc>
                <w:tcPr>
                  <w:tcW w:w="1778" w:type="pct"/>
                  <w:shd w:val="clear" w:color="auto" w:fill="auto"/>
                  <w:noWrap w:val="0"/>
                  <w:vAlign w:val="center"/>
                </w:tcPr>
                <w:p w14:paraId="2594AC7D">
                  <w:pPr>
                    <w:pStyle w:val="29"/>
                    <w:spacing w:before="0" w:after="0"/>
                    <w:ind w:firstLine="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设置原则</w:t>
                  </w:r>
                </w:p>
              </w:tc>
              <w:tc>
                <w:tcPr>
                  <w:tcW w:w="2032" w:type="pct"/>
                  <w:shd w:val="clear" w:color="auto" w:fill="auto"/>
                  <w:noWrap w:val="0"/>
                  <w:vAlign w:val="center"/>
                </w:tcPr>
                <w:p w14:paraId="6C1D6B3F">
                  <w:pPr>
                    <w:pStyle w:val="29"/>
                    <w:spacing w:before="0" w:after="0"/>
                    <w:ind w:firstLine="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本项目情况</w:t>
                  </w:r>
                </w:p>
              </w:tc>
              <w:tc>
                <w:tcPr>
                  <w:tcW w:w="658" w:type="pct"/>
                  <w:shd w:val="clear" w:color="auto" w:fill="auto"/>
                  <w:noWrap w:val="0"/>
                  <w:vAlign w:val="center"/>
                </w:tcPr>
                <w:p w14:paraId="709DD112">
                  <w:pPr>
                    <w:pStyle w:val="29"/>
                    <w:spacing w:before="0" w:after="0"/>
                    <w:ind w:firstLine="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本项目专项设置情况</w:t>
                  </w:r>
                </w:p>
              </w:tc>
            </w:tr>
            <w:tr w14:paraId="398C8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pct"/>
                  <w:shd w:val="clear" w:color="auto" w:fill="auto"/>
                  <w:noWrap w:val="0"/>
                  <w:vAlign w:val="center"/>
                </w:tcPr>
                <w:p w14:paraId="2F529CA5">
                  <w:pPr>
                    <w:pStyle w:val="29"/>
                    <w:spacing w:before="0" w:after="0"/>
                    <w:ind w:firstLine="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大气</w:t>
                  </w:r>
                </w:p>
              </w:tc>
              <w:tc>
                <w:tcPr>
                  <w:tcW w:w="1778" w:type="pct"/>
                  <w:shd w:val="clear" w:color="auto" w:fill="auto"/>
                  <w:noWrap w:val="0"/>
                  <w:vAlign w:val="center"/>
                </w:tcPr>
                <w:p w14:paraId="4597E65E">
                  <w:pPr>
                    <w:pStyle w:val="29"/>
                    <w:spacing w:before="0" w:after="0"/>
                    <w:ind w:firstLine="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排放废气含有毒有害污染物</w:t>
                  </w:r>
                  <w:r>
                    <w:rPr>
                      <w:rFonts w:hint="default" w:ascii="Times New Roman" w:hAnsi="Times New Roman" w:cs="Times New Roman"/>
                      <w:color w:val="000000" w:themeColor="text1"/>
                      <w:sz w:val="21"/>
                      <w:szCs w:val="21"/>
                      <w:vertAlign w:val="superscript"/>
                      <w14:textFill>
                        <w14:solidFill>
                          <w14:schemeClr w14:val="tx1"/>
                        </w14:solidFill>
                      </w14:textFill>
                    </w:rPr>
                    <w:t>1</w:t>
                  </w:r>
                  <w:r>
                    <w:rPr>
                      <w:rFonts w:hint="default" w:ascii="Times New Roman" w:hAnsi="Times New Roman" w:cs="Times New Roman"/>
                      <w:color w:val="000000" w:themeColor="text1"/>
                      <w:sz w:val="21"/>
                      <w:szCs w:val="21"/>
                      <w14:textFill>
                        <w14:solidFill>
                          <w14:schemeClr w14:val="tx1"/>
                        </w14:solidFill>
                      </w14:textFill>
                    </w:rPr>
                    <w:t>、二噁英、苯并[a]芘、氰化物、氯气且厂界外500米范围内有环境空气保护目标</w:t>
                  </w:r>
                  <w:r>
                    <w:rPr>
                      <w:rFonts w:hint="default" w:ascii="Times New Roman" w:hAnsi="Times New Roman" w:cs="Times New Roman"/>
                      <w:color w:val="000000" w:themeColor="text1"/>
                      <w:sz w:val="21"/>
                      <w:szCs w:val="21"/>
                      <w:vertAlign w:val="superscript"/>
                      <w14:textFill>
                        <w14:solidFill>
                          <w14:schemeClr w14:val="tx1"/>
                        </w14:solidFill>
                      </w14:textFill>
                    </w:rPr>
                    <w:t>2</w:t>
                  </w:r>
                  <w:r>
                    <w:rPr>
                      <w:rFonts w:hint="default" w:ascii="Times New Roman" w:hAnsi="Times New Roman" w:cs="Times New Roman"/>
                      <w:color w:val="000000" w:themeColor="text1"/>
                      <w:sz w:val="21"/>
                      <w:szCs w:val="21"/>
                      <w14:textFill>
                        <w14:solidFill>
                          <w14:schemeClr w14:val="tx1"/>
                        </w14:solidFill>
                      </w14:textFill>
                    </w:rPr>
                    <w:t>的建设项目</w:t>
                  </w:r>
                </w:p>
              </w:tc>
              <w:tc>
                <w:tcPr>
                  <w:tcW w:w="2032" w:type="pct"/>
                  <w:shd w:val="clear" w:color="auto" w:fill="auto"/>
                  <w:noWrap w:val="0"/>
                  <w:vAlign w:val="center"/>
                </w:tcPr>
                <w:p w14:paraId="153D9490">
                  <w:pPr>
                    <w:pStyle w:val="29"/>
                    <w:spacing w:before="0" w:after="0"/>
                    <w:ind w:firstLine="0"/>
                    <w:jc w:val="both"/>
                    <w:rPr>
                      <w:rFonts w:hint="eastAsia"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本项目大气污染物主要为</w:t>
                  </w:r>
                  <w:r>
                    <w:rPr>
                      <w:rFonts w:hint="eastAsia" w:cs="Times New Roman"/>
                      <w:color w:val="000000" w:themeColor="text1"/>
                      <w:kern w:val="0"/>
                      <w:sz w:val="21"/>
                      <w:szCs w:val="21"/>
                      <w:lang w:val="en-US" w:eastAsia="zh-CN"/>
                      <w14:textFill>
                        <w14:solidFill>
                          <w14:schemeClr w14:val="tx1"/>
                        </w14:solidFill>
                      </w14:textFill>
                    </w:rPr>
                    <w:t>颗粒物、非甲烷总烃、甲醛。甲醛属《有毒有害大气污染物名录（2018年）》的污染物，且</w:t>
                  </w:r>
                  <w:r>
                    <w:rPr>
                      <w:rFonts w:hint="default" w:ascii="Times New Roman" w:hAnsi="Times New Roman" w:cs="Times New Roman"/>
                      <w:color w:val="000000" w:themeColor="text1"/>
                      <w:kern w:val="0"/>
                      <w:sz w:val="21"/>
                      <w:szCs w:val="21"/>
                      <w14:textFill>
                        <w14:solidFill>
                          <w14:schemeClr w14:val="tx1"/>
                        </w14:solidFill>
                      </w14:textFill>
                    </w:rPr>
                    <w:t>厂界外500m</w:t>
                  </w:r>
                  <w:r>
                    <w:rPr>
                      <w:rFonts w:hint="eastAsia" w:cs="Times New Roman"/>
                      <w:color w:val="000000" w:themeColor="text1"/>
                      <w:kern w:val="0"/>
                      <w:sz w:val="21"/>
                      <w:szCs w:val="21"/>
                      <w:lang w:eastAsia="zh-CN"/>
                      <w14:textFill>
                        <w14:solidFill>
                          <w14:schemeClr w14:val="tx1"/>
                        </w14:solidFill>
                      </w14:textFill>
                    </w:rPr>
                    <w:t>（</w:t>
                  </w:r>
                  <w:r>
                    <w:rPr>
                      <w:rFonts w:hint="eastAsia" w:cs="Times New Roman"/>
                      <w:color w:val="000000" w:themeColor="text1"/>
                      <w:kern w:val="0"/>
                      <w:sz w:val="21"/>
                      <w:szCs w:val="21"/>
                      <w:lang w:val="en-US" w:eastAsia="zh-CN"/>
                      <w14:textFill>
                        <w14:solidFill>
                          <w14:schemeClr w14:val="tx1"/>
                        </w14:solidFill>
                      </w14:textFill>
                    </w:rPr>
                    <w:t>东侧350m，小山凹村</w:t>
                  </w:r>
                  <w:r>
                    <w:rPr>
                      <w:rFonts w:hint="eastAsia" w:cs="Times New Roman"/>
                      <w:color w:val="000000" w:themeColor="text1"/>
                      <w:kern w:val="0"/>
                      <w:sz w:val="21"/>
                      <w:szCs w:val="21"/>
                      <w:lang w:eastAsia="zh-CN"/>
                      <w14:textFill>
                        <w14:solidFill>
                          <w14:schemeClr w14:val="tx1"/>
                        </w14:solidFill>
                      </w14:textFill>
                    </w:rPr>
                    <w:t>）</w:t>
                  </w:r>
                  <w:r>
                    <w:rPr>
                      <w:rFonts w:hint="default" w:ascii="Times New Roman" w:hAnsi="Times New Roman" w:cs="Times New Roman"/>
                      <w:color w:val="000000" w:themeColor="text1"/>
                      <w:kern w:val="0"/>
                      <w:sz w:val="21"/>
                      <w:szCs w:val="21"/>
                      <w14:textFill>
                        <w14:solidFill>
                          <w14:schemeClr w14:val="tx1"/>
                        </w14:solidFill>
                      </w14:textFill>
                    </w:rPr>
                    <w:t>范围内</w:t>
                  </w:r>
                  <w:r>
                    <w:rPr>
                      <w:rFonts w:hint="eastAsia" w:cs="Times New Roman"/>
                      <w:color w:val="000000" w:themeColor="text1"/>
                      <w:kern w:val="0"/>
                      <w:sz w:val="21"/>
                      <w:szCs w:val="21"/>
                      <w:lang w:val="en-US" w:eastAsia="zh-CN"/>
                      <w14:textFill>
                        <w14:solidFill>
                          <w14:schemeClr w14:val="tx1"/>
                        </w14:solidFill>
                      </w14:textFill>
                    </w:rPr>
                    <w:t>存在</w:t>
                  </w:r>
                  <w:r>
                    <w:rPr>
                      <w:rFonts w:hint="default" w:ascii="Times New Roman" w:hAnsi="Times New Roman" w:cs="Times New Roman"/>
                      <w:color w:val="000000" w:themeColor="text1"/>
                      <w:kern w:val="0"/>
                      <w:sz w:val="21"/>
                      <w:szCs w:val="21"/>
                      <w14:textFill>
                        <w14:solidFill>
                          <w14:schemeClr w14:val="tx1"/>
                        </w14:solidFill>
                      </w14:textFill>
                    </w:rPr>
                    <w:t>环境</w:t>
                  </w:r>
                  <w:r>
                    <w:rPr>
                      <w:rFonts w:hint="default" w:ascii="Times New Roman" w:hAnsi="Times New Roman" w:cs="Times New Roman"/>
                      <w:color w:val="000000" w:themeColor="text1"/>
                      <w:kern w:val="0"/>
                      <w:sz w:val="21"/>
                      <w:szCs w:val="21"/>
                      <w:lang w:val="en-US" w:eastAsia="zh-CN"/>
                      <w14:textFill>
                        <w14:solidFill>
                          <w14:schemeClr w14:val="tx1"/>
                        </w14:solidFill>
                      </w14:textFill>
                    </w:rPr>
                    <w:t>空气</w:t>
                  </w:r>
                  <w:r>
                    <w:rPr>
                      <w:rFonts w:hint="default" w:ascii="Times New Roman" w:hAnsi="Times New Roman" w:cs="Times New Roman"/>
                      <w:color w:val="000000" w:themeColor="text1"/>
                      <w:kern w:val="0"/>
                      <w:sz w:val="21"/>
                      <w:szCs w:val="21"/>
                      <w14:textFill>
                        <w14:solidFill>
                          <w14:schemeClr w14:val="tx1"/>
                        </w14:solidFill>
                      </w14:textFill>
                    </w:rPr>
                    <w:t>保护目标</w:t>
                  </w:r>
                  <w:r>
                    <w:rPr>
                      <w:rFonts w:hint="eastAsia" w:cs="Times New Roman"/>
                      <w:color w:val="000000" w:themeColor="text1"/>
                      <w:kern w:val="0"/>
                      <w:sz w:val="21"/>
                      <w:szCs w:val="21"/>
                      <w:lang w:eastAsia="zh-CN"/>
                      <w14:textFill>
                        <w14:solidFill>
                          <w14:schemeClr w14:val="tx1"/>
                        </w14:solidFill>
                      </w14:textFill>
                    </w:rPr>
                    <w:t>。</w:t>
                  </w:r>
                </w:p>
              </w:tc>
              <w:tc>
                <w:tcPr>
                  <w:tcW w:w="658" w:type="pct"/>
                  <w:shd w:val="clear" w:color="auto" w:fill="auto"/>
                  <w:noWrap w:val="0"/>
                  <w:vAlign w:val="center"/>
                </w:tcPr>
                <w:p w14:paraId="5DDFD18F">
                  <w:pPr>
                    <w:pStyle w:val="29"/>
                    <w:spacing w:before="0" w:after="0"/>
                    <w:ind w:firstLine="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设大气专章</w:t>
                  </w:r>
                </w:p>
              </w:tc>
            </w:tr>
            <w:tr w14:paraId="1FEB0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pct"/>
                  <w:shd w:val="clear" w:color="auto" w:fill="auto"/>
                  <w:noWrap w:val="0"/>
                  <w:vAlign w:val="center"/>
                </w:tcPr>
                <w:p w14:paraId="55DCBE34">
                  <w:pPr>
                    <w:pStyle w:val="29"/>
                    <w:spacing w:before="0" w:after="0"/>
                    <w:ind w:left="0" w:lef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地表水</w:t>
                  </w:r>
                </w:p>
              </w:tc>
              <w:tc>
                <w:tcPr>
                  <w:tcW w:w="1778" w:type="pct"/>
                  <w:shd w:val="clear" w:color="auto" w:fill="auto"/>
                  <w:noWrap w:val="0"/>
                  <w:vAlign w:val="center"/>
                </w:tcPr>
                <w:p w14:paraId="25E96C17">
                  <w:pPr>
                    <w:adjustRightInd w:val="0"/>
                    <w:snapToGrid w:val="0"/>
                    <w:spacing w:line="276"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新增工业废水直排建设项目（槽罐车外送污水处理厂的除外）；新增废水直排的污水集中处理厂</w:t>
                  </w:r>
                </w:p>
              </w:tc>
              <w:tc>
                <w:tcPr>
                  <w:tcW w:w="2032" w:type="pct"/>
                  <w:shd w:val="clear" w:color="auto" w:fill="auto"/>
                  <w:noWrap w:val="0"/>
                  <w:vAlign w:val="center"/>
                </w:tcPr>
                <w:p w14:paraId="33BA74DD">
                  <w:pPr>
                    <w:pStyle w:val="29"/>
                    <w:spacing w:before="0" w:after="0"/>
                    <w:ind w:firstLine="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项目冷却水循环使用不外排；</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生活污水依托云南联帆建材科技有限公司现有化粪池处理达《城市污水再生利用 城市杂用水水质》（GB/T 18920-2020）表1中城市绿化、道路清扫标准回用于厂区绿化。</w:t>
                  </w:r>
                </w:p>
              </w:tc>
              <w:tc>
                <w:tcPr>
                  <w:tcW w:w="658" w:type="pct"/>
                  <w:shd w:val="clear" w:color="auto" w:fill="auto"/>
                  <w:noWrap w:val="0"/>
                  <w:vAlign w:val="center"/>
                </w:tcPr>
                <w:p w14:paraId="112FE995">
                  <w:pPr>
                    <w:pStyle w:val="29"/>
                    <w:spacing w:before="0" w:after="0"/>
                    <w:ind w:firstLine="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不设</w:t>
                  </w:r>
                </w:p>
              </w:tc>
            </w:tr>
            <w:tr w14:paraId="312A4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pct"/>
                  <w:shd w:val="clear" w:color="auto" w:fill="auto"/>
                  <w:noWrap w:val="0"/>
                  <w:vAlign w:val="center"/>
                </w:tcPr>
                <w:p w14:paraId="6068F64B">
                  <w:pPr>
                    <w:pStyle w:val="29"/>
                    <w:spacing w:before="0" w:after="0"/>
                    <w:ind w:left="0" w:lef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环境风险</w:t>
                  </w:r>
                </w:p>
              </w:tc>
              <w:tc>
                <w:tcPr>
                  <w:tcW w:w="1778" w:type="pct"/>
                  <w:shd w:val="clear" w:color="auto" w:fill="auto"/>
                  <w:noWrap w:val="0"/>
                  <w:vAlign w:val="center"/>
                </w:tcPr>
                <w:p w14:paraId="7AE532C4">
                  <w:pPr>
                    <w:pStyle w:val="29"/>
                    <w:spacing w:before="0" w:after="0"/>
                    <w:ind w:firstLine="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有毒有害和易燃易爆危险物质存储量超过临界量的建设项目</w:t>
                  </w:r>
                </w:p>
              </w:tc>
              <w:tc>
                <w:tcPr>
                  <w:tcW w:w="2032" w:type="pct"/>
                  <w:shd w:val="clear" w:color="auto" w:fill="auto"/>
                  <w:noWrap w:val="0"/>
                  <w:vAlign w:val="center"/>
                </w:tcPr>
                <w:p w14:paraId="30F92235">
                  <w:pPr>
                    <w:pStyle w:val="29"/>
                    <w:spacing w:before="0" w:after="0"/>
                    <w:ind w:firstLine="0"/>
                    <w:jc w:val="left"/>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项目风险物质主要为</w:t>
                  </w:r>
                  <w:r>
                    <w:rPr>
                      <w:rFonts w:hint="eastAsia" w:cs="Times New Roman"/>
                      <w:color w:val="000000" w:themeColor="text1"/>
                      <w:kern w:val="0"/>
                      <w:sz w:val="21"/>
                      <w:szCs w:val="21"/>
                      <w:highlight w:val="none"/>
                      <w:lang w:val="en-US" w:eastAsia="zh-CN"/>
                      <w14:textFill>
                        <w14:solidFill>
                          <w14:schemeClr w14:val="tx1"/>
                        </w14:solidFill>
                      </w14:textFill>
                    </w:rPr>
                    <w:t>废润滑油、废液压油等，</w:t>
                  </w:r>
                  <w:r>
                    <w:rPr>
                      <w:rFonts w:hint="default" w:ascii="Times New Roman" w:hAnsi="Times New Roman" w:cs="Times New Roman"/>
                      <w:color w:val="000000" w:themeColor="text1"/>
                      <w:kern w:val="0"/>
                      <w:sz w:val="21"/>
                      <w:szCs w:val="21"/>
                      <w:highlight w:val="none"/>
                      <w14:textFill>
                        <w14:solidFill>
                          <w14:schemeClr w14:val="tx1"/>
                        </w14:solidFill>
                      </w14:textFill>
                    </w:rPr>
                    <w:t>均小于</w:t>
                  </w:r>
                  <w:r>
                    <w:rPr>
                      <w:rFonts w:hint="eastAsia" w:cs="Times New Roman"/>
                      <w:color w:val="000000" w:themeColor="text1"/>
                      <w:kern w:val="0"/>
                      <w:sz w:val="21"/>
                      <w:szCs w:val="21"/>
                      <w:highlight w:val="none"/>
                      <w:lang w:val="en-US" w:eastAsia="zh-CN"/>
                      <w14:textFill>
                        <w14:solidFill>
                          <w14:schemeClr w14:val="tx1"/>
                        </w14:solidFill>
                      </w14:textFill>
                    </w:rPr>
                    <w:t>各物质</w:t>
                  </w:r>
                  <w:r>
                    <w:rPr>
                      <w:rFonts w:hint="default" w:ascii="Times New Roman" w:hAnsi="Times New Roman" w:cs="Times New Roman"/>
                      <w:color w:val="000000" w:themeColor="text1"/>
                      <w:kern w:val="0"/>
                      <w:sz w:val="21"/>
                      <w:szCs w:val="21"/>
                      <w:highlight w:val="none"/>
                      <w14:textFill>
                        <w14:solidFill>
                          <w14:schemeClr w14:val="tx1"/>
                        </w14:solidFill>
                      </w14:textFill>
                    </w:rPr>
                    <w:t>临界量</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w:t>
                  </w:r>
                </w:p>
              </w:tc>
              <w:tc>
                <w:tcPr>
                  <w:tcW w:w="658" w:type="pct"/>
                  <w:shd w:val="clear" w:color="auto" w:fill="auto"/>
                  <w:noWrap w:val="0"/>
                  <w:vAlign w:val="center"/>
                </w:tcPr>
                <w:p w14:paraId="42D6CCBF">
                  <w:pPr>
                    <w:pStyle w:val="29"/>
                    <w:spacing w:before="0" w:after="0"/>
                    <w:ind w:firstLine="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不设</w:t>
                  </w:r>
                </w:p>
              </w:tc>
            </w:tr>
            <w:tr w14:paraId="72A15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pct"/>
                  <w:shd w:val="clear" w:color="auto" w:fill="auto"/>
                  <w:noWrap w:val="0"/>
                  <w:vAlign w:val="center"/>
                </w:tcPr>
                <w:p w14:paraId="20880B3C">
                  <w:pPr>
                    <w:pStyle w:val="29"/>
                    <w:spacing w:before="0" w:after="0"/>
                    <w:ind w:firstLine="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生态</w:t>
                  </w:r>
                </w:p>
              </w:tc>
              <w:tc>
                <w:tcPr>
                  <w:tcW w:w="1778" w:type="pct"/>
                  <w:shd w:val="clear" w:color="auto" w:fill="auto"/>
                  <w:noWrap w:val="0"/>
                  <w:vAlign w:val="center"/>
                </w:tcPr>
                <w:p w14:paraId="6A7CD907">
                  <w:pPr>
                    <w:pStyle w:val="29"/>
                    <w:spacing w:before="0" w:after="0"/>
                    <w:ind w:firstLine="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取水口下游500米范围内有重要水生生物的自然产卵场、索饵场、越冬场和洄游通道的新增河道取水的污染类建设项目</w:t>
                  </w:r>
                </w:p>
              </w:tc>
              <w:tc>
                <w:tcPr>
                  <w:tcW w:w="2032" w:type="pct"/>
                  <w:shd w:val="clear" w:color="auto" w:fill="auto"/>
                  <w:noWrap w:val="0"/>
                  <w:vAlign w:val="center"/>
                </w:tcPr>
                <w:p w14:paraId="77686BE0">
                  <w:pPr>
                    <w:pStyle w:val="29"/>
                    <w:spacing w:before="0" w:after="0"/>
                    <w:ind w:left="0" w:leftChars="0"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项目用水采用市政供水，不涉及河道取水。</w:t>
                  </w:r>
                </w:p>
              </w:tc>
              <w:tc>
                <w:tcPr>
                  <w:tcW w:w="658" w:type="pct"/>
                  <w:shd w:val="clear" w:color="auto" w:fill="auto"/>
                  <w:noWrap w:val="0"/>
                  <w:vAlign w:val="center"/>
                </w:tcPr>
                <w:p w14:paraId="2AEA792C">
                  <w:pPr>
                    <w:pStyle w:val="29"/>
                    <w:spacing w:before="0" w:after="0"/>
                    <w:ind w:firstLine="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不设</w:t>
                  </w:r>
                </w:p>
              </w:tc>
            </w:tr>
            <w:tr w14:paraId="6031D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pct"/>
                  <w:shd w:val="clear" w:color="auto" w:fill="auto"/>
                  <w:noWrap w:val="0"/>
                  <w:vAlign w:val="center"/>
                </w:tcPr>
                <w:p w14:paraId="702EDB84">
                  <w:pPr>
                    <w:pStyle w:val="29"/>
                    <w:spacing w:before="0" w:after="0"/>
                    <w:ind w:firstLine="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海洋</w:t>
                  </w:r>
                </w:p>
              </w:tc>
              <w:tc>
                <w:tcPr>
                  <w:tcW w:w="1778" w:type="pct"/>
                  <w:shd w:val="clear" w:color="auto" w:fill="auto"/>
                  <w:noWrap w:val="0"/>
                  <w:vAlign w:val="center"/>
                </w:tcPr>
                <w:p w14:paraId="691DDD4B">
                  <w:pPr>
                    <w:pStyle w:val="29"/>
                    <w:spacing w:before="0" w:after="0"/>
                    <w:ind w:firstLine="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直接向海排放污染物的海洋工程建设项目</w:t>
                  </w:r>
                </w:p>
              </w:tc>
              <w:tc>
                <w:tcPr>
                  <w:tcW w:w="2032" w:type="pct"/>
                  <w:shd w:val="clear" w:color="auto" w:fill="auto"/>
                  <w:noWrap w:val="0"/>
                  <w:vAlign w:val="center"/>
                </w:tcPr>
                <w:p w14:paraId="16BCD8AE">
                  <w:pPr>
                    <w:pStyle w:val="29"/>
                    <w:spacing w:before="0" w:after="0"/>
                    <w:ind w:firstLine="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项目不</w:t>
                  </w:r>
                  <w:r>
                    <w:rPr>
                      <w:rFonts w:hint="default" w:ascii="Times New Roman" w:hAnsi="Times New Roman" w:cs="Times New Roman"/>
                      <w:color w:val="000000" w:themeColor="text1"/>
                      <w:sz w:val="21"/>
                      <w:szCs w:val="21"/>
                      <w:lang w:val="en-US" w:eastAsia="zh-CN"/>
                      <w14:textFill>
                        <w14:solidFill>
                          <w14:schemeClr w14:val="tx1"/>
                        </w14:solidFill>
                      </w14:textFill>
                    </w:rPr>
                    <w:t>属于海洋工程建设项目</w:t>
                  </w:r>
                  <w:r>
                    <w:rPr>
                      <w:rFonts w:hint="eastAsia" w:cs="Times New Roman"/>
                      <w:color w:val="000000" w:themeColor="text1"/>
                      <w:sz w:val="21"/>
                      <w:szCs w:val="21"/>
                      <w:lang w:val="en-US" w:eastAsia="zh-CN"/>
                      <w14:textFill>
                        <w14:solidFill>
                          <w14:schemeClr w14:val="tx1"/>
                        </w14:solidFill>
                      </w14:textFill>
                    </w:rPr>
                    <w:t>。</w:t>
                  </w:r>
                </w:p>
              </w:tc>
              <w:tc>
                <w:tcPr>
                  <w:tcW w:w="658" w:type="pct"/>
                  <w:shd w:val="clear" w:color="auto" w:fill="auto"/>
                  <w:noWrap w:val="0"/>
                  <w:vAlign w:val="center"/>
                </w:tcPr>
                <w:p w14:paraId="01896980">
                  <w:pPr>
                    <w:pStyle w:val="29"/>
                    <w:spacing w:before="0" w:after="0"/>
                    <w:ind w:firstLine="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不设</w:t>
                  </w:r>
                </w:p>
              </w:tc>
            </w:tr>
          </w:tbl>
          <w:p w14:paraId="3A843C34">
            <w:pPr>
              <w:pStyle w:val="29"/>
              <w:spacing w:before="0" w:after="0"/>
              <w:ind w:left="0" w:leftChars="0" w:firstLine="0" w:firstLineChars="0"/>
              <w:jc w:val="left"/>
              <w:rPr>
                <w:rFonts w:hint="default" w:ascii="Times New Roman" w:hAnsi="Times New Roman" w:cs="Times New Roman"/>
                <w:iCs/>
                <w:color w:val="000000" w:themeColor="text1"/>
                <w:sz w:val="18"/>
                <w:szCs w:val="18"/>
                <w14:textFill>
                  <w14:solidFill>
                    <w14:schemeClr w14:val="tx1"/>
                  </w14:solidFill>
                </w14:textFill>
              </w:rPr>
            </w:pPr>
            <w:r>
              <w:rPr>
                <w:rFonts w:hint="default" w:ascii="Times New Roman" w:hAnsi="Times New Roman" w:cs="Times New Roman"/>
                <w:iCs/>
                <w:color w:val="000000" w:themeColor="text1"/>
                <w:sz w:val="18"/>
                <w:szCs w:val="18"/>
                <w14:textFill>
                  <w14:solidFill>
                    <w14:schemeClr w14:val="tx1"/>
                  </w14:solidFill>
                </w14:textFill>
              </w:rPr>
              <w:t>注：1.废气中有毒有害污染物指纳入《有毒有害大气污染物名录》的污染物（不包括</w:t>
            </w:r>
            <w:r>
              <w:rPr>
                <w:rFonts w:hint="default" w:ascii="Times New Roman" w:hAnsi="Times New Roman" w:cs="Times New Roman"/>
                <w:iCs/>
                <w:color w:val="000000" w:themeColor="text1"/>
                <w:sz w:val="18"/>
                <w:szCs w:val="18"/>
                <w:lang w:val="en-US" w:eastAsia="zh-CN"/>
                <w14:textFill>
                  <w14:solidFill>
                    <w14:schemeClr w14:val="tx1"/>
                  </w14:solidFill>
                </w14:textFill>
              </w:rPr>
              <w:t>无</w:t>
            </w:r>
            <w:r>
              <w:rPr>
                <w:rFonts w:hint="default" w:ascii="Times New Roman" w:hAnsi="Times New Roman" w:cs="Times New Roman"/>
                <w:iCs/>
                <w:color w:val="000000" w:themeColor="text1"/>
                <w:sz w:val="18"/>
                <w:szCs w:val="18"/>
                <w14:textFill>
                  <w14:solidFill>
                    <w14:schemeClr w14:val="tx1"/>
                  </w14:solidFill>
                </w14:textFill>
              </w:rPr>
              <w:t>排放标准的污染物）。</w:t>
            </w:r>
          </w:p>
          <w:p w14:paraId="76636108">
            <w:pPr>
              <w:pStyle w:val="29"/>
              <w:spacing w:before="0" w:after="0"/>
              <w:ind w:left="0" w:leftChars="0" w:firstLine="0" w:firstLineChars="0"/>
              <w:jc w:val="left"/>
              <w:rPr>
                <w:rFonts w:hint="default" w:ascii="Times New Roman" w:hAnsi="Times New Roman" w:cs="Times New Roman"/>
                <w:iCs/>
                <w:color w:val="000000" w:themeColor="text1"/>
                <w:sz w:val="18"/>
                <w:szCs w:val="18"/>
                <w14:textFill>
                  <w14:solidFill>
                    <w14:schemeClr w14:val="tx1"/>
                  </w14:solidFill>
                </w14:textFill>
              </w:rPr>
            </w:pPr>
            <w:r>
              <w:rPr>
                <w:rFonts w:hint="default" w:ascii="Times New Roman" w:hAnsi="Times New Roman" w:cs="Times New Roman"/>
                <w:iCs/>
                <w:color w:val="000000" w:themeColor="text1"/>
                <w:sz w:val="18"/>
                <w:szCs w:val="18"/>
                <w14:textFill>
                  <w14:solidFill>
                    <w14:schemeClr w14:val="tx1"/>
                  </w14:solidFill>
                </w14:textFill>
              </w:rPr>
              <w:t>2.环境空气保护目标指自然保护区、风景名胜区、居住区、文化区和农村地区中人群较集中的区域。</w:t>
            </w:r>
          </w:p>
          <w:p w14:paraId="4E42A7A0">
            <w:pPr>
              <w:autoSpaceDE w:val="0"/>
              <w:autoSpaceDN w:val="0"/>
              <w:adjustRightInd w:val="0"/>
              <w:snapToGrid w:val="0"/>
              <w:jc w:val="left"/>
              <w:rPr>
                <w:rFonts w:hint="default" w:ascii="Times New Roman" w:hAnsi="Times New Roman" w:cs="Times New Roman"/>
                <w:iCs/>
                <w:color w:val="000000" w:themeColor="text1"/>
                <w:sz w:val="18"/>
                <w:szCs w:val="18"/>
                <w14:textFill>
                  <w14:solidFill>
                    <w14:schemeClr w14:val="tx1"/>
                  </w14:solidFill>
                </w14:textFill>
              </w:rPr>
            </w:pPr>
            <w:r>
              <w:rPr>
                <w:rFonts w:hint="default" w:ascii="Times New Roman" w:hAnsi="Times New Roman" w:cs="Times New Roman"/>
                <w:iCs/>
                <w:color w:val="000000" w:themeColor="text1"/>
                <w:sz w:val="18"/>
                <w:szCs w:val="18"/>
                <w14:textFill>
                  <w14:solidFill>
                    <w14:schemeClr w14:val="tx1"/>
                  </w14:solidFill>
                </w14:textFill>
              </w:rPr>
              <w:t>3.临界量及其计算方法可参考《建设项目环境风险评价技术导则》（HJ 169）附录B、附录C。</w:t>
            </w:r>
          </w:p>
          <w:p w14:paraId="5918A62F">
            <w:pPr>
              <w:keepNext w:val="0"/>
              <w:keepLines w:val="0"/>
              <w:pageBreakBefore w:val="0"/>
              <w:widowControl w:val="0"/>
              <w:kinsoku/>
              <w:wordWrap/>
              <w:overflowPunct/>
              <w:topLinePunct w:val="0"/>
              <w:autoSpaceDE w:val="0"/>
              <w:autoSpaceDN w:val="0"/>
              <w:bidi w:val="0"/>
              <w:adjustRightInd w:val="0"/>
              <w:snapToGrid w:val="0"/>
              <w:ind w:firstLine="482" w:firstLineChars="200"/>
              <w:jc w:val="left"/>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eastAsia" w:cs="Times New Roman"/>
                <w:b/>
                <w:bCs/>
                <w:color w:val="000000" w:themeColor="text1"/>
                <w:sz w:val="24"/>
                <w:lang w:val="en-US" w:eastAsia="zh-CN"/>
                <w14:textFill>
                  <w14:solidFill>
                    <w14:schemeClr w14:val="tx1"/>
                  </w14:solidFill>
                </w14:textFill>
              </w:rPr>
              <w:t>对照上表，</w:t>
            </w:r>
            <w:r>
              <w:rPr>
                <w:rFonts w:hint="default" w:ascii="Times New Roman" w:hAnsi="Times New Roman" w:cs="Times New Roman"/>
                <w:b/>
                <w:bCs/>
                <w:color w:val="000000" w:themeColor="text1"/>
                <w:sz w:val="24"/>
                <w:lang w:val="en-US" w:eastAsia="zh-CN"/>
                <w14:textFill>
                  <w14:solidFill>
                    <w14:schemeClr w14:val="tx1"/>
                  </w14:solidFill>
                </w14:textFill>
              </w:rPr>
              <w:t>该项目</w:t>
            </w:r>
            <w:r>
              <w:rPr>
                <w:rFonts w:hint="eastAsia" w:cs="Times New Roman"/>
                <w:b/>
                <w:bCs/>
                <w:color w:val="000000" w:themeColor="text1"/>
                <w:sz w:val="24"/>
                <w:lang w:val="en-US" w:eastAsia="zh-CN"/>
                <w14:textFill>
                  <w14:solidFill>
                    <w14:schemeClr w14:val="tx1"/>
                  </w14:solidFill>
                </w14:textFill>
              </w:rPr>
              <w:t>设大气环保专章</w:t>
            </w:r>
            <w:r>
              <w:rPr>
                <w:rFonts w:hint="default" w:ascii="Times New Roman" w:hAnsi="Times New Roman" w:cs="Times New Roman"/>
                <w:b/>
                <w:bCs/>
                <w:color w:val="000000" w:themeColor="text1"/>
                <w:sz w:val="24"/>
                <w:lang w:val="en-US" w:eastAsia="zh-CN"/>
                <w14:textFill>
                  <w14:solidFill>
                    <w14:schemeClr w14:val="tx1"/>
                  </w14:solidFill>
                </w14:textFill>
              </w:rPr>
              <w:t>。</w:t>
            </w:r>
          </w:p>
        </w:tc>
      </w:tr>
      <w:tr w14:paraId="5AA4FD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56" w:type="dxa"/>
            <w:vAlign w:val="center"/>
          </w:tcPr>
          <w:p w14:paraId="4D875996">
            <w:pPr>
              <w:autoSpaceDE w:val="0"/>
              <w:autoSpaceDN w:val="0"/>
              <w:adjustRightInd w:val="0"/>
              <w:snapToGrid w:val="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规划情况</w:t>
            </w:r>
          </w:p>
        </w:tc>
        <w:tc>
          <w:tcPr>
            <w:tcW w:w="7414" w:type="dxa"/>
            <w:gridSpan w:val="3"/>
            <w:vAlign w:val="center"/>
          </w:tcPr>
          <w:p w14:paraId="78F4A4F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color w:val="000000" w:themeColor="text1"/>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规划文件：</w:t>
            </w:r>
            <w:r>
              <w:rPr>
                <w:rFonts w:hint="eastAsia" w:ascii="宋体" w:hAnsi="宋体" w:eastAsia="宋体" w:cs="宋体"/>
                <w:color w:val="000000" w:themeColor="text1"/>
                <w:kern w:val="0"/>
                <w:sz w:val="24"/>
                <w:szCs w:val="24"/>
                <w:lang w:val="en-US" w:eastAsia="zh-CN" w:bidi="ar"/>
                <w14:textFill>
                  <w14:solidFill>
                    <w14:schemeClr w14:val="tx1"/>
                  </w14:solidFill>
                </w14:textFill>
              </w:rPr>
              <w:t>《云南易门产业园区总体规划（修编）（</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2021-2035</w:t>
            </w:r>
            <w:r>
              <w:rPr>
                <w:rFonts w:hint="eastAsia" w:ascii="宋体" w:hAnsi="宋体" w:eastAsia="宋体" w:cs="宋体"/>
                <w:color w:val="000000" w:themeColor="text1"/>
                <w:kern w:val="0"/>
                <w:sz w:val="24"/>
                <w:szCs w:val="24"/>
                <w:lang w:val="en-US" w:eastAsia="zh-CN" w:bidi="ar"/>
                <w14:textFill>
                  <w14:solidFill>
                    <w14:schemeClr w14:val="tx1"/>
                  </w14:solidFill>
                </w14:textFill>
              </w:rPr>
              <w:t>年）》；</w:t>
            </w:r>
          </w:p>
          <w:p w14:paraId="2A92386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审查机关：</w:t>
            </w:r>
            <w:r>
              <w:rPr>
                <w:rFonts w:hint="eastAsia" w:ascii="宋体" w:hAnsi="宋体" w:eastAsia="宋体" w:cs="宋体"/>
                <w:color w:val="000000" w:themeColor="text1"/>
                <w:kern w:val="0"/>
                <w:sz w:val="24"/>
                <w:szCs w:val="24"/>
                <w:lang w:val="en-US" w:eastAsia="zh-CN" w:bidi="ar"/>
                <w14:textFill>
                  <w14:solidFill>
                    <w14:schemeClr w14:val="tx1"/>
                  </w14:solidFill>
                </w14:textFill>
              </w:rPr>
              <w:t>玉溪市人民政府；</w:t>
            </w:r>
          </w:p>
          <w:p w14:paraId="0631A15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eastAsia" w:cs="Times New Roman"/>
                <w:b/>
                <w:bCs/>
                <w:color w:val="000000" w:themeColor="text1"/>
                <w:kern w:val="0"/>
                <w:sz w:val="24"/>
                <w:lang w:val="en-US" w:eastAsia="zh-CN"/>
                <w14:textFill>
                  <w14:solidFill>
                    <w14:schemeClr w14:val="tx1"/>
                  </w14:solidFill>
                </w14:textFill>
              </w:rPr>
              <w:t>审查文件名称及文号：</w:t>
            </w:r>
            <w:r>
              <w:rPr>
                <w:rFonts w:hint="eastAsia" w:cs="Times New Roman"/>
                <w:b w:val="0"/>
                <w:bCs w:val="0"/>
                <w:color w:val="000000" w:themeColor="text1"/>
                <w:kern w:val="0"/>
                <w:sz w:val="24"/>
                <w:lang w:val="en-US" w:eastAsia="zh-CN"/>
                <w14:textFill>
                  <w14:solidFill>
                    <w14:schemeClr w14:val="tx1"/>
                  </w14:solidFill>
                </w14:textFill>
              </w:rPr>
              <w:t>“玉溪市人民政府关于云南易门产业园区总体规划修编（2021-2035年）的批复”（玉政复〔2023〕9号）。</w:t>
            </w:r>
          </w:p>
        </w:tc>
      </w:tr>
      <w:tr w14:paraId="40CB32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31" w:hRule="atLeast"/>
          <w:jc w:val="center"/>
        </w:trPr>
        <w:tc>
          <w:tcPr>
            <w:tcW w:w="1456" w:type="dxa"/>
            <w:vAlign w:val="center"/>
          </w:tcPr>
          <w:p w14:paraId="0E1CB5A9">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规划环境影响</w:t>
            </w:r>
          </w:p>
          <w:p w14:paraId="10BA2DB0">
            <w:pPr>
              <w:adjustRightInd w:val="0"/>
              <w:snapToGrid w:val="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评价情况</w:t>
            </w:r>
          </w:p>
        </w:tc>
        <w:tc>
          <w:tcPr>
            <w:tcW w:w="7414" w:type="dxa"/>
            <w:gridSpan w:val="3"/>
            <w:vAlign w:val="center"/>
          </w:tcPr>
          <w:p w14:paraId="225B2C8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000000" w:themeColor="text1"/>
                <w:sz w:val="24"/>
                <w:szCs w:val="24"/>
                <w:highlight w:val="none"/>
                <w:shd w:val="clear" w:color="auto" w:fill="FFFFFF"/>
                <w14:textFill>
                  <w14:solidFill>
                    <w14:schemeClr w14:val="tx1"/>
                  </w14:solidFill>
                </w14:textFill>
              </w:rPr>
            </w:pP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规划名称：</w:t>
            </w:r>
            <w:r>
              <w:rPr>
                <w:rFonts w:hint="eastAsia" w:ascii="宋体" w:hAnsi="宋体" w:eastAsia="宋体" w:cs="宋体"/>
                <w:color w:val="000000" w:themeColor="text1"/>
                <w:kern w:val="0"/>
                <w:sz w:val="24"/>
                <w:szCs w:val="24"/>
                <w:lang w:val="en-US" w:eastAsia="zh-CN" w:bidi="ar"/>
                <w14:textFill>
                  <w14:solidFill>
                    <w14:schemeClr w14:val="tx1"/>
                  </w14:solidFill>
                </w14:textFill>
              </w:rPr>
              <w:t>《云南易门产业园区总体规划（修编）（</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2021-2035</w:t>
            </w:r>
            <w:r>
              <w:rPr>
                <w:rFonts w:hint="eastAsia" w:ascii="宋体" w:hAnsi="宋体" w:eastAsia="宋体" w:cs="宋体"/>
                <w:color w:val="000000" w:themeColor="text1"/>
                <w:kern w:val="0"/>
                <w:sz w:val="24"/>
                <w:szCs w:val="24"/>
                <w:lang w:val="en-US" w:eastAsia="zh-CN" w:bidi="ar"/>
                <w14:textFill>
                  <w14:solidFill>
                    <w14:schemeClr w14:val="tx1"/>
                  </w14:solidFill>
                </w14:textFill>
              </w:rPr>
              <w:t>年）环境影响报告书》</w:t>
            </w:r>
            <w:r>
              <w:rPr>
                <w:rFonts w:hint="eastAsia" w:ascii="宋体" w:hAnsi="宋体" w:cs="宋体"/>
                <w:color w:val="000000" w:themeColor="text1"/>
                <w:kern w:val="0"/>
                <w:sz w:val="24"/>
                <w:szCs w:val="24"/>
                <w:lang w:val="en-US" w:eastAsia="zh-CN" w:bidi="ar"/>
                <w14:textFill>
                  <w14:solidFill>
                    <w14:schemeClr w14:val="tx1"/>
                  </w14:solidFill>
                </w14:textFill>
              </w:rPr>
              <w:t>；</w:t>
            </w:r>
          </w:p>
          <w:p w14:paraId="4BFF8FAF">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Times New Roman" w:hAnsi="Times New Roman" w:eastAsia="宋体" w:cs="Times New Roman"/>
                <w:color w:val="000000" w:themeColor="text1"/>
                <w:sz w:val="24"/>
                <w:szCs w:val="24"/>
                <w:highlight w:val="none"/>
                <w:shd w:val="clear" w:color="auto" w:fill="FFFFFF"/>
                <w:lang w:eastAsia="zh-CN"/>
                <w14:textFill>
                  <w14:solidFill>
                    <w14:schemeClr w14:val="tx1"/>
                  </w14:solidFill>
                </w14:textFill>
              </w:rPr>
            </w:pPr>
            <w:r>
              <w:rPr>
                <w:rFonts w:ascii="Times New Roman" w:hAnsi="Times New Roman" w:eastAsia="宋体" w:cs="Times New Roman"/>
                <w:b/>
                <w:bCs w:val="0"/>
                <w:color w:val="000000" w:themeColor="text1"/>
                <w:sz w:val="24"/>
                <w:szCs w:val="24"/>
                <w:highlight w:val="none"/>
                <w14:textFill>
                  <w14:solidFill>
                    <w14:schemeClr w14:val="tx1"/>
                  </w14:solidFill>
                </w14:textFill>
              </w:rPr>
              <w:t>审批机关：</w:t>
            </w:r>
            <w:r>
              <w:rPr>
                <w:rFonts w:hint="eastAsia" w:ascii="Times New Roman" w:hAnsi="Times New Roman" w:eastAsia="宋体" w:cs="Times New Roman"/>
                <w:color w:val="000000" w:themeColor="text1"/>
                <w:sz w:val="24"/>
                <w:szCs w:val="24"/>
                <w:highlight w:val="none"/>
                <w:shd w:val="clear" w:color="auto" w:fill="FFFFFF"/>
                <w:lang w:val="en-US" w:eastAsia="zh-CN"/>
                <w14:textFill>
                  <w14:solidFill>
                    <w14:schemeClr w14:val="tx1"/>
                  </w14:solidFill>
                </w14:textFill>
              </w:rPr>
              <w:t>玉溪市生态环境局</w:t>
            </w:r>
            <w:r>
              <w:rPr>
                <w:rFonts w:hint="eastAsia" w:ascii="Times New Roman" w:hAnsi="Times New Roman" w:eastAsia="宋体" w:cs="Times New Roman"/>
                <w:color w:val="000000" w:themeColor="text1"/>
                <w:sz w:val="24"/>
                <w:szCs w:val="24"/>
                <w:highlight w:val="none"/>
                <w:shd w:val="clear" w:color="auto" w:fill="FFFFFF"/>
                <w:lang w:eastAsia="zh-CN"/>
                <w14:textFill>
                  <w14:solidFill>
                    <w14:schemeClr w14:val="tx1"/>
                  </w14:solidFill>
                </w14:textFill>
              </w:rPr>
              <w:t>；</w:t>
            </w:r>
          </w:p>
          <w:p w14:paraId="74E9776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both"/>
              <w:textAlignment w:val="auto"/>
              <w:rPr>
                <w:rFonts w:hint="default" w:ascii="Times New Roman" w:hAnsi="Times New Roman" w:cs="Times New Roman"/>
                <w:color w:val="000000" w:themeColor="text1"/>
                <w:kern w:val="0"/>
                <w:sz w:val="24"/>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eastAsia="zh-CN"/>
                <w14:textFill>
                  <w14:solidFill>
                    <w14:schemeClr w14:val="tx1"/>
                  </w14:solidFill>
                </w14:textFill>
              </w:rPr>
              <w:t>审批文件名称及文号：</w:t>
            </w:r>
            <w:r>
              <w:rPr>
                <w:rFonts w:hint="eastAsia" w:ascii="宋体" w:hAnsi="宋体" w:cs="宋体"/>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关于云南易门产业园区总体规划（修编）（</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2021-2035</w:t>
            </w:r>
            <w:r>
              <w:rPr>
                <w:rFonts w:hint="eastAsia" w:ascii="宋体" w:hAnsi="宋体" w:eastAsia="宋体" w:cs="宋体"/>
                <w:color w:val="000000" w:themeColor="text1"/>
                <w:kern w:val="0"/>
                <w:sz w:val="24"/>
                <w:szCs w:val="24"/>
                <w:lang w:val="en-US" w:eastAsia="zh-CN" w:bidi="ar"/>
                <w14:textFill>
                  <w14:solidFill>
                    <w14:schemeClr w14:val="tx1"/>
                  </w14:solidFill>
                </w14:textFill>
              </w:rPr>
              <w:t>）环境影响报告书审查意见的函</w:t>
            </w:r>
            <w:r>
              <w:rPr>
                <w:rFonts w:hint="eastAsia" w:ascii="宋体" w:hAnsi="宋体" w:cs="宋体"/>
                <w:color w:val="000000" w:themeColor="text1"/>
                <w:kern w:val="0"/>
                <w:sz w:val="24"/>
                <w:szCs w:val="24"/>
                <w:lang w:val="en-US" w:eastAsia="zh-CN" w:bidi="ar"/>
                <w14:textFill>
                  <w14:solidFill>
                    <w14:schemeClr w14:val="tx1"/>
                  </w14:solidFill>
                </w14:textFill>
              </w:rPr>
              <w:t>”</w:t>
            </w:r>
            <w:r>
              <w:rPr>
                <w:rFonts w:hint="eastAsia" w:cs="Times New Roman"/>
                <w:b w:val="0"/>
                <w:bCs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t>玉市环函〔</w:t>
            </w:r>
            <w:r>
              <w:rPr>
                <w:rFonts w:hint="default" w:ascii="Times New Roman" w:hAnsi="Times New Roman" w:eastAsia="宋体" w:cs="Times New Roman"/>
                <w:b w:val="0"/>
                <w:bCs w:val="0"/>
                <w:color w:val="000000" w:themeColor="text1"/>
                <w:kern w:val="0"/>
                <w:sz w:val="24"/>
                <w:szCs w:val="24"/>
                <w:lang w:val="en-US" w:eastAsia="zh-CN" w:bidi="ar"/>
                <w14:textFill>
                  <w14:solidFill>
                    <w14:schemeClr w14:val="tx1"/>
                  </w14:solidFill>
                </w14:textFill>
              </w:rPr>
              <w:t>2022</w:t>
            </w:r>
            <w:r>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b w:val="0"/>
                <w:bCs w:val="0"/>
                <w:color w:val="000000" w:themeColor="text1"/>
                <w:kern w:val="0"/>
                <w:sz w:val="24"/>
                <w:szCs w:val="24"/>
                <w:lang w:val="en-US" w:eastAsia="zh-CN" w:bidi="ar"/>
                <w14:textFill>
                  <w14:solidFill>
                    <w14:schemeClr w14:val="tx1"/>
                  </w14:solidFill>
                </w14:textFill>
              </w:rPr>
              <w:t>32</w:t>
            </w:r>
            <w:r>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t>号</w:t>
            </w:r>
            <w:r>
              <w:rPr>
                <w:rFonts w:hint="eastAsia" w:cs="Times New Roman"/>
                <w:b w:val="0"/>
                <w:bCs w:val="0"/>
                <w:color w:val="000000" w:themeColor="text1"/>
                <w:kern w:val="0"/>
                <w:sz w:val="24"/>
                <w:szCs w:val="24"/>
                <w:highlight w:val="none"/>
                <w:lang w:eastAsia="zh-CN"/>
                <w14:textFill>
                  <w14:solidFill>
                    <w14:schemeClr w14:val="tx1"/>
                  </w14:solidFill>
                </w14:textFill>
              </w:rPr>
              <w:t>）</w:t>
            </w:r>
            <w:r>
              <w:rPr>
                <w:rFonts w:hint="eastAsia" w:ascii="Times New Roman" w:hAnsi="Times New Roman" w:eastAsia="宋体" w:cs="Times New Roman"/>
                <w:b w:val="0"/>
                <w:bCs w:val="0"/>
                <w:color w:val="000000" w:themeColor="text1"/>
                <w:sz w:val="24"/>
                <w:szCs w:val="24"/>
                <w:highlight w:val="none"/>
                <w:shd w:val="clear" w:color="auto" w:fill="FFFFFF"/>
                <w:lang w:eastAsia="zh-CN"/>
                <w14:textFill>
                  <w14:solidFill>
                    <w14:schemeClr w14:val="tx1"/>
                  </w14:solidFill>
                </w14:textFill>
              </w:rPr>
              <w:t>。</w:t>
            </w:r>
          </w:p>
        </w:tc>
      </w:tr>
      <w:tr w14:paraId="363FAD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56" w:hRule="atLeast"/>
          <w:jc w:val="center"/>
        </w:trPr>
        <w:tc>
          <w:tcPr>
            <w:tcW w:w="1456" w:type="dxa"/>
            <w:vAlign w:val="center"/>
          </w:tcPr>
          <w:p w14:paraId="0A5E9A40">
            <w:pPr>
              <w:autoSpaceDE w:val="0"/>
              <w:autoSpaceDN w:val="0"/>
              <w:adjustRightInd w:val="0"/>
              <w:snapToGrid w:val="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规划及规划环境影响评价符合性分析</w:t>
            </w:r>
          </w:p>
        </w:tc>
        <w:tc>
          <w:tcPr>
            <w:tcW w:w="7414" w:type="dxa"/>
            <w:gridSpan w:val="3"/>
            <w:vAlign w:val="center"/>
          </w:tcPr>
          <w:p w14:paraId="1CAA7632">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b/>
                <w:bCs w:val="0"/>
                <w:color w:val="000000" w:themeColor="text1"/>
                <w:sz w:val="24"/>
                <w:szCs w:val="24"/>
                <w:highlight w:val="none"/>
                <w:lang w:val="en-US" w:eastAsia="zh-CN"/>
                <w14:textFill>
                  <w14:solidFill>
                    <w14:schemeClr w14:val="tx1"/>
                  </w14:solidFill>
                </w14:textFill>
              </w:rPr>
            </w:pPr>
            <w:r>
              <w:rPr>
                <w:rFonts w:hint="eastAsia"/>
                <w:b/>
                <w:bCs w:val="0"/>
                <w:color w:val="000000" w:themeColor="text1"/>
                <w:sz w:val="24"/>
                <w:szCs w:val="24"/>
                <w:highlight w:val="none"/>
                <w:lang w:val="en-US" w:eastAsia="zh-CN"/>
                <w14:textFill>
                  <w14:solidFill>
                    <w14:schemeClr w14:val="tx1"/>
                  </w14:solidFill>
                </w14:textFill>
              </w:rPr>
              <w:t>1、与《云南易门产业园区总体规划（修编）（2021-2035 年）》相符性分析</w:t>
            </w:r>
          </w:p>
          <w:p w14:paraId="3254A8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根据《云南易门产业园区总体规划（修编）（2021-2035）》，规划期限为2021-2035年，按照</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一园四片区六区块</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进行空间布局，包括</w:t>
            </w:r>
            <w:r>
              <w:rPr>
                <w:rFonts w:hint="default" w:ascii="Times New Roman" w:hAnsi="Times New Roman" w:eastAsia="宋体" w:cs="Times New Roman"/>
                <w:color w:val="000000" w:themeColor="text1"/>
                <w:sz w:val="24"/>
                <w:szCs w:val="24"/>
                <w:lang w:eastAsia="zh-CN"/>
                <w14:textFill>
                  <w14:solidFill>
                    <w14:schemeClr w14:val="tx1"/>
                  </w14:solidFill>
                </w14:textFill>
              </w:rPr>
              <w:t>大椿树</w:t>
            </w:r>
            <w:r>
              <w:rPr>
                <w:rFonts w:hint="default" w:ascii="Times New Roman" w:hAnsi="Times New Roman" w:eastAsia="宋体" w:cs="Times New Roman"/>
                <w:color w:val="000000" w:themeColor="text1"/>
                <w:sz w:val="24"/>
                <w:szCs w:val="24"/>
                <w14:textFill>
                  <w14:solidFill>
                    <w14:schemeClr w14:val="tx1"/>
                  </w14:solidFill>
                </w14:textFill>
              </w:rPr>
              <w:t>片区</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分为大椿树区块和韩所区块</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、麦子田片区、梅曾片区</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分为曾所区块和南侧的梅营区块</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和六街片区，打造</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一主三辅</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产业布局，以有色金属为主导产业</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稀贵金属和铜为重点</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，以绿色建材产业、生物资源加工产业</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绿色食品和生物医药为重点</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、装备制造产业为辅助产业。规划总用地面积</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29.20</w:t>
            </w:r>
            <w:r>
              <w:rPr>
                <w:rFonts w:hint="default" w:ascii="Times New Roman" w:hAnsi="Times New Roman" w:eastAsia="宋体" w:cs="Times New Roman"/>
                <w:color w:val="000000" w:themeColor="text1"/>
                <w:sz w:val="24"/>
                <w:szCs w:val="24"/>
                <w14:textFill>
                  <w14:solidFill>
                    <w14:schemeClr w14:val="tx1"/>
                  </w14:solidFill>
                </w14:textFill>
              </w:rPr>
              <w:t>平方公里，包括4个片区6个区块，</w:t>
            </w:r>
            <w:r>
              <w:rPr>
                <w:rFonts w:hint="default" w:ascii="Times New Roman" w:hAnsi="Times New Roman" w:eastAsia="宋体" w:cs="Times New Roman"/>
                <w:color w:val="000000" w:themeColor="text1"/>
                <w:sz w:val="24"/>
                <w:szCs w:val="24"/>
                <w:lang w:eastAsia="zh-CN"/>
                <w14:textFill>
                  <w14:solidFill>
                    <w14:schemeClr w14:val="tx1"/>
                  </w14:solidFill>
                </w14:textFill>
              </w:rPr>
              <w:t>其中</w:t>
            </w:r>
            <w:r>
              <w:rPr>
                <w:rFonts w:hint="default" w:ascii="Times New Roman" w:hAnsi="Times New Roman" w:eastAsia="宋体" w:cs="Times New Roman"/>
                <w:color w:val="000000" w:themeColor="text1"/>
                <w:sz w:val="24"/>
                <w:szCs w:val="24"/>
                <w14:textFill>
                  <w14:solidFill>
                    <w14:schemeClr w14:val="tx1"/>
                  </w14:solidFill>
                </w14:textFill>
              </w:rPr>
              <w:t>麦子田片区5.93平方公里。</w:t>
            </w:r>
          </w:p>
          <w:p w14:paraId="201101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麦子田片区定位为新兴制造产业区，重点发展绿色建材产业（以装配式建筑、建材管材为重点，并综合发展水泥及制品），积极培育装备制造产业。</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本项目位于云南易门产业园区麦子田片区，用地性质为二类工业用地，符合用地布局要求</w:t>
            </w:r>
            <w:r>
              <w:rPr>
                <w:rFonts w:hint="eastAsia" w:cs="Times New Roman"/>
                <w:color w:val="000000" w:themeColor="text1"/>
                <w:kern w:val="2"/>
                <w:sz w:val="24"/>
                <w:szCs w:val="24"/>
                <w:lang w:val="en-US" w:eastAsia="zh-CN" w:bidi="ar-SA"/>
                <w14:textFill>
                  <w14:solidFill>
                    <w14:schemeClr w14:val="tx1"/>
                  </w14:solidFill>
                </w14:textFill>
              </w:rPr>
              <w:t>，根据“三区三线”查询结果（附件6）项目用地不涉及占用生态保护红线和永久基本农田，在城镇开发边界内</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；本项目生产</w:t>
            </w:r>
            <w:r>
              <w:rPr>
                <w:rFonts w:hint="eastAsia" w:ascii="Times New Roman" w:hAnsi="Times New Roman" w:cs="Times New Roman"/>
                <w:color w:val="000000" w:themeColor="text1"/>
                <w:kern w:val="2"/>
                <w:sz w:val="24"/>
                <w:szCs w:val="24"/>
                <w:lang w:val="en-US" w:eastAsia="zh-CN" w:bidi="ar-SA"/>
                <w14:textFill>
                  <w14:solidFill>
                    <w14:schemeClr w14:val="tx1"/>
                  </w14:solidFill>
                </w14:textFill>
              </w:rPr>
              <w:t>密胺餐具</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eastAsia" w:cs="Times New Roman"/>
                <w:color w:val="000000" w:themeColor="text1"/>
                <w:kern w:val="2"/>
                <w:sz w:val="24"/>
                <w:szCs w:val="24"/>
                <w:lang w:val="en-US" w:eastAsia="zh-CN" w:bidi="ar-SA"/>
                <w14:textFill>
                  <w14:solidFill>
                    <w14:schemeClr w14:val="tx1"/>
                  </w14:solidFill>
                </w14:textFill>
              </w:rPr>
              <w:t>符合产业政策，不属于高耗能、高排放、低水平项目。且未采用落后生产工艺或设备、符合国家产业政策，不属于石油化工以及危险化学品生产项目，不属于园区禁止入园项目，并取得入园证明（附件5），</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与麦子田片区重点发展绿色建材产业（以装配式建筑、建材管材为重点，并综合发展水泥及制品）的产业定位及发展方向不冲突，项目建设</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与</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《云南易门产业园区总体规划（修编）（2021-2035）》不冲突</w:t>
            </w:r>
            <w:r>
              <w:rPr>
                <w:rFonts w:hint="default" w:ascii="Times New Roman" w:hAnsi="Times New Roman" w:eastAsia="宋体" w:cs="Times New Roman"/>
                <w:color w:val="000000" w:themeColor="text1"/>
                <w:kern w:val="1"/>
                <w:sz w:val="24"/>
                <w:szCs w:val="24"/>
                <w:highlight w:val="none"/>
                <w:lang w:val="zh-CN" w:eastAsia="zh-CN" w:bidi="ar-SA"/>
                <w14:textFill>
                  <w14:solidFill>
                    <w14:schemeClr w14:val="tx1"/>
                  </w14:solidFill>
                </w14:textFill>
              </w:rPr>
              <w:t>。</w:t>
            </w:r>
          </w:p>
          <w:p w14:paraId="501DC511">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b/>
                <w:bCs w:val="0"/>
                <w:color w:val="000000" w:themeColor="text1"/>
                <w:sz w:val="24"/>
                <w:szCs w:val="24"/>
                <w:highlight w:val="none"/>
                <w14:textFill>
                  <w14:solidFill>
                    <w14:schemeClr w14:val="tx1"/>
                  </w14:solidFill>
                </w14:textFill>
              </w:rPr>
            </w:pPr>
            <w:r>
              <w:rPr>
                <w:rFonts w:hint="eastAsia"/>
                <w:b/>
                <w:bCs w:val="0"/>
                <w:color w:val="000000" w:themeColor="text1"/>
                <w:sz w:val="24"/>
                <w:szCs w:val="24"/>
                <w:highlight w:val="none"/>
                <w:lang w:val="en-US" w:eastAsia="zh-CN"/>
                <w14:textFill>
                  <w14:solidFill>
                    <w14:schemeClr w14:val="tx1"/>
                  </w14:solidFill>
                </w14:textFill>
              </w:rPr>
              <w:t>2</w:t>
            </w:r>
            <w:r>
              <w:rPr>
                <w:b/>
                <w:bCs w:val="0"/>
                <w:color w:val="000000" w:themeColor="text1"/>
                <w:sz w:val="24"/>
                <w:szCs w:val="24"/>
                <w:highlight w:val="none"/>
                <w14:textFill>
                  <w14:solidFill>
                    <w14:schemeClr w14:val="tx1"/>
                  </w14:solidFill>
                </w14:textFill>
              </w:rPr>
              <w:t>、与</w:t>
            </w:r>
            <w:r>
              <w:rPr>
                <w:rFonts w:hint="eastAsia" w:ascii="宋体" w:hAnsi="宋体" w:eastAsia="宋体" w:cs="宋体"/>
                <w:b/>
                <w:bCs w:val="0"/>
                <w:color w:val="000000" w:themeColor="text1"/>
                <w:kern w:val="0"/>
                <w:sz w:val="24"/>
                <w:szCs w:val="24"/>
                <w:lang w:val="en-US" w:eastAsia="zh-CN" w:bidi="ar"/>
                <w14:textFill>
                  <w14:solidFill>
                    <w14:schemeClr w14:val="tx1"/>
                  </w14:solidFill>
                </w14:textFill>
              </w:rPr>
              <w:t>《云南易门产业园区总体规划（修编）（</w:t>
            </w:r>
            <w:r>
              <w:rPr>
                <w:rFonts w:hint="default" w:ascii="Times New Roman" w:hAnsi="Times New Roman" w:eastAsia="宋体" w:cs="Times New Roman"/>
                <w:b/>
                <w:bCs w:val="0"/>
                <w:color w:val="000000" w:themeColor="text1"/>
                <w:kern w:val="0"/>
                <w:sz w:val="24"/>
                <w:szCs w:val="24"/>
                <w:lang w:val="en-US" w:eastAsia="zh-CN" w:bidi="ar"/>
                <w14:textFill>
                  <w14:solidFill>
                    <w14:schemeClr w14:val="tx1"/>
                  </w14:solidFill>
                </w14:textFill>
              </w:rPr>
              <w:t>2021-2035</w:t>
            </w:r>
            <w:r>
              <w:rPr>
                <w:rFonts w:hint="eastAsia" w:ascii="宋体" w:hAnsi="宋体" w:eastAsia="宋体" w:cs="宋体"/>
                <w:b/>
                <w:bCs w:val="0"/>
                <w:color w:val="000000" w:themeColor="text1"/>
                <w:kern w:val="0"/>
                <w:sz w:val="24"/>
                <w:szCs w:val="24"/>
                <w:lang w:val="en-US" w:eastAsia="zh-CN" w:bidi="ar"/>
                <w14:textFill>
                  <w14:solidFill>
                    <w14:schemeClr w14:val="tx1"/>
                  </w14:solidFill>
                </w14:textFill>
              </w:rPr>
              <w:t>年）环境影响报告书</w:t>
            </w:r>
            <w:r>
              <w:rPr>
                <w:b/>
                <w:bCs w:val="0"/>
                <w:color w:val="000000" w:themeColor="text1"/>
                <w:sz w:val="24"/>
                <w:szCs w:val="24"/>
                <w:highlight w:val="none"/>
                <w14:textFill>
                  <w14:solidFill>
                    <w14:schemeClr w14:val="tx1"/>
                  </w14:solidFill>
                </w14:textFill>
              </w:rPr>
              <w:t>》及其审查意见</w:t>
            </w:r>
            <w:r>
              <w:rPr>
                <w:rFonts w:hint="eastAsia"/>
                <w:b/>
                <w:bCs w:val="0"/>
                <w:color w:val="000000" w:themeColor="text1"/>
                <w:kern w:val="0"/>
                <w:sz w:val="24"/>
                <w:szCs w:val="24"/>
                <w:highlight w:val="none"/>
                <w:lang w:eastAsia="zh-CN"/>
                <w14:textFill>
                  <w14:solidFill>
                    <w14:schemeClr w14:val="tx1"/>
                  </w14:solidFill>
                </w14:textFill>
              </w:rPr>
              <w:t>的</w:t>
            </w:r>
            <w:r>
              <w:rPr>
                <w:b/>
                <w:bCs w:val="0"/>
                <w:color w:val="000000" w:themeColor="text1"/>
                <w:sz w:val="24"/>
                <w:szCs w:val="24"/>
                <w:highlight w:val="none"/>
                <w14:textFill>
                  <w14:solidFill>
                    <w14:schemeClr w14:val="tx1"/>
                  </w14:solidFill>
                </w14:textFill>
              </w:rPr>
              <w:t>符合性分析</w:t>
            </w:r>
          </w:p>
          <w:p w14:paraId="396CDD71">
            <w:pPr>
              <w:pStyle w:val="79"/>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根据《云南易门产业园区总体规划（修编）（2021-2035）环境影响报告书》，企业对入驻项目要求如下：</w:t>
            </w:r>
          </w:p>
          <w:p w14:paraId="0A85DBBE">
            <w:pPr>
              <w:adjustRightInd w:val="0"/>
              <w:snapToGrid w:val="0"/>
              <w:spacing w:line="276" w:lineRule="auto"/>
              <w:ind w:firstLine="422" w:firstLineChars="200"/>
              <w:jc w:val="center"/>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表</w:t>
            </w:r>
            <w:r>
              <w:rPr>
                <w:b/>
                <w:bCs/>
                <w:color w:val="000000" w:themeColor="text1"/>
                <w:szCs w:val="21"/>
                <w:highlight w:val="none"/>
                <w14:textFill>
                  <w14:solidFill>
                    <w14:schemeClr w14:val="tx1"/>
                  </w14:solidFill>
                </w14:textFill>
              </w:rPr>
              <w:t>1</w:t>
            </w:r>
            <w:r>
              <w:rPr>
                <w:rFonts w:hint="eastAsia"/>
                <w:b/>
                <w:bCs/>
                <w:color w:val="000000" w:themeColor="text1"/>
                <w:szCs w:val="21"/>
                <w:highlight w:val="none"/>
                <w14:textFill>
                  <w14:solidFill>
                    <w14:schemeClr w14:val="tx1"/>
                  </w14:solidFill>
                </w14:textFill>
              </w:rPr>
              <w:t>-</w:t>
            </w:r>
            <w:r>
              <w:rPr>
                <w:rFonts w:hint="eastAsia"/>
                <w:b/>
                <w:bCs/>
                <w:color w:val="000000" w:themeColor="text1"/>
                <w:szCs w:val="21"/>
                <w:highlight w:val="none"/>
                <w:lang w:val="en-US" w:eastAsia="zh-CN"/>
                <w14:textFill>
                  <w14:solidFill>
                    <w14:schemeClr w14:val="tx1"/>
                  </w14:solidFill>
                </w14:textFill>
              </w:rPr>
              <w:t>2</w:t>
            </w:r>
            <w:r>
              <w:rPr>
                <w:rFonts w:hint="eastAsia"/>
                <w:b/>
                <w:bCs/>
                <w:color w:val="000000" w:themeColor="text1"/>
                <w:szCs w:val="21"/>
                <w:highlight w:val="none"/>
                <w14:textFill>
                  <w14:solidFill>
                    <w14:schemeClr w14:val="tx1"/>
                  </w14:solidFill>
                </w14:textFill>
              </w:rPr>
              <w:t xml:space="preserve"> 项目与规划环评</w:t>
            </w:r>
            <w:r>
              <w:rPr>
                <w:rFonts w:hint="eastAsia"/>
                <w:b/>
                <w:bCs/>
                <w:color w:val="000000" w:themeColor="text1"/>
                <w:szCs w:val="21"/>
                <w:highlight w:val="none"/>
                <w:lang w:eastAsia="zh-CN"/>
                <w14:textFill>
                  <w14:solidFill>
                    <w14:schemeClr w14:val="tx1"/>
                  </w14:solidFill>
                </w14:textFill>
              </w:rPr>
              <w:t>报告书</w:t>
            </w:r>
            <w:r>
              <w:rPr>
                <w:rFonts w:hint="eastAsia"/>
                <w:b/>
                <w:bCs/>
                <w:color w:val="000000" w:themeColor="text1"/>
                <w:szCs w:val="21"/>
                <w:highlight w:val="none"/>
                <w14:textFill>
                  <w14:solidFill>
                    <w14:schemeClr w14:val="tx1"/>
                  </w14:solidFill>
                </w14:textFill>
              </w:rPr>
              <w:t>相符性一览表</w:t>
            </w:r>
          </w:p>
          <w:tbl>
            <w:tblPr>
              <w:tblStyle w:val="31"/>
              <w:tblW w:w="70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426"/>
              <w:gridCol w:w="2979"/>
              <w:gridCol w:w="2401"/>
              <w:gridCol w:w="863"/>
            </w:tblGrid>
            <w:tr w14:paraId="272B4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685" w:type="pct"/>
                  <w:gridSpan w:val="3"/>
                  <w:noWrap w:val="0"/>
                  <w:vAlign w:val="center"/>
                </w:tcPr>
                <w:p w14:paraId="1DA04935">
                  <w:pPr>
                    <w:keepNext w:val="0"/>
                    <w:keepLines w:val="0"/>
                    <w:pageBreakBefore w:val="0"/>
                    <w:kinsoku/>
                    <w:wordWrap/>
                    <w:overflowPunct/>
                    <w:topLinePunct w:val="0"/>
                    <w:autoSpaceDE/>
                    <w:autoSpaceDN/>
                    <w:bidi w:val="0"/>
                    <w:spacing w:line="240" w:lineRule="auto"/>
                    <w:ind w:firstLine="0"/>
                    <w:jc w:val="center"/>
                    <w:textAlignment w:val="auto"/>
                    <w:rPr>
                      <w:rFonts w:hint="default" w:ascii="Times New Roman" w:hAnsi="Times New Roman" w:cs="Times New Roman"/>
                      <w:b/>
                      <w:bCs/>
                      <w:color w:val="000000" w:themeColor="text1"/>
                      <w:kern w:val="1"/>
                      <w:sz w:val="21"/>
                      <w:szCs w:val="21"/>
                      <w14:textFill>
                        <w14:solidFill>
                          <w14:schemeClr w14:val="tx1"/>
                        </w14:solidFill>
                      </w14:textFill>
                    </w:rPr>
                  </w:pPr>
                  <w:r>
                    <w:rPr>
                      <w:rFonts w:hint="default" w:ascii="Times New Roman" w:hAnsi="Times New Roman" w:cs="Times New Roman"/>
                      <w:b/>
                      <w:bCs/>
                      <w:color w:val="000000" w:themeColor="text1"/>
                      <w:kern w:val="1"/>
                      <w:sz w:val="21"/>
                      <w:szCs w:val="21"/>
                      <w14:textFill>
                        <w14:solidFill>
                          <w14:schemeClr w14:val="tx1"/>
                        </w14:solidFill>
                      </w14:textFill>
                    </w:rPr>
                    <w:t>规划环评要求</w:t>
                  </w:r>
                </w:p>
              </w:tc>
              <w:tc>
                <w:tcPr>
                  <w:tcW w:w="1699" w:type="pct"/>
                  <w:noWrap w:val="0"/>
                  <w:vAlign w:val="center"/>
                </w:tcPr>
                <w:p w14:paraId="1724DF72">
                  <w:pPr>
                    <w:keepNext w:val="0"/>
                    <w:keepLines w:val="0"/>
                    <w:pageBreakBefore w:val="0"/>
                    <w:kinsoku/>
                    <w:wordWrap/>
                    <w:overflowPunct/>
                    <w:topLinePunct w:val="0"/>
                    <w:autoSpaceDE/>
                    <w:autoSpaceDN/>
                    <w:bidi w:val="0"/>
                    <w:spacing w:line="240" w:lineRule="auto"/>
                    <w:ind w:firstLine="0"/>
                    <w:jc w:val="center"/>
                    <w:textAlignment w:val="auto"/>
                    <w:rPr>
                      <w:rFonts w:hint="default" w:ascii="Times New Roman" w:hAnsi="Times New Roman" w:cs="Times New Roman"/>
                      <w:b/>
                      <w:bCs/>
                      <w:color w:val="000000" w:themeColor="text1"/>
                      <w:kern w:val="1"/>
                      <w:sz w:val="21"/>
                      <w:szCs w:val="21"/>
                      <w14:textFill>
                        <w14:solidFill>
                          <w14:schemeClr w14:val="tx1"/>
                        </w14:solidFill>
                      </w14:textFill>
                    </w:rPr>
                  </w:pPr>
                  <w:r>
                    <w:rPr>
                      <w:rFonts w:hint="default" w:ascii="Times New Roman" w:hAnsi="Times New Roman" w:cs="Times New Roman"/>
                      <w:b/>
                      <w:bCs/>
                      <w:color w:val="000000" w:themeColor="text1"/>
                      <w:kern w:val="1"/>
                      <w:sz w:val="21"/>
                      <w:szCs w:val="21"/>
                      <w14:textFill>
                        <w14:solidFill>
                          <w14:schemeClr w14:val="tx1"/>
                        </w14:solidFill>
                      </w14:textFill>
                    </w:rPr>
                    <w:t>本项目情况</w:t>
                  </w:r>
                </w:p>
              </w:tc>
              <w:tc>
                <w:tcPr>
                  <w:tcW w:w="615" w:type="pct"/>
                  <w:noWrap w:val="0"/>
                  <w:vAlign w:val="center"/>
                </w:tcPr>
                <w:p w14:paraId="7E96DB9F">
                  <w:pPr>
                    <w:keepNext w:val="0"/>
                    <w:keepLines w:val="0"/>
                    <w:pageBreakBefore w:val="0"/>
                    <w:kinsoku/>
                    <w:wordWrap/>
                    <w:overflowPunct/>
                    <w:topLinePunct w:val="0"/>
                    <w:autoSpaceDE/>
                    <w:autoSpaceDN/>
                    <w:bidi w:val="0"/>
                    <w:spacing w:line="240" w:lineRule="auto"/>
                    <w:ind w:firstLine="0"/>
                    <w:jc w:val="center"/>
                    <w:textAlignment w:val="auto"/>
                    <w:rPr>
                      <w:rFonts w:hint="default" w:ascii="Times New Roman" w:hAnsi="Times New Roman" w:cs="Times New Roman"/>
                      <w:b/>
                      <w:bCs/>
                      <w:color w:val="000000" w:themeColor="text1"/>
                      <w:kern w:val="1"/>
                      <w:sz w:val="21"/>
                      <w:szCs w:val="21"/>
                      <w14:textFill>
                        <w14:solidFill>
                          <w14:schemeClr w14:val="tx1"/>
                        </w14:solidFill>
                      </w14:textFill>
                    </w:rPr>
                  </w:pPr>
                  <w:r>
                    <w:rPr>
                      <w:rFonts w:hint="default" w:ascii="Times New Roman" w:hAnsi="Times New Roman" w:cs="Times New Roman"/>
                      <w:b/>
                      <w:bCs/>
                      <w:color w:val="000000" w:themeColor="text1"/>
                      <w:kern w:val="1"/>
                      <w:sz w:val="21"/>
                      <w:szCs w:val="21"/>
                      <w:lang w:val="en-US" w:eastAsia="zh-CN"/>
                      <w14:textFill>
                        <w14:solidFill>
                          <w14:schemeClr w14:val="tx1"/>
                        </w14:solidFill>
                      </w14:textFill>
                    </w:rPr>
                    <w:t>符合</w:t>
                  </w:r>
                  <w:r>
                    <w:rPr>
                      <w:rFonts w:hint="default" w:ascii="Times New Roman" w:hAnsi="Times New Roman" w:cs="Times New Roman"/>
                      <w:b/>
                      <w:bCs/>
                      <w:color w:val="000000" w:themeColor="text1"/>
                      <w:kern w:val="1"/>
                      <w:sz w:val="21"/>
                      <w:szCs w:val="21"/>
                      <w14:textFill>
                        <w14:solidFill>
                          <w14:schemeClr w14:val="tx1"/>
                        </w14:solidFill>
                      </w14:textFill>
                    </w:rPr>
                    <w:t>性</w:t>
                  </w:r>
                </w:p>
              </w:tc>
            </w:tr>
            <w:tr w14:paraId="720DD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 w:type="pct"/>
                  <w:noWrap w:val="0"/>
                  <w:vAlign w:val="center"/>
                </w:tcPr>
                <w:p w14:paraId="4493A967">
                  <w:pPr>
                    <w:keepNext w:val="0"/>
                    <w:keepLines w:val="0"/>
                    <w:pageBreakBefore w:val="0"/>
                    <w:kinsoku/>
                    <w:wordWrap/>
                    <w:overflowPunct/>
                    <w:topLinePunct w:val="0"/>
                    <w:autoSpaceDE/>
                    <w:autoSpaceDN/>
                    <w:bidi w:val="0"/>
                    <w:adjustRightInd w:val="0"/>
                    <w:snapToGrid w:val="0"/>
                    <w:spacing w:line="240" w:lineRule="auto"/>
                    <w:ind w:firstLine="0"/>
                    <w:jc w:val="center"/>
                    <w:textAlignment w:val="auto"/>
                    <w:rPr>
                      <w:rFonts w:hint="eastAsia" w:ascii="Times New Roman" w:hAnsi="Times New Roman" w:eastAsia="宋体" w:cs="Times New Roman"/>
                      <w:color w:val="000000" w:themeColor="text1"/>
                      <w:sz w:val="21"/>
                      <w:szCs w:val="21"/>
                      <w:lang w:val="zh-CN" w:eastAsia="zh-CN"/>
                      <w14:textFill>
                        <w14:solidFill>
                          <w14:schemeClr w14:val="tx1"/>
                        </w14:solidFill>
                      </w14:textFill>
                    </w:rPr>
                  </w:pPr>
                  <w:r>
                    <w:rPr>
                      <w:rFonts w:hint="eastAsia" w:ascii="Times New Roman" w:hAnsi="Times New Roman" w:cs="Times New Roman"/>
                      <w:color w:val="000000" w:themeColor="text1"/>
                      <w:sz w:val="21"/>
                      <w:szCs w:val="21"/>
                      <w:lang w:eastAsia="zh-CN"/>
                      <w14:textFill>
                        <w14:solidFill>
                          <w14:schemeClr w14:val="tx1"/>
                        </w14:solidFill>
                      </w14:textFill>
                    </w:rPr>
                    <w:t>园区企业管理</w:t>
                  </w:r>
                </w:p>
              </w:tc>
              <w:tc>
                <w:tcPr>
                  <w:tcW w:w="2393" w:type="pct"/>
                  <w:gridSpan w:val="2"/>
                  <w:noWrap w:val="0"/>
                  <w:vAlign w:val="center"/>
                </w:tcPr>
                <w:p w14:paraId="5FEFC999">
                  <w:pPr>
                    <w:keepNext w:val="0"/>
                    <w:keepLines w:val="0"/>
                    <w:pageBreakBefore w:val="0"/>
                    <w:kinsoku/>
                    <w:wordWrap/>
                    <w:overflowPunct/>
                    <w:topLinePunct w:val="0"/>
                    <w:autoSpaceDE/>
                    <w:autoSpaceDN/>
                    <w:bidi w:val="0"/>
                    <w:adjustRightInd w:val="0"/>
                    <w:snapToGrid w:val="0"/>
                    <w:spacing w:line="240" w:lineRule="auto"/>
                    <w:ind w:firstLine="0"/>
                    <w:jc w:val="both"/>
                    <w:textAlignment w:val="auto"/>
                    <w:rPr>
                      <w:rFonts w:hint="default" w:ascii="Times New Roman" w:hAnsi="Times New Roman" w:cs="Times New Roman"/>
                      <w:color w:val="000000" w:themeColor="text1"/>
                      <w:kern w:val="1"/>
                      <w:sz w:val="21"/>
                      <w:szCs w:val="21"/>
                      <w:lang w:val="zh-CN"/>
                      <w14:textFill>
                        <w14:solidFill>
                          <w14:schemeClr w14:val="tx1"/>
                        </w14:solidFill>
                      </w14:textFill>
                    </w:rPr>
                  </w:pPr>
                  <w:r>
                    <w:rPr>
                      <w:rFonts w:hint="eastAsia" w:ascii="Times New Roman" w:hAnsi="Times New Roman" w:cs="Times New Roman"/>
                      <w:color w:val="000000" w:themeColor="text1"/>
                      <w:kern w:val="1"/>
                      <w:sz w:val="21"/>
                      <w:szCs w:val="21"/>
                      <w:lang w:val="zh-CN"/>
                      <w14:textFill>
                        <w14:solidFill>
                          <w14:schemeClr w14:val="tx1"/>
                        </w14:solidFill>
                      </w14:textFill>
                    </w:rPr>
                    <w:t>科学筛选入园项目：对入园企业进行严格筛选，要求入园企业不仅应具有市场潜力大、产业联动效果好、高技术、高附加值的特点，还必须是低污染、低耗能的企业。不符合产业政策、不符合园区规划的行业、达不到规定的清洁生产水平的企业严禁入园。</w:t>
                  </w:r>
                </w:p>
              </w:tc>
              <w:tc>
                <w:tcPr>
                  <w:tcW w:w="1699" w:type="pct"/>
                  <w:noWrap w:val="0"/>
                  <w:vAlign w:val="center"/>
                </w:tcPr>
                <w:p w14:paraId="29004C4F">
                  <w:pPr>
                    <w:pStyle w:val="9"/>
                    <w:keepNext w:val="0"/>
                    <w:keepLines w:val="0"/>
                    <w:pageBreakBefore w:val="0"/>
                    <w:kinsoku/>
                    <w:wordWrap/>
                    <w:overflowPunct/>
                    <w:topLinePunct w:val="0"/>
                    <w:autoSpaceDE/>
                    <w:autoSpaceDN/>
                    <w:bidi w:val="0"/>
                    <w:spacing w:line="240" w:lineRule="auto"/>
                    <w:ind w:firstLine="0"/>
                    <w:jc w:val="both"/>
                    <w:textAlignment w:val="auto"/>
                    <w:rPr>
                      <w:rFonts w:hint="default" w:ascii="Times New Roman" w:hAnsi="Times New Roman" w:cs="Times New Roman"/>
                      <w:color w:val="000000" w:themeColor="text1"/>
                      <w:kern w:val="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本</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项目为日用塑料制品制造业，</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是近年来发展迅速、市场潜力较大的行业，</w:t>
                  </w:r>
                  <w:r>
                    <w:rPr>
                      <w:rFonts w:hint="eastAsia" w:ascii="Times New Roman" w:hAnsi="Times New Roman" w:cs="Times New Roman"/>
                      <w:color w:val="000000" w:themeColor="text1"/>
                      <w:sz w:val="21"/>
                      <w:szCs w:val="21"/>
                      <w:lang w:val="en-US" w:eastAsia="zh-CN"/>
                      <w14:textFill>
                        <w14:solidFill>
                          <w14:schemeClr w14:val="tx1"/>
                        </w14:solidFill>
                      </w14:textFill>
                    </w:rPr>
                    <w:t>项目符合产业政策</w:t>
                  </w:r>
                  <w:r>
                    <w:rPr>
                      <w:rFonts w:hint="eastAsia" w:cs="Times New Roman"/>
                      <w:color w:val="000000" w:themeColor="text1"/>
                      <w:sz w:val="21"/>
                      <w:szCs w:val="21"/>
                      <w:lang w:val="en-US" w:eastAsia="zh-CN"/>
                      <w14:textFill>
                        <w14:solidFill>
                          <w14:schemeClr w14:val="tx1"/>
                        </w14:solidFill>
                      </w14:textFill>
                    </w:rPr>
                    <w:t>。项目不属于高污染、高耗能企业，本项目</w:t>
                  </w:r>
                  <w:r>
                    <w:rPr>
                      <w:rFonts w:hint="eastAsia" w:ascii="Times New Roman" w:hAnsi="Times New Roman" w:cs="Times New Roman"/>
                      <w:color w:val="000000" w:themeColor="text1"/>
                      <w:sz w:val="21"/>
                      <w:szCs w:val="21"/>
                      <w:lang w:val="en-US" w:eastAsia="zh-CN"/>
                      <w14:textFill>
                        <w14:solidFill>
                          <w14:schemeClr w14:val="tx1"/>
                        </w14:solidFill>
                      </w14:textFill>
                    </w:rPr>
                    <w:t>与</w:t>
                  </w:r>
                  <w:r>
                    <w:rPr>
                      <w:rFonts w:hint="default" w:ascii="Times New Roman" w:hAnsi="Times New Roman" w:cs="Times New Roman"/>
                      <w:color w:val="000000" w:themeColor="text1"/>
                      <w:sz w:val="21"/>
                      <w:szCs w:val="21"/>
                      <w:lang w:val="en-US" w:eastAsia="zh-CN"/>
                      <w14:textFill>
                        <w14:solidFill>
                          <w14:schemeClr w14:val="tx1"/>
                        </w14:solidFill>
                      </w14:textFill>
                    </w:rPr>
                    <w:t>麦子田片区产业定位</w:t>
                  </w:r>
                  <w:r>
                    <w:rPr>
                      <w:rFonts w:hint="eastAsia" w:ascii="Times New Roman" w:hAnsi="Times New Roman" w:cs="Times New Roman"/>
                      <w:color w:val="000000" w:themeColor="text1"/>
                      <w:sz w:val="21"/>
                      <w:szCs w:val="21"/>
                      <w:lang w:val="en-US" w:eastAsia="zh-CN"/>
                      <w14:textFill>
                        <w14:solidFill>
                          <w14:schemeClr w14:val="tx1"/>
                        </w14:solidFill>
                      </w14:textFill>
                    </w:rPr>
                    <w:t>不冲突</w:t>
                  </w:r>
                  <w:r>
                    <w:rPr>
                      <w:rFonts w:hint="default" w:ascii="Times New Roman" w:hAnsi="Times New Roman"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项目冷却水循环使用不外排，</w:t>
                  </w:r>
                  <w:r>
                    <w:rPr>
                      <w:rFonts w:hint="default" w:ascii="Times New Roman" w:hAnsi="Times New Roman" w:cs="Times New Roman"/>
                      <w:color w:val="000000" w:themeColor="text1"/>
                      <w:sz w:val="21"/>
                      <w:szCs w:val="21"/>
                      <w:lang w:val="en-US" w:eastAsia="zh-CN"/>
                      <w14:textFill>
                        <w14:solidFill>
                          <w14:schemeClr w14:val="tx1"/>
                        </w14:solidFill>
                      </w14:textFill>
                    </w:rPr>
                    <w:t>污染物排放量较小。</w:t>
                  </w:r>
                </w:p>
              </w:tc>
              <w:tc>
                <w:tcPr>
                  <w:tcW w:w="615" w:type="pct"/>
                  <w:noWrap w:val="0"/>
                  <w:vAlign w:val="center"/>
                </w:tcPr>
                <w:p w14:paraId="07988E3A">
                  <w:pPr>
                    <w:keepNext w:val="0"/>
                    <w:keepLines w:val="0"/>
                    <w:pageBreakBefore w:val="0"/>
                    <w:kinsoku/>
                    <w:wordWrap/>
                    <w:overflowPunct/>
                    <w:topLinePunct w:val="0"/>
                    <w:autoSpaceDE/>
                    <w:autoSpaceDN/>
                    <w:bidi w:val="0"/>
                    <w:spacing w:line="240" w:lineRule="auto"/>
                    <w:ind w:firstLine="0"/>
                    <w:jc w:val="center"/>
                    <w:textAlignment w:val="auto"/>
                    <w:rPr>
                      <w:rFonts w:hint="eastAsia" w:ascii="Times New Roman" w:hAnsi="Times New Roman" w:eastAsia="宋体" w:cs="Times New Roman"/>
                      <w:color w:val="000000" w:themeColor="text1"/>
                      <w:kern w:val="1"/>
                      <w:sz w:val="21"/>
                      <w:szCs w:val="21"/>
                      <w:lang w:eastAsia="zh-CN"/>
                      <w14:textFill>
                        <w14:solidFill>
                          <w14:schemeClr w14:val="tx1"/>
                        </w14:solidFill>
                      </w14:textFill>
                    </w:rPr>
                  </w:pPr>
                  <w:r>
                    <w:rPr>
                      <w:rFonts w:hint="eastAsia" w:cs="Times New Roman"/>
                      <w:color w:val="000000" w:themeColor="text1"/>
                      <w:kern w:val="1"/>
                      <w:sz w:val="21"/>
                      <w:szCs w:val="21"/>
                      <w:lang w:val="en-US" w:eastAsia="zh-CN"/>
                      <w14:textFill>
                        <w14:solidFill>
                          <w14:schemeClr w14:val="tx1"/>
                        </w14:solidFill>
                      </w14:textFill>
                    </w:rPr>
                    <w:t>符合</w:t>
                  </w:r>
                </w:p>
              </w:tc>
            </w:tr>
            <w:tr w14:paraId="56A2E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 w:type="pct"/>
                  <w:vMerge w:val="restart"/>
                  <w:noWrap w:val="0"/>
                  <w:vAlign w:val="center"/>
                </w:tcPr>
                <w:p w14:paraId="6DBA5390">
                  <w:pPr>
                    <w:keepNext w:val="0"/>
                    <w:keepLines w:val="0"/>
                    <w:pageBreakBefore w:val="0"/>
                    <w:kinsoku/>
                    <w:wordWrap/>
                    <w:overflowPunct/>
                    <w:topLinePunct w:val="0"/>
                    <w:autoSpaceDE/>
                    <w:autoSpaceDN/>
                    <w:bidi w:val="0"/>
                    <w:spacing w:line="240" w:lineRule="auto"/>
                    <w:ind w:firstLine="0"/>
                    <w:jc w:val="center"/>
                    <w:textAlignment w:val="auto"/>
                    <w:rPr>
                      <w:rFonts w:hint="default" w:ascii="Times New Roman" w:hAnsi="Times New Roman" w:eastAsia="宋体" w:cs="Times New Roman"/>
                      <w:color w:val="000000" w:themeColor="text1"/>
                      <w:kern w:val="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环境准入</w:t>
                  </w:r>
                </w:p>
              </w:tc>
              <w:tc>
                <w:tcPr>
                  <w:tcW w:w="286" w:type="pct"/>
                  <w:vMerge w:val="restart"/>
                  <w:noWrap w:val="0"/>
                  <w:vAlign w:val="center"/>
                </w:tcPr>
                <w:p w14:paraId="1FECCFDF">
                  <w:pPr>
                    <w:keepNext w:val="0"/>
                    <w:keepLines w:val="0"/>
                    <w:pageBreakBefore w:val="0"/>
                    <w:kinsoku/>
                    <w:wordWrap/>
                    <w:overflowPunct/>
                    <w:topLinePunct w:val="0"/>
                    <w:autoSpaceDE/>
                    <w:autoSpaceDN/>
                    <w:bidi w:val="0"/>
                    <w:spacing w:line="240" w:lineRule="auto"/>
                    <w:ind w:firstLine="0"/>
                    <w:jc w:val="both"/>
                    <w:textAlignment w:val="auto"/>
                    <w:rPr>
                      <w:rFonts w:hint="default" w:ascii="Times New Roman" w:hAnsi="Times New Roman" w:cs="Times New Roman"/>
                      <w:color w:val="000000" w:themeColor="text1"/>
                      <w:kern w:val="1"/>
                      <w:sz w:val="21"/>
                      <w:szCs w:val="21"/>
                      <w:lang w:val="zh-CN"/>
                      <w14:textFill>
                        <w14:solidFill>
                          <w14:schemeClr w14:val="tx1"/>
                        </w14:solidFill>
                      </w14:textFill>
                    </w:rPr>
                  </w:pPr>
                  <w:r>
                    <w:rPr>
                      <w:rFonts w:hint="eastAsia" w:ascii="Times New Roman" w:hAnsi="Times New Roman" w:cs="Times New Roman"/>
                      <w:color w:val="000000" w:themeColor="text1"/>
                      <w:kern w:val="1"/>
                      <w:sz w:val="21"/>
                      <w:szCs w:val="21"/>
                      <w:lang w:val="zh-CN"/>
                      <w14:textFill>
                        <w14:solidFill>
                          <w14:schemeClr w14:val="tx1"/>
                        </w14:solidFill>
                      </w14:textFill>
                    </w:rPr>
                    <w:t>空间布局约束</w:t>
                  </w:r>
                </w:p>
              </w:tc>
              <w:tc>
                <w:tcPr>
                  <w:tcW w:w="2106" w:type="pct"/>
                  <w:noWrap w:val="0"/>
                  <w:vAlign w:val="center"/>
                </w:tcPr>
                <w:p w14:paraId="5851DE32">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cs="Times New Roman"/>
                      <w:color w:val="000000" w:themeColor="text1"/>
                      <w:kern w:val="1"/>
                      <w:sz w:val="21"/>
                      <w:szCs w:val="21"/>
                      <w:lang w:val="zh-CN"/>
                      <w14:textFill>
                        <w14:solidFill>
                          <w14:schemeClr w14:val="tx1"/>
                        </w14:solidFill>
                      </w14:textFill>
                    </w:rPr>
                  </w:pPr>
                  <w:r>
                    <w:rPr>
                      <w:rFonts w:hint="eastAsia" w:ascii="Times New Roman" w:hAnsi="Times New Roman" w:cs="Times New Roman"/>
                      <w:color w:val="000000" w:themeColor="text1"/>
                      <w:kern w:val="1"/>
                      <w:sz w:val="21"/>
                      <w:szCs w:val="21"/>
                      <w:lang w:val="zh-CN"/>
                      <w14:textFill>
                        <w14:solidFill>
                          <w14:schemeClr w14:val="tx1"/>
                        </w14:solidFill>
                      </w14:textFill>
                    </w:rPr>
                    <w:t>严禁</w:t>
                  </w:r>
                  <w:r>
                    <w:rPr>
                      <w:rFonts w:hint="eastAsia" w:cs="Times New Roman"/>
                      <w:color w:val="000000" w:themeColor="text1"/>
                      <w:kern w:val="1"/>
                      <w:sz w:val="21"/>
                      <w:szCs w:val="21"/>
                      <w:lang w:val="zh-CN"/>
                      <w14:textFill>
                        <w14:solidFill>
                          <w14:schemeClr w14:val="tx1"/>
                        </w14:solidFill>
                      </w14:textFill>
                    </w:rPr>
                    <w:t>“</w:t>
                  </w:r>
                  <w:r>
                    <w:rPr>
                      <w:rFonts w:hint="eastAsia" w:ascii="Times New Roman" w:hAnsi="Times New Roman" w:cs="Times New Roman"/>
                      <w:color w:val="000000" w:themeColor="text1"/>
                      <w:kern w:val="1"/>
                      <w:sz w:val="21"/>
                      <w:szCs w:val="21"/>
                      <w:lang w:val="zh-CN"/>
                      <w14:textFill>
                        <w14:solidFill>
                          <w14:schemeClr w14:val="tx1"/>
                        </w14:solidFill>
                      </w14:textFill>
                    </w:rPr>
                    <w:t>十小</w:t>
                  </w:r>
                  <w:r>
                    <w:rPr>
                      <w:rFonts w:hint="eastAsia" w:cs="Times New Roman"/>
                      <w:color w:val="000000" w:themeColor="text1"/>
                      <w:kern w:val="1"/>
                      <w:sz w:val="21"/>
                      <w:szCs w:val="21"/>
                      <w:lang w:val="zh-CN"/>
                      <w14:textFill>
                        <w14:solidFill>
                          <w14:schemeClr w14:val="tx1"/>
                        </w14:solidFill>
                      </w14:textFill>
                    </w:rPr>
                    <w:t>”</w:t>
                  </w:r>
                  <w:r>
                    <w:rPr>
                      <w:rFonts w:hint="eastAsia" w:ascii="Times New Roman" w:hAnsi="Times New Roman" w:cs="Times New Roman"/>
                      <w:color w:val="000000" w:themeColor="text1"/>
                      <w:kern w:val="1"/>
                      <w:sz w:val="21"/>
                      <w:szCs w:val="21"/>
                      <w:lang w:val="zh-CN"/>
                      <w14:textFill>
                        <w14:solidFill>
                          <w14:schemeClr w14:val="tx1"/>
                        </w14:solidFill>
                      </w14:textFill>
                    </w:rPr>
                    <w:t>企业进入园区。确保排放总量不超过单元允许排放量。不得引进无法解决水环境容量的企业。加快产业结构转型升级，淘汰和限制耗水量大、水污染物排放量大的行业和产品。</w:t>
                  </w:r>
                </w:p>
              </w:tc>
              <w:tc>
                <w:tcPr>
                  <w:tcW w:w="1699" w:type="pct"/>
                  <w:noWrap w:val="0"/>
                  <w:vAlign w:val="center"/>
                </w:tcPr>
                <w:p w14:paraId="09ED86F4">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本项目为</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日用塑料制品</w:t>
                  </w:r>
                  <w:r>
                    <w:rPr>
                      <w:rFonts w:hint="eastAsia" w:ascii="Times New Roman" w:hAnsi="Times New Roman" w:eastAsia="宋体" w:cs="Times New Roman"/>
                      <w:color w:val="000000" w:themeColor="text1"/>
                      <w:sz w:val="21"/>
                      <w:szCs w:val="21"/>
                      <w:lang w:eastAsia="zh-CN"/>
                      <w14:textFill>
                        <w14:solidFill>
                          <w14:schemeClr w14:val="tx1"/>
                        </w14:solidFill>
                      </w14:textFill>
                    </w:rPr>
                    <w:t>，不属于</w:t>
                  </w:r>
                  <w:r>
                    <w:rPr>
                      <w:rFonts w:hint="eastAsia" w:cs="Times New Roman"/>
                      <w:color w:val="000000" w:themeColor="text1"/>
                      <w:sz w:val="21"/>
                      <w:szCs w:val="21"/>
                      <w:lang w:eastAsia="zh-CN"/>
                      <w14:textFill>
                        <w14:solidFill>
                          <w14:schemeClr w14:val="tx1"/>
                        </w14:solidFill>
                      </w14:textFill>
                    </w:rPr>
                    <w:t>“</w:t>
                  </w:r>
                  <w:r>
                    <w:rPr>
                      <w:rFonts w:hint="eastAsia" w:ascii="Times New Roman" w:hAnsi="Times New Roman" w:eastAsia="宋体" w:cs="Times New Roman"/>
                      <w:color w:val="000000" w:themeColor="text1"/>
                      <w:sz w:val="21"/>
                      <w:szCs w:val="21"/>
                      <w:lang w:eastAsia="zh-CN"/>
                      <w14:textFill>
                        <w14:solidFill>
                          <w14:schemeClr w14:val="tx1"/>
                        </w14:solidFill>
                      </w14:textFill>
                    </w:rPr>
                    <w:t>十小</w:t>
                  </w:r>
                  <w:r>
                    <w:rPr>
                      <w:rFonts w:hint="eastAsia" w:cs="Times New Roman"/>
                      <w:color w:val="000000" w:themeColor="text1"/>
                      <w:sz w:val="21"/>
                      <w:szCs w:val="21"/>
                      <w:lang w:eastAsia="zh-CN"/>
                      <w14:textFill>
                        <w14:solidFill>
                          <w14:schemeClr w14:val="tx1"/>
                        </w14:solidFill>
                      </w14:textFill>
                    </w:rPr>
                    <w:t>”</w:t>
                  </w:r>
                  <w:r>
                    <w:rPr>
                      <w:rFonts w:hint="eastAsia" w:ascii="Times New Roman" w:hAnsi="Times New Roman" w:eastAsia="宋体" w:cs="Times New Roman"/>
                      <w:color w:val="000000" w:themeColor="text1"/>
                      <w:sz w:val="21"/>
                      <w:szCs w:val="21"/>
                      <w:lang w:eastAsia="zh-CN"/>
                      <w14:textFill>
                        <w14:solidFill>
                          <w14:schemeClr w14:val="tx1"/>
                        </w14:solidFill>
                      </w14:textFill>
                    </w:rPr>
                    <w:t>企业，项目生产过程冷却废水循环回用，不外排，不属于水污染物排放量大的行业。</w:t>
                  </w:r>
                </w:p>
              </w:tc>
              <w:tc>
                <w:tcPr>
                  <w:tcW w:w="615" w:type="pct"/>
                  <w:noWrap w:val="0"/>
                  <w:vAlign w:val="center"/>
                </w:tcPr>
                <w:p w14:paraId="3DC58165">
                  <w:pPr>
                    <w:keepNext w:val="0"/>
                    <w:keepLines w:val="0"/>
                    <w:pageBreakBefore w:val="0"/>
                    <w:kinsoku/>
                    <w:wordWrap/>
                    <w:overflowPunct/>
                    <w:topLinePunct w:val="0"/>
                    <w:autoSpaceDE/>
                    <w:autoSpaceDN/>
                    <w:bidi w:val="0"/>
                    <w:spacing w:line="240" w:lineRule="auto"/>
                    <w:ind w:firstLine="0"/>
                    <w:jc w:val="center"/>
                    <w:textAlignment w:val="auto"/>
                    <w:rPr>
                      <w:rFonts w:hint="default" w:ascii="Times New Roman" w:hAnsi="Times New Roman" w:cs="Times New Roman"/>
                      <w:color w:val="000000" w:themeColor="text1"/>
                      <w:kern w:val="1"/>
                      <w:sz w:val="21"/>
                      <w:szCs w:val="21"/>
                      <w14:textFill>
                        <w14:solidFill>
                          <w14:schemeClr w14:val="tx1"/>
                        </w14:solidFill>
                      </w14:textFill>
                    </w:rPr>
                  </w:pPr>
                  <w:r>
                    <w:rPr>
                      <w:rFonts w:hint="default" w:ascii="Times New Roman" w:hAnsi="Times New Roman" w:cs="Times New Roman"/>
                      <w:color w:val="000000" w:themeColor="text1"/>
                      <w:kern w:val="1"/>
                      <w:sz w:val="21"/>
                      <w:szCs w:val="21"/>
                      <w14:textFill>
                        <w14:solidFill>
                          <w14:schemeClr w14:val="tx1"/>
                        </w14:solidFill>
                      </w14:textFill>
                    </w:rPr>
                    <w:t>符合</w:t>
                  </w:r>
                </w:p>
              </w:tc>
            </w:tr>
            <w:tr w14:paraId="62914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 w:type="pct"/>
                  <w:vMerge w:val="continue"/>
                  <w:noWrap w:val="0"/>
                  <w:vAlign w:val="center"/>
                </w:tcPr>
                <w:p w14:paraId="1223F850">
                  <w:pPr>
                    <w:keepNext w:val="0"/>
                    <w:keepLines w:val="0"/>
                    <w:pageBreakBefore w:val="0"/>
                    <w:kinsoku/>
                    <w:wordWrap/>
                    <w:overflowPunct/>
                    <w:topLinePunct w:val="0"/>
                    <w:autoSpaceDE/>
                    <w:autoSpaceDN/>
                    <w:bidi w:val="0"/>
                    <w:spacing w:line="240" w:lineRule="auto"/>
                    <w:ind w:firstLine="0"/>
                    <w:jc w:val="center"/>
                    <w:textAlignment w:val="auto"/>
                    <w:rPr>
                      <w:rFonts w:hint="eastAsia" w:ascii="Times New Roman" w:hAnsi="Times New Roman" w:cs="Times New Roman"/>
                      <w:color w:val="000000" w:themeColor="text1"/>
                      <w:sz w:val="21"/>
                      <w:szCs w:val="21"/>
                      <w:lang w:val="en-US" w:eastAsia="zh-CN"/>
                      <w14:textFill>
                        <w14:solidFill>
                          <w14:schemeClr w14:val="tx1"/>
                        </w14:solidFill>
                      </w14:textFill>
                    </w:rPr>
                  </w:pPr>
                </w:p>
              </w:tc>
              <w:tc>
                <w:tcPr>
                  <w:tcW w:w="286" w:type="pct"/>
                  <w:vMerge w:val="continue"/>
                  <w:noWrap w:val="0"/>
                  <w:vAlign w:val="center"/>
                </w:tcPr>
                <w:p w14:paraId="51A3729E">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cs="Times New Roman"/>
                      <w:color w:val="000000" w:themeColor="text1"/>
                      <w:kern w:val="1"/>
                      <w:sz w:val="21"/>
                      <w:szCs w:val="21"/>
                      <w:lang w:val="zh-CN"/>
                      <w14:textFill>
                        <w14:solidFill>
                          <w14:schemeClr w14:val="tx1"/>
                        </w14:solidFill>
                      </w14:textFill>
                    </w:rPr>
                  </w:pPr>
                </w:p>
              </w:tc>
              <w:tc>
                <w:tcPr>
                  <w:tcW w:w="2106" w:type="pct"/>
                  <w:noWrap w:val="0"/>
                  <w:vAlign w:val="center"/>
                </w:tcPr>
                <w:p w14:paraId="22CFB930">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cs="Times New Roman"/>
                      <w:color w:val="000000" w:themeColor="text1"/>
                      <w:kern w:val="1"/>
                      <w:sz w:val="21"/>
                      <w:szCs w:val="21"/>
                      <w:lang w:val="zh-CN"/>
                      <w14:textFill>
                        <w14:solidFill>
                          <w14:schemeClr w14:val="tx1"/>
                        </w14:solidFill>
                      </w14:textFill>
                    </w:rPr>
                  </w:pPr>
                  <w:r>
                    <w:rPr>
                      <w:rFonts w:hint="eastAsia" w:ascii="Times New Roman" w:hAnsi="Times New Roman" w:cs="Times New Roman"/>
                      <w:color w:val="000000" w:themeColor="text1"/>
                      <w:kern w:val="1"/>
                      <w:sz w:val="21"/>
                      <w:szCs w:val="21"/>
                      <w:lang w:val="zh-CN"/>
                      <w14:textFill>
                        <w14:solidFill>
                          <w14:schemeClr w14:val="tx1"/>
                        </w14:solidFill>
                      </w14:textFill>
                    </w:rPr>
                    <w:t>园区大气环境受体敏感区重点控制区按大气环境受体敏感区管控要求进行规划管控。严控涉及大气污染排放的工业项目布局建设；禁止新建、扩建采用非清洁燃料的项目和设施现有产物企业应持续开展节能减排，制定改用清洁能源时间表；严格限制新建可能对主城区大气产生影响的燃用煤、重油等高污染燃料的工业项目。禁止焚烧生活垃圾、建筑垃圾、环卫清扫物等废弃物。</w:t>
                  </w:r>
                </w:p>
              </w:tc>
              <w:tc>
                <w:tcPr>
                  <w:tcW w:w="1699" w:type="pct"/>
                  <w:noWrap w:val="0"/>
                  <w:vAlign w:val="center"/>
                </w:tcPr>
                <w:p w14:paraId="20E17AD1">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根据项目与易门县产业园区重点管控单元相关要求进行对照，项目符合易门县产业园区重点管控单元相关要求，且不涉及大气环境优先保护区。</w:t>
                  </w:r>
                  <w:r>
                    <w:rPr>
                      <w:rFonts w:hint="eastAsia" w:ascii="Times New Roman" w:hAnsi="Times New Roman" w:eastAsia="宋体" w:cs="Times New Roman"/>
                      <w:color w:val="000000" w:themeColor="text1"/>
                      <w:sz w:val="21"/>
                      <w:szCs w:val="21"/>
                      <w:lang w:eastAsia="zh-CN"/>
                      <w14:textFill>
                        <w14:solidFill>
                          <w14:schemeClr w14:val="tx1"/>
                        </w14:solidFill>
                      </w14:textFill>
                    </w:rPr>
                    <w:t>本项目</w:t>
                  </w:r>
                  <w:r>
                    <w:rPr>
                      <w:rFonts w:hint="eastAsia" w:ascii="Times New Roman" w:hAnsi="Times New Roman" w:cs="Times New Roman"/>
                      <w:color w:val="000000" w:themeColor="text1"/>
                      <w:sz w:val="21"/>
                      <w:szCs w:val="21"/>
                      <w:lang w:val="en-US" w:eastAsia="zh-CN"/>
                      <w14:textFill>
                        <w14:solidFill>
                          <w14:schemeClr w14:val="tx1"/>
                        </w14:solidFill>
                      </w14:textFill>
                    </w:rPr>
                    <w:t>能源采用电能，属于</w:t>
                  </w:r>
                  <w:r>
                    <w:rPr>
                      <w:rFonts w:hint="eastAsia" w:ascii="Times New Roman" w:hAnsi="Times New Roman" w:eastAsia="宋体" w:cs="Times New Roman"/>
                      <w:color w:val="000000" w:themeColor="text1"/>
                      <w:sz w:val="21"/>
                      <w:szCs w:val="21"/>
                      <w:lang w:eastAsia="zh-CN"/>
                      <w14:textFill>
                        <w14:solidFill>
                          <w14:schemeClr w14:val="tx1"/>
                        </w14:solidFill>
                      </w14:textFill>
                    </w:rPr>
                    <w:t>清洁能源，不涉及焚烧</w:t>
                  </w:r>
                  <w:r>
                    <w:rPr>
                      <w:rFonts w:hint="eastAsia" w:ascii="Times New Roman" w:hAnsi="Times New Roman" w:cs="Times New Roman"/>
                      <w:color w:val="000000" w:themeColor="text1"/>
                      <w:kern w:val="1"/>
                      <w:sz w:val="21"/>
                      <w:szCs w:val="21"/>
                      <w:lang w:val="zh-CN"/>
                      <w14:textFill>
                        <w14:solidFill>
                          <w14:schemeClr w14:val="tx1"/>
                        </w14:solidFill>
                      </w14:textFill>
                    </w:rPr>
                    <w:t>生活垃圾、建筑垃圾、环卫清扫物等废弃物。</w:t>
                  </w:r>
                </w:p>
              </w:tc>
              <w:tc>
                <w:tcPr>
                  <w:tcW w:w="615" w:type="pct"/>
                  <w:noWrap w:val="0"/>
                  <w:vAlign w:val="center"/>
                </w:tcPr>
                <w:p w14:paraId="5C6CEC90">
                  <w:pPr>
                    <w:keepNext w:val="0"/>
                    <w:keepLines w:val="0"/>
                    <w:pageBreakBefore w:val="0"/>
                    <w:kinsoku/>
                    <w:wordWrap/>
                    <w:overflowPunct/>
                    <w:topLinePunct w:val="0"/>
                    <w:autoSpaceDE/>
                    <w:autoSpaceDN/>
                    <w:bidi w:val="0"/>
                    <w:spacing w:line="240" w:lineRule="auto"/>
                    <w:ind w:firstLine="0"/>
                    <w:jc w:val="center"/>
                    <w:textAlignment w:val="auto"/>
                    <w:rPr>
                      <w:rFonts w:hint="eastAsia" w:ascii="Times New Roman" w:hAnsi="Times New Roman" w:eastAsia="宋体" w:cs="Times New Roman"/>
                      <w:color w:val="000000" w:themeColor="text1"/>
                      <w:kern w:val="1"/>
                      <w:sz w:val="21"/>
                      <w:szCs w:val="21"/>
                      <w:lang w:eastAsia="zh-CN"/>
                      <w14:textFill>
                        <w14:solidFill>
                          <w14:schemeClr w14:val="tx1"/>
                        </w14:solidFill>
                      </w14:textFill>
                    </w:rPr>
                  </w:pPr>
                  <w:r>
                    <w:rPr>
                      <w:rFonts w:hint="eastAsia" w:ascii="Times New Roman" w:hAnsi="Times New Roman" w:cs="Times New Roman"/>
                      <w:color w:val="000000" w:themeColor="text1"/>
                      <w:kern w:val="1"/>
                      <w:sz w:val="21"/>
                      <w:szCs w:val="21"/>
                      <w:lang w:eastAsia="zh-CN"/>
                      <w14:textFill>
                        <w14:solidFill>
                          <w14:schemeClr w14:val="tx1"/>
                        </w14:solidFill>
                      </w14:textFill>
                    </w:rPr>
                    <w:t>符合</w:t>
                  </w:r>
                </w:p>
              </w:tc>
            </w:tr>
            <w:tr w14:paraId="6206B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 w:type="pct"/>
                  <w:vMerge w:val="continue"/>
                  <w:noWrap w:val="0"/>
                  <w:vAlign w:val="center"/>
                </w:tcPr>
                <w:p w14:paraId="51F14AE0">
                  <w:pPr>
                    <w:keepNext w:val="0"/>
                    <w:keepLines w:val="0"/>
                    <w:pageBreakBefore w:val="0"/>
                    <w:kinsoku/>
                    <w:wordWrap/>
                    <w:overflowPunct/>
                    <w:topLinePunct w:val="0"/>
                    <w:autoSpaceDE/>
                    <w:autoSpaceDN/>
                    <w:bidi w:val="0"/>
                    <w:spacing w:line="240" w:lineRule="auto"/>
                    <w:ind w:firstLine="0"/>
                    <w:jc w:val="center"/>
                    <w:textAlignment w:val="auto"/>
                    <w:rPr>
                      <w:rFonts w:hint="eastAsia" w:ascii="Times New Roman" w:hAnsi="Times New Roman" w:cs="Times New Roman"/>
                      <w:color w:val="000000" w:themeColor="text1"/>
                      <w:sz w:val="21"/>
                      <w:szCs w:val="21"/>
                      <w:lang w:val="en-US" w:eastAsia="zh-CN"/>
                      <w14:textFill>
                        <w14:solidFill>
                          <w14:schemeClr w14:val="tx1"/>
                        </w14:solidFill>
                      </w14:textFill>
                    </w:rPr>
                  </w:pPr>
                </w:p>
              </w:tc>
              <w:tc>
                <w:tcPr>
                  <w:tcW w:w="286" w:type="pct"/>
                  <w:vMerge w:val="continue"/>
                  <w:noWrap w:val="0"/>
                  <w:vAlign w:val="center"/>
                </w:tcPr>
                <w:p w14:paraId="77193320">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cs="Times New Roman"/>
                      <w:color w:val="000000" w:themeColor="text1"/>
                      <w:kern w:val="1"/>
                      <w:sz w:val="21"/>
                      <w:szCs w:val="21"/>
                      <w:lang w:val="zh-CN"/>
                      <w14:textFill>
                        <w14:solidFill>
                          <w14:schemeClr w14:val="tx1"/>
                        </w14:solidFill>
                      </w14:textFill>
                    </w:rPr>
                  </w:pPr>
                </w:p>
              </w:tc>
              <w:tc>
                <w:tcPr>
                  <w:tcW w:w="2106" w:type="pct"/>
                  <w:noWrap w:val="0"/>
                  <w:vAlign w:val="center"/>
                </w:tcPr>
                <w:p w14:paraId="2808F8F0">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cs="Times New Roman"/>
                      <w:color w:val="000000" w:themeColor="text1"/>
                      <w:kern w:val="1"/>
                      <w:sz w:val="21"/>
                      <w:szCs w:val="21"/>
                      <w:lang w:val="zh-CN"/>
                      <w14:textFill>
                        <w14:solidFill>
                          <w14:schemeClr w14:val="tx1"/>
                        </w14:solidFill>
                      </w14:textFill>
                    </w:rPr>
                  </w:pPr>
                  <w:r>
                    <w:rPr>
                      <w:rFonts w:hint="eastAsia" w:ascii="Times New Roman" w:hAnsi="Times New Roman" w:cs="Times New Roman"/>
                      <w:color w:val="000000" w:themeColor="text1"/>
                      <w:kern w:val="1"/>
                      <w:sz w:val="21"/>
                      <w:szCs w:val="21"/>
                      <w:lang w:val="zh-CN"/>
                      <w14:textFill>
                        <w14:solidFill>
                          <w14:schemeClr w14:val="tx1"/>
                        </w14:solidFill>
                      </w14:textFill>
                    </w:rPr>
                    <w:t>优化调整产业结构，逐步淘汰不符合园区产业定位的企业，加强培育符合主导产业下游产业链的产业，提高产业附加值，推进产业延链补链强链，塑造绿色发展。</w:t>
                  </w:r>
                </w:p>
              </w:tc>
              <w:tc>
                <w:tcPr>
                  <w:tcW w:w="1699" w:type="pct"/>
                  <w:noWrap w:val="0"/>
                  <w:vAlign w:val="center"/>
                </w:tcPr>
                <w:p w14:paraId="070B6711">
                  <w:pPr>
                    <w:keepNext w:val="0"/>
                    <w:keepLines w:val="0"/>
                    <w:pageBreakBefore w:val="0"/>
                    <w:kinsoku/>
                    <w:wordWrap/>
                    <w:overflowPunct/>
                    <w:topLinePunct w:val="0"/>
                    <w:autoSpaceDE/>
                    <w:autoSpaceDN/>
                    <w:bidi w:val="0"/>
                    <w:spacing w:line="240" w:lineRule="auto"/>
                    <w:ind w:firstLine="0"/>
                    <w:jc w:val="both"/>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本</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项目为日用塑料制品制造业，符合产业政策，不属于高耗能、高排放、低水平项目。且未采用落后生产工艺或设备、符合国家产业政策，不属于石油化工以及危险化学品生产项目，不属于园区禁止入园项目</w:t>
                  </w:r>
                  <w:r>
                    <w:rPr>
                      <w:rFonts w:hint="eastAsia" w:cs="Times New Roman"/>
                      <w:color w:val="000000" w:themeColor="text1"/>
                      <w:sz w:val="21"/>
                      <w:szCs w:val="21"/>
                      <w:lang w:val="en-US" w:eastAsia="zh-CN"/>
                      <w14:textFill>
                        <w14:solidFill>
                          <w14:schemeClr w14:val="tx1"/>
                        </w14:solidFill>
                      </w14:textFill>
                    </w:rPr>
                    <w:t>，</w:t>
                  </w:r>
                  <w:r>
                    <w:rPr>
                      <w:rFonts w:hint="eastAsia" w:ascii="Times New Roman" w:hAnsi="Times New Roman" w:cs="Times New Roman"/>
                      <w:color w:val="000000" w:themeColor="text1"/>
                      <w:sz w:val="21"/>
                      <w:szCs w:val="21"/>
                      <w:lang w:val="en-US" w:eastAsia="zh-CN"/>
                      <w14:textFill>
                        <w14:solidFill>
                          <w14:schemeClr w14:val="tx1"/>
                        </w14:solidFill>
                      </w14:textFill>
                    </w:rPr>
                    <w:t>与</w:t>
                  </w:r>
                  <w:r>
                    <w:rPr>
                      <w:rFonts w:hint="default" w:ascii="Times New Roman" w:hAnsi="Times New Roman" w:cs="Times New Roman"/>
                      <w:color w:val="000000" w:themeColor="text1"/>
                      <w:sz w:val="21"/>
                      <w:szCs w:val="21"/>
                      <w:lang w:val="en-US" w:eastAsia="zh-CN"/>
                      <w14:textFill>
                        <w14:solidFill>
                          <w14:schemeClr w14:val="tx1"/>
                        </w14:solidFill>
                      </w14:textFill>
                    </w:rPr>
                    <w:t>麦子田片区产业定位</w:t>
                  </w:r>
                  <w:r>
                    <w:rPr>
                      <w:rFonts w:hint="eastAsia" w:ascii="Times New Roman" w:hAnsi="Times New Roman" w:cs="Times New Roman"/>
                      <w:color w:val="000000" w:themeColor="text1"/>
                      <w:sz w:val="21"/>
                      <w:szCs w:val="21"/>
                      <w:lang w:val="en-US" w:eastAsia="zh-CN"/>
                      <w14:textFill>
                        <w14:solidFill>
                          <w14:schemeClr w14:val="tx1"/>
                        </w14:solidFill>
                      </w14:textFill>
                    </w:rPr>
                    <w:t>不冲突</w:t>
                  </w:r>
                  <w:r>
                    <w:rPr>
                      <w:rFonts w:hint="default" w:ascii="Times New Roman" w:hAnsi="Times New Roman" w:cs="Times New Roman"/>
                      <w:color w:val="000000" w:themeColor="text1"/>
                      <w:sz w:val="21"/>
                      <w:szCs w:val="21"/>
                      <w:lang w:val="en-US" w:eastAsia="zh-CN"/>
                      <w14:textFill>
                        <w14:solidFill>
                          <w14:schemeClr w14:val="tx1"/>
                        </w14:solidFill>
                      </w14:textFill>
                    </w:rPr>
                    <w:t>。</w:t>
                  </w:r>
                </w:p>
              </w:tc>
              <w:tc>
                <w:tcPr>
                  <w:tcW w:w="615" w:type="pct"/>
                  <w:noWrap w:val="0"/>
                  <w:vAlign w:val="center"/>
                </w:tcPr>
                <w:p w14:paraId="519B1C25">
                  <w:pPr>
                    <w:keepNext w:val="0"/>
                    <w:keepLines w:val="0"/>
                    <w:pageBreakBefore w:val="0"/>
                    <w:kinsoku/>
                    <w:wordWrap/>
                    <w:overflowPunct/>
                    <w:topLinePunct w:val="0"/>
                    <w:autoSpaceDE/>
                    <w:autoSpaceDN/>
                    <w:bidi w:val="0"/>
                    <w:spacing w:line="240" w:lineRule="auto"/>
                    <w:ind w:firstLine="0"/>
                    <w:jc w:val="center"/>
                    <w:textAlignment w:val="auto"/>
                    <w:rPr>
                      <w:rFonts w:hint="eastAsia" w:ascii="Times New Roman" w:hAnsi="Times New Roman" w:eastAsia="宋体" w:cs="Times New Roman"/>
                      <w:color w:val="000000" w:themeColor="text1"/>
                      <w:kern w:val="1"/>
                      <w:sz w:val="21"/>
                      <w:szCs w:val="21"/>
                      <w:lang w:eastAsia="zh-CN"/>
                      <w14:textFill>
                        <w14:solidFill>
                          <w14:schemeClr w14:val="tx1"/>
                        </w14:solidFill>
                      </w14:textFill>
                    </w:rPr>
                  </w:pPr>
                  <w:r>
                    <w:rPr>
                      <w:rFonts w:hint="eastAsia" w:cs="Times New Roman"/>
                      <w:color w:val="000000" w:themeColor="text1"/>
                      <w:kern w:val="1"/>
                      <w:sz w:val="21"/>
                      <w:szCs w:val="21"/>
                      <w:lang w:val="en-US" w:eastAsia="zh-CN"/>
                      <w14:textFill>
                        <w14:solidFill>
                          <w14:schemeClr w14:val="tx1"/>
                        </w14:solidFill>
                      </w14:textFill>
                    </w:rPr>
                    <w:t>符合</w:t>
                  </w:r>
                </w:p>
              </w:tc>
            </w:tr>
            <w:tr w14:paraId="2D6DD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 w:type="pct"/>
                  <w:vMerge w:val="continue"/>
                  <w:noWrap w:val="0"/>
                  <w:vAlign w:val="center"/>
                </w:tcPr>
                <w:p w14:paraId="0B9FCA72">
                  <w:pPr>
                    <w:keepNext w:val="0"/>
                    <w:keepLines w:val="0"/>
                    <w:pageBreakBefore w:val="0"/>
                    <w:kinsoku/>
                    <w:wordWrap/>
                    <w:overflowPunct/>
                    <w:topLinePunct w:val="0"/>
                    <w:autoSpaceDE/>
                    <w:autoSpaceDN/>
                    <w:bidi w:val="0"/>
                    <w:spacing w:line="240" w:lineRule="auto"/>
                    <w:ind w:firstLine="0"/>
                    <w:jc w:val="center"/>
                    <w:textAlignment w:val="auto"/>
                    <w:rPr>
                      <w:rFonts w:hint="eastAsia" w:ascii="Times New Roman" w:hAnsi="Times New Roman" w:cs="Times New Roman"/>
                      <w:color w:val="000000" w:themeColor="text1"/>
                      <w:sz w:val="21"/>
                      <w:szCs w:val="21"/>
                      <w:lang w:val="en-US" w:eastAsia="zh-CN"/>
                      <w14:textFill>
                        <w14:solidFill>
                          <w14:schemeClr w14:val="tx1"/>
                        </w14:solidFill>
                      </w14:textFill>
                    </w:rPr>
                  </w:pPr>
                </w:p>
              </w:tc>
              <w:tc>
                <w:tcPr>
                  <w:tcW w:w="286" w:type="pct"/>
                  <w:vMerge w:val="continue"/>
                  <w:noWrap w:val="0"/>
                  <w:vAlign w:val="center"/>
                </w:tcPr>
                <w:p w14:paraId="08EB9D98">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cs="Times New Roman"/>
                      <w:color w:val="000000" w:themeColor="text1"/>
                      <w:kern w:val="1"/>
                      <w:sz w:val="21"/>
                      <w:szCs w:val="21"/>
                      <w:lang w:val="zh-CN"/>
                      <w14:textFill>
                        <w14:solidFill>
                          <w14:schemeClr w14:val="tx1"/>
                        </w14:solidFill>
                      </w14:textFill>
                    </w:rPr>
                  </w:pPr>
                </w:p>
              </w:tc>
              <w:tc>
                <w:tcPr>
                  <w:tcW w:w="2106" w:type="pct"/>
                  <w:noWrap w:val="0"/>
                  <w:vAlign w:val="center"/>
                </w:tcPr>
                <w:p w14:paraId="2C954ED7">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cs="Times New Roman"/>
                      <w:color w:val="000000" w:themeColor="text1"/>
                      <w:kern w:val="1"/>
                      <w:sz w:val="21"/>
                      <w:szCs w:val="21"/>
                      <w:lang w:val="zh-CN"/>
                      <w14:textFill>
                        <w14:solidFill>
                          <w14:schemeClr w14:val="tx1"/>
                        </w14:solidFill>
                      </w14:textFill>
                    </w:rPr>
                  </w:pPr>
                  <w:r>
                    <w:rPr>
                      <w:rFonts w:hint="eastAsia" w:ascii="Times New Roman" w:hAnsi="Times New Roman" w:cs="Times New Roman"/>
                      <w:color w:val="000000" w:themeColor="text1"/>
                      <w:kern w:val="1"/>
                      <w:sz w:val="21"/>
                      <w:szCs w:val="21"/>
                      <w:lang w:val="zh-CN"/>
                      <w14:textFill>
                        <w14:solidFill>
                          <w14:schemeClr w14:val="tx1"/>
                        </w14:solidFill>
                      </w14:textFill>
                    </w:rPr>
                    <w:t>禁止入驻项目占用水塘、河流等地表水体；严格控制和优化园区水文地质单元内的开发强度，保障一定的降雨补给面积。严格按照园区内地下水环境红线划分及区域布局建议，做好地下水污染防控。</w:t>
                  </w:r>
                </w:p>
              </w:tc>
              <w:tc>
                <w:tcPr>
                  <w:tcW w:w="1699" w:type="pct"/>
                  <w:noWrap w:val="0"/>
                  <w:vAlign w:val="center"/>
                </w:tcPr>
                <w:p w14:paraId="76EFDB44">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本项目位于</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易门产业园区麦子田片区</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，用地为二类工业用地，不涉及占用水塘、河流。</w:t>
                  </w:r>
                </w:p>
              </w:tc>
              <w:tc>
                <w:tcPr>
                  <w:tcW w:w="615" w:type="pct"/>
                  <w:noWrap w:val="0"/>
                  <w:vAlign w:val="center"/>
                </w:tcPr>
                <w:p w14:paraId="51610359">
                  <w:pPr>
                    <w:keepNext w:val="0"/>
                    <w:keepLines w:val="0"/>
                    <w:pageBreakBefore w:val="0"/>
                    <w:kinsoku/>
                    <w:wordWrap/>
                    <w:overflowPunct/>
                    <w:topLinePunct w:val="0"/>
                    <w:autoSpaceDE/>
                    <w:autoSpaceDN/>
                    <w:bidi w:val="0"/>
                    <w:spacing w:line="240" w:lineRule="auto"/>
                    <w:ind w:firstLine="0"/>
                    <w:jc w:val="center"/>
                    <w:textAlignment w:val="auto"/>
                    <w:rPr>
                      <w:rFonts w:hint="eastAsia" w:ascii="Times New Roman" w:hAnsi="Times New Roman" w:eastAsia="宋体" w:cs="Times New Roman"/>
                      <w:color w:val="000000" w:themeColor="text1"/>
                      <w:kern w:val="1"/>
                      <w:sz w:val="21"/>
                      <w:szCs w:val="21"/>
                      <w:lang w:eastAsia="zh-CN"/>
                      <w14:textFill>
                        <w14:solidFill>
                          <w14:schemeClr w14:val="tx1"/>
                        </w14:solidFill>
                      </w14:textFill>
                    </w:rPr>
                  </w:pPr>
                  <w:r>
                    <w:rPr>
                      <w:rFonts w:hint="eastAsia" w:ascii="Times New Roman" w:hAnsi="Times New Roman" w:cs="Times New Roman"/>
                      <w:color w:val="000000" w:themeColor="text1"/>
                      <w:kern w:val="1"/>
                      <w:sz w:val="21"/>
                      <w:szCs w:val="21"/>
                      <w:lang w:eastAsia="zh-CN"/>
                      <w14:textFill>
                        <w14:solidFill>
                          <w14:schemeClr w14:val="tx1"/>
                        </w14:solidFill>
                      </w14:textFill>
                    </w:rPr>
                    <w:t>符合</w:t>
                  </w:r>
                </w:p>
              </w:tc>
            </w:tr>
            <w:tr w14:paraId="08BCA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 w:type="pct"/>
                  <w:vMerge w:val="continue"/>
                  <w:noWrap w:val="0"/>
                  <w:vAlign w:val="center"/>
                </w:tcPr>
                <w:p w14:paraId="49088A4A">
                  <w:pPr>
                    <w:keepNext w:val="0"/>
                    <w:keepLines w:val="0"/>
                    <w:pageBreakBefore w:val="0"/>
                    <w:kinsoku/>
                    <w:wordWrap/>
                    <w:overflowPunct/>
                    <w:topLinePunct w:val="0"/>
                    <w:autoSpaceDE/>
                    <w:autoSpaceDN/>
                    <w:bidi w:val="0"/>
                    <w:spacing w:line="240" w:lineRule="auto"/>
                    <w:ind w:firstLine="0"/>
                    <w:jc w:val="center"/>
                    <w:textAlignment w:val="auto"/>
                    <w:rPr>
                      <w:rFonts w:hint="eastAsia" w:ascii="Times New Roman" w:hAnsi="Times New Roman" w:cs="Times New Roman"/>
                      <w:color w:val="000000" w:themeColor="text1"/>
                      <w:sz w:val="21"/>
                      <w:szCs w:val="21"/>
                      <w:lang w:val="en-US" w:eastAsia="zh-CN"/>
                      <w14:textFill>
                        <w14:solidFill>
                          <w14:schemeClr w14:val="tx1"/>
                        </w14:solidFill>
                      </w14:textFill>
                    </w:rPr>
                  </w:pPr>
                </w:p>
              </w:tc>
              <w:tc>
                <w:tcPr>
                  <w:tcW w:w="286" w:type="pct"/>
                  <w:vMerge w:val="continue"/>
                  <w:noWrap w:val="0"/>
                  <w:vAlign w:val="center"/>
                </w:tcPr>
                <w:p w14:paraId="3AAE3F52">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cs="Times New Roman"/>
                      <w:color w:val="000000" w:themeColor="text1"/>
                      <w:kern w:val="1"/>
                      <w:sz w:val="21"/>
                      <w:szCs w:val="21"/>
                      <w:lang w:val="zh-CN"/>
                      <w14:textFill>
                        <w14:solidFill>
                          <w14:schemeClr w14:val="tx1"/>
                        </w14:solidFill>
                      </w14:textFill>
                    </w:rPr>
                  </w:pPr>
                </w:p>
              </w:tc>
              <w:tc>
                <w:tcPr>
                  <w:tcW w:w="2106" w:type="pct"/>
                  <w:noWrap w:val="0"/>
                  <w:vAlign w:val="center"/>
                </w:tcPr>
                <w:p w14:paraId="7A64FABF">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cs="Times New Roman"/>
                      <w:color w:val="000000" w:themeColor="text1"/>
                      <w:kern w:val="1"/>
                      <w:sz w:val="21"/>
                      <w:szCs w:val="21"/>
                      <w:lang w:val="zh-CN"/>
                      <w14:textFill>
                        <w14:solidFill>
                          <w14:schemeClr w14:val="tx1"/>
                        </w14:solidFill>
                      </w14:textFill>
                    </w:rPr>
                  </w:pPr>
                  <w:r>
                    <w:rPr>
                      <w:rFonts w:hint="eastAsia" w:ascii="Times New Roman" w:hAnsi="Times New Roman" w:cs="Times New Roman"/>
                      <w:color w:val="000000" w:themeColor="text1"/>
                      <w:kern w:val="1"/>
                      <w:sz w:val="21"/>
                      <w:szCs w:val="21"/>
                      <w:lang w:val="zh-CN"/>
                      <w14:textFill>
                        <w14:solidFill>
                          <w14:schemeClr w14:val="tx1"/>
                        </w14:solidFill>
                      </w14:textFill>
                    </w:rPr>
                    <w:t>严格执行有关行业企业布局选址要求，禁止在居民区和学校、医疗、养老机构等单位周边新建、改建、扩建可能造成土壤污染的建设项目，结合区域功能定位和土壤污染防治需要，科学布局生活垃圾处理、危险废物处置</w:t>
                  </w:r>
                  <w:r>
                    <w:rPr>
                      <w:rFonts w:hint="eastAsia" w:cs="Times New Roman"/>
                      <w:color w:val="000000" w:themeColor="text1"/>
                      <w:kern w:val="1"/>
                      <w:sz w:val="21"/>
                      <w:szCs w:val="21"/>
                      <w:lang w:val="en-US" w:eastAsia="zh-CN"/>
                      <w14:textFill>
                        <w14:solidFill>
                          <w14:schemeClr w14:val="tx1"/>
                        </w14:solidFill>
                      </w14:textFill>
                    </w:rPr>
                    <w:t>与</w:t>
                  </w:r>
                  <w:r>
                    <w:rPr>
                      <w:rFonts w:hint="eastAsia" w:ascii="Times New Roman" w:hAnsi="Times New Roman" w:cs="Times New Roman"/>
                      <w:color w:val="000000" w:themeColor="text1"/>
                      <w:kern w:val="1"/>
                      <w:sz w:val="21"/>
                      <w:szCs w:val="21"/>
                      <w:lang w:val="zh-CN"/>
                      <w14:textFill>
                        <w14:solidFill>
                          <w14:schemeClr w14:val="tx1"/>
                        </w14:solidFill>
                      </w14:textFill>
                    </w:rPr>
                    <w:t>废旧资源再生利用等设施和场所。</w:t>
                  </w:r>
                </w:p>
              </w:tc>
              <w:tc>
                <w:tcPr>
                  <w:tcW w:w="1699" w:type="pct"/>
                  <w:noWrap w:val="0"/>
                  <w:vAlign w:val="center"/>
                </w:tcPr>
                <w:p w14:paraId="1A74100C">
                  <w:pPr>
                    <w:keepNext w:val="0"/>
                    <w:keepLines w:val="0"/>
                    <w:pageBreakBefore w:val="0"/>
                    <w:kinsoku/>
                    <w:wordWrap/>
                    <w:overflowPunct/>
                    <w:topLinePunct w:val="0"/>
                    <w:autoSpaceDE/>
                    <w:autoSpaceDN/>
                    <w:bidi w:val="0"/>
                    <w:spacing w:line="240" w:lineRule="auto"/>
                    <w:ind w:firstLine="0"/>
                    <w:jc w:val="both"/>
                    <w:textAlignment w:val="auto"/>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本项目位于</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易门产业园区麦子田片区</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，周边均为塑料及砼结构构件制造企业，最近居民区距离项目直线距离</w:t>
                  </w:r>
                  <w:r>
                    <w:rPr>
                      <w:rFonts w:hint="eastAsia" w:ascii="Times New Roman" w:hAnsi="Times New Roman" w:cs="Times New Roman"/>
                      <w:color w:val="000000" w:themeColor="text1"/>
                      <w:sz w:val="21"/>
                      <w:szCs w:val="21"/>
                      <w:lang w:val="en-US" w:eastAsia="zh-CN"/>
                      <w14:textFill>
                        <w14:solidFill>
                          <w14:schemeClr w14:val="tx1"/>
                        </w14:solidFill>
                      </w14:textFill>
                    </w:rPr>
                    <w:t>350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m，且项目为塑料制品行业，不属于</w:t>
                  </w:r>
                  <w:r>
                    <w:rPr>
                      <w:rFonts w:hint="eastAsia" w:cs="Times New Roman"/>
                      <w:color w:val="000000" w:themeColor="text1"/>
                      <w:sz w:val="21"/>
                      <w:szCs w:val="21"/>
                      <w:lang w:val="en-US" w:eastAsia="zh-CN"/>
                      <w14:textFill>
                        <w14:solidFill>
                          <w14:schemeClr w14:val="tx1"/>
                        </w14:solidFill>
                      </w14:textFill>
                    </w:rPr>
                    <w:t>“</w:t>
                  </w:r>
                  <w:r>
                    <w:rPr>
                      <w:rFonts w:hint="eastAsia" w:ascii="Times New Roman" w:hAnsi="Times New Roman" w:cs="Times New Roman"/>
                      <w:color w:val="000000" w:themeColor="text1"/>
                      <w:kern w:val="1"/>
                      <w:sz w:val="21"/>
                      <w:szCs w:val="21"/>
                      <w:lang w:val="zh-CN"/>
                      <w14:textFill>
                        <w14:solidFill>
                          <w14:schemeClr w14:val="tx1"/>
                        </w14:solidFill>
                      </w14:textFill>
                    </w:rPr>
                    <w:t>可能造成土壤污染的建设项目</w:t>
                  </w:r>
                  <w:r>
                    <w:rPr>
                      <w:rFonts w:hint="eastAsia" w:cs="Times New Roman"/>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615" w:type="pct"/>
                  <w:noWrap w:val="0"/>
                  <w:vAlign w:val="center"/>
                </w:tcPr>
                <w:p w14:paraId="533FD0DE">
                  <w:pPr>
                    <w:keepNext w:val="0"/>
                    <w:keepLines w:val="0"/>
                    <w:pageBreakBefore w:val="0"/>
                    <w:kinsoku/>
                    <w:wordWrap/>
                    <w:overflowPunct/>
                    <w:topLinePunct w:val="0"/>
                    <w:autoSpaceDE/>
                    <w:autoSpaceDN/>
                    <w:bidi w:val="0"/>
                    <w:spacing w:line="240" w:lineRule="auto"/>
                    <w:ind w:firstLine="0"/>
                    <w:jc w:val="center"/>
                    <w:textAlignment w:val="auto"/>
                    <w:rPr>
                      <w:rFonts w:hint="eastAsia" w:ascii="Times New Roman" w:hAnsi="Times New Roman" w:eastAsia="宋体" w:cs="Times New Roman"/>
                      <w:color w:val="000000" w:themeColor="text1"/>
                      <w:kern w:val="1"/>
                      <w:sz w:val="21"/>
                      <w:szCs w:val="21"/>
                      <w:lang w:eastAsia="zh-CN"/>
                      <w14:textFill>
                        <w14:solidFill>
                          <w14:schemeClr w14:val="tx1"/>
                        </w14:solidFill>
                      </w14:textFill>
                    </w:rPr>
                  </w:pPr>
                  <w:r>
                    <w:rPr>
                      <w:rFonts w:hint="eastAsia" w:ascii="Times New Roman" w:hAnsi="Times New Roman" w:cs="Times New Roman"/>
                      <w:color w:val="000000" w:themeColor="text1"/>
                      <w:kern w:val="1"/>
                      <w:sz w:val="21"/>
                      <w:szCs w:val="21"/>
                      <w:lang w:eastAsia="zh-CN"/>
                      <w14:textFill>
                        <w14:solidFill>
                          <w14:schemeClr w14:val="tx1"/>
                        </w14:solidFill>
                      </w14:textFill>
                    </w:rPr>
                    <w:t>符合</w:t>
                  </w:r>
                </w:p>
              </w:tc>
            </w:tr>
            <w:tr w14:paraId="23DE9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 w:type="pct"/>
                  <w:vMerge w:val="continue"/>
                  <w:noWrap w:val="0"/>
                  <w:vAlign w:val="center"/>
                </w:tcPr>
                <w:p w14:paraId="46B41E6A">
                  <w:pPr>
                    <w:keepNext w:val="0"/>
                    <w:keepLines w:val="0"/>
                    <w:pageBreakBefore w:val="0"/>
                    <w:kinsoku/>
                    <w:wordWrap/>
                    <w:overflowPunct/>
                    <w:topLinePunct w:val="0"/>
                    <w:autoSpaceDE/>
                    <w:autoSpaceDN/>
                    <w:bidi w:val="0"/>
                    <w:spacing w:line="240" w:lineRule="auto"/>
                    <w:ind w:firstLine="0"/>
                    <w:jc w:val="center"/>
                    <w:textAlignment w:val="auto"/>
                    <w:rPr>
                      <w:rFonts w:hint="eastAsia" w:ascii="Times New Roman" w:hAnsi="Times New Roman" w:cs="Times New Roman"/>
                      <w:color w:val="000000" w:themeColor="text1"/>
                      <w:sz w:val="21"/>
                      <w:szCs w:val="21"/>
                      <w:lang w:val="en-US" w:eastAsia="zh-CN"/>
                      <w14:textFill>
                        <w14:solidFill>
                          <w14:schemeClr w14:val="tx1"/>
                        </w14:solidFill>
                      </w14:textFill>
                    </w:rPr>
                  </w:pPr>
                </w:p>
              </w:tc>
              <w:tc>
                <w:tcPr>
                  <w:tcW w:w="286" w:type="pct"/>
                  <w:vMerge w:val="continue"/>
                  <w:noWrap w:val="0"/>
                  <w:vAlign w:val="center"/>
                </w:tcPr>
                <w:p w14:paraId="5FC56A0E">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cs="Times New Roman"/>
                      <w:color w:val="000000" w:themeColor="text1"/>
                      <w:kern w:val="1"/>
                      <w:sz w:val="21"/>
                      <w:szCs w:val="21"/>
                      <w:lang w:val="zh-CN"/>
                      <w14:textFill>
                        <w14:solidFill>
                          <w14:schemeClr w14:val="tx1"/>
                        </w14:solidFill>
                      </w14:textFill>
                    </w:rPr>
                  </w:pPr>
                </w:p>
              </w:tc>
              <w:tc>
                <w:tcPr>
                  <w:tcW w:w="2106" w:type="pct"/>
                  <w:noWrap w:val="0"/>
                  <w:vAlign w:val="center"/>
                </w:tcPr>
                <w:p w14:paraId="7EE229A5">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cs="Times New Roman"/>
                      <w:color w:val="000000" w:themeColor="text1"/>
                      <w:kern w:val="1"/>
                      <w:sz w:val="21"/>
                      <w:szCs w:val="21"/>
                      <w:lang w:val="zh-CN"/>
                      <w14:textFill>
                        <w14:solidFill>
                          <w14:schemeClr w14:val="tx1"/>
                        </w14:solidFill>
                      </w14:textFill>
                    </w:rPr>
                  </w:pPr>
                  <w:r>
                    <w:rPr>
                      <w:rFonts w:hint="eastAsia" w:ascii="Times New Roman" w:hAnsi="Times New Roman" w:cs="Times New Roman"/>
                      <w:color w:val="000000" w:themeColor="text1"/>
                      <w:kern w:val="1"/>
                      <w:sz w:val="21"/>
                      <w:szCs w:val="21"/>
                      <w:lang w:val="zh-CN"/>
                      <w14:textFill>
                        <w14:solidFill>
                          <w14:schemeClr w14:val="tx1"/>
                        </w14:solidFill>
                      </w14:textFill>
                    </w:rPr>
                    <w:t>限制在居民区、学校附近布局排放异味废气污染物的企业，并充分考虑产业与城市建成区、区内居民点之间的环境防护距离。</w:t>
                  </w:r>
                </w:p>
              </w:tc>
              <w:tc>
                <w:tcPr>
                  <w:tcW w:w="1699" w:type="pct"/>
                  <w:noWrap w:val="0"/>
                  <w:vAlign w:val="center"/>
                </w:tcPr>
                <w:p w14:paraId="6A4CD83B">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项目距离</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居民区最近直线距离350m</w:t>
                  </w:r>
                  <w:r>
                    <w:rPr>
                      <w:rFonts w:hint="eastAsia" w:cs="Times New Roman"/>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项目不设环境防护距离。</w:t>
                  </w:r>
                </w:p>
              </w:tc>
              <w:tc>
                <w:tcPr>
                  <w:tcW w:w="615" w:type="pct"/>
                  <w:noWrap w:val="0"/>
                  <w:vAlign w:val="center"/>
                </w:tcPr>
                <w:p w14:paraId="3FE92A10">
                  <w:pPr>
                    <w:keepNext w:val="0"/>
                    <w:keepLines w:val="0"/>
                    <w:pageBreakBefore w:val="0"/>
                    <w:kinsoku/>
                    <w:wordWrap/>
                    <w:overflowPunct/>
                    <w:topLinePunct w:val="0"/>
                    <w:autoSpaceDE/>
                    <w:autoSpaceDN/>
                    <w:bidi w:val="0"/>
                    <w:spacing w:line="240" w:lineRule="auto"/>
                    <w:ind w:firstLine="0"/>
                    <w:jc w:val="center"/>
                    <w:textAlignment w:val="auto"/>
                    <w:rPr>
                      <w:rFonts w:hint="eastAsia" w:ascii="Times New Roman" w:hAnsi="Times New Roman" w:eastAsia="宋体" w:cs="Times New Roman"/>
                      <w:color w:val="000000" w:themeColor="text1"/>
                      <w:kern w:val="1"/>
                      <w:sz w:val="21"/>
                      <w:szCs w:val="21"/>
                      <w:lang w:eastAsia="zh-CN"/>
                      <w14:textFill>
                        <w14:solidFill>
                          <w14:schemeClr w14:val="tx1"/>
                        </w14:solidFill>
                      </w14:textFill>
                    </w:rPr>
                  </w:pPr>
                  <w:r>
                    <w:rPr>
                      <w:rFonts w:hint="eastAsia" w:ascii="Times New Roman" w:hAnsi="Times New Roman" w:cs="Times New Roman"/>
                      <w:color w:val="000000" w:themeColor="text1"/>
                      <w:kern w:val="1"/>
                      <w:sz w:val="21"/>
                      <w:szCs w:val="21"/>
                      <w:lang w:eastAsia="zh-CN"/>
                      <w14:textFill>
                        <w14:solidFill>
                          <w14:schemeClr w14:val="tx1"/>
                        </w14:solidFill>
                      </w14:textFill>
                    </w:rPr>
                    <w:t>符合</w:t>
                  </w:r>
                </w:p>
              </w:tc>
            </w:tr>
            <w:tr w14:paraId="0FA77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 w:type="pct"/>
                  <w:vMerge w:val="continue"/>
                  <w:noWrap w:val="0"/>
                  <w:vAlign w:val="center"/>
                </w:tcPr>
                <w:p w14:paraId="0327497D">
                  <w:pPr>
                    <w:keepNext w:val="0"/>
                    <w:keepLines w:val="0"/>
                    <w:pageBreakBefore w:val="0"/>
                    <w:kinsoku/>
                    <w:wordWrap/>
                    <w:overflowPunct/>
                    <w:topLinePunct w:val="0"/>
                    <w:autoSpaceDE/>
                    <w:autoSpaceDN/>
                    <w:bidi w:val="0"/>
                    <w:spacing w:line="240" w:lineRule="auto"/>
                    <w:ind w:firstLine="0"/>
                    <w:jc w:val="center"/>
                    <w:textAlignment w:val="auto"/>
                    <w:rPr>
                      <w:rFonts w:hint="eastAsia" w:ascii="Times New Roman" w:hAnsi="Times New Roman" w:cs="Times New Roman"/>
                      <w:color w:val="000000" w:themeColor="text1"/>
                      <w:sz w:val="21"/>
                      <w:szCs w:val="21"/>
                      <w:lang w:val="en-US" w:eastAsia="zh-CN"/>
                      <w14:textFill>
                        <w14:solidFill>
                          <w14:schemeClr w14:val="tx1"/>
                        </w14:solidFill>
                      </w14:textFill>
                    </w:rPr>
                  </w:pPr>
                </w:p>
              </w:tc>
              <w:tc>
                <w:tcPr>
                  <w:tcW w:w="286" w:type="pct"/>
                  <w:vMerge w:val="continue"/>
                  <w:noWrap w:val="0"/>
                  <w:vAlign w:val="center"/>
                </w:tcPr>
                <w:p w14:paraId="64C19715">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cs="Times New Roman"/>
                      <w:color w:val="000000" w:themeColor="text1"/>
                      <w:kern w:val="1"/>
                      <w:sz w:val="21"/>
                      <w:szCs w:val="21"/>
                      <w:lang w:val="zh-CN"/>
                      <w14:textFill>
                        <w14:solidFill>
                          <w14:schemeClr w14:val="tx1"/>
                        </w14:solidFill>
                      </w14:textFill>
                    </w:rPr>
                  </w:pPr>
                </w:p>
              </w:tc>
              <w:tc>
                <w:tcPr>
                  <w:tcW w:w="2106" w:type="pct"/>
                  <w:noWrap w:val="0"/>
                  <w:vAlign w:val="center"/>
                </w:tcPr>
                <w:p w14:paraId="68574ED5">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cs="Times New Roman"/>
                      <w:color w:val="000000" w:themeColor="text1"/>
                      <w:kern w:val="1"/>
                      <w:sz w:val="21"/>
                      <w:szCs w:val="21"/>
                      <w:lang w:val="zh-CN"/>
                      <w14:textFill>
                        <w14:solidFill>
                          <w14:schemeClr w14:val="tx1"/>
                        </w14:solidFill>
                      </w14:textFill>
                    </w:rPr>
                  </w:pPr>
                  <w:r>
                    <w:rPr>
                      <w:rFonts w:hint="eastAsia" w:ascii="Times New Roman" w:hAnsi="Times New Roman" w:cs="Times New Roman"/>
                      <w:color w:val="000000" w:themeColor="text1"/>
                      <w:kern w:val="1"/>
                      <w:sz w:val="21"/>
                      <w:szCs w:val="21"/>
                      <w:lang w:val="zh-CN"/>
                      <w14:textFill>
                        <w14:solidFill>
                          <w14:schemeClr w14:val="tx1"/>
                        </w14:solidFill>
                      </w14:textFill>
                    </w:rPr>
                    <w:t>居民集中区周边禁止布局重污染企业。麦子田片区布局重污染企业应远离六街镇居民集中区。</w:t>
                  </w:r>
                </w:p>
              </w:tc>
              <w:tc>
                <w:tcPr>
                  <w:tcW w:w="1699" w:type="pct"/>
                  <w:noWrap w:val="0"/>
                  <w:vAlign w:val="center"/>
                </w:tcPr>
                <w:p w14:paraId="153EF5FD">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项目为</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日用塑料制品制造</w:t>
                  </w:r>
                  <w:r>
                    <w:rPr>
                      <w:rFonts w:hint="eastAsia" w:ascii="Times New Roman" w:hAnsi="Times New Roman" w:eastAsia="宋体" w:cs="Times New Roman"/>
                      <w:color w:val="000000" w:themeColor="text1"/>
                      <w:sz w:val="21"/>
                      <w:szCs w:val="21"/>
                      <w:lang w:eastAsia="zh-CN"/>
                      <w14:textFill>
                        <w14:solidFill>
                          <w14:schemeClr w14:val="tx1"/>
                        </w14:solidFill>
                      </w14:textFill>
                    </w:rPr>
                    <w:t>企业，不属于重污染企业，且距离六街镇</w:t>
                  </w:r>
                  <w:r>
                    <w:rPr>
                      <w:rFonts w:hint="eastAsia"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东北侧3200m</w:t>
                  </w:r>
                  <w:r>
                    <w:rPr>
                      <w:rFonts w:hint="eastAsia" w:cs="Times New Roman"/>
                      <w:color w:val="000000" w:themeColor="text1"/>
                      <w:sz w:val="21"/>
                      <w:szCs w:val="21"/>
                      <w:lang w:eastAsia="zh-CN"/>
                      <w14:textFill>
                        <w14:solidFill>
                          <w14:schemeClr w14:val="tx1"/>
                        </w14:solidFill>
                      </w14:textFill>
                    </w:rPr>
                    <w:t>）</w:t>
                  </w:r>
                  <w:r>
                    <w:rPr>
                      <w:rFonts w:hint="eastAsia" w:ascii="Times New Roman" w:hAnsi="Times New Roman" w:eastAsia="宋体" w:cs="Times New Roman"/>
                      <w:color w:val="000000" w:themeColor="text1"/>
                      <w:sz w:val="21"/>
                      <w:szCs w:val="21"/>
                      <w:lang w:eastAsia="zh-CN"/>
                      <w14:textFill>
                        <w14:solidFill>
                          <w14:schemeClr w14:val="tx1"/>
                        </w14:solidFill>
                      </w14:textFill>
                    </w:rPr>
                    <w:t>居民集中区较远。</w:t>
                  </w:r>
                </w:p>
              </w:tc>
              <w:tc>
                <w:tcPr>
                  <w:tcW w:w="615" w:type="pct"/>
                  <w:noWrap w:val="0"/>
                  <w:vAlign w:val="center"/>
                </w:tcPr>
                <w:p w14:paraId="318E5E92">
                  <w:pPr>
                    <w:keepNext w:val="0"/>
                    <w:keepLines w:val="0"/>
                    <w:pageBreakBefore w:val="0"/>
                    <w:kinsoku/>
                    <w:wordWrap/>
                    <w:overflowPunct/>
                    <w:topLinePunct w:val="0"/>
                    <w:autoSpaceDE/>
                    <w:autoSpaceDN/>
                    <w:bidi w:val="0"/>
                    <w:spacing w:line="240" w:lineRule="auto"/>
                    <w:ind w:firstLine="0"/>
                    <w:jc w:val="center"/>
                    <w:textAlignment w:val="auto"/>
                    <w:rPr>
                      <w:rFonts w:hint="eastAsia" w:ascii="Times New Roman" w:hAnsi="Times New Roman" w:eastAsia="宋体" w:cs="Times New Roman"/>
                      <w:color w:val="000000" w:themeColor="text1"/>
                      <w:kern w:val="1"/>
                      <w:sz w:val="21"/>
                      <w:szCs w:val="21"/>
                      <w:lang w:eastAsia="zh-CN"/>
                      <w14:textFill>
                        <w14:solidFill>
                          <w14:schemeClr w14:val="tx1"/>
                        </w14:solidFill>
                      </w14:textFill>
                    </w:rPr>
                  </w:pPr>
                  <w:r>
                    <w:rPr>
                      <w:rFonts w:hint="eastAsia" w:ascii="Times New Roman" w:hAnsi="Times New Roman" w:cs="Times New Roman"/>
                      <w:color w:val="000000" w:themeColor="text1"/>
                      <w:kern w:val="1"/>
                      <w:sz w:val="21"/>
                      <w:szCs w:val="21"/>
                      <w:lang w:eastAsia="zh-CN"/>
                      <w14:textFill>
                        <w14:solidFill>
                          <w14:schemeClr w14:val="tx1"/>
                        </w14:solidFill>
                      </w14:textFill>
                    </w:rPr>
                    <w:t>符合</w:t>
                  </w:r>
                </w:p>
              </w:tc>
            </w:tr>
            <w:tr w14:paraId="13E64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 w:type="pct"/>
                  <w:vMerge w:val="continue"/>
                  <w:noWrap w:val="0"/>
                  <w:vAlign w:val="center"/>
                </w:tcPr>
                <w:p w14:paraId="1AA88D0E">
                  <w:pPr>
                    <w:keepNext w:val="0"/>
                    <w:keepLines w:val="0"/>
                    <w:pageBreakBefore w:val="0"/>
                    <w:kinsoku/>
                    <w:wordWrap/>
                    <w:overflowPunct/>
                    <w:topLinePunct w:val="0"/>
                    <w:autoSpaceDE/>
                    <w:autoSpaceDN/>
                    <w:bidi w:val="0"/>
                    <w:spacing w:line="240" w:lineRule="auto"/>
                    <w:ind w:firstLine="0"/>
                    <w:jc w:val="center"/>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286" w:type="pct"/>
                  <w:vMerge w:val="restart"/>
                  <w:noWrap w:val="0"/>
                  <w:vAlign w:val="center"/>
                </w:tcPr>
                <w:p w14:paraId="6CDC8BF1">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color w:val="000000" w:themeColor="text1"/>
                      <w:sz w:val="21"/>
                      <w:szCs w:val="21"/>
                      <w:lang w:eastAsia="zh-CN"/>
                      <w14:textFill>
                        <w14:solidFill>
                          <w14:schemeClr w14:val="tx1"/>
                        </w14:solidFill>
                      </w14:textFill>
                    </w:rPr>
                    <w:t>污染物排放管控</w:t>
                  </w:r>
                </w:p>
              </w:tc>
              <w:tc>
                <w:tcPr>
                  <w:tcW w:w="2106" w:type="pct"/>
                  <w:noWrap w:val="0"/>
                  <w:vAlign w:val="center"/>
                </w:tcPr>
                <w:p w14:paraId="3FB99214">
                  <w:pPr>
                    <w:keepNext w:val="0"/>
                    <w:keepLines w:val="0"/>
                    <w:pageBreakBefore w:val="0"/>
                    <w:kinsoku/>
                    <w:wordWrap/>
                    <w:overflowPunct/>
                    <w:topLinePunct w:val="0"/>
                    <w:autoSpaceDE/>
                    <w:autoSpaceDN/>
                    <w:bidi w:val="0"/>
                    <w:spacing w:line="240" w:lineRule="auto"/>
                    <w:ind w:firstLine="0"/>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禁止不符合行业准入条件或产业政策的高耗水、高排污企业入园。</w:t>
                  </w:r>
                </w:p>
              </w:tc>
              <w:tc>
                <w:tcPr>
                  <w:tcW w:w="1699" w:type="pct"/>
                  <w:noWrap w:val="0"/>
                  <w:vAlign w:val="center"/>
                </w:tcPr>
                <w:p w14:paraId="6BA197A0">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项目为</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日用塑料制品制造</w:t>
                  </w:r>
                  <w:r>
                    <w:rPr>
                      <w:rFonts w:hint="eastAsia" w:ascii="Times New Roman" w:hAnsi="Times New Roman" w:cs="Times New Roman"/>
                      <w:color w:val="000000" w:themeColor="text1"/>
                      <w:sz w:val="21"/>
                      <w:szCs w:val="21"/>
                      <w:lang w:val="en-US" w:eastAsia="zh-CN"/>
                      <w14:textFill>
                        <w14:solidFill>
                          <w14:schemeClr w14:val="tx1"/>
                        </w14:solidFill>
                      </w14:textFill>
                    </w:rPr>
                    <w:t>行业</w:t>
                  </w:r>
                  <w:r>
                    <w:rPr>
                      <w:rFonts w:hint="eastAsia" w:ascii="Times New Roman" w:hAnsi="Times New Roman" w:eastAsia="宋体" w:cs="Times New Roman"/>
                      <w:color w:val="000000" w:themeColor="text1"/>
                      <w:sz w:val="21"/>
                      <w:szCs w:val="21"/>
                      <w:lang w:eastAsia="zh-CN"/>
                      <w14:textFill>
                        <w14:solidFill>
                          <w14:schemeClr w14:val="tx1"/>
                        </w14:solidFill>
                      </w14:textFill>
                    </w:rPr>
                    <w:t>，不属于高耗水、高排污企业。</w:t>
                  </w:r>
                </w:p>
              </w:tc>
              <w:tc>
                <w:tcPr>
                  <w:tcW w:w="615" w:type="pct"/>
                  <w:noWrap w:val="0"/>
                  <w:vAlign w:val="center"/>
                </w:tcPr>
                <w:p w14:paraId="4911241C">
                  <w:pPr>
                    <w:keepNext w:val="0"/>
                    <w:keepLines w:val="0"/>
                    <w:pageBreakBefore w:val="0"/>
                    <w:kinsoku/>
                    <w:wordWrap/>
                    <w:overflowPunct/>
                    <w:topLinePunct w:val="0"/>
                    <w:autoSpaceDE/>
                    <w:autoSpaceDN/>
                    <w:bidi w:val="0"/>
                    <w:spacing w:line="240" w:lineRule="auto"/>
                    <w:ind w:firstLine="0"/>
                    <w:jc w:val="center"/>
                    <w:textAlignment w:val="auto"/>
                    <w:rPr>
                      <w:rFonts w:hint="default" w:ascii="Times New Roman" w:hAnsi="Times New Roman" w:cs="Times New Roman"/>
                      <w:color w:val="000000" w:themeColor="text1"/>
                      <w:kern w:val="1"/>
                      <w:sz w:val="21"/>
                      <w:szCs w:val="21"/>
                      <w:lang w:val="zh-CN"/>
                      <w14:textFill>
                        <w14:solidFill>
                          <w14:schemeClr w14:val="tx1"/>
                        </w14:solidFill>
                      </w14:textFill>
                    </w:rPr>
                  </w:pPr>
                  <w:r>
                    <w:rPr>
                      <w:rFonts w:hint="default" w:ascii="Times New Roman" w:hAnsi="Times New Roman" w:cs="Times New Roman"/>
                      <w:color w:val="000000" w:themeColor="text1"/>
                      <w:kern w:val="1"/>
                      <w:sz w:val="21"/>
                      <w:szCs w:val="21"/>
                      <w14:textFill>
                        <w14:solidFill>
                          <w14:schemeClr w14:val="tx1"/>
                        </w14:solidFill>
                      </w14:textFill>
                    </w:rPr>
                    <w:t>符合</w:t>
                  </w:r>
                </w:p>
              </w:tc>
            </w:tr>
            <w:tr w14:paraId="61239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 w:type="pct"/>
                  <w:vMerge w:val="continue"/>
                  <w:noWrap w:val="0"/>
                  <w:vAlign w:val="center"/>
                </w:tcPr>
                <w:p w14:paraId="039F96BC">
                  <w:pPr>
                    <w:keepNext w:val="0"/>
                    <w:keepLines w:val="0"/>
                    <w:pageBreakBefore w:val="0"/>
                    <w:kinsoku/>
                    <w:wordWrap/>
                    <w:overflowPunct/>
                    <w:topLinePunct w:val="0"/>
                    <w:autoSpaceDE/>
                    <w:autoSpaceDN/>
                    <w:bidi w:val="0"/>
                    <w:spacing w:line="240" w:lineRule="auto"/>
                    <w:ind w:firstLine="0"/>
                    <w:jc w:val="center"/>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286" w:type="pct"/>
                  <w:vMerge w:val="continue"/>
                  <w:noWrap w:val="0"/>
                  <w:vAlign w:val="center"/>
                </w:tcPr>
                <w:p w14:paraId="3C5F26DB">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cs="Times New Roman"/>
                      <w:color w:val="000000" w:themeColor="text1"/>
                      <w:sz w:val="21"/>
                      <w:szCs w:val="21"/>
                      <w:lang w:eastAsia="zh-CN"/>
                      <w14:textFill>
                        <w14:solidFill>
                          <w14:schemeClr w14:val="tx1"/>
                        </w14:solidFill>
                      </w14:textFill>
                    </w:rPr>
                  </w:pPr>
                </w:p>
              </w:tc>
              <w:tc>
                <w:tcPr>
                  <w:tcW w:w="2106" w:type="pct"/>
                  <w:noWrap w:val="0"/>
                  <w:vAlign w:val="center"/>
                </w:tcPr>
                <w:p w14:paraId="388EA328">
                  <w:pPr>
                    <w:keepNext w:val="0"/>
                    <w:keepLines w:val="0"/>
                    <w:pageBreakBefore w:val="0"/>
                    <w:kinsoku/>
                    <w:wordWrap/>
                    <w:overflowPunct/>
                    <w:topLinePunct w:val="0"/>
                    <w:autoSpaceDE/>
                    <w:autoSpaceDN/>
                    <w:bidi w:val="0"/>
                    <w:spacing w:line="240" w:lineRule="auto"/>
                    <w:ind w:firstLine="0"/>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禁止任何生产废水和生活污水直接排入地表水体，废水达到园区污水处理厂进水标准后，经污水管网收集排入园区污水处理厂处理</w:t>
                  </w:r>
                  <w:r>
                    <w:rPr>
                      <w:rFonts w:hint="eastAsia"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园区纳污水体在未达到水质目标前，除城镇污水处理厂入河排污口外，严格控制新设、改设或者扩大排污口。</w:t>
                  </w:r>
                </w:p>
              </w:tc>
              <w:tc>
                <w:tcPr>
                  <w:tcW w:w="1699" w:type="pct"/>
                  <w:noWrap w:val="0"/>
                  <w:vAlign w:val="center"/>
                </w:tcPr>
                <w:p w14:paraId="2D721B46">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项目生产冷却废水循环回用，不外排；生活污水</w:t>
                  </w:r>
                  <w:r>
                    <w:rPr>
                      <w:rFonts w:hint="eastAsia" w:cs="Times New Roman"/>
                      <w:color w:val="000000" w:themeColor="text1"/>
                      <w:sz w:val="21"/>
                      <w:szCs w:val="21"/>
                      <w:lang w:val="en-US" w:eastAsia="zh-CN"/>
                      <w14:textFill>
                        <w14:solidFill>
                          <w14:schemeClr w14:val="tx1"/>
                        </w14:solidFill>
                      </w14:textFill>
                    </w:rPr>
                    <w:t>依托联帆科技公司</w:t>
                  </w:r>
                  <w:r>
                    <w:rPr>
                      <w:rFonts w:hint="eastAsia" w:ascii="Times New Roman" w:hAnsi="Times New Roman" w:eastAsia="宋体" w:cs="Times New Roman"/>
                      <w:color w:val="000000" w:themeColor="text1"/>
                      <w:sz w:val="21"/>
                      <w:szCs w:val="21"/>
                      <w:lang w:eastAsia="zh-CN"/>
                      <w14:textFill>
                        <w14:solidFill>
                          <w14:schemeClr w14:val="tx1"/>
                        </w14:solidFill>
                      </w14:textFill>
                    </w:rPr>
                    <w:t>已建</w:t>
                  </w:r>
                  <w:r>
                    <w:rPr>
                      <w:rFonts w:hint="eastAsia" w:cs="Times New Roman"/>
                      <w:color w:val="000000" w:themeColor="text1"/>
                      <w:sz w:val="21"/>
                      <w:szCs w:val="21"/>
                      <w:lang w:eastAsia="zh-CN"/>
                      <w14:textFill>
                        <w14:solidFill>
                          <w14:schemeClr w14:val="tx1"/>
                        </w14:solidFill>
                      </w14:textFill>
                    </w:rPr>
                    <w:t>成的</w:t>
                  </w:r>
                  <w:r>
                    <w:rPr>
                      <w:rFonts w:hint="eastAsia" w:cs="Times New Roman"/>
                      <w:color w:val="000000" w:themeColor="text1"/>
                      <w:sz w:val="21"/>
                      <w:szCs w:val="21"/>
                      <w:lang w:val="en-US" w:eastAsia="zh-CN"/>
                      <w14:textFill>
                        <w14:solidFill>
                          <w14:schemeClr w14:val="tx1"/>
                        </w14:solidFill>
                      </w14:textFill>
                    </w:rPr>
                    <w:t>化粪池与</w:t>
                  </w:r>
                  <w:r>
                    <w:rPr>
                      <w:rFonts w:hint="eastAsia" w:ascii="Times New Roman" w:hAnsi="Times New Roman" w:eastAsia="宋体" w:cs="Times New Roman"/>
                      <w:color w:val="000000" w:themeColor="text1"/>
                      <w:sz w:val="21"/>
                      <w:szCs w:val="21"/>
                      <w:lang w:eastAsia="zh-CN"/>
                      <w14:textFill>
                        <w14:solidFill>
                          <w14:schemeClr w14:val="tx1"/>
                        </w14:solidFill>
                      </w14:textFill>
                    </w:rPr>
                    <w:t>一体化污水处理设备处理达标后回用于绿化及道路浇洒，不外排。</w:t>
                  </w:r>
                </w:p>
              </w:tc>
              <w:tc>
                <w:tcPr>
                  <w:tcW w:w="615" w:type="pct"/>
                  <w:noWrap w:val="0"/>
                  <w:vAlign w:val="center"/>
                </w:tcPr>
                <w:p w14:paraId="089D90EE">
                  <w:pPr>
                    <w:keepNext w:val="0"/>
                    <w:keepLines w:val="0"/>
                    <w:pageBreakBefore w:val="0"/>
                    <w:kinsoku/>
                    <w:wordWrap/>
                    <w:overflowPunct/>
                    <w:topLinePunct w:val="0"/>
                    <w:autoSpaceDE/>
                    <w:autoSpaceDN/>
                    <w:bidi w:val="0"/>
                    <w:spacing w:line="240" w:lineRule="auto"/>
                    <w:ind w:firstLine="0"/>
                    <w:jc w:val="center"/>
                    <w:textAlignment w:val="auto"/>
                    <w:rPr>
                      <w:rFonts w:hint="default" w:ascii="Times New Roman" w:hAnsi="Times New Roman" w:cs="Times New Roman"/>
                      <w:color w:val="000000" w:themeColor="text1"/>
                      <w:kern w:val="1"/>
                      <w:sz w:val="21"/>
                      <w:szCs w:val="21"/>
                      <w14:textFill>
                        <w14:solidFill>
                          <w14:schemeClr w14:val="tx1"/>
                        </w14:solidFill>
                      </w14:textFill>
                    </w:rPr>
                  </w:pPr>
                  <w:r>
                    <w:rPr>
                      <w:rFonts w:hint="default" w:ascii="Times New Roman" w:hAnsi="Times New Roman" w:cs="Times New Roman"/>
                      <w:color w:val="000000" w:themeColor="text1"/>
                      <w:kern w:val="1"/>
                      <w:sz w:val="21"/>
                      <w:szCs w:val="21"/>
                      <w14:textFill>
                        <w14:solidFill>
                          <w14:schemeClr w14:val="tx1"/>
                        </w14:solidFill>
                      </w14:textFill>
                    </w:rPr>
                    <w:t>符合</w:t>
                  </w:r>
                </w:p>
              </w:tc>
            </w:tr>
            <w:tr w14:paraId="3A6CB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 w:type="pct"/>
                  <w:vMerge w:val="continue"/>
                  <w:noWrap w:val="0"/>
                  <w:vAlign w:val="center"/>
                </w:tcPr>
                <w:p w14:paraId="5A9BE772">
                  <w:pPr>
                    <w:keepNext w:val="0"/>
                    <w:keepLines w:val="0"/>
                    <w:pageBreakBefore w:val="0"/>
                    <w:kinsoku/>
                    <w:wordWrap/>
                    <w:overflowPunct/>
                    <w:topLinePunct w:val="0"/>
                    <w:autoSpaceDE/>
                    <w:autoSpaceDN/>
                    <w:bidi w:val="0"/>
                    <w:spacing w:line="240" w:lineRule="auto"/>
                    <w:ind w:firstLine="0"/>
                    <w:jc w:val="center"/>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286" w:type="pct"/>
                  <w:vMerge w:val="continue"/>
                  <w:noWrap w:val="0"/>
                  <w:vAlign w:val="center"/>
                </w:tcPr>
                <w:p w14:paraId="79C49752">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cs="Times New Roman"/>
                      <w:color w:val="000000" w:themeColor="text1"/>
                      <w:sz w:val="21"/>
                      <w:szCs w:val="21"/>
                      <w:lang w:eastAsia="zh-CN"/>
                      <w14:textFill>
                        <w14:solidFill>
                          <w14:schemeClr w14:val="tx1"/>
                        </w14:solidFill>
                      </w14:textFill>
                    </w:rPr>
                  </w:pPr>
                </w:p>
              </w:tc>
              <w:tc>
                <w:tcPr>
                  <w:tcW w:w="2106" w:type="pct"/>
                  <w:noWrap w:val="0"/>
                  <w:vAlign w:val="center"/>
                </w:tcPr>
                <w:p w14:paraId="7660FFA8">
                  <w:pPr>
                    <w:keepNext w:val="0"/>
                    <w:keepLines w:val="0"/>
                    <w:pageBreakBefore w:val="0"/>
                    <w:kinsoku/>
                    <w:wordWrap/>
                    <w:overflowPunct/>
                    <w:topLinePunct w:val="0"/>
                    <w:autoSpaceDE/>
                    <w:autoSpaceDN/>
                    <w:bidi w:val="0"/>
                    <w:spacing w:line="240" w:lineRule="auto"/>
                    <w:ind w:firstLine="0"/>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企业废气达标率100%，污水处理达标率100%，工业固废处理率100%，危险废物安全处置率100%，生活垃圾无害化处理率100%，工业固废综合利用率60%，中水回用率不低于30%，清洁能源使用率不低于60%，重点企业清洁生产审核实施比例100%，项目环境影响评价执行率100%，</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三同时</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执行率100%。</w:t>
                  </w:r>
                </w:p>
              </w:tc>
              <w:tc>
                <w:tcPr>
                  <w:tcW w:w="1699" w:type="pct"/>
                  <w:noWrap w:val="0"/>
                  <w:vAlign w:val="center"/>
                </w:tcPr>
                <w:p w14:paraId="6201EE77">
                  <w:pPr>
                    <w:keepNext w:val="0"/>
                    <w:keepLines w:val="0"/>
                    <w:pageBreakBefore w:val="0"/>
                    <w:kinsoku/>
                    <w:wordWrap/>
                    <w:overflowPunct/>
                    <w:topLinePunct w:val="0"/>
                    <w:autoSpaceDE/>
                    <w:autoSpaceDN/>
                    <w:bidi w:val="0"/>
                    <w:spacing w:line="240" w:lineRule="auto"/>
                    <w:ind w:firstLine="0"/>
                    <w:jc w:val="both"/>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项目废气经处理后达标排放，达标率</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100%</w:t>
                  </w:r>
                  <w:r>
                    <w:rPr>
                      <w:rFonts w:hint="eastAsia" w:ascii="Times New Roman" w:hAnsi="Times New Roman" w:eastAsia="宋体" w:cs="Times New Roman"/>
                      <w:color w:val="000000" w:themeColor="text1"/>
                      <w:sz w:val="21"/>
                      <w:szCs w:val="21"/>
                      <w:lang w:eastAsia="zh-CN"/>
                      <w14:textFill>
                        <w14:solidFill>
                          <w14:schemeClr w14:val="tx1"/>
                        </w14:solidFill>
                      </w14:textFill>
                    </w:rPr>
                    <w:t>；生活污水处理达标率</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100%</w:t>
                  </w:r>
                  <w:r>
                    <w:rPr>
                      <w:rFonts w:hint="eastAsia" w:ascii="Times New Roman" w:hAnsi="Times New Roman" w:eastAsia="宋体" w:cs="Times New Roman"/>
                      <w:color w:val="000000" w:themeColor="text1"/>
                      <w:sz w:val="21"/>
                      <w:szCs w:val="21"/>
                      <w:lang w:eastAsia="zh-CN"/>
                      <w14:textFill>
                        <w14:solidFill>
                          <w14:schemeClr w14:val="tx1"/>
                        </w14:solidFill>
                      </w14:textFill>
                    </w:rPr>
                    <w:t>；固体废弃物处置率、危险废物安全处置率、生活垃圾无害化处置率</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100%。项目工业固废</w:t>
                  </w:r>
                  <w:r>
                    <w:rPr>
                      <w:rFonts w:hint="eastAsia" w:cs="Times New Roman"/>
                      <w:color w:val="000000" w:themeColor="text1"/>
                      <w:sz w:val="21"/>
                      <w:szCs w:val="21"/>
                      <w:lang w:val="en-US" w:eastAsia="zh-CN"/>
                      <w14:textFill>
                        <w14:solidFill>
                          <w14:schemeClr w14:val="tx1"/>
                        </w14:solidFill>
                      </w14:textFill>
                    </w:rPr>
                    <w:t>大部分</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外售资源回收商</w:t>
                  </w:r>
                  <w:r>
                    <w:rPr>
                      <w:rFonts w:hint="eastAsia" w:cs="Times New Roman"/>
                      <w:color w:val="000000" w:themeColor="text1"/>
                      <w:sz w:val="21"/>
                      <w:szCs w:val="21"/>
                      <w:lang w:val="en-US" w:eastAsia="zh-CN"/>
                      <w14:textFill>
                        <w14:solidFill>
                          <w14:schemeClr w14:val="tx1"/>
                        </w14:solidFill>
                      </w14:textFill>
                    </w:rPr>
                    <w:t>已委托环卫部门清运</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，综合利用率达100%；中水</w:t>
                  </w:r>
                  <w:r>
                    <w:rPr>
                      <w:rFonts w:hint="eastAsia" w:cs="Times New Roman"/>
                      <w:color w:val="000000" w:themeColor="text1"/>
                      <w:sz w:val="21"/>
                      <w:szCs w:val="21"/>
                      <w:lang w:val="en-US" w:eastAsia="zh-CN"/>
                      <w14:textFill>
                        <w14:solidFill>
                          <w14:schemeClr w14:val="tx1"/>
                        </w14:solidFill>
                      </w14:textFill>
                    </w:rPr>
                    <w:t>能</w:t>
                  </w:r>
                  <w:r>
                    <w:rPr>
                      <w:rFonts w:hint="eastAsia" w:ascii="Times New Roman" w:hAnsi="Times New Roman" w:eastAsia="宋体" w:cs="Times New Roman"/>
                      <w:color w:val="000000" w:themeColor="text1"/>
                      <w:sz w:val="21"/>
                      <w:szCs w:val="21"/>
                      <w:lang w:eastAsia="zh-CN"/>
                      <w14:textFill>
                        <w14:solidFill>
                          <w14:schemeClr w14:val="tx1"/>
                        </w14:solidFill>
                      </w14:textFill>
                    </w:rPr>
                    <w:t>全部回用，</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回用率达</w:t>
                  </w:r>
                  <w:r>
                    <w:rPr>
                      <w:rFonts w:hint="eastAsia" w:cs="Times New Roman"/>
                      <w:color w:val="000000" w:themeColor="text1"/>
                      <w:sz w:val="21"/>
                      <w:szCs w:val="21"/>
                      <w:highlight w:val="none"/>
                      <w:lang w:val="en-US" w:eastAsia="zh-CN"/>
                      <w14:textFill>
                        <w14:solidFill>
                          <w14:schemeClr w14:val="tx1"/>
                        </w14:solidFill>
                      </w14:textFill>
                    </w:rPr>
                    <w:t>100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项目使用能源为电，均为清洁能源，清洁能源使用率100%；环境影响评价执行率100%，</w:t>
                  </w:r>
                  <w:r>
                    <w:rPr>
                      <w:rFonts w:hint="eastAsia" w:cs="Times New Roman"/>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三同时</w:t>
                  </w:r>
                  <w:r>
                    <w:rPr>
                      <w:rFonts w:hint="eastAsia" w:cs="Times New Roman"/>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执行率100%。</w:t>
                  </w:r>
                </w:p>
              </w:tc>
              <w:tc>
                <w:tcPr>
                  <w:tcW w:w="615" w:type="pct"/>
                  <w:noWrap w:val="0"/>
                  <w:vAlign w:val="center"/>
                </w:tcPr>
                <w:p w14:paraId="693D8777">
                  <w:pPr>
                    <w:keepNext w:val="0"/>
                    <w:keepLines w:val="0"/>
                    <w:pageBreakBefore w:val="0"/>
                    <w:kinsoku/>
                    <w:wordWrap/>
                    <w:overflowPunct/>
                    <w:topLinePunct w:val="0"/>
                    <w:autoSpaceDE/>
                    <w:autoSpaceDN/>
                    <w:bidi w:val="0"/>
                    <w:spacing w:line="240" w:lineRule="auto"/>
                    <w:ind w:firstLine="0"/>
                    <w:jc w:val="center"/>
                    <w:textAlignment w:val="auto"/>
                    <w:rPr>
                      <w:rFonts w:hint="default" w:ascii="Times New Roman" w:hAnsi="Times New Roman" w:cs="Times New Roman"/>
                      <w:color w:val="000000" w:themeColor="text1"/>
                      <w:kern w:val="1"/>
                      <w:sz w:val="21"/>
                      <w:szCs w:val="21"/>
                      <w14:textFill>
                        <w14:solidFill>
                          <w14:schemeClr w14:val="tx1"/>
                        </w14:solidFill>
                      </w14:textFill>
                    </w:rPr>
                  </w:pPr>
                  <w:r>
                    <w:rPr>
                      <w:rFonts w:hint="default" w:ascii="Times New Roman" w:hAnsi="Times New Roman" w:cs="Times New Roman"/>
                      <w:color w:val="000000" w:themeColor="text1"/>
                      <w:kern w:val="1"/>
                      <w:sz w:val="21"/>
                      <w:szCs w:val="21"/>
                      <w14:textFill>
                        <w14:solidFill>
                          <w14:schemeClr w14:val="tx1"/>
                        </w14:solidFill>
                      </w14:textFill>
                    </w:rPr>
                    <w:t>符合</w:t>
                  </w:r>
                </w:p>
              </w:tc>
            </w:tr>
            <w:tr w14:paraId="134A0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 w:type="pct"/>
                  <w:vMerge w:val="continue"/>
                  <w:noWrap w:val="0"/>
                  <w:vAlign w:val="center"/>
                </w:tcPr>
                <w:p w14:paraId="1918B70F">
                  <w:pPr>
                    <w:keepNext w:val="0"/>
                    <w:keepLines w:val="0"/>
                    <w:pageBreakBefore w:val="0"/>
                    <w:kinsoku/>
                    <w:wordWrap/>
                    <w:overflowPunct/>
                    <w:topLinePunct w:val="0"/>
                    <w:autoSpaceDE/>
                    <w:autoSpaceDN/>
                    <w:bidi w:val="0"/>
                    <w:spacing w:line="240" w:lineRule="auto"/>
                    <w:ind w:firstLine="0"/>
                    <w:jc w:val="center"/>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286" w:type="pct"/>
                  <w:vMerge w:val="restart"/>
                  <w:noWrap w:val="0"/>
                  <w:vAlign w:val="center"/>
                </w:tcPr>
                <w:p w14:paraId="5575646B">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cs="Times New Roman"/>
                      <w:color w:val="000000" w:themeColor="text1"/>
                      <w:sz w:val="21"/>
                      <w:szCs w:val="21"/>
                      <w:lang w:eastAsia="zh-CN"/>
                      <w14:textFill>
                        <w14:solidFill>
                          <w14:schemeClr w14:val="tx1"/>
                        </w14:solidFill>
                      </w14:textFill>
                    </w:rPr>
                  </w:pPr>
                  <w:r>
                    <w:rPr>
                      <w:rFonts w:hint="eastAsia" w:ascii="Times New Roman" w:hAnsi="Times New Roman" w:cs="Times New Roman"/>
                      <w:color w:val="000000" w:themeColor="text1"/>
                      <w:sz w:val="21"/>
                      <w:szCs w:val="21"/>
                      <w:lang w:eastAsia="zh-CN"/>
                      <w14:textFill>
                        <w14:solidFill>
                          <w14:schemeClr w14:val="tx1"/>
                        </w14:solidFill>
                      </w14:textFill>
                    </w:rPr>
                    <w:t>环境风险防控</w:t>
                  </w:r>
                </w:p>
              </w:tc>
              <w:tc>
                <w:tcPr>
                  <w:tcW w:w="2106" w:type="pct"/>
                  <w:noWrap w:val="0"/>
                  <w:vAlign w:val="center"/>
                </w:tcPr>
                <w:p w14:paraId="3E478CFB">
                  <w:pPr>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入驻企业生产区须</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雨污分流</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，并完善排污管网，所有废水必须处理后回用或达标排入园区污水管网，严禁废水事故外排</w:t>
                  </w:r>
                  <w:r>
                    <w:rPr>
                      <w:rFonts w:hint="eastAsia"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对于初期雨水需设置收集设施</w:t>
                  </w:r>
                  <w:r>
                    <w:rPr>
                      <w:rFonts w:hint="eastAsia" w:ascii="Times New Roman" w:hAnsi="Times New Roman" w:cs="Times New Roman"/>
                      <w:color w:val="000000" w:themeColor="text1"/>
                      <w:sz w:val="21"/>
                      <w:szCs w:val="21"/>
                      <w:lang w:eastAsia="zh-CN"/>
                      <w14:textFill>
                        <w14:solidFill>
                          <w14:schemeClr w14:val="tx1"/>
                        </w14:solidFill>
                      </w14:textFill>
                    </w:rPr>
                    <w:t>；对企业原料堆存场地、车间、污水处理</w:t>
                  </w:r>
                  <w:r>
                    <w:rPr>
                      <w:rFonts w:hint="default" w:ascii="Times New Roman" w:hAnsi="Times New Roman" w:cs="Times New Roman"/>
                      <w:color w:val="000000" w:themeColor="text1"/>
                      <w:sz w:val="21"/>
                      <w:szCs w:val="21"/>
                      <w14:textFill>
                        <w14:solidFill>
                          <w14:schemeClr w14:val="tx1"/>
                        </w14:solidFill>
                      </w14:textFill>
                    </w:rPr>
                    <w:t>设施需进行地面硬化，设置雨污分流设施，地坪冲洗水、各车间跑冒滴漏废水应做到封闭回用</w:t>
                  </w:r>
                  <w:r>
                    <w:rPr>
                      <w:rFonts w:hint="eastAsia"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对于油料贮存库必须采取防渗措施</w:t>
                  </w:r>
                  <w:r>
                    <w:rPr>
                      <w:rFonts w:hint="eastAsia"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处理设施确保稳定运行</w:t>
                  </w:r>
                  <w:r>
                    <w:rPr>
                      <w:rFonts w:hint="eastAsia"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加强企业内部环境风险</w:t>
                  </w:r>
                  <w:r>
                    <w:rPr>
                      <w:rFonts w:hint="eastAsia" w:ascii="Times New Roman" w:hAnsi="Times New Roman" w:cs="Times New Roman"/>
                      <w:color w:val="000000" w:themeColor="text1"/>
                      <w:sz w:val="21"/>
                      <w:szCs w:val="21"/>
                      <w:lang w:eastAsia="zh-CN"/>
                      <w14:textFill>
                        <w14:solidFill>
                          <w14:schemeClr w14:val="tx1"/>
                        </w14:solidFill>
                      </w14:textFill>
                    </w:rPr>
                    <w:t>三</w:t>
                  </w:r>
                  <w:r>
                    <w:rPr>
                      <w:rFonts w:hint="default" w:ascii="Times New Roman" w:hAnsi="Times New Roman" w:cs="Times New Roman"/>
                      <w:color w:val="000000" w:themeColor="text1"/>
                      <w:sz w:val="21"/>
                      <w:szCs w:val="21"/>
                      <w14:textFill>
                        <w14:solidFill>
                          <w14:schemeClr w14:val="tx1"/>
                        </w14:solidFill>
                      </w14:textFill>
                    </w:rPr>
                    <w:t>级防护措施，对涉风险的生产和储存设施设置围堰防护。</w:t>
                  </w:r>
                </w:p>
              </w:tc>
              <w:tc>
                <w:tcPr>
                  <w:tcW w:w="1699" w:type="pct"/>
                  <w:noWrap w:val="0"/>
                  <w:vAlign w:val="center"/>
                </w:tcPr>
                <w:p w14:paraId="121FFDFE">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项目施行</w:t>
                  </w:r>
                  <w:r>
                    <w:rPr>
                      <w:rFonts w:hint="eastAsia" w:cs="Times New Roman"/>
                      <w:color w:val="000000" w:themeColor="text1"/>
                      <w:sz w:val="21"/>
                      <w:szCs w:val="21"/>
                      <w:lang w:eastAsia="zh-CN"/>
                      <w14:textFill>
                        <w14:solidFill>
                          <w14:schemeClr w14:val="tx1"/>
                        </w14:solidFill>
                      </w14:textFill>
                    </w:rPr>
                    <w:t>“</w:t>
                  </w:r>
                  <w:r>
                    <w:rPr>
                      <w:rFonts w:hint="eastAsia" w:ascii="Times New Roman" w:hAnsi="Times New Roman" w:eastAsia="宋体" w:cs="Times New Roman"/>
                      <w:color w:val="000000" w:themeColor="text1"/>
                      <w:sz w:val="21"/>
                      <w:szCs w:val="21"/>
                      <w:lang w:eastAsia="zh-CN"/>
                      <w14:textFill>
                        <w14:solidFill>
                          <w14:schemeClr w14:val="tx1"/>
                        </w14:solidFill>
                      </w14:textFill>
                    </w:rPr>
                    <w:t>雨污分流</w:t>
                  </w:r>
                  <w:r>
                    <w:rPr>
                      <w:rFonts w:hint="eastAsia" w:cs="Times New Roman"/>
                      <w:color w:val="000000" w:themeColor="text1"/>
                      <w:sz w:val="21"/>
                      <w:szCs w:val="21"/>
                      <w:lang w:eastAsia="zh-CN"/>
                      <w14:textFill>
                        <w14:solidFill>
                          <w14:schemeClr w14:val="tx1"/>
                        </w14:solidFill>
                      </w14:textFill>
                    </w:rPr>
                    <w:t>”</w:t>
                  </w:r>
                  <w:r>
                    <w:rPr>
                      <w:rFonts w:hint="eastAsia" w:ascii="Times New Roman" w:hAnsi="Times New Roman" w:eastAsia="宋体" w:cs="Times New Roman"/>
                      <w:color w:val="000000" w:themeColor="text1"/>
                      <w:sz w:val="21"/>
                      <w:szCs w:val="21"/>
                      <w:lang w:eastAsia="zh-CN"/>
                      <w14:textFill>
                        <w14:solidFill>
                          <w14:schemeClr w14:val="tx1"/>
                        </w14:solidFill>
                      </w14:textFill>
                    </w:rPr>
                    <w:t>，雨水经雨水管道外排至园区雨水管网</w:t>
                  </w:r>
                  <w:r>
                    <w:rPr>
                      <w:rFonts w:hint="eastAsia" w:cs="Times New Roman"/>
                      <w:color w:val="000000" w:themeColor="text1"/>
                      <w:sz w:val="21"/>
                      <w:szCs w:val="21"/>
                      <w:lang w:eastAsia="zh-CN"/>
                      <w14:textFill>
                        <w14:solidFill>
                          <w14:schemeClr w14:val="tx1"/>
                        </w14:solidFill>
                      </w14:textFill>
                    </w:rPr>
                    <w:t>；</w:t>
                  </w:r>
                  <w:r>
                    <w:rPr>
                      <w:rFonts w:hint="eastAsia" w:ascii="Times New Roman" w:hAnsi="Times New Roman" w:eastAsia="宋体" w:cs="Times New Roman"/>
                      <w:color w:val="000000" w:themeColor="text1"/>
                      <w:sz w:val="21"/>
                      <w:szCs w:val="21"/>
                      <w:lang w:eastAsia="zh-CN"/>
                      <w14:textFill>
                        <w14:solidFill>
                          <w14:schemeClr w14:val="tx1"/>
                        </w14:solidFill>
                      </w14:textFill>
                    </w:rPr>
                    <w:t>生产冷却废水循环回用，生活污水经处理达标后全部回用</w:t>
                  </w:r>
                  <w:r>
                    <w:rPr>
                      <w:rFonts w:hint="eastAsia"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依托联帆科技有限公司的</w:t>
                  </w:r>
                  <w:r>
                    <w:rPr>
                      <w:rFonts w:hint="eastAsia" w:cs="Times New Roman"/>
                      <w:color w:val="000000" w:themeColor="text1"/>
                      <w:sz w:val="21"/>
                      <w:szCs w:val="21"/>
                      <w:lang w:eastAsia="zh-CN"/>
                      <w14:textFill>
                        <w14:solidFill>
                          <w14:schemeClr w14:val="tx1"/>
                        </w14:solidFill>
                      </w14:textFill>
                    </w:rPr>
                    <w:t>污水处理设施</w:t>
                  </w:r>
                  <w:r>
                    <w:rPr>
                      <w:rFonts w:hint="eastAsia" w:cs="Times New Roman"/>
                      <w:color w:val="000000" w:themeColor="text1"/>
                      <w:sz w:val="21"/>
                      <w:szCs w:val="21"/>
                      <w:lang w:val="en-US" w:eastAsia="zh-CN"/>
                      <w14:textFill>
                        <w14:solidFill>
                          <w14:schemeClr w14:val="tx1"/>
                        </w14:solidFill>
                      </w14:textFill>
                    </w:rPr>
                    <w:t>已</w:t>
                  </w:r>
                  <w:r>
                    <w:rPr>
                      <w:rFonts w:hint="eastAsia" w:cs="Times New Roman"/>
                      <w:color w:val="000000" w:themeColor="text1"/>
                      <w:sz w:val="21"/>
                      <w:szCs w:val="21"/>
                      <w:lang w:eastAsia="zh-CN"/>
                      <w14:textFill>
                        <w14:solidFill>
                          <w14:schemeClr w14:val="tx1"/>
                        </w14:solidFill>
                      </w14:textFill>
                    </w:rPr>
                    <w:t>进行地面硬化</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本次环评已要求危废贮存设施</w:t>
                  </w:r>
                  <w:r>
                    <w:rPr>
                      <w:rFonts w:hint="eastAsia" w:ascii="Times New Roman" w:hAnsi="Times New Roman" w:eastAsia="宋体" w:cs="Times New Roman"/>
                      <w:color w:val="000000" w:themeColor="text1"/>
                      <w:sz w:val="21"/>
                      <w:szCs w:val="21"/>
                      <w:lang w:eastAsia="zh-CN"/>
                      <w14:textFill>
                        <w14:solidFill>
                          <w14:schemeClr w14:val="tx1"/>
                        </w14:solidFill>
                      </w14:textFill>
                    </w:rPr>
                    <w:t>设置防渗</w:t>
                  </w:r>
                  <w:r>
                    <w:rPr>
                      <w:rFonts w:hint="eastAsia" w:cs="Times New Roman"/>
                      <w:color w:val="000000" w:themeColor="text1"/>
                      <w:sz w:val="21"/>
                      <w:szCs w:val="21"/>
                      <w:lang w:eastAsia="zh-CN"/>
                      <w14:textFill>
                        <w14:solidFill>
                          <w14:schemeClr w14:val="tx1"/>
                        </w14:solidFill>
                      </w14:textFill>
                    </w:rPr>
                    <w:t>、</w:t>
                  </w:r>
                  <w:r>
                    <w:rPr>
                      <w:rFonts w:hint="eastAsia" w:ascii="Times New Roman" w:hAnsi="Times New Roman" w:eastAsia="宋体" w:cs="Times New Roman"/>
                      <w:color w:val="000000" w:themeColor="text1"/>
                      <w:sz w:val="21"/>
                      <w:szCs w:val="21"/>
                      <w:lang w:eastAsia="zh-CN"/>
                      <w14:textFill>
                        <w14:solidFill>
                          <w14:schemeClr w14:val="tx1"/>
                        </w14:solidFill>
                      </w14:textFill>
                    </w:rPr>
                    <w:t>托盘。</w:t>
                  </w:r>
                </w:p>
              </w:tc>
              <w:tc>
                <w:tcPr>
                  <w:tcW w:w="615" w:type="pct"/>
                  <w:noWrap w:val="0"/>
                  <w:vAlign w:val="center"/>
                </w:tcPr>
                <w:p w14:paraId="0A922ECB">
                  <w:pPr>
                    <w:keepNext w:val="0"/>
                    <w:keepLines w:val="0"/>
                    <w:pageBreakBefore w:val="0"/>
                    <w:kinsoku/>
                    <w:wordWrap/>
                    <w:overflowPunct/>
                    <w:topLinePunct w:val="0"/>
                    <w:autoSpaceDE/>
                    <w:autoSpaceDN/>
                    <w:bidi w:val="0"/>
                    <w:spacing w:line="240" w:lineRule="auto"/>
                    <w:ind w:firstLine="0"/>
                    <w:jc w:val="center"/>
                    <w:textAlignment w:val="auto"/>
                    <w:rPr>
                      <w:rFonts w:hint="eastAsia" w:ascii="Times New Roman" w:hAnsi="Times New Roman" w:eastAsia="宋体" w:cs="Times New Roman"/>
                      <w:color w:val="000000" w:themeColor="text1"/>
                      <w:kern w:val="1"/>
                      <w:sz w:val="21"/>
                      <w:szCs w:val="21"/>
                      <w:lang w:eastAsia="zh-CN"/>
                      <w14:textFill>
                        <w14:solidFill>
                          <w14:schemeClr w14:val="tx1"/>
                        </w14:solidFill>
                      </w14:textFill>
                    </w:rPr>
                  </w:pPr>
                  <w:r>
                    <w:rPr>
                      <w:rFonts w:hint="eastAsia" w:ascii="Times New Roman" w:hAnsi="Times New Roman" w:cs="Times New Roman"/>
                      <w:color w:val="000000" w:themeColor="text1"/>
                      <w:kern w:val="1"/>
                      <w:sz w:val="21"/>
                      <w:szCs w:val="21"/>
                      <w:lang w:eastAsia="zh-CN"/>
                      <w14:textFill>
                        <w14:solidFill>
                          <w14:schemeClr w14:val="tx1"/>
                        </w14:solidFill>
                      </w14:textFill>
                    </w:rPr>
                    <w:t>符合</w:t>
                  </w:r>
                </w:p>
              </w:tc>
            </w:tr>
            <w:tr w14:paraId="6A137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 w:type="pct"/>
                  <w:vMerge w:val="continue"/>
                  <w:noWrap w:val="0"/>
                  <w:vAlign w:val="center"/>
                </w:tcPr>
                <w:p w14:paraId="2A1D7CC6">
                  <w:pPr>
                    <w:keepNext w:val="0"/>
                    <w:keepLines w:val="0"/>
                    <w:pageBreakBefore w:val="0"/>
                    <w:kinsoku/>
                    <w:wordWrap/>
                    <w:overflowPunct/>
                    <w:topLinePunct w:val="0"/>
                    <w:autoSpaceDE/>
                    <w:autoSpaceDN/>
                    <w:bidi w:val="0"/>
                    <w:spacing w:line="240" w:lineRule="auto"/>
                    <w:ind w:firstLine="0"/>
                    <w:jc w:val="center"/>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286" w:type="pct"/>
                  <w:vMerge w:val="continue"/>
                  <w:noWrap w:val="0"/>
                  <w:vAlign w:val="center"/>
                </w:tcPr>
                <w:p w14:paraId="629E4E04">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cs="Times New Roman"/>
                      <w:color w:val="000000" w:themeColor="text1"/>
                      <w:sz w:val="21"/>
                      <w:szCs w:val="21"/>
                      <w:lang w:eastAsia="zh-CN"/>
                      <w14:textFill>
                        <w14:solidFill>
                          <w14:schemeClr w14:val="tx1"/>
                        </w14:solidFill>
                      </w14:textFill>
                    </w:rPr>
                  </w:pPr>
                </w:p>
              </w:tc>
              <w:tc>
                <w:tcPr>
                  <w:tcW w:w="2106" w:type="pct"/>
                  <w:noWrap w:val="0"/>
                  <w:vAlign w:val="center"/>
                </w:tcPr>
                <w:p w14:paraId="79B824EE">
                  <w:pPr>
                    <w:keepNext w:val="0"/>
                    <w:keepLines w:val="0"/>
                    <w:pageBreakBefore w:val="0"/>
                    <w:kinsoku/>
                    <w:wordWrap/>
                    <w:overflowPunct/>
                    <w:topLinePunct w:val="0"/>
                    <w:autoSpaceDE/>
                    <w:autoSpaceDN/>
                    <w:bidi w:val="0"/>
                    <w:spacing w:line="240" w:lineRule="auto"/>
                    <w:ind w:firstLine="0"/>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固废堆存场应按照各固废属性鉴别结果按相关要求进行防渗，同时设置防雨淋、防流失设施，并在四周设置地沟收集跑冒滴漏，防止雨水对固废侵蚀造成地下水污染</w:t>
                  </w:r>
                  <w:r>
                    <w:rPr>
                      <w:rFonts w:hint="eastAsia"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危废临时储存设施的选址、防渗设计等应严格遵守《危险废物贮存污染控制标准》</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GB18597-2001</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 xml:space="preserve"> 的规定，并交由有资质的单位处置。</w:t>
                  </w:r>
                </w:p>
              </w:tc>
              <w:tc>
                <w:tcPr>
                  <w:tcW w:w="1699" w:type="pct"/>
                  <w:noWrap w:val="0"/>
                  <w:vAlign w:val="center"/>
                </w:tcPr>
                <w:p w14:paraId="00B1811E">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项目一般固废、生活固废、危险废物分开</w:t>
                  </w:r>
                  <w:r>
                    <w:rPr>
                      <w:rFonts w:hint="eastAsia" w:cs="Times New Roman"/>
                      <w:color w:val="000000" w:themeColor="text1"/>
                      <w:sz w:val="21"/>
                      <w:szCs w:val="21"/>
                      <w:lang w:val="en-US" w:eastAsia="zh-CN"/>
                      <w14:textFill>
                        <w14:solidFill>
                          <w14:schemeClr w14:val="tx1"/>
                        </w14:solidFill>
                      </w14:textFill>
                    </w:rPr>
                    <w:t>存放</w:t>
                  </w:r>
                  <w:r>
                    <w:rPr>
                      <w:rFonts w:hint="eastAsia" w:ascii="Times New Roman" w:hAnsi="Times New Roman" w:eastAsia="宋体" w:cs="Times New Roman"/>
                      <w:color w:val="000000" w:themeColor="text1"/>
                      <w:sz w:val="21"/>
                      <w:szCs w:val="21"/>
                      <w:lang w:eastAsia="zh-CN"/>
                      <w14:textFill>
                        <w14:solidFill>
                          <w14:schemeClr w14:val="tx1"/>
                        </w14:solidFill>
                      </w14:textFill>
                    </w:rPr>
                    <w:t>，一般固废及危险废物均设置于封闭厂房内，生活垃圾堆放于带盖垃圾桶内，满足</w:t>
                  </w:r>
                  <w:r>
                    <w:rPr>
                      <w:rFonts w:hint="default" w:ascii="Times New Roman" w:hAnsi="Times New Roman" w:cs="Times New Roman"/>
                      <w:color w:val="000000" w:themeColor="text1"/>
                      <w:sz w:val="21"/>
                      <w:szCs w:val="21"/>
                      <w14:textFill>
                        <w14:solidFill>
                          <w14:schemeClr w14:val="tx1"/>
                        </w14:solidFill>
                      </w14:textFill>
                    </w:rPr>
                    <w:t>防雨淋、防流失</w:t>
                  </w:r>
                  <w:r>
                    <w:rPr>
                      <w:rFonts w:hint="eastAsia" w:ascii="Times New Roman" w:hAnsi="Times New Roman" w:cs="Times New Roman"/>
                      <w:color w:val="000000" w:themeColor="text1"/>
                      <w:sz w:val="21"/>
                      <w:szCs w:val="21"/>
                      <w:lang w:eastAsia="zh-CN"/>
                      <w14:textFill>
                        <w14:solidFill>
                          <w14:schemeClr w14:val="tx1"/>
                        </w14:solidFill>
                      </w14:textFill>
                    </w:rPr>
                    <w:t>；危险废物暂存间地面</w:t>
                  </w:r>
                  <w:r>
                    <w:rPr>
                      <w:rFonts w:hint="eastAsia" w:ascii="Times New Roman" w:hAnsi="Times New Roman" w:cs="Times New Roman"/>
                      <w:color w:val="000000" w:themeColor="text1"/>
                      <w:sz w:val="21"/>
                      <w:szCs w:val="21"/>
                      <w:lang w:val="en-US" w:eastAsia="zh-CN"/>
                      <w14:textFill>
                        <w14:solidFill>
                          <w14:schemeClr w14:val="tx1"/>
                        </w14:solidFill>
                      </w14:textFill>
                    </w:rPr>
                    <w:t>按控制标准设计，危险废物</w:t>
                  </w:r>
                  <w:r>
                    <w:rPr>
                      <w:rFonts w:hint="eastAsia" w:ascii="Times New Roman" w:hAnsi="Times New Roman" w:cs="Times New Roman"/>
                      <w:color w:val="000000" w:themeColor="text1"/>
                      <w:sz w:val="21"/>
                      <w:szCs w:val="21"/>
                      <w:lang w:eastAsia="zh-CN"/>
                      <w14:textFill>
                        <w14:solidFill>
                          <w14:schemeClr w14:val="tx1"/>
                        </w14:solidFill>
                      </w14:textFill>
                    </w:rPr>
                    <w:t>定期交由有资质单位处置。</w:t>
                  </w:r>
                </w:p>
              </w:tc>
              <w:tc>
                <w:tcPr>
                  <w:tcW w:w="615" w:type="pct"/>
                  <w:noWrap w:val="0"/>
                  <w:vAlign w:val="center"/>
                </w:tcPr>
                <w:p w14:paraId="40E4CD76">
                  <w:pPr>
                    <w:keepNext w:val="0"/>
                    <w:keepLines w:val="0"/>
                    <w:pageBreakBefore w:val="0"/>
                    <w:kinsoku/>
                    <w:wordWrap/>
                    <w:overflowPunct/>
                    <w:topLinePunct w:val="0"/>
                    <w:autoSpaceDE/>
                    <w:autoSpaceDN/>
                    <w:bidi w:val="0"/>
                    <w:spacing w:line="240" w:lineRule="auto"/>
                    <w:ind w:firstLine="0"/>
                    <w:jc w:val="center"/>
                    <w:textAlignment w:val="auto"/>
                    <w:rPr>
                      <w:rFonts w:hint="eastAsia" w:ascii="Times New Roman" w:hAnsi="Times New Roman" w:eastAsia="宋体" w:cs="Times New Roman"/>
                      <w:color w:val="000000" w:themeColor="text1"/>
                      <w:kern w:val="1"/>
                      <w:sz w:val="21"/>
                      <w:szCs w:val="21"/>
                      <w:lang w:eastAsia="zh-CN"/>
                      <w14:textFill>
                        <w14:solidFill>
                          <w14:schemeClr w14:val="tx1"/>
                        </w14:solidFill>
                      </w14:textFill>
                    </w:rPr>
                  </w:pPr>
                  <w:r>
                    <w:rPr>
                      <w:rFonts w:hint="eastAsia" w:ascii="Times New Roman" w:hAnsi="Times New Roman" w:cs="Times New Roman"/>
                      <w:color w:val="000000" w:themeColor="text1"/>
                      <w:kern w:val="1"/>
                      <w:sz w:val="21"/>
                      <w:szCs w:val="21"/>
                      <w:lang w:eastAsia="zh-CN"/>
                      <w14:textFill>
                        <w14:solidFill>
                          <w14:schemeClr w14:val="tx1"/>
                        </w14:solidFill>
                      </w14:textFill>
                    </w:rPr>
                    <w:t>符合</w:t>
                  </w:r>
                </w:p>
              </w:tc>
            </w:tr>
            <w:tr w14:paraId="490C0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 w:type="pct"/>
                  <w:vMerge w:val="continue"/>
                  <w:noWrap w:val="0"/>
                  <w:vAlign w:val="center"/>
                </w:tcPr>
                <w:p w14:paraId="2E5025A2">
                  <w:pPr>
                    <w:keepNext w:val="0"/>
                    <w:keepLines w:val="0"/>
                    <w:pageBreakBefore w:val="0"/>
                    <w:kinsoku/>
                    <w:wordWrap/>
                    <w:overflowPunct/>
                    <w:topLinePunct w:val="0"/>
                    <w:autoSpaceDE/>
                    <w:autoSpaceDN/>
                    <w:bidi w:val="0"/>
                    <w:spacing w:line="240" w:lineRule="auto"/>
                    <w:ind w:firstLine="0"/>
                    <w:jc w:val="center"/>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286" w:type="pct"/>
                  <w:vMerge w:val="continue"/>
                  <w:noWrap w:val="0"/>
                  <w:vAlign w:val="center"/>
                </w:tcPr>
                <w:p w14:paraId="6E23DD89">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cs="Times New Roman"/>
                      <w:color w:val="000000" w:themeColor="text1"/>
                      <w:sz w:val="21"/>
                      <w:szCs w:val="21"/>
                      <w:lang w:eastAsia="zh-CN"/>
                      <w14:textFill>
                        <w14:solidFill>
                          <w14:schemeClr w14:val="tx1"/>
                        </w14:solidFill>
                      </w14:textFill>
                    </w:rPr>
                  </w:pPr>
                </w:p>
              </w:tc>
              <w:tc>
                <w:tcPr>
                  <w:tcW w:w="2106" w:type="pct"/>
                  <w:noWrap w:val="0"/>
                  <w:vAlign w:val="center"/>
                </w:tcPr>
                <w:p w14:paraId="6AAB29C8">
                  <w:pPr>
                    <w:keepNext w:val="0"/>
                    <w:keepLines w:val="0"/>
                    <w:pageBreakBefore w:val="0"/>
                    <w:kinsoku/>
                    <w:wordWrap/>
                    <w:overflowPunct/>
                    <w:topLinePunct w:val="0"/>
                    <w:autoSpaceDE/>
                    <w:autoSpaceDN/>
                    <w:bidi w:val="0"/>
                    <w:spacing w:line="240" w:lineRule="auto"/>
                    <w:ind w:firstLine="0"/>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强化企业环境风险防范设施设备建设和运行监管，制定突发环境事件应急预案，建立企业隐患排查整治常态化监管机制，加强企业环境应急预案与园区综合环境应急预案的衔接，加强区域应急物资调配管理，组织园区范围内的环境安全隐患排查应急培训和演练，构建区域环境风险联控机制。</w:t>
                  </w:r>
                </w:p>
              </w:tc>
              <w:tc>
                <w:tcPr>
                  <w:tcW w:w="1699" w:type="pct"/>
                  <w:noWrap w:val="0"/>
                  <w:vAlign w:val="center"/>
                </w:tcPr>
                <w:p w14:paraId="1CD138A4">
                  <w:pPr>
                    <w:keepNext w:val="0"/>
                    <w:keepLines w:val="0"/>
                    <w:pageBreakBefore w:val="0"/>
                    <w:kinsoku/>
                    <w:wordWrap/>
                    <w:overflowPunct/>
                    <w:topLinePunct w:val="0"/>
                    <w:autoSpaceDE/>
                    <w:autoSpaceDN/>
                    <w:bidi w:val="0"/>
                    <w:spacing w:line="240" w:lineRule="auto"/>
                    <w:ind w:firstLine="0"/>
                    <w:jc w:val="both"/>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环评要求</w:t>
                  </w:r>
                  <w:r>
                    <w:rPr>
                      <w:rFonts w:hint="eastAsia" w:ascii="Times New Roman" w:hAnsi="Times New Roman" w:eastAsia="宋体" w:cs="Times New Roman"/>
                      <w:color w:val="000000" w:themeColor="text1"/>
                      <w:sz w:val="21"/>
                      <w:szCs w:val="21"/>
                      <w:lang w:eastAsia="zh-CN"/>
                      <w14:textFill>
                        <w14:solidFill>
                          <w14:schemeClr w14:val="tx1"/>
                        </w14:solidFill>
                      </w14:textFill>
                    </w:rPr>
                    <w:t>项目建成投产后及时制定</w:t>
                  </w:r>
                  <w:r>
                    <w:rPr>
                      <w:rFonts w:hint="default" w:ascii="Times New Roman" w:hAnsi="Times New Roman" w:cs="Times New Roman"/>
                      <w:color w:val="000000" w:themeColor="text1"/>
                      <w:sz w:val="21"/>
                      <w:szCs w:val="21"/>
                      <w14:textFill>
                        <w14:solidFill>
                          <w14:schemeClr w14:val="tx1"/>
                        </w14:solidFill>
                      </w14:textFill>
                    </w:rPr>
                    <w:t>突发环境事件应急预案</w:t>
                  </w:r>
                  <w:r>
                    <w:rPr>
                      <w:rFonts w:hint="eastAsia" w:ascii="Times New Roman" w:hAnsi="Times New Roman" w:cs="Times New Roman"/>
                      <w:color w:val="000000" w:themeColor="text1"/>
                      <w:sz w:val="21"/>
                      <w:szCs w:val="21"/>
                      <w:lang w:eastAsia="zh-CN"/>
                      <w14:textFill>
                        <w14:solidFill>
                          <w14:schemeClr w14:val="tx1"/>
                        </w14:solidFill>
                      </w14:textFill>
                    </w:rPr>
                    <w:t>，并到生态环境部门备案，定期进行应急演练。</w:t>
                  </w:r>
                </w:p>
              </w:tc>
              <w:tc>
                <w:tcPr>
                  <w:tcW w:w="615" w:type="pct"/>
                  <w:noWrap w:val="0"/>
                  <w:vAlign w:val="center"/>
                </w:tcPr>
                <w:p w14:paraId="430CA52A">
                  <w:pPr>
                    <w:keepNext w:val="0"/>
                    <w:keepLines w:val="0"/>
                    <w:pageBreakBefore w:val="0"/>
                    <w:kinsoku/>
                    <w:wordWrap/>
                    <w:overflowPunct/>
                    <w:topLinePunct w:val="0"/>
                    <w:autoSpaceDE/>
                    <w:autoSpaceDN/>
                    <w:bidi w:val="0"/>
                    <w:spacing w:line="240" w:lineRule="auto"/>
                    <w:ind w:firstLine="0"/>
                    <w:jc w:val="center"/>
                    <w:textAlignment w:val="auto"/>
                    <w:rPr>
                      <w:rFonts w:hint="eastAsia" w:ascii="Times New Roman" w:hAnsi="Times New Roman" w:eastAsia="宋体" w:cs="Times New Roman"/>
                      <w:color w:val="000000" w:themeColor="text1"/>
                      <w:kern w:val="1"/>
                      <w:sz w:val="21"/>
                      <w:szCs w:val="21"/>
                      <w:lang w:eastAsia="zh-CN"/>
                      <w14:textFill>
                        <w14:solidFill>
                          <w14:schemeClr w14:val="tx1"/>
                        </w14:solidFill>
                      </w14:textFill>
                    </w:rPr>
                  </w:pPr>
                  <w:r>
                    <w:rPr>
                      <w:rFonts w:hint="eastAsia" w:ascii="Times New Roman" w:hAnsi="Times New Roman" w:cs="Times New Roman"/>
                      <w:color w:val="000000" w:themeColor="text1"/>
                      <w:kern w:val="1"/>
                      <w:sz w:val="21"/>
                      <w:szCs w:val="21"/>
                      <w:lang w:eastAsia="zh-CN"/>
                      <w14:textFill>
                        <w14:solidFill>
                          <w14:schemeClr w14:val="tx1"/>
                        </w14:solidFill>
                      </w14:textFill>
                    </w:rPr>
                    <w:t>符合</w:t>
                  </w:r>
                </w:p>
              </w:tc>
            </w:tr>
          </w:tbl>
          <w:p w14:paraId="044526FF">
            <w:pPr>
              <w:pStyle w:val="79"/>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根据上表可知，本项目建设符合《云南易门产业园区总体规划（修编）（2021-2035）环境影响报告书》入驻项目</w:t>
            </w:r>
            <w:r>
              <w:rPr>
                <w:rFonts w:hint="eastAsia"/>
                <w:color w:val="000000" w:themeColor="text1"/>
                <w:lang w:eastAsia="zh-CN"/>
                <w14:textFill>
                  <w14:solidFill>
                    <w14:schemeClr w14:val="tx1"/>
                  </w14:solidFill>
                </w14:textFill>
              </w:rPr>
              <w:t>相关</w:t>
            </w:r>
            <w:r>
              <w:rPr>
                <w:rFonts w:hint="eastAsia"/>
                <w:color w:val="000000" w:themeColor="text1"/>
                <w14:textFill>
                  <w14:solidFill>
                    <w14:schemeClr w14:val="tx1"/>
                  </w14:solidFill>
                </w14:textFill>
              </w:rPr>
              <w:t>要求。</w:t>
            </w:r>
          </w:p>
          <w:p w14:paraId="2369C3C1">
            <w:pPr>
              <w:pStyle w:val="79"/>
              <w:bidi w:val="0"/>
              <w:rPr>
                <w:rFonts w:hint="eastAsia"/>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eastAsia"/>
                <w:color w:val="000000" w:themeColor="text1"/>
                <w:lang w:eastAsia="zh-CN"/>
                <w14:textFill>
                  <w14:solidFill>
                    <w14:schemeClr w14:val="tx1"/>
                  </w14:solidFill>
                </w14:textFill>
              </w:rPr>
              <w:t>规划环评审查意见符合性分析</w:t>
            </w:r>
          </w:p>
          <w:p w14:paraId="6C6C760A">
            <w:pPr>
              <w:pStyle w:val="79"/>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根据</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玉溪市生态环境局关于《云南易门产业园区总体规划（修编）（2021-2035）环境影响报告书》审查意见的函（玉市环函</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2022</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32号）</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内容，结合本项目规划建设情况，本项目与规划环评符合性分析见</w:t>
            </w:r>
            <w:r>
              <w:rPr>
                <w:rFonts w:hint="eastAsia"/>
                <w:color w:val="000000" w:themeColor="text1"/>
                <w:lang w:eastAsia="zh-CN"/>
                <w14:textFill>
                  <w14:solidFill>
                    <w14:schemeClr w14:val="tx1"/>
                  </w14:solidFill>
                </w14:textFill>
              </w:rPr>
              <w:t>下表</w:t>
            </w:r>
            <w:r>
              <w:rPr>
                <w:rFonts w:hint="eastAsia"/>
                <w:color w:val="000000" w:themeColor="text1"/>
                <w14:textFill>
                  <w14:solidFill>
                    <w14:schemeClr w14:val="tx1"/>
                  </w14:solidFill>
                </w14:textFill>
              </w:rPr>
              <w:t>。</w:t>
            </w:r>
          </w:p>
          <w:p w14:paraId="01C0DD7E">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bCs/>
                <w:color w:val="000000" w:themeColor="text1"/>
                <w:sz w:val="21"/>
                <w:szCs w:val="21"/>
                <w14:textFill>
                  <w14:solidFill>
                    <w14:schemeClr w14:val="tx1"/>
                  </w14:solidFill>
                </w14:textFill>
              </w:rPr>
            </w:pPr>
            <w:bookmarkStart w:id="9" w:name="_Ref10152"/>
            <w:r>
              <w:rPr>
                <w:rFonts w:hint="eastAsia"/>
                <w:b/>
                <w:bCs/>
                <w:color w:val="000000" w:themeColor="text1"/>
                <w:sz w:val="21"/>
                <w:szCs w:val="21"/>
                <w14:textFill>
                  <w14:solidFill>
                    <w14:schemeClr w14:val="tx1"/>
                  </w14:solidFill>
                </w14:textFill>
              </w:rPr>
              <w:t>表</w:t>
            </w:r>
            <w:bookmarkEnd w:id="9"/>
            <w:r>
              <w:rPr>
                <w:rFonts w:hint="eastAsia"/>
                <w:b/>
                <w:bCs/>
                <w:color w:val="000000" w:themeColor="text1"/>
                <w:sz w:val="21"/>
                <w:szCs w:val="21"/>
                <w:lang w:val="en-US" w:eastAsia="zh-CN"/>
                <w14:textFill>
                  <w14:solidFill>
                    <w14:schemeClr w14:val="tx1"/>
                  </w14:solidFill>
                </w14:textFill>
              </w:rPr>
              <w:t xml:space="preserve">1-3  </w:t>
            </w:r>
            <w:r>
              <w:rPr>
                <w:rFonts w:hint="eastAsia"/>
                <w:b/>
                <w:bCs/>
                <w:color w:val="000000" w:themeColor="text1"/>
                <w:sz w:val="21"/>
                <w:szCs w:val="21"/>
                <w14:textFill>
                  <w14:solidFill>
                    <w14:schemeClr w14:val="tx1"/>
                  </w14:solidFill>
                </w14:textFill>
              </w:rPr>
              <w:t xml:space="preserve"> 项目建设与规划环评</w:t>
            </w:r>
            <w:r>
              <w:rPr>
                <w:rFonts w:hint="eastAsia"/>
                <w:b/>
                <w:bCs/>
                <w:color w:val="000000" w:themeColor="text1"/>
                <w:sz w:val="21"/>
                <w:szCs w:val="21"/>
                <w:lang w:val="en-US" w:eastAsia="zh-CN"/>
                <w14:textFill>
                  <w14:solidFill>
                    <w14:schemeClr w14:val="tx1"/>
                  </w14:solidFill>
                </w14:textFill>
              </w:rPr>
              <w:t>审查意见</w:t>
            </w:r>
            <w:r>
              <w:rPr>
                <w:rFonts w:hint="eastAsia"/>
                <w:b/>
                <w:bCs/>
                <w:color w:val="000000" w:themeColor="text1"/>
                <w:sz w:val="21"/>
                <w:szCs w:val="21"/>
                <w14:textFill>
                  <w14:solidFill>
                    <w14:schemeClr w14:val="tx1"/>
                  </w14:solidFill>
                </w14:textFill>
              </w:rPr>
              <w:t>符合性分析</w:t>
            </w:r>
          </w:p>
          <w:tbl>
            <w:tblPr>
              <w:tblStyle w:val="31"/>
              <w:tblW w:w="71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846"/>
              <w:gridCol w:w="3040"/>
              <w:gridCol w:w="1830"/>
              <w:gridCol w:w="821"/>
            </w:tblGrid>
            <w:tr w14:paraId="41873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3043" w:type="pct"/>
                  <w:gridSpan w:val="3"/>
                  <w:noWrap w:val="0"/>
                  <w:vAlign w:val="center"/>
                </w:tcPr>
                <w:p w14:paraId="2E913B20">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规划环评审查意见要求</w:t>
                  </w:r>
                </w:p>
              </w:tc>
              <w:tc>
                <w:tcPr>
                  <w:tcW w:w="1329" w:type="pct"/>
                  <w:noWrap w:val="0"/>
                  <w:vAlign w:val="center"/>
                </w:tcPr>
                <w:p w14:paraId="31DBCA26">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本项目情况</w:t>
                  </w:r>
                </w:p>
              </w:tc>
              <w:tc>
                <w:tcPr>
                  <w:tcW w:w="626" w:type="pct"/>
                  <w:noWrap w:val="0"/>
                  <w:vAlign w:val="center"/>
                </w:tcPr>
                <w:p w14:paraId="3BE8E2BD">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符合性</w:t>
                  </w:r>
                </w:p>
              </w:tc>
            </w:tr>
            <w:tr w14:paraId="1208D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72" w:type="pct"/>
                  <w:vMerge w:val="restart"/>
                  <w:noWrap w:val="0"/>
                  <w:vAlign w:val="center"/>
                </w:tcPr>
                <w:p w14:paraId="0A5E66F2">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《规划》优化调整和实施过程中的意见建议</w:t>
                  </w:r>
                </w:p>
              </w:tc>
              <w:tc>
                <w:tcPr>
                  <w:tcW w:w="499" w:type="pct"/>
                  <w:noWrap w:val="0"/>
                  <w:vAlign w:val="center"/>
                </w:tcPr>
                <w:p w14:paraId="2136B8DC">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（二）严格控制产业发展规模，合理安排开发时序。</w:t>
                  </w:r>
                </w:p>
              </w:tc>
              <w:tc>
                <w:tcPr>
                  <w:tcW w:w="2171" w:type="pct"/>
                  <w:noWrap w:val="0"/>
                  <w:vAlign w:val="center"/>
                </w:tcPr>
                <w:p w14:paraId="1EE24212">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根据资源环境禀赋条件、产业政策、能源双控、环境容量等要求，审慎论证规划产业规模；</w:t>
                  </w:r>
                  <w:r>
                    <w:rPr>
                      <w:rFonts w:hint="eastAsia"/>
                      <w:color w:val="000000" w:themeColor="text1"/>
                      <w:sz w:val="21"/>
                      <w:szCs w:val="21"/>
                      <w14:textFill>
                        <w14:solidFill>
                          <w14:schemeClr w14:val="tx1"/>
                        </w14:solidFill>
                      </w14:textFill>
                    </w:rPr>
                    <w:t>实施</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雨污分流</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，加强建设初期雨水收集处理系统，加强园区企业废水的</w:t>
                  </w:r>
                  <w:r>
                    <w:rPr>
                      <w:rFonts w:hint="eastAsia"/>
                      <w:color w:val="000000" w:themeColor="text1"/>
                      <w:sz w:val="21"/>
                      <w:szCs w:val="21"/>
                      <w:lang w:eastAsia="zh-CN"/>
                      <w14:textFill>
                        <w14:solidFill>
                          <w14:schemeClr w14:val="tx1"/>
                        </w14:solidFill>
                      </w14:textFill>
                    </w:rPr>
                    <w:t>梯级</w:t>
                  </w:r>
                  <w:r>
                    <w:rPr>
                      <w:rFonts w:hint="eastAsia"/>
                      <w:color w:val="000000" w:themeColor="text1"/>
                      <w:sz w:val="21"/>
                      <w:szCs w:val="21"/>
                      <w14:textFill>
                        <w14:solidFill>
                          <w14:schemeClr w14:val="tx1"/>
                        </w14:solidFill>
                      </w14:textFill>
                    </w:rPr>
                    <w:t>利用，区域水环境质量未达到水质目标前，除城镇污水处理厂入河排污口外，不再新设、改设或扩大排污口</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结合水污染防治方案等实施相应的水环境质量改善工程，切实削减COD、氨氮等污染物，配合易门县相关部门，加强六街河、小山凹河、双龙河、三五大河、浦贝河、扒河等河道的水环境综合整治与生态修复工程，切实改善地表水环境质量。</w:t>
                  </w:r>
                </w:p>
              </w:tc>
              <w:tc>
                <w:tcPr>
                  <w:tcW w:w="1329" w:type="pct"/>
                  <w:noWrap w:val="0"/>
                  <w:vAlign w:val="center"/>
                </w:tcPr>
                <w:p w14:paraId="61008B4B">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项目实施雨污分流，雨水经雨水管道外排至园区雨水管网；生产冷却水循环回用，生活污水依托联帆科技公司已建成的化粪池与一体化污水处理设备处理达标后回用于绿化及道路浇洒，不外排。项目不涉及新设、改设、扩大排污口。</w:t>
                  </w:r>
                </w:p>
              </w:tc>
              <w:tc>
                <w:tcPr>
                  <w:tcW w:w="626" w:type="pct"/>
                  <w:noWrap w:val="0"/>
                  <w:vAlign w:val="center"/>
                </w:tcPr>
                <w:p w14:paraId="0302A22E">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5E74B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372" w:type="pct"/>
                  <w:vMerge w:val="continue"/>
                  <w:noWrap w:val="0"/>
                  <w:vAlign w:val="center"/>
                </w:tcPr>
                <w:p w14:paraId="67FD86E5">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p>
              </w:tc>
              <w:tc>
                <w:tcPr>
                  <w:tcW w:w="499" w:type="pct"/>
                  <w:vMerge w:val="restart"/>
                  <w:noWrap w:val="0"/>
                  <w:vAlign w:val="center"/>
                </w:tcPr>
                <w:p w14:paraId="20396A54">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（三）进一步优化园区空间布局，加强空间管控，加大对环境敏感区的保护力度，严禁不符合管控要求的各类开发和建设活动</w:t>
                  </w:r>
                </w:p>
              </w:tc>
              <w:tc>
                <w:tcPr>
                  <w:tcW w:w="2171" w:type="pct"/>
                  <w:noWrap w:val="0"/>
                  <w:vAlign w:val="center"/>
                </w:tcPr>
                <w:p w14:paraId="75E8C495">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lang w:eastAsia="zh-CN"/>
                      <w14:textFill>
                        <w14:solidFill>
                          <w14:schemeClr w14:val="tx1"/>
                        </w14:solidFill>
                      </w14:textFill>
                    </w:rPr>
                  </w:pPr>
                  <w:r>
                    <w:rPr>
                      <w:rFonts w:hint="eastAsia"/>
                      <w:color w:val="000000" w:themeColor="text1"/>
                      <w:sz w:val="21"/>
                      <w:szCs w:val="21"/>
                      <w14:textFill>
                        <w14:solidFill>
                          <w14:schemeClr w14:val="tx1"/>
                        </w14:solidFill>
                      </w14:textFill>
                    </w:rPr>
                    <w:t>《规划》范围内的一般生态空间、公益林、基本农田等敏感区域，严格进行保护，原则上不进行开发建设</w:t>
                  </w:r>
                  <w:r>
                    <w:rPr>
                      <w:rFonts w:hint="eastAsia"/>
                      <w:color w:val="000000" w:themeColor="text1"/>
                      <w:sz w:val="21"/>
                      <w:szCs w:val="21"/>
                      <w:lang w:eastAsia="zh-CN"/>
                      <w14:textFill>
                        <w14:solidFill>
                          <w14:schemeClr w14:val="tx1"/>
                        </w14:solidFill>
                      </w14:textFill>
                    </w:rPr>
                    <w:t>。</w:t>
                  </w:r>
                </w:p>
              </w:tc>
              <w:tc>
                <w:tcPr>
                  <w:tcW w:w="1329" w:type="pct"/>
                  <w:noWrap w:val="0"/>
                  <w:vAlign w:val="center"/>
                </w:tcPr>
                <w:p w14:paraId="35F1DA13">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项目</w:t>
                  </w:r>
                  <w:r>
                    <w:rPr>
                      <w:rFonts w:hint="eastAsia"/>
                      <w:color w:val="000000" w:themeColor="text1"/>
                      <w:sz w:val="21"/>
                      <w:szCs w:val="21"/>
                      <w:lang w:val="en-US" w:eastAsia="zh-CN"/>
                      <w14:textFill>
                        <w14:solidFill>
                          <w14:schemeClr w14:val="tx1"/>
                        </w14:solidFill>
                      </w14:textFill>
                    </w:rPr>
                    <w:t>用地属二类工业用地，</w:t>
                  </w:r>
                  <w:r>
                    <w:rPr>
                      <w:rFonts w:hint="eastAsia"/>
                      <w:color w:val="000000" w:themeColor="text1"/>
                      <w:sz w:val="21"/>
                      <w:szCs w:val="21"/>
                      <w:lang w:eastAsia="zh-CN"/>
                      <w14:textFill>
                        <w14:solidFill>
                          <w14:schemeClr w14:val="tx1"/>
                        </w14:solidFill>
                      </w14:textFill>
                    </w:rPr>
                    <w:t>不涉及</w:t>
                  </w:r>
                  <w:r>
                    <w:rPr>
                      <w:rFonts w:hint="eastAsia"/>
                      <w:color w:val="000000" w:themeColor="text1"/>
                      <w:sz w:val="21"/>
                      <w:szCs w:val="21"/>
                      <w14:textFill>
                        <w14:solidFill>
                          <w14:schemeClr w14:val="tx1"/>
                        </w14:solidFill>
                      </w14:textFill>
                    </w:rPr>
                    <w:t>《规划》范围内的一般生态空间、公益林、基本农田等敏感区域。</w:t>
                  </w:r>
                </w:p>
              </w:tc>
              <w:tc>
                <w:tcPr>
                  <w:tcW w:w="626" w:type="pct"/>
                  <w:noWrap w:val="0"/>
                  <w:vAlign w:val="center"/>
                </w:tcPr>
                <w:p w14:paraId="0E1D8B69">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11267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372" w:type="pct"/>
                  <w:vMerge w:val="continue"/>
                  <w:noWrap w:val="0"/>
                  <w:vAlign w:val="center"/>
                </w:tcPr>
                <w:p w14:paraId="57A23A14">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p>
              </w:tc>
              <w:tc>
                <w:tcPr>
                  <w:tcW w:w="499" w:type="pct"/>
                  <w:vMerge w:val="continue"/>
                  <w:noWrap w:val="0"/>
                  <w:vAlign w:val="center"/>
                </w:tcPr>
                <w:p w14:paraId="4EC066D7">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p>
              </w:tc>
              <w:tc>
                <w:tcPr>
                  <w:tcW w:w="2171" w:type="pct"/>
                  <w:noWrap w:val="0"/>
                  <w:vAlign w:val="center"/>
                </w:tcPr>
                <w:p w14:paraId="69FBBD86">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六街片区紧邻易门县级翠柏自然保护区，应优化布局，企业与保护区须留出一定的缓冲距离。</w:t>
                  </w:r>
                </w:p>
              </w:tc>
              <w:tc>
                <w:tcPr>
                  <w:tcW w:w="1329" w:type="pct"/>
                  <w:noWrap w:val="0"/>
                  <w:vAlign w:val="center"/>
                </w:tcPr>
                <w:p w14:paraId="4F1C4416">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本项目位于麦子田片区，</w:t>
                  </w:r>
                  <w:r>
                    <w:rPr>
                      <w:rFonts w:hint="eastAsia"/>
                      <w:color w:val="000000" w:themeColor="text1"/>
                      <w:sz w:val="21"/>
                      <w:szCs w:val="21"/>
                      <w:highlight w:val="none"/>
                      <w:lang w:val="en-US" w:eastAsia="zh-CN"/>
                      <w14:textFill>
                        <w14:solidFill>
                          <w14:schemeClr w14:val="tx1"/>
                        </w14:solidFill>
                      </w14:textFill>
                    </w:rPr>
                    <w:t>距离翠柏保护区约1.8km。</w:t>
                  </w:r>
                </w:p>
              </w:tc>
              <w:tc>
                <w:tcPr>
                  <w:tcW w:w="626" w:type="pct"/>
                  <w:noWrap w:val="0"/>
                  <w:vAlign w:val="center"/>
                </w:tcPr>
                <w:p w14:paraId="27F9BF27">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4DAD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72" w:type="pct"/>
                  <w:vMerge w:val="continue"/>
                  <w:noWrap w:val="0"/>
                  <w:vAlign w:val="center"/>
                </w:tcPr>
                <w:p w14:paraId="4A8E4207">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p>
              </w:tc>
              <w:tc>
                <w:tcPr>
                  <w:tcW w:w="499" w:type="pct"/>
                  <w:vMerge w:val="continue"/>
                  <w:noWrap w:val="0"/>
                  <w:vAlign w:val="center"/>
                </w:tcPr>
                <w:p w14:paraId="7B77A222">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p>
              </w:tc>
              <w:tc>
                <w:tcPr>
                  <w:tcW w:w="2171" w:type="pct"/>
                  <w:noWrap w:val="0"/>
                  <w:vAlign w:val="center"/>
                </w:tcPr>
                <w:p w14:paraId="2916CA3A">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lang w:eastAsia="zh-CN"/>
                      <w14:textFill>
                        <w14:solidFill>
                          <w14:schemeClr w14:val="tx1"/>
                        </w14:solidFill>
                      </w14:textFill>
                    </w:rPr>
                  </w:pPr>
                  <w:r>
                    <w:rPr>
                      <w:rFonts w:hint="eastAsia"/>
                      <w:color w:val="000000" w:themeColor="text1"/>
                      <w:sz w:val="21"/>
                      <w:szCs w:val="21"/>
                      <w14:textFill>
                        <w14:solidFill>
                          <w14:schemeClr w14:val="tx1"/>
                        </w14:solidFill>
                      </w14:textFill>
                    </w:rPr>
                    <w:t>园区内工业用地与人口密集区应合理设置绿化隔离带，留出必要的防护距离</w:t>
                  </w:r>
                  <w:r>
                    <w:rPr>
                      <w:rFonts w:hint="eastAsia"/>
                      <w:color w:val="000000" w:themeColor="text1"/>
                      <w:sz w:val="21"/>
                      <w:szCs w:val="21"/>
                      <w:lang w:eastAsia="zh-CN"/>
                      <w14:textFill>
                        <w14:solidFill>
                          <w14:schemeClr w14:val="tx1"/>
                        </w14:solidFill>
                      </w14:textFill>
                    </w:rPr>
                    <w:t>。</w:t>
                  </w:r>
                </w:p>
              </w:tc>
              <w:tc>
                <w:tcPr>
                  <w:tcW w:w="1329" w:type="pct"/>
                  <w:noWrap w:val="0"/>
                  <w:vAlign w:val="center"/>
                </w:tcPr>
                <w:p w14:paraId="321E50AC">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项目位于</w:t>
                  </w:r>
                  <w:r>
                    <w:rPr>
                      <w:rFonts w:hint="eastAsia"/>
                      <w:color w:val="000000" w:themeColor="text1"/>
                      <w:sz w:val="21"/>
                      <w:szCs w:val="21"/>
                      <w:lang w:val="en-US" w:eastAsia="zh-CN"/>
                      <w14:textFill>
                        <w14:solidFill>
                          <w14:schemeClr w14:val="tx1"/>
                        </w14:solidFill>
                      </w14:textFill>
                    </w:rPr>
                    <w:t>麦子田片区</w:t>
                  </w:r>
                  <w:r>
                    <w:rPr>
                      <w:rFonts w:hint="eastAsia"/>
                      <w:color w:val="000000" w:themeColor="text1"/>
                      <w:sz w:val="21"/>
                      <w:szCs w:val="21"/>
                      <w14:textFill>
                        <w14:solidFill>
                          <w14:schemeClr w14:val="tx1"/>
                        </w14:solidFill>
                      </w14:textFill>
                    </w:rPr>
                    <w:t>，</w:t>
                  </w:r>
                  <w:r>
                    <w:rPr>
                      <w:rFonts w:hint="eastAsia"/>
                      <w:color w:val="000000" w:themeColor="text1"/>
                      <w:sz w:val="21"/>
                      <w:szCs w:val="21"/>
                      <w:lang w:eastAsia="zh-CN"/>
                      <w14:textFill>
                        <w14:solidFill>
                          <w14:schemeClr w14:val="tx1"/>
                        </w14:solidFill>
                      </w14:textFill>
                    </w:rPr>
                    <w:t>距离六街镇（</w:t>
                  </w:r>
                  <w:r>
                    <w:rPr>
                      <w:rFonts w:hint="eastAsia"/>
                      <w:color w:val="000000" w:themeColor="text1"/>
                      <w:sz w:val="21"/>
                      <w:szCs w:val="21"/>
                      <w:lang w:val="en-US" w:eastAsia="zh-CN"/>
                      <w14:textFill>
                        <w14:solidFill>
                          <w14:schemeClr w14:val="tx1"/>
                        </w14:solidFill>
                      </w14:textFill>
                    </w:rPr>
                    <w:t>东北侧3200m</w:t>
                  </w:r>
                  <w:r>
                    <w:rPr>
                      <w:rFonts w:hint="eastAsia"/>
                      <w:color w:val="000000" w:themeColor="text1"/>
                      <w:sz w:val="21"/>
                      <w:szCs w:val="21"/>
                      <w:lang w:eastAsia="zh-CN"/>
                      <w14:textFill>
                        <w14:solidFill>
                          <w14:schemeClr w14:val="tx1"/>
                        </w14:solidFill>
                      </w14:textFill>
                    </w:rPr>
                    <w:t>）居民集中区较远，</w:t>
                  </w:r>
                  <w:r>
                    <w:rPr>
                      <w:rFonts w:hint="eastAsia"/>
                      <w:color w:val="000000" w:themeColor="text1"/>
                      <w:sz w:val="21"/>
                      <w:szCs w:val="21"/>
                      <w:lang w:val="en-US" w:eastAsia="zh-CN"/>
                      <w14:textFill>
                        <w14:solidFill>
                          <w14:schemeClr w14:val="tx1"/>
                        </w14:solidFill>
                      </w14:textFill>
                    </w:rPr>
                    <w:t>不设环境防护距离</w:t>
                  </w:r>
                  <w:r>
                    <w:rPr>
                      <w:rFonts w:hint="eastAsia"/>
                      <w:color w:val="000000" w:themeColor="text1"/>
                      <w:sz w:val="21"/>
                      <w:szCs w:val="21"/>
                      <w14:textFill>
                        <w14:solidFill>
                          <w14:schemeClr w14:val="tx1"/>
                        </w14:solidFill>
                      </w14:textFill>
                    </w:rPr>
                    <w:t>。</w:t>
                  </w:r>
                </w:p>
              </w:tc>
              <w:tc>
                <w:tcPr>
                  <w:tcW w:w="626" w:type="pct"/>
                  <w:noWrap w:val="0"/>
                  <w:vAlign w:val="center"/>
                </w:tcPr>
                <w:p w14:paraId="23511171">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3F12A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372" w:type="pct"/>
                  <w:vMerge w:val="continue"/>
                  <w:noWrap w:val="0"/>
                  <w:vAlign w:val="center"/>
                </w:tcPr>
                <w:p w14:paraId="415C085E">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p>
              </w:tc>
              <w:tc>
                <w:tcPr>
                  <w:tcW w:w="499" w:type="pct"/>
                  <w:vMerge w:val="continue"/>
                  <w:noWrap w:val="0"/>
                  <w:vAlign w:val="center"/>
                </w:tcPr>
                <w:p w14:paraId="4EE771E6">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p>
              </w:tc>
              <w:tc>
                <w:tcPr>
                  <w:tcW w:w="2171" w:type="pct"/>
                  <w:noWrap w:val="0"/>
                  <w:vAlign w:val="center"/>
                </w:tcPr>
                <w:p w14:paraId="3020B8AC">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园区按《云南省人民政府办公厅关于推动落后和低端低效产能退出的实施意见》（云政办发</w:t>
                  </w:r>
                  <w:r>
                    <w:rPr>
                      <w:rFonts w:hint="eastAsia"/>
                      <w:color w:val="000000" w:themeColor="text1"/>
                      <w:sz w:val="21"/>
                      <w:szCs w:val="21"/>
                      <w14:textFill>
                        <w14:solidFill>
                          <w14:schemeClr w14:val="tx1"/>
                        </w14:solidFill>
                      </w14:textFill>
                    </w:rPr>
                    <w:t>〔20</w:t>
                  </w:r>
                  <w:r>
                    <w:rPr>
                      <w:rFonts w:hint="eastAsia"/>
                      <w:color w:val="000000" w:themeColor="text1"/>
                      <w:sz w:val="21"/>
                      <w:szCs w:val="21"/>
                      <w:lang w:val="en-US" w:eastAsia="zh-CN"/>
                      <w14:textFill>
                        <w14:solidFill>
                          <w14:schemeClr w14:val="tx1"/>
                        </w14:solidFill>
                      </w14:textFill>
                    </w:rPr>
                    <w:t>22</w:t>
                  </w:r>
                  <w:r>
                    <w:rPr>
                      <w:rFonts w:hint="eastAsia"/>
                      <w:color w:val="000000" w:themeColor="text1"/>
                      <w:sz w:val="21"/>
                      <w:szCs w:val="21"/>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17号）相关要求，依法依规关停退出能耗、环保、质量、安全不达标和落后、过剩产能，分行业有序退出“限制类”产能；现有重污染企业要开展技术升级改造和环保设施提标改造；加强对各片区内及周边集中居住区等生活空间防护，确保园区产业布局与生态环境保护、人居环境安全相协调。</w:t>
                  </w:r>
                </w:p>
              </w:tc>
              <w:tc>
                <w:tcPr>
                  <w:tcW w:w="1329" w:type="pct"/>
                  <w:noWrap w:val="0"/>
                  <w:vAlign w:val="center"/>
                </w:tcPr>
                <w:p w14:paraId="7AA34390">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本项目为日用塑料制品制造业，不属于限制类项目，不属于重污染企业。</w:t>
                  </w:r>
                </w:p>
              </w:tc>
              <w:tc>
                <w:tcPr>
                  <w:tcW w:w="626" w:type="pct"/>
                  <w:noWrap w:val="0"/>
                  <w:vAlign w:val="center"/>
                </w:tcPr>
                <w:p w14:paraId="75B8579E">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5934F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2" w:type="pct"/>
                  <w:vMerge w:val="continue"/>
                  <w:noWrap w:val="0"/>
                  <w:vAlign w:val="center"/>
                </w:tcPr>
                <w:p w14:paraId="04C6E05B">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p>
              </w:tc>
              <w:tc>
                <w:tcPr>
                  <w:tcW w:w="499" w:type="pct"/>
                  <w:noWrap w:val="0"/>
                  <w:vAlign w:val="center"/>
                </w:tcPr>
                <w:p w14:paraId="7292DB3F">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（四）强化污染物排放总量管控</w:t>
                  </w:r>
                </w:p>
              </w:tc>
              <w:tc>
                <w:tcPr>
                  <w:tcW w:w="2171" w:type="pct"/>
                  <w:noWrap w:val="0"/>
                  <w:vAlign w:val="center"/>
                </w:tcPr>
                <w:p w14:paraId="3464765B">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lang w:eastAsia="zh-CN"/>
                      <w14:textFill>
                        <w14:solidFill>
                          <w14:schemeClr w14:val="tx1"/>
                        </w14:solidFill>
                      </w14:textFill>
                    </w:rPr>
                  </w:pPr>
                  <w:r>
                    <w:rPr>
                      <w:rFonts w:hint="eastAsia"/>
                      <w:color w:val="000000" w:themeColor="text1"/>
                      <w:sz w:val="21"/>
                      <w:szCs w:val="21"/>
                      <w14:textFill>
                        <w14:solidFill>
                          <w14:schemeClr w14:val="tx1"/>
                        </w14:solidFill>
                      </w14:textFill>
                    </w:rPr>
                    <w:t>根据国家和云南省污染防治规划和区域</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三线一单</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生态环境分区管控相关要求，落实园区污染减排措施和要求，采取有效措施减少</w:t>
                  </w:r>
                  <w:r>
                    <w:rPr>
                      <w:rFonts w:hint="eastAsia"/>
                      <w:color w:val="000000" w:themeColor="text1"/>
                      <w:sz w:val="21"/>
                      <w:szCs w:val="21"/>
                      <w:lang w:eastAsia="zh-CN"/>
                      <w14:textFill>
                        <w14:solidFill>
                          <w14:schemeClr w14:val="tx1"/>
                        </w14:solidFill>
                      </w14:textFill>
                    </w:rPr>
                    <w:t>重金属、</w:t>
                  </w:r>
                  <w:r>
                    <w:rPr>
                      <w:rFonts w:hint="eastAsia"/>
                      <w:color w:val="000000" w:themeColor="text1"/>
                      <w:sz w:val="21"/>
                      <w:szCs w:val="21"/>
                      <w14:textFill>
                        <w14:solidFill>
                          <w14:schemeClr w14:val="tx1"/>
                        </w14:solidFill>
                      </w14:textFill>
                    </w:rPr>
                    <w:t>颗粒物</w:t>
                  </w:r>
                  <w:r>
                    <w:rPr>
                      <w:rFonts w:hint="eastAsia"/>
                      <w:color w:val="000000" w:themeColor="text1"/>
                      <w:sz w:val="21"/>
                      <w:szCs w:val="21"/>
                      <w:lang w:eastAsia="zh-CN"/>
                      <w14:textFill>
                        <w14:solidFill>
                          <w14:schemeClr w14:val="tx1"/>
                        </w14:solidFill>
                      </w14:textFill>
                    </w:rPr>
                    <w:t>和</w:t>
                  </w:r>
                  <w:r>
                    <w:rPr>
                      <w:rFonts w:hint="eastAsia"/>
                      <w:color w:val="000000" w:themeColor="text1"/>
                      <w:sz w:val="21"/>
                      <w:szCs w:val="21"/>
                      <w14:textFill>
                        <w14:solidFill>
                          <w14:schemeClr w14:val="tx1"/>
                        </w14:solidFill>
                      </w14:textFill>
                    </w:rPr>
                    <w:t>挥发性有机物等特征污染物的排放量</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推进挥发性有机物和氮氧化物协同治理，促进产业发展和生态环境保护相协调，新建、扩建金属冶炼项目大气污染物需满足超低排放要求，建材等“两高”项目实行主要污染物区域削减替代</w:t>
                  </w:r>
                  <w:r>
                    <w:rPr>
                      <w:rFonts w:hint="eastAsia"/>
                      <w:color w:val="000000" w:themeColor="text1"/>
                      <w:sz w:val="21"/>
                      <w:szCs w:val="21"/>
                      <w:lang w:eastAsia="zh-CN"/>
                      <w14:textFill>
                        <w14:solidFill>
                          <w14:schemeClr w14:val="tx1"/>
                        </w14:solidFill>
                      </w14:textFill>
                    </w:rPr>
                    <w:t>。</w:t>
                  </w:r>
                </w:p>
              </w:tc>
              <w:tc>
                <w:tcPr>
                  <w:tcW w:w="1329" w:type="pct"/>
                  <w:noWrap w:val="0"/>
                  <w:vAlign w:val="center"/>
                </w:tcPr>
                <w:p w14:paraId="41495FE9">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lang w:val="en-US"/>
                      <w14:textFill>
                        <w14:solidFill>
                          <w14:schemeClr w14:val="tx1"/>
                        </w14:solidFill>
                      </w14:textFill>
                    </w:rPr>
                  </w:pPr>
                  <w:r>
                    <w:rPr>
                      <w:rFonts w:hint="eastAsia"/>
                      <w:color w:val="000000" w:themeColor="text1"/>
                      <w:sz w:val="21"/>
                      <w:szCs w:val="21"/>
                      <w14:textFill>
                        <w14:solidFill>
                          <w14:schemeClr w14:val="tx1"/>
                        </w14:solidFill>
                      </w14:textFill>
                    </w:rPr>
                    <w:t>项目</w:t>
                  </w:r>
                  <w:r>
                    <w:rPr>
                      <w:rFonts w:hint="eastAsia"/>
                      <w:color w:val="000000" w:themeColor="text1"/>
                      <w:sz w:val="21"/>
                      <w:szCs w:val="21"/>
                      <w:lang w:val="en-US" w:eastAsia="zh-CN"/>
                      <w14:textFill>
                        <w14:solidFill>
                          <w14:schemeClr w14:val="tx1"/>
                        </w14:solidFill>
                      </w14:textFill>
                    </w:rPr>
                    <w:t>建设符合</w:t>
                  </w:r>
                  <w:r>
                    <w:rPr>
                      <w:rFonts w:hint="eastAsia"/>
                      <w:color w:val="000000" w:themeColor="text1"/>
                      <w:sz w:val="21"/>
                      <w:szCs w:val="21"/>
                      <w:lang w:eastAsia="zh-CN"/>
                      <w14:textFill>
                        <w14:solidFill>
                          <w14:schemeClr w14:val="tx1"/>
                        </w14:solidFill>
                      </w14:textFill>
                    </w:rPr>
                    <w:t>玉溪市“</w:t>
                  </w:r>
                  <w:r>
                    <w:rPr>
                      <w:rFonts w:hint="eastAsia"/>
                      <w:color w:val="000000" w:themeColor="text1"/>
                      <w:sz w:val="21"/>
                      <w:szCs w:val="21"/>
                      <w14:textFill>
                        <w14:solidFill>
                          <w14:schemeClr w14:val="tx1"/>
                        </w14:solidFill>
                      </w14:textFill>
                    </w:rPr>
                    <w:t>三线一单</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生态环境分区管控相关要求</w:t>
                  </w:r>
                  <w:r>
                    <w:rPr>
                      <w:rFonts w:hint="eastAsia"/>
                      <w:color w:val="000000" w:themeColor="text1"/>
                      <w:sz w:val="21"/>
                      <w:szCs w:val="21"/>
                      <w:lang w:val="en-US" w:eastAsia="zh-CN"/>
                      <w14:textFill>
                        <w14:solidFill>
                          <w14:schemeClr w14:val="tx1"/>
                        </w14:solidFill>
                      </w14:textFill>
                    </w:rPr>
                    <w:t>，采取布袋除尘减少颗粒物排放量，采取</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活性炭吸附/脱附+催化燃烧装置</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减少挥发性有机物与甲醛的排放量；项目不属于冶炼及“两高”项目，不涉及区域削减。</w:t>
                  </w:r>
                </w:p>
              </w:tc>
              <w:tc>
                <w:tcPr>
                  <w:tcW w:w="626" w:type="pct"/>
                  <w:noWrap w:val="0"/>
                  <w:vAlign w:val="center"/>
                </w:tcPr>
                <w:p w14:paraId="4AA8D449">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1221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372" w:type="pct"/>
                  <w:vMerge w:val="continue"/>
                  <w:noWrap w:val="0"/>
                  <w:vAlign w:val="center"/>
                </w:tcPr>
                <w:p w14:paraId="3A89574A">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p>
              </w:tc>
              <w:tc>
                <w:tcPr>
                  <w:tcW w:w="499" w:type="pct"/>
                  <w:vMerge w:val="restart"/>
                  <w:noWrap w:val="0"/>
                  <w:vAlign w:val="center"/>
                </w:tcPr>
                <w:p w14:paraId="63EE88DB">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（五）严守环境质量底线，严格片区环境管控</w:t>
                  </w:r>
                </w:p>
              </w:tc>
              <w:tc>
                <w:tcPr>
                  <w:tcW w:w="2171" w:type="pct"/>
                  <w:noWrap w:val="0"/>
                  <w:vAlign w:val="center"/>
                </w:tcPr>
                <w:p w14:paraId="33EBCB5F">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根据“三线一单”、国家和云南省有关大气污染防治的相关要求，严格执行园区大气污染物总量管控要求，合理确定产业规模、布局、建设时序；</w:t>
                  </w:r>
                </w:p>
              </w:tc>
              <w:tc>
                <w:tcPr>
                  <w:tcW w:w="1329" w:type="pct"/>
                  <w:noWrap w:val="0"/>
                  <w:vAlign w:val="center"/>
                </w:tcPr>
                <w:p w14:paraId="155561BF">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项目严格执行园区大气污染物总量管控要求。</w:t>
                  </w:r>
                </w:p>
              </w:tc>
              <w:tc>
                <w:tcPr>
                  <w:tcW w:w="626" w:type="pct"/>
                  <w:noWrap w:val="0"/>
                  <w:vAlign w:val="center"/>
                </w:tcPr>
                <w:p w14:paraId="2B9B2E37">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02080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372" w:type="pct"/>
                  <w:vMerge w:val="continue"/>
                  <w:noWrap w:val="0"/>
                  <w:vAlign w:val="center"/>
                </w:tcPr>
                <w:p w14:paraId="66838588">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p>
              </w:tc>
              <w:tc>
                <w:tcPr>
                  <w:tcW w:w="499" w:type="pct"/>
                  <w:vMerge w:val="continue"/>
                  <w:noWrap w:val="0"/>
                  <w:vAlign w:val="center"/>
                </w:tcPr>
                <w:p w14:paraId="23654890">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p>
              </w:tc>
              <w:tc>
                <w:tcPr>
                  <w:tcW w:w="2171" w:type="pct"/>
                  <w:noWrap w:val="0"/>
                  <w:vAlign w:val="center"/>
                </w:tcPr>
                <w:p w14:paraId="2FD1C263">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lang w:eastAsia="zh-CN"/>
                      <w14:textFill>
                        <w14:solidFill>
                          <w14:schemeClr w14:val="tx1"/>
                        </w14:solidFill>
                      </w14:textFill>
                    </w:rPr>
                  </w:pPr>
                  <w:r>
                    <w:rPr>
                      <w:rFonts w:hint="eastAsia"/>
                      <w:color w:val="000000" w:themeColor="text1"/>
                      <w:sz w:val="21"/>
                      <w:szCs w:val="21"/>
                      <w14:textFill>
                        <w14:solidFill>
                          <w14:schemeClr w14:val="tx1"/>
                        </w14:solidFill>
                      </w14:textFill>
                    </w:rPr>
                    <w:t>入园企业采用先进的生产工艺路线、装备、清洁能源与原料，从源头上控制污染物的产生</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在技术经济可行的条件下，应采用先进高效的污染防治措施，重点做好外排废气中颗粒物、二氧化硫、氮氧化物、挥发性有机物等污染物的减排工作，结合区域大气污染防治要求，加快能源结构升级改造和使用清洁能源，促进区域大气环境质量改善</w:t>
                  </w:r>
                  <w:r>
                    <w:rPr>
                      <w:rFonts w:hint="eastAsia"/>
                      <w:color w:val="000000" w:themeColor="text1"/>
                      <w:sz w:val="21"/>
                      <w:szCs w:val="21"/>
                      <w:lang w:eastAsia="zh-CN"/>
                      <w14:textFill>
                        <w14:solidFill>
                          <w14:schemeClr w14:val="tx1"/>
                        </w14:solidFill>
                      </w14:textFill>
                    </w:rPr>
                    <w:t>。</w:t>
                  </w:r>
                </w:p>
              </w:tc>
              <w:tc>
                <w:tcPr>
                  <w:tcW w:w="1329" w:type="pct"/>
                  <w:noWrap w:val="0"/>
                  <w:vAlign w:val="center"/>
                </w:tcPr>
                <w:p w14:paraId="000F936F">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本项目采取的废气治理措施属于可行技术，颗粒物采用布袋除尘，挥发性有机物与甲醛采用</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活性炭吸附/脱附+催化燃烧装置</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，生产过程使用电能，属于清洁能源。</w:t>
                  </w:r>
                </w:p>
              </w:tc>
              <w:tc>
                <w:tcPr>
                  <w:tcW w:w="626" w:type="pct"/>
                  <w:noWrap w:val="0"/>
                  <w:vAlign w:val="center"/>
                </w:tcPr>
                <w:p w14:paraId="0562AFDA">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7D60E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1" w:hRule="atLeast"/>
              </w:trPr>
              <w:tc>
                <w:tcPr>
                  <w:tcW w:w="372" w:type="pct"/>
                  <w:vMerge w:val="continue"/>
                  <w:noWrap w:val="0"/>
                  <w:vAlign w:val="center"/>
                </w:tcPr>
                <w:p w14:paraId="4A2AED8D">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p>
              </w:tc>
              <w:tc>
                <w:tcPr>
                  <w:tcW w:w="499" w:type="pct"/>
                  <w:vMerge w:val="continue"/>
                  <w:noWrap w:val="0"/>
                  <w:vAlign w:val="center"/>
                </w:tcPr>
                <w:p w14:paraId="17809ECA">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p>
              </w:tc>
              <w:tc>
                <w:tcPr>
                  <w:tcW w:w="2171" w:type="pct"/>
                  <w:noWrap w:val="0"/>
                  <w:vAlign w:val="center"/>
                </w:tcPr>
                <w:p w14:paraId="547F890F">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高度重视园区废水收集、处理、回用的环境管理，实施</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雨污分流</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，加快各片区污水管网、回用管网的建设，结合区域的建设时序适时建设污水处理厂、再生水处理设施，区域河流纳污容量有限，确保受纳水体水质满足环境功能要求。</w:t>
                  </w:r>
                </w:p>
              </w:tc>
              <w:tc>
                <w:tcPr>
                  <w:tcW w:w="1329" w:type="pct"/>
                  <w:noWrap w:val="0"/>
                  <w:vAlign w:val="center"/>
                </w:tcPr>
                <w:p w14:paraId="3C18F0DD">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项目施行雨污分流，生产冷却废水循环回用，不外排。生活污水经处理后回用于绿化，不排入水体。</w:t>
                  </w:r>
                </w:p>
              </w:tc>
              <w:tc>
                <w:tcPr>
                  <w:tcW w:w="626" w:type="pct"/>
                  <w:noWrap w:val="0"/>
                  <w:vAlign w:val="center"/>
                </w:tcPr>
                <w:p w14:paraId="55815261">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06D68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5" w:hRule="atLeast"/>
              </w:trPr>
              <w:tc>
                <w:tcPr>
                  <w:tcW w:w="372" w:type="pct"/>
                  <w:vMerge w:val="continue"/>
                  <w:noWrap w:val="0"/>
                  <w:vAlign w:val="center"/>
                </w:tcPr>
                <w:p w14:paraId="4EB61416">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p>
              </w:tc>
              <w:tc>
                <w:tcPr>
                  <w:tcW w:w="499" w:type="pct"/>
                  <w:vMerge w:val="continue"/>
                  <w:noWrap w:val="0"/>
                  <w:vAlign w:val="center"/>
                </w:tcPr>
                <w:p w14:paraId="57075CD3">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p>
              </w:tc>
              <w:tc>
                <w:tcPr>
                  <w:tcW w:w="2171" w:type="pct"/>
                  <w:noWrap w:val="0"/>
                  <w:vAlign w:val="center"/>
                </w:tcPr>
                <w:p w14:paraId="441498B8">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园区产业布局和项目建设时应充分考虑对地下水环境的影响，优化布局，严格水文地质、工程地质勘察，合理规避地下暗河及溶岩发育区，做好地下水污染防治和监控，按相关规范要求采取针对性防渗措施，确保区域地下水环境安全</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严格执行《地下水管理条例》中相关规定，在泉域保护范围以及岩溶强发育、存在较多落水洞和岩溶漏斗的区域内</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不得新建、改建、扩建可能造成地下水污染的建设项目。</w:t>
                  </w:r>
                </w:p>
              </w:tc>
              <w:tc>
                <w:tcPr>
                  <w:tcW w:w="1329" w:type="pct"/>
                  <w:noWrap w:val="0"/>
                  <w:vAlign w:val="center"/>
                </w:tcPr>
                <w:p w14:paraId="13C3F35E">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项目所在区域不属于</w:t>
                  </w:r>
                  <w:r>
                    <w:rPr>
                      <w:rFonts w:hint="eastAsia"/>
                      <w:color w:val="000000" w:themeColor="text1"/>
                      <w:sz w:val="21"/>
                      <w:szCs w:val="21"/>
                      <w14:textFill>
                        <w14:solidFill>
                          <w14:schemeClr w14:val="tx1"/>
                        </w14:solidFill>
                      </w14:textFill>
                    </w:rPr>
                    <w:t>泉域保护范围以及岩溶强发育、存在较多落水洞和岩溶漏斗的区域内</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生产车间采取地面硬化。</w:t>
                  </w:r>
                </w:p>
              </w:tc>
              <w:tc>
                <w:tcPr>
                  <w:tcW w:w="626" w:type="pct"/>
                  <w:noWrap w:val="0"/>
                  <w:vAlign w:val="center"/>
                </w:tcPr>
                <w:p w14:paraId="7A015301">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6616F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72" w:type="pct"/>
                  <w:vMerge w:val="continue"/>
                  <w:noWrap w:val="0"/>
                  <w:vAlign w:val="center"/>
                </w:tcPr>
                <w:p w14:paraId="5103D7F2">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p>
              </w:tc>
              <w:tc>
                <w:tcPr>
                  <w:tcW w:w="499" w:type="pct"/>
                  <w:vMerge w:val="continue"/>
                  <w:noWrap w:val="0"/>
                  <w:vAlign w:val="center"/>
                </w:tcPr>
                <w:p w14:paraId="4597D7F4">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p>
              </w:tc>
              <w:tc>
                <w:tcPr>
                  <w:tcW w:w="2171" w:type="pct"/>
                  <w:noWrap w:val="0"/>
                  <w:vAlign w:val="center"/>
                </w:tcPr>
                <w:p w14:paraId="71F13F47">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将土壤污染防治工作纳入园区规划及相关环境保护规划，采取有效预防措施，防止、减少土壤污染，确保满足土壤环境管控要求。入园企业产生的危险废物按照规定严格管控，积极推进工业固体废物综合利用。</w:t>
                  </w:r>
                </w:p>
              </w:tc>
              <w:tc>
                <w:tcPr>
                  <w:tcW w:w="1329" w:type="pct"/>
                  <w:noWrap w:val="0"/>
                  <w:vAlign w:val="center"/>
                </w:tcPr>
                <w:p w14:paraId="2143E762">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本项目危险废物依托成友塑业已建危废暂存间，本次环评已要求危废贮存设施按相关标准进行设计</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危险废物委托有资质单位进行清运处置。</w:t>
                  </w:r>
                </w:p>
              </w:tc>
              <w:tc>
                <w:tcPr>
                  <w:tcW w:w="626" w:type="pct"/>
                  <w:noWrap w:val="0"/>
                  <w:vAlign w:val="center"/>
                </w:tcPr>
                <w:p w14:paraId="7E06B7C5">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3BF33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5" w:hRule="atLeast"/>
              </w:trPr>
              <w:tc>
                <w:tcPr>
                  <w:tcW w:w="372" w:type="pct"/>
                  <w:vMerge w:val="continue"/>
                  <w:noWrap w:val="0"/>
                  <w:vAlign w:val="center"/>
                </w:tcPr>
                <w:p w14:paraId="5016E8EC">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p>
              </w:tc>
              <w:tc>
                <w:tcPr>
                  <w:tcW w:w="499" w:type="pct"/>
                  <w:noWrap w:val="0"/>
                  <w:vAlign w:val="center"/>
                </w:tcPr>
                <w:p w14:paraId="0DF35DF6">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（六）严格执行环境准入要求，加强入园项目生态环境准入管理。</w:t>
                  </w:r>
                </w:p>
              </w:tc>
              <w:tc>
                <w:tcPr>
                  <w:tcW w:w="2171" w:type="pct"/>
                  <w:noWrap w:val="0"/>
                  <w:vAlign w:val="center"/>
                </w:tcPr>
                <w:p w14:paraId="27BFFC87">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落实蓝天、碧水、净土保卫战有关管控要求，加强</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两高</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行业生态环境源头防控，引进项目的生产工艺、设备、污染物排放和资源利用等，应达到清洁生产国内先进水平</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推进技术研发型、创新型产业发展，提升产业的技术水平和园区的绿色低碳化水平</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园区招商引资、入园项目环评审批应严格执行生态环境准入要求，要以园区的资源环境承载能力为基础，充分论证、有序发展，严禁引进工艺装备落后，不符合污染物排放总量控制要求的企业。</w:t>
                  </w:r>
                </w:p>
              </w:tc>
              <w:tc>
                <w:tcPr>
                  <w:tcW w:w="1329" w:type="pct"/>
                  <w:noWrap w:val="0"/>
                  <w:vAlign w:val="center"/>
                </w:tcPr>
                <w:p w14:paraId="07D5B9A4">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本项目不属于</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两高</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项目，污染物排放符合总量控制要求</w:t>
                  </w:r>
                  <w:r>
                    <w:rPr>
                      <w:rFonts w:hint="eastAsia"/>
                      <w:color w:val="000000" w:themeColor="text1"/>
                      <w:sz w:val="21"/>
                      <w:szCs w:val="21"/>
                      <w14:textFill>
                        <w14:solidFill>
                          <w14:schemeClr w14:val="tx1"/>
                        </w14:solidFill>
                      </w14:textFill>
                    </w:rPr>
                    <w:t>。</w:t>
                  </w:r>
                </w:p>
              </w:tc>
              <w:tc>
                <w:tcPr>
                  <w:tcW w:w="626" w:type="pct"/>
                  <w:noWrap w:val="0"/>
                  <w:vAlign w:val="center"/>
                </w:tcPr>
                <w:p w14:paraId="1B05DDAF">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7421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372" w:type="pct"/>
                  <w:vMerge w:val="continue"/>
                  <w:noWrap w:val="0"/>
                  <w:vAlign w:val="center"/>
                </w:tcPr>
                <w:p w14:paraId="4A5C469A">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p>
              </w:tc>
              <w:tc>
                <w:tcPr>
                  <w:tcW w:w="499" w:type="pct"/>
                  <w:noWrap w:val="0"/>
                  <w:vAlign w:val="center"/>
                </w:tcPr>
                <w:p w14:paraId="38AD5C09">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七</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建立健全区域环境风险防范和生态安全保障体系。</w:t>
                  </w:r>
                </w:p>
              </w:tc>
              <w:tc>
                <w:tcPr>
                  <w:tcW w:w="2171" w:type="pct"/>
                  <w:noWrap w:val="0"/>
                  <w:vAlign w:val="center"/>
                </w:tcPr>
                <w:p w14:paraId="2837E6B0">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加</w:t>
                  </w:r>
                  <w:r>
                    <w:rPr>
                      <w:rFonts w:hint="eastAsia"/>
                      <w:color w:val="000000" w:themeColor="text1"/>
                      <w:sz w:val="21"/>
                      <w:szCs w:val="21"/>
                      <w14:textFill>
                        <w14:solidFill>
                          <w14:schemeClr w14:val="tx1"/>
                        </w14:solidFill>
                      </w14:textFill>
                    </w:rPr>
                    <w:t>强园区内易导致环境风险的有毒有害和易燃易爆物质的生产、使用、贮运等管理，统筹考虑污染防治、生态恢复与建设、环境风险防范、环境管理等事宜</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强化园区危险化学品储运的环境风险管理，制定建立厂区、园区、区域三级防控措施，强化环境监测与预警能力建设、环境风险应急与防范措施，建立应急响应联动机制和风险防控体系并编制应急预案，防范环境风险，避免事故废水排入园区外水体，保障区域环境安全。</w:t>
                  </w:r>
                </w:p>
              </w:tc>
              <w:tc>
                <w:tcPr>
                  <w:tcW w:w="1329" w:type="pct"/>
                  <w:noWrap w:val="0"/>
                  <w:vAlign w:val="center"/>
                </w:tcPr>
                <w:p w14:paraId="1678A598">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环评</w:t>
                  </w:r>
                  <w:r>
                    <w:rPr>
                      <w:rFonts w:hint="eastAsia"/>
                      <w:color w:val="000000" w:themeColor="text1"/>
                      <w:sz w:val="21"/>
                      <w:szCs w:val="21"/>
                      <w:lang w:eastAsia="zh-CN"/>
                      <w14:textFill>
                        <w14:solidFill>
                          <w14:schemeClr w14:val="tx1"/>
                        </w14:solidFill>
                      </w14:textFill>
                    </w:rPr>
                    <w:t>要求</w:t>
                  </w:r>
                  <w:r>
                    <w:rPr>
                      <w:rFonts w:hint="eastAsia"/>
                      <w:color w:val="000000" w:themeColor="text1"/>
                      <w:sz w:val="21"/>
                      <w:szCs w:val="21"/>
                      <w14:textFill>
                        <w14:solidFill>
                          <w14:schemeClr w14:val="tx1"/>
                        </w14:solidFill>
                      </w14:textFill>
                    </w:rPr>
                    <w:t>建设单位后期制定编制突发环境事件应急预案，并完善</w:t>
                  </w:r>
                  <w:r>
                    <w:rPr>
                      <w:rFonts w:hint="eastAsia"/>
                      <w:color w:val="000000" w:themeColor="text1"/>
                      <w:sz w:val="21"/>
                      <w:szCs w:val="21"/>
                      <w:lang w:val="en-US" w:eastAsia="zh-CN"/>
                      <w14:textFill>
                        <w14:solidFill>
                          <w14:schemeClr w14:val="tx1"/>
                        </w14:solidFill>
                      </w14:textFill>
                    </w:rPr>
                    <w:t>项目使用原料密胺粉的</w:t>
                  </w:r>
                  <w:r>
                    <w:rPr>
                      <w:rFonts w:hint="eastAsia"/>
                      <w:color w:val="000000" w:themeColor="text1"/>
                      <w:sz w:val="21"/>
                      <w:szCs w:val="21"/>
                      <w14:textFill>
                        <w14:solidFill>
                          <w14:schemeClr w14:val="tx1"/>
                        </w14:solidFill>
                      </w14:textFill>
                    </w:rPr>
                    <w:t>风险管理机制。加强环境风险防控。</w:t>
                  </w:r>
                </w:p>
              </w:tc>
              <w:tc>
                <w:tcPr>
                  <w:tcW w:w="626" w:type="pct"/>
                  <w:noWrap w:val="0"/>
                  <w:vAlign w:val="center"/>
                </w:tcPr>
                <w:p w14:paraId="4839ABE2">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符合</w:t>
                  </w:r>
                </w:p>
              </w:tc>
            </w:tr>
          </w:tbl>
          <w:p w14:paraId="22C51D04">
            <w:pPr>
              <w:pStyle w:val="79"/>
              <w:bidi w:val="0"/>
              <w:rPr>
                <w:rFonts w:hint="default"/>
                <w:color w:val="000000" w:themeColor="text1"/>
                <w:lang w:val="en-US"/>
                <w14:textFill>
                  <w14:solidFill>
                    <w14:schemeClr w14:val="tx1"/>
                  </w14:solidFill>
                </w14:textFill>
              </w:rPr>
            </w:pPr>
            <w:r>
              <w:rPr>
                <w:rFonts w:hint="eastAsia"/>
                <w:color w:val="000000" w:themeColor="text1"/>
                <w14:textFill>
                  <w14:solidFill>
                    <w14:schemeClr w14:val="tx1"/>
                  </w14:solidFill>
                </w14:textFill>
              </w:rPr>
              <w:t>项目生活污水经处理后回用</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废气做到</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应收尽收</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，并配套设置废气治理措施，废气均达标排放</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固废处理率100%</w:t>
            </w:r>
            <w:r>
              <w:rPr>
                <w:rFonts w:hint="eastAsia"/>
                <w:color w:val="000000" w:themeColor="text1"/>
                <w:lang w:eastAsia="zh-CN"/>
                <w14:textFill>
                  <w14:solidFill>
                    <w14:schemeClr w14:val="tx1"/>
                  </w14:solidFill>
                </w14:textFill>
              </w:rPr>
              <w:t>。综上所述，</w:t>
            </w:r>
            <w:r>
              <w:rPr>
                <w:rFonts w:hint="eastAsia"/>
                <w:color w:val="000000" w:themeColor="text1"/>
                <w14:textFill>
                  <w14:solidFill>
                    <w14:schemeClr w14:val="tx1"/>
                  </w14:solidFill>
                </w14:textFill>
              </w:rPr>
              <w:t>项目</w:t>
            </w:r>
            <w:r>
              <w:rPr>
                <w:rFonts w:hint="eastAsia"/>
                <w:color w:val="000000" w:themeColor="text1"/>
                <w:lang w:eastAsia="zh-CN"/>
                <w14:textFill>
                  <w14:solidFill>
                    <w14:schemeClr w14:val="tx1"/>
                  </w14:solidFill>
                </w14:textFill>
              </w:rPr>
              <w:t>建设</w:t>
            </w:r>
            <w:r>
              <w:rPr>
                <w:rFonts w:hint="eastAsia"/>
                <w:color w:val="000000" w:themeColor="text1"/>
                <w14:textFill>
                  <w14:solidFill>
                    <w14:schemeClr w14:val="tx1"/>
                  </w14:solidFill>
                </w14:textFill>
              </w:rPr>
              <w:t>符合规划环评及审查意见要求。</w:t>
            </w:r>
          </w:p>
        </w:tc>
      </w:tr>
      <w:tr w14:paraId="13356B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25" w:hRule="atLeast"/>
          <w:jc w:val="center"/>
        </w:trPr>
        <w:tc>
          <w:tcPr>
            <w:tcW w:w="1456" w:type="dxa"/>
            <w:vAlign w:val="center"/>
          </w:tcPr>
          <w:p w14:paraId="49CC684D">
            <w:pPr>
              <w:autoSpaceDE w:val="0"/>
              <w:autoSpaceDN w:val="0"/>
              <w:adjustRightInd w:val="0"/>
              <w:snapToGrid w:val="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其他符合性分析</w:t>
            </w:r>
          </w:p>
        </w:tc>
        <w:tc>
          <w:tcPr>
            <w:tcW w:w="7414" w:type="dxa"/>
            <w:gridSpan w:val="3"/>
            <w:vAlign w:val="center"/>
          </w:tcPr>
          <w:p w14:paraId="58CB2141">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kern w:val="0"/>
                <w:sz w:val="24"/>
                <w:lang w:val="en-US" w:eastAsia="zh-CN"/>
                <w14:textFill>
                  <w14:solidFill>
                    <w14:schemeClr w14:val="tx1"/>
                  </w14:solidFill>
                </w14:textFill>
              </w:rPr>
            </w:pPr>
            <w:r>
              <w:rPr>
                <w:rFonts w:hint="eastAsia" w:cs="Times New Roman"/>
                <w:b/>
                <w:bCs/>
                <w:color w:val="000000" w:themeColor="text1"/>
                <w:kern w:val="0"/>
                <w:sz w:val="24"/>
                <w:lang w:val="en-US" w:eastAsia="zh-CN"/>
                <w14:textFill>
                  <w14:solidFill>
                    <w14:schemeClr w14:val="tx1"/>
                  </w14:solidFill>
                </w14:textFill>
              </w:rPr>
              <w:t>1、产业政策符合性分析</w:t>
            </w:r>
          </w:p>
          <w:p w14:paraId="342A6082">
            <w:pPr>
              <w:autoSpaceDE w:val="0"/>
              <w:autoSpaceDN w:val="0"/>
              <w:adjustRightInd w:val="0"/>
              <w:snapToGrid w:val="0"/>
              <w:spacing w:line="360" w:lineRule="auto"/>
              <w:ind w:firstLine="480" w:firstLineChars="200"/>
              <w:rPr>
                <w:rFonts w:hint="eastAsia" w:cs="Times New Roman"/>
                <w:b w:val="0"/>
                <w:bCs w:val="0"/>
                <w:color w:val="000000" w:themeColor="text1"/>
                <w:kern w:val="0"/>
                <w:sz w:val="24"/>
                <w:lang w:val="en-US" w:eastAsia="zh-CN"/>
                <w14:textFill>
                  <w14:solidFill>
                    <w14:schemeClr w14:val="tx1"/>
                  </w14:solidFill>
                </w14:textFill>
              </w:rPr>
            </w:pPr>
            <w:r>
              <w:rPr>
                <w:rFonts w:hint="eastAsia" w:cs="Times New Roman"/>
                <w:b w:val="0"/>
                <w:bCs w:val="0"/>
                <w:color w:val="000000" w:themeColor="text1"/>
                <w:kern w:val="0"/>
                <w:sz w:val="24"/>
                <w:lang w:val="en-US" w:eastAsia="zh-CN"/>
                <w14:textFill>
                  <w14:solidFill>
                    <w14:schemeClr w14:val="tx1"/>
                  </w14:solidFill>
                </w14:textFill>
              </w:rPr>
              <w:t>本项目为密胺餐具生产项目，属于</w:t>
            </w:r>
            <w:r>
              <w:rPr>
                <w:rFonts w:hint="eastAsia" w:cs="Times New Roman"/>
                <w:color w:val="000000" w:themeColor="text1"/>
                <w:sz w:val="24"/>
                <w:highlight w:val="none"/>
                <w:lang w:val="en-US" w:eastAsia="zh-CN"/>
                <w14:textFill>
                  <w14:solidFill>
                    <w14:schemeClr w14:val="tx1"/>
                  </w14:solidFill>
                </w14:textFill>
              </w:rPr>
              <w:t>日用塑料制品制造</w:t>
            </w:r>
            <w:r>
              <w:rPr>
                <w:rFonts w:hint="eastAsia" w:cs="Times New Roman"/>
                <w:b w:val="0"/>
                <w:bCs w:val="0"/>
                <w:color w:val="000000" w:themeColor="text1"/>
                <w:kern w:val="0"/>
                <w:sz w:val="24"/>
                <w:lang w:val="en-US" w:eastAsia="zh-CN"/>
                <w14:textFill>
                  <w14:solidFill>
                    <w14:schemeClr w14:val="tx1"/>
                  </w14:solidFill>
                </w14:textFill>
              </w:rPr>
              <w:t>，经对照《产业结构调整指导目录（2024年本）》与《市场准入负面清单（2025年版）》（发改体改规〔2025〕466号），项目不属于指导目录中鼓励、限制、淘汰类项目以及负面清单中的清单所列的禁止准入类或许可准入类事项；</w:t>
            </w:r>
          </w:p>
          <w:p w14:paraId="5D1687B5">
            <w:pPr>
              <w:autoSpaceDE w:val="0"/>
              <w:autoSpaceDN w:val="0"/>
              <w:adjustRightInd w:val="0"/>
              <w:snapToGrid w:val="0"/>
              <w:spacing w:line="360" w:lineRule="auto"/>
              <w:ind w:firstLine="480" w:firstLineChars="200"/>
              <w:rPr>
                <w:rFonts w:hint="eastAsia" w:cs="Times New Roman"/>
                <w:b w:val="0"/>
                <w:bCs w:val="0"/>
                <w:color w:val="000000" w:themeColor="text1"/>
                <w:kern w:val="0"/>
                <w:sz w:val="24"/>
                <w:lang w:val="en-US" w:eastAsia="zh-CN"/>
                <w14:textFill>
                  <w14:solidFill>
                    <w14:schemeClr w14:val="tx1"/>
                  </w14:solidFill>
                </w14:textFill>
              </w:rPr>
            </w:pPr>
            <w:r>
              <w:rPr>
                <w:rFonts w:hint="eastAsia" w:cs="Times New Roman"/>
                <w:b w:val="0"/>
                <w:bCs w:val="0"/>
                <w:color w:val="000000" w:themeColor="text1"/>
                <w:kern w:val="0"/>
                <w:sz w:val="24"/>
                <w:lang w:val="en-US" w:eastAsia="zh-CN"/>
                <w14:textFill>
                  <w14:solidFill>
                    <w14:schemeClr w14:val="tx1"/>
                  </w14:solidFill>
                </w14:textFill>
              </w:rPr>
              <w:t>根据《产业结构调整指导目录（2024年本）》规定，鼓励类、限制类和淘汰类之外的，且符合国家有关法律、法规和政策规定的属于允许类；</w:t>
            </w:r>
          </w:p>
          <w:p w14:paraId="1DE68A16">
            <w:pPr>
              <w:autoSpaceDE w:val="0"/>
              <w:autoSpaceDN w:val="0"/>
              <w:adjustRightInd w:val="0"/>
              <w:snapToGrid w:val="0"/>
              <w:spacing w:line="360" w:lineRule="auto"/>
              <w:ind w:firstLine="480" w:firstLineChars="200"/>
              <w:rPr>
                <w:rFonts w:hint="eastAsia" w:cs="Times New Roman"/>
                <w:b w:val="0"/>
                <w:bCs w:val="0"/>
                <w:color w:val="000000" w:themeColor="text1"/>
                <w:kern w:val="0"/>
                <w:sz w:val="24"/>
                <w:lang w:val="en-US" w:eastAsia="zh-CN"/>
                <w14:textFill>
                  <w14:solidFill>
                    <w14:schemeClr w14:val="tx1"/>
                  </w14:solidFill>
                </w14:textFill>
              </w:rPr>
            </w:pPr>
            <w:r>
              <w:rPr>
                <w:rFonts w:hint="eastAsia" w:cs="Times New Roman"/>
                <w:b w:val="0"/>
                <w:bCs w:val="0"/>
                <w:color w:val="000000" w:themeColor="text1"/>
                <w:kern w:val="0"/>
                <w:sz w:val="24"/>
                <w:lang w:val="en-US" w:eastAsia="zh-CN"/>
                <w14:textFill>
                  <w14:solidFill>
                    <w14:schemeClr w14:val="tx1"/>
                  </w14:solidFill>
                </w14:textFill>
              </w:rPr>
              <w:t>根据《市场准入负面清单（2025年版）》规定，市场准入负面清单分为禁止准入类和许可准入类两类。对禁止准入事项，经营主体不得进入，政府依法不予审批、核准；对许可准入事项，需经政府许可方可投资经营。在清单以外的行业、领域、业务，各类经营主体均可依法平等进入。因此，本项目属于市场准入负面清单以外的行业，建设单位可依法平等进入，项目建设符合《市场准入负面清单（2025年版）》相关要求。</w:t>
            </w:r>
          </w:p>
          <w:p w14:paraId="7EC1ECCE">
            <w:pPr>
              <w:autoSpaceDE w:val="0"/>
              <w:autoSpaceDN w:val="0"/>
              <w:adjustRightInd w:val="0"/>
              <w:snapToGrid w:val="0"/>
              <w:spacing w:line="360" w:lineRule="auto"/>
              <w:ind w:firstLine="480" w:firstLineChars="200"/>
              <w:rPr>
                <w:rFonts w:hint="default" w:cs="Times New Roman"/>
                <w:b w:val="0"/>
                <w:bCs w:val="0"/>
                <w:color w:val="000000" w:themeColor="text1"/>
                <w:kern w:val="0"/>
                <w:sz w:val="24"/>
                <w:lang w:val="en-US" w:eastAsia="zh-CN"/>
                <w14:textFill>
                  <w14:solidFill>
                    <w14:schemeClr w14:val="tx1"/>
                  </w14:solidFill>
                </w14:textFill>
              </w:rPr>
            </w:pPr>
            <w:r>
              <w:rPr>
                <w:rFonts w:hint="eastAsia" w:cs="Times New Roman"/>
                <w:b w:val="0"/>
                <w:bCs w:val="0"/>
                <w:color w:val="000000" w:themeColor="text1"/>
                <w:kern w:val="0"/>
                <w:sz w:val="24"/>
                <w:lang w:val="en-US" w:eastAsia="zh-CN"/>
                <w14:textFill>
                  <w14:solidFill>
                    <w14:schemeClr w14:val="tx1"/>
                  </w14:solidFill>
                </w14:textFill>
              </w:rPr>
              <w:t>项目于2026年5月27日取得易门县发展和改革局核发的云南省固定资产投资项目备案证，项目代码：</w:t>
            </w:r>
            <w:r>
              <w:rPr>
                <w:rFonts w:hint="eastAsia" w:cs="Times New Roman"/>
                <w:color w:val="000000" w:themeColor="text1"/>
                <w:sz w:val="24"/>
                <w:lang w:val="en-US" w:eastAsia="zh-CN"/>
                <w14:textFill>
                  <w14:solidFill>
                    <w14:schemeClr w14:val="tx1"/>
                  </w14:solidFill>
                </w14:textFill>
              </w:rPr>
              <w:t>2605-530425-04-01-484637</w:t>
            </w:r>
            <w:r>
              <w:rPr>
                <w:rFonts w:hint="eastAsia" w:cs="Times New Roman"/>
                <w:b w:val="0"/>
                <w:bCs w:val="0"/>
                <w:color w:val="000000" w:themeColor="text1"/>
                <w:kern w:val="0"/>
                <w:sz w:val="24"/>
                <w:lang w:val="en-US" w:eastAsia="zh-CN"/>
                <w14:textFill>
                  <w14:solidFill>
                    <w14:schemeClr w14:val="tx1"/>
                  </w14:solidFill>
                </w14:textFill>
              </w:rPr>
              <w:t>。</w:t>
            </w:r>
          </w:p>
          <w:p w14:paraId="6F62E2BD">
            <w:pPr>
              <w:autoSpaceDE w:val="0"/>
              <w:autoSpaceDN w:val="0"/>
              <w:adjustRightInd w:val="0"/>
              <w:snapToGrid w:val="0"/>
              <w:spacing w:line="360" w:lineRule="auto"/>
              <w:ind w:firstLine="480" w:firstLineChars="200"/>
              <w:rPr>
                <w:rFonts w:hint="default" w:ascii="Times New Roman" w:hAnsi="Times New Roman" w:cs="Times New Roman"/>
                <w:b/>
                <w:bCs/>
                <w:color w:val="000000" w:themeColor="text1"/>
                <w:kern w:val="0"/>
                <w:sz w:val="24"/>
                <w14:textFill>
                  <w14:solidFill>
                    <w14:schemeClr w14:val="tx1"/>
                  </w14:solidFill>
                </w14:textFill>
              </w:rPr>
            </w:pPr>
            <w:r>
              <w:rPr>
                <w:rFonts w:hint="eastAsia" w:cs="Times New Roman"/>
                <w:b w:val="0"/>
                <w:bCs w:val="0"/>
                <w:color w:val="000000" w:themeColor="text1"/>
                <w:kern w:val="0"/>
                <w:sz w:val="24"/>
                <w:lang w:val="en-US" w:eastAsia="zh-CN"/>
                <w14:textFill>
                  <w14:solidFill>
                    <w14:schemeClr w14:val="tx1"/>
                  </w14:solidFill>
                </w14:textFill>
              </w:rPr>
              <w:t>因此，项目的建设符合国家现行产业政策。</w:t>
            </w:r>
          </w:p>
          <w:p w14:paraId="1295D692">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cs="Times New Roman"/>
                <w:b/>
                <w:bCs/>
                <w:color w:val="000000" w:themeColor="text1"/>
                <w:kern w:val="0"/>
                <w:sz w:val="24"/>
                <w14:textFill>
                  <w14:solidFill>
                    <w14:schemeClr w14:val="tx1"/>
                  </w14:solidFill>
                </w14:textFill>
              </w:rPr>
            </w:pPr>
            <w:r>
              <w:rPr>
                <w:rFonts w:hint="eastAsia" w:cs="Times New Roman"/>
                <w:b/>
                <w:bCs/>
                <w:color w:val="000000" w:themeColor="text1"/>
                <w:kern w:val="0"/>
                <w:sz w:val="24"/>
                <w:lang w:val="en-US" w:eastAsia="zh-CN"/>
                <w14:textFill>
                  <w14:solidFill>
                    <w14:schemeClr w14:val="tx1"/>
                  </w14:solidFill>
                </w14:textFill>
              </w:rPr>
              <w:t>2</w:t>
            </w:r>
            <w:r>
              <w:rPr>
                <w:rFonts w:hint="default" w:ascii="Times New Roman" w:hAnsi="Times New Roman" w:cs="Times New Roman"/>
                <w:b/>
                <w:bCs/>
                <w:color w:val="000000" w:themeColor="text1"/>
                <w:kern w:val="0"/>
                <w:sz w:val="24"/>
                <w14:textFill>
                  <w14:solidFill>
                    <w14:schemeClr w14:val="tx1"/>
                  </w14:solidFill>
                </w14:textFill>
              </w:rPr>
              <w:t>、</w:t>
            </w:r>
            <w:r>
              <w:rPr>
                <w:rFonts w:hint="eastAsia" w:cs="Times New Roman"/>
                <w:b/>
                <w:bCs/>
                <w:color w:val="000000" w:themeColor="text1"/>
                <w:kern w:val="0"/>
                <w:sz w:val="24"/>
                <w:lang w:val="en-US" w:eastAsia="zh-CN"/>
                <w14:textFill>
                  <w14:solidFill>
                    <w14:schemeClr w14:val="tx1"/>
                  </w14:solidFill>
                </w14:textFill>
              </w:rPr>
              <w:t>《玉溪市生态环境分区管控动态更新调整方案（2023年）》（玉市环〔2024〕40号）相符性分析</w:t>
            </w:r>
          </w:p>
          <w:p w14:paraId="5344A31B">
            <w:pPr>
              <w:widowControl w:val="0"/>
              <w:spacing w:line="360" w:lineRule="auto"/>
              <w:ind w:firstLine="480" w:firstLineChars="200"/>
              <w:jc w:val="both"/>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2024年6月7日玉溪市生态环境局印发了《玉溪市生态环境局关于印发玉溪市生态环境分区管控动态更新调整方案（2023年）的通知》（玉市环〔2024〕40号），本项目位于玉溪市易门产业园区</w:t>
            </w:r>
            <w:r>
              <w:rPr>
                <w:rFonts w:hint="eastAsia" w:cs="Times New Roman"/>
                <w:color w:val="000000" w:themeColor="text1"/>
                <w:kern w:val="0"/>
                <w:sz w:val="24"/>
                <w:szCs w:val="24"/>
                <w:lang w:val="en-US" w:eastAsia="zh-CN" w:bidi="ar-SA"/>
                <w14:textFill>
                  <w14:solidFill>
                    <w14:schemeClr w14:val="tx1"/>
                  </w14:solidFill>
                </w14:textFill>
              </w:rPr>
              <w:t>麦子田</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片区，</w:t>
            </w:r>
            <w:r>
              <w:rPr>
                <w:rFonts w:hint="eastAsia" w:cs="Times New Roman"/>
                <w:color w:val="000000" w:themeColor="text1"/>
                <w:kern w:val="0"/>
                <w:sz w:val="24"/>
                <w:szCs w:val="24"/>
                <w:lang w:val="en-US" w:eastAsia="zh-CN" w:bidi="ar-SA"/>
                <w14:textFill>
                  <w14:solidFill>
                    <w14:schemeClr w14:val="tx1"/>
                  </w14:solidFill>
                </w14:textFill>
              </w:rPr>
              <w:t>根据“云南省生态环境分区管控公共服务查询平台”可知本项目</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属于易门县产业园区重点管控单元。</w:t>
            </w:r>
            <w:r>
              <w:rPr>
                <w:rFonts w:hint="eastAsia" w:cs="Times New Roman"/>
                <w:color w:val="000000" w:themeColor="text1"/>
                <w:kern w:val="0"/>
                <w:sz w:val="24"/>
                <w:szCs w:val="24"/>
                <w:lang w:val="en-US" w:eastAsia="zh-CN" w:bidi="ar-SA"/>
                <w14:textFill>
                  <w14:solidFill>
                    <w14:schemeClr w14:val="tx1"/>
                  </w14:solidFill>
                </w14:textFill>
              </w:rPr>
              <w:t>管控单元截图见下图，项目与区域总体管控要求的相符性见下表：</w:t>
            </w:r>
          </w:p>
          <w:p w14:paraId="6A9BC42D">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ind w:leftChars="0"/>
              <w:jc w:val="center"/>
              <w:textAlignment w:val="auto"/>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drawing>
                <wp:inline distT="0" distB="0" distL="114300" distR="114300">
                  <wp:extent cx="4380865" cy="4013835"/>
                  <wp:effectExtent l="0" t="0" r="635" b="5715"/>
                  <wp:docPr id="29" name="图片 29" descr="管控单元截图20260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管控单元截图20260714"/>
                          <pic:cNvPicPr>
                            <a:picLocks noChangeAspect="1"/>
                          </pic:cNvPicPr>
                        </pic:nvPicPr>
                        <pic:blipFill>
                          <a:blip r:embed="rId11"/>
                          <a:stretch>
                            <a:fillRect/>
                          </a:stretch>
                        </pic:blipFill>
                        <pic:spPr>
                          <a:xfrm>
                            <a:off x="0" y="0"/>
                            <a:ext cx="4380865" cy="4013835"/>
                          </a:xfrm>
                          <a:prstGeom prst="rect">
                            <a:avLst/>
                          </a:prstGeom>
                        </pic:spPr>
                      </pic:pic>
                    </a:graphicData>
                  </a:graphic>
                </wp:inline>
              </w:drawing>
            </w:r>
          </w:p>
          <w:p w14:paraId="79FA4653">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ind w:leftChars="0"/>
              <w:jc w:val="center"/>
              <w:textAlignment w:val="auto"/>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eastAsia" w:cs="Times New Roman"/>
                <w:b/>
                <w:bCs/>
                <w:color w:val="000000" w:themeColor="text1"/>
                <w:kern w:val="2"/>
                <w:sz w:val="21"/>
                <w:szCs w:val="21"/>
                <w:lang w:val="en-US" w:eastAsia="zh-CN" w:bidi="ar-SA"/>
                <w14:textFill>
                  <w14:solidFill>
                    <w14:schemeClr w14:val="tx1"/>
                  </w14:solidFill>
                </w14:textFill>
              </w:rPr>
              <w:t>图1-1 管控单元截图</w:t>
            </w:r>
          </w:p>
          <w:p w14:paraId="0FD85D95">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ind w:leftChars="0"/>
              <w:jc w:val="center"/>
              <w:textAlignment w:val="auto"/>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表1-4项目与</w:t>
            </w:r>
            <w:r>
              <w:rPr>
                <w:rFonts w:hint="eastAsia" w:cs="Times New Roman"/>
                <w:b/>
                <w:bCs/>
                <w:color w:val="000000" w:themeColor="text1"/>
                <w:kern w:val="2"/>
                <w:sz w:val="21"/>
                <w:szCs w:val="21"/>
                <w:lang w:val="en-US" w:eastAsia="zh-CN" w:bidi="ar-SA"/>
                <w14:textFill>
                  <w14:solidFill>
                    <w14:schemeClr w14:val="tx1"/>
                  </w14:solidFill>
                </w14:textFill>
              </w:rPr>
              <w:t>区域总体管控要求</w:t>
            </w: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的相符性分析一览表</w:t>
            </w:r>
          </w:p>
          <w:tbl>
            <w:tblPr>
              <w:tblStyle w:val="32"/>
              <w:tblW w:w="71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2817"/>
              <w:gridCol w:w="2861"/>
              <w:gridCol w:w="679"/>
            </w:tblGrid>
            <w:tr w14:paraId="58D08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8" w:type="dxa"/>
                  <w:gridSpan w:val="2"/>
                  <w:vAlign w:val="center"/>
                </w:tcPr>
                <w:p w14:paraId="06F9D0CE">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pPr>
                  <w:r>
                    <w:rPr>
                      <w:rFonts w:hint="eastAsia" w:cs="Times New Roman"/>
                      <w:b/>
                      <w:bCs/>
                      <w:color w:val="000000" w:themeColor="text1"/>
                      <w:kern w:val="2"/>
                      <w:sz w:val="21"/>
                      <w:szCs w:val="21"/>
                      <w:vertAlign w:val="baseline"/>
                      <w:lang w:val="en-US" w:eastAsia="zh-CN" w:bidi="ar-SA"/>
                      <w14:textFill>
                        <w14:solidFill>
                          <w14:schemeClr w14:val="tx1"/>
                        </w14:solidFill>
                      </w14:textFill>
                    </w:rPr>
                    <w:t>管控要求</w:t>
                  </w:r>
                </w:p>
              </w:tc>
              <w:tc>
                <w:tcPr>
                  <w:tcW w:w="2861" w:type="dxa"/>
                  <w:vAlign w:val="center"/>
                </w:tcPr>
                <w:p w14:paraId="175E4C23">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pPr>
                  <w:r>
                    <w:rPr>
                      <w:rFonts w:hint="eastAsia" w:cs="Times New Roman"/>
                      <w:b/>
                      <w:bCs/>
                      <w:color w:val="000000" w:themeColor="text1"/>
                      <w:kern w:val="2"/>
                      <w:sz w:val="21"/>
                      <w:szCs w:val="21"/>
                      <w:vertAlign w:val="baseline"/>
                      <w:lang w:val="en-US" w:eastAsia="zh-CN" w:bidi="ar-SA"/>
                      <w14:textFill>
                        <w14:solidFill>
                          <w14:schemeClr w14:val="tx1"/>
                        </w14:solidFill>
                      </w14:textFill>
                    </w:rPr>
                    <w:t>本项目情况</w:t>
                  </w:r>
                </w:p>
              </w:tc>
              <w:tc>
                <w:tcPr>
                  <w:tcW w:w="679" w:type="dxa"/>
                  <w:vAlign w:val="center"/>
                </w:tcPr>
                <w:p w14:paraId="2D4387D2">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pPr>
                  <w:r>
                    <w:rPr>
                      <w:rFonts w:hint="eastAsia" w:cs="Times New Roman"/>
                      <w:b/>
                      <w:bCs/>
                      <w:color w:val="000000" w:themeColor="text1"/>
                      <w:kern w:val="2"/>
                      <w:sz w:val="21"/>
                      <w:szCs w:val="21"/>
                      <w:vertAlign w:val="baseline"/>
                      <w:lang w:val="en-US" w:eastAsia="zh-CN" w:bidi="ar-SA"/>
                      <w14:textFill>
                        <w14:solidFill>
                          <w14:schemeClr w14:val="tx1"/>
                        </w14:solidFill>
                      </w14:textFill>
                    </w:rPr>
                    <w:t>是否符合</w:t>
                  </w:r>
                </w:p>
              </w:tc>
            </w:tr>
            <w:tr w14:paraId="755EF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Merge w:val="restart"/>
                  <w:vAlign w:val="center"/>
                </w:tcPr>
                <w:p w14:paraId="35A7F71E">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空间布局约束</w:t>
                  </w:r>
                </w:p>
              </w:tc>
              <w:tc>
                <w:tcPr>
                  <w:tcW w:w="2817" w:type="dxa"/>
                  <w:vAlign w:val="center"/>
                </w:tcPr>
                <w:p w14:paraId="7B870CC6">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1、严格落实国家产业政策、国家产业结构调整指导目录。坚决遏制高耗能、高排放、低水平项目盲目发展，项目审批严格落实国家和云南省相关政策要求。严格落实钢铁、水泥、平板玻璃、电解铝等行业产能置换相关政策，严管严控新增电解铝和工业硅产能。</w:t>
                  </w:r>
                </w:p>
              </w:tc>
              <w:tc>
                <w:tcPr>
                  <w:tcW w:w="2861" w:type="dxa"/>
                  <w:vAlign w:val="center"/>
                </w:tcPr>
                <w:p w14:paraId="4B72F1AE">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本项目为密胺餐具生产项目，属于日用塑料制品制造，经对照《产业结构调整指导目录（2024年本）》，属于允许类。</w:t>
                  </w: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项目不属于钢铁、水泥、平板玻璃、电解铝等行业。</w:t>
                  </w:r>
                </w:p>
              </w:tc>
              <w:tc>
                <w:tcPr>
                  <w:tcW w:w="679" w:type="dxa"/>
                  <w:vAlign w:val="center"/>
                </w:tcPr>
                <w:p w14:paraId="5528FEA9">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符合</w:t>
                  </w:r>
                </w:p>
              </w:tc>
            </w:tr>
            <w:tr w14:paraId="51B7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Merge w:val="continue"/>
                  <w:vAlign w:val="center"/>
                </w:tcPr>
                <w:p w14:paraId="30469F61">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p>
              </w:tc>
              <w:tc>
                <w:tcPr>
                  <w:tcW w:w="2817" w:type="dxa"/>
                  <w:vAlign w:val="center"/>
                </w:tcPr>
                <w:p w14:paraId="580455E1">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2、加强河湖水域岸线空间管控，严格落实九大高原湖泊（抚仙湖、星云湖、杞麓湖）“两线三区”相关管控要求。加快推动重点区域、重点流域落后和过剩产能退出。依法加快城市建成区重污染企业搬迁改造或关闭退出</w:t>
                  </w:r>
                </w:p>
              </w:tc>
              <w:tc>
                <w:tcPr>
                  <w:tcW w:w="2861" w:type="dxa"/>
                  <w:vAlign w:val="center"/>
                </w:tcPr>
                <w:p w14:paraId="1A4CB633">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项目位于易门工业园区麦子田片区，不属于九大高原湖泊区域，本项目为密胺餐具生产，属于日用塑料制品制造，不属于高污染企业。</w:t>
                  </w:r>
                </w:p>
              </w:tc>
              <w:tc>
                <w:tcPr>
                  <w:tcW w:w="679" w:type="dxa"/>
                  <w:vAlign w:val="center"/>
                </w:tcPr>
                <w:p w14:paraId="5937054D">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符合</w:t>
                  </w:r>
                </w:p>
              </w:tc>
            </w:tr>
            <w:tr w14:paraId="0D793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Merge w:val="continue"/>
                  <w:vAlign w:val="center"/>
                </w:tcPr>
                <w:p w14:paraId="4B6C69F7">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p>
              </w:tc>
              <w:tc>
                <w:tcPr>
                  <w:tcW w:w="2817" w:type="dxa"/>
                  <w:vAlign w:val="center"/>
                </w:tcPr>
                <w:p w14:paraId="6AB3BB3B">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3、禁止在合规园区外新建、扩建钢铁、石化、化工、焦化、建材、有色、制浆造纸行业中的高污染项目。禁止新建、扩建不符合国家石化、现代煤化工等产业布局规划的项目。禁止列入《云南省城镇人口密集区危险化学品生产企业搬迁改造名单》的搬迁改造企业在原址新建、扩建危险化学品生产项目。新建、改建、扩建“两高”项目须符合生态环境保护法律法规和相关法定规划，满足重点污染物排放总量控制、碳排放达峰目标、生态环境准入清单、相关规划环评和相应行业建设项目环境准入条件、环评文件审批原则要求。</w:t>
                  </w:r>
                </w:p>
              </w:tc>
              <w:tc>
                <w:tcPr>
                  <w:tcW w:w="2861" w:type="dxa"/>
                  <w:vAlign w:val="center"/>
                </w:tcPr>
                <w:p w14:paraId="3ECDBE9A">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1、项目属于日用塑料制品制造，不属于钢铁、石化、化工、焦化、建材、有色、制浆造纸行业中的高污染项目；</w:t>
                  </w:r>
                </w:p>
                <w:p w14:paraId="74030E85">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2、项目不属于《云南省城镇人口密集区危险化学品生产企业搬迁改造名单》内企业；</w:t>
                  </w:r>
                </w:p>
                <w:p w14:paraId="4342E5CA">
                  <w:pPr>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3、项目不属于“两高”项目，为日用塑料制品制造业，与麦子田片区产业定位不冲突，严格执行园区大气污染物总量管控要求。</w:t>
                  </w:r>
                </w:p>
              </w:tc>
              <w:tc>
                <w:tcPr>
                  <w:tcW w:w="679" w:type="dxa"/>
                  <w:vAlign w:val="center"/>
                </w:tcPr>
                <w:p w14:paraId="77850F00">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符合</w:t>
                  </w:r>
                </w:p>
              </w:tc>
            </w:tr>
            <w:tr w14:paraId="38CA0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Merge w:val="continue"/>
                  <w:vAlign w:val="center"/>
                </w:tcPr>
                <w:p w14:paraId="6C6D1D29">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p>
              </w:tc>
              <w:tc>
                <w:tcPr>
                  <w:tcW w:w="2817" w:type="dxa"/>
                  <w:vAlign w:val="center"/>
                </w:tcPr>
                <w:p w14:paraId="7B262A9A">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4、</w:t>
                  </w: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禁止在九大高原湖泊（抚仙湖、星云湖、杞麓湖）流域内新建、改建、扩建污染环境、高耗水、高耗能、破坏生态平衡和自然景观的项目</w:t>
                  </w:r>
                </w:p>
              </w:tc>
              <w:tc>
                <w:tcPr>
                  <w:tcW w:w="2861" w:type="dxa"/>
                  <w:vAlign w:val="center"/>
                </w:tcPr>
                <w:p w14:paraId="68443D76">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项目位于易门产业园区麦子田片区，不属于九大高原湖泊流域。</w:t>
                  </w:r>
                </w:p>
              </w:tc>
              <w:tc>
                <w:tcPr>
                  <w:tcW w:w="679" w:type="dxa"/>
                  <w:vAlign w:val="center"/>
                </w:tcPr>
                <w:p w14:paraId="5F6B4A0E">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符合</w:t>
                  </w:r>
                </w:p>
              </w:tc>
            </w:tr>
            <w:tr w14:paraId="5CB3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Merge w:val="restart"/>
                  <w:vAlign w:val="center"/>
                </w:tcPr>
                <w:p w14:paraId="46AD6A61">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污染物排放管控</w:t>
                  </w:r>
                </w:p>
              </w:tc>
              <w:tc>
                <w:tcPr>
                  <w:tcW w:w="2817" w:type="dxa"/>
                  <w:vAlign w:val="center"/>
                </w:tcPr>
                <w:p w14:paraId="28CC2D56">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1</w:t>
                  </w: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严格落实强制性清洁生产审核要求，引导重点行业实施清洁生产改造，到2025年底，重点行业企业基本达到国内清洁生产先进水平。</w:t>
                  </w:r>
                </w:p>
              </w:tc>
              <w:tc>
                <w:tcPr>
                  <w:tcW w:w="2861" w:type="dxa"/>
                  <w:vAlign w:val="center"/>
                </w:tcPr>
                <w:p w14:paraId="3B8D7E29">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项目不属于重点行业。</w:t>
                  </w:r>
                </w:p>
              </w:tc>
              <w:tc>
                <w:tcPr>
                  <w:tcW w:w="679" w:type="dxa"/>
                  <w:vAlign w:val="center"/>
                </w:tcPr>
                <w:p w14:paraId="631A4F2E">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符合</w:t>
                  </w:r>
                </w:p>
              </w:tc>
            </w:tr>
            <w:tr w14:paraId="1219D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Merge w:val="continue"/>
                  <w:vAlign w:val="center"/>
                </w:tcPr>
                <w:p w14:paraId="22277BA9">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p>
              </w:tc>
              <w:tc>
                <w:tcPr>
                  <w:tcW w:w="2817" w:type="dxa"/>
                  <w:vAlign w:val="center"/>
                </w:tcPr>
                <w:p w14:paraId="19F9DDBA">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2</w:t>
                  </w: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加大</w:t>
                  </w: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三湖</w:t>
                  </w: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（抚仙湖、星云湖、杞麓湖）及</w:t>
                  </w: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两江</w:t>
                  </w: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（南盘江干流、红河水系玉溪段）流域的保护和治理，推进流域环湖截污治污，加强湖泊内源污染风险防范，开展污水处理提质增效、农业面源污染治理、入河排污口整治、开发区污染治理、</w:t>
                  </w: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三磷</w:t>
                  </w: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和重金属行业排查等专项行动，建立水环境质量管理长效机制，持续巩固治理成效。持续打好城市黑臭水体治理攻坚战，有效控制入河污染物排放，强化溯源整治，推进城镇污水管网全覆盖。</w:t>
                  </w:r>
                </w:p>
              </w:tc>
              <w:tc>
                <w:tcPr>
                  <w:tcW w:w="2861" w:type="dxa"/>
                  <w:vAlign w:val="center"/>
                </w:tcPr>
                <w:p w14:paraId="70524564">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项目位于易门产业园区麦子田片区，</w:t>
                  </w: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不属于“三湖”（抚仙湖、星云湖、杞麓湖）及“两江”（南盘江干流、红河水系玉溪段）流域。项目</w:t>
                  </w: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施行雨污分流，</w:t>
                  </w: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冷却水循环使用不外排，</w:t>
                  </w: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生活污水经</w:t>
                  </w: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依托化粪池与污水处理站</w:t>
                  </w: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处理</w:t>
                  </w: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达标</w:t>
                  </w: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后回用，不排入水体。</w:t>
                  </w:r>
                </w:p>
              </w:tc>
              <w:tc>
                <w:tcPr>
                  <w:tcW w:w="679" w:type="dxa"/>
                  <w:vAlign w:val="center"/>
                </w:tcPr>
                <w:p w14:paraId="312EA318">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符合</w:t>
                  </w:r>
                </w:p>
              </w:tc>
            </w:tr>
            <w:tr w14:paraId="50993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Merge w:val="continue"/>
                  <w:vAlign w:val="center"/>
                </w:tcPr>
                <w:p w14:paraId="3786B255">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p>
              </w:tc>
              <w:tc>
                <w:tcPr>
                  <w:tcW w:w="2817" w:type="dxa"/>
                  <w:vAlign w:val="center"/>
                </w:tcPr>
                <w:p w14:paraId="03B0176B">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3</w:t>
                  </w: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严格保护城乡饮用水水源地，整治饮用水水源保护区内的污染源，确保饮水安全。</w:t>
                  </w:r>
                </w:p>
              </w:tc>
              <w:tc>
                <w:tcPr>
                  <w:tcW w:w="2861" w:type="dxa"/>
                  <w:vAlign w:val="center"/>
                </w:tcPr>
                <w:p w14:paraId="5DB40E43">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项目位于易门产业园区麦子田片区，</w:t>
                  </w: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项目厂界外500m范围内无地下水集中式饮用水水源和热水、矿泉水、温泉等特殊地下水资源。</w:t>
                  </w:r>
                </w:p>
              </w:tc>
              <w:tc>
                <w:tcPr>
                  <w:tcW w:w="679" w:type="dxa"/>
                  <w:vAlign w:val="center"/>
                </w:tcPr>
                <w:p w14:paraId="7A47FF30">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符合</w:t>
                  </w:r>
                </w:p>
              </w:tc>
            </w:tr>
            <w:tr w14:paraId="403D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Merge w:val="continue"/>
                  <w:vAlign w:val="center"/>
                </w:tcPr>
                <w:p w14:paraId="2D1F1EB2">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p>
              </w:tc>
              <w:tc>
                <w:tcPr>
                  <w:tcW w:w="2817" w:type="dxa"/>
                  <w:vAlign w:val="center"/>
                </w:tcPr>
                <w:p w14:paraId="581FFD31">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4</w:t>
                  </w: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开展细颗粒物和臭氧协同控制、挥发性有机物和氮氧化物协同减排。石化、化工、包装印刷、工业涂装等VOCs排放重点源，纳入重点排污单位名录，推进挥发性有机物综合治理，实施原辅材料和产品源头替代工程，排污口安装自动监控设施。推进运输结构调整，开展清洁柴油车（机）、清洁油品、车用尿素等专项行动，开展建筑施工工地扬尘专项治理；加大餐饮油烟污染、恶臭异味治理力度，强化秸秆综合利用和禁烧管控。推动有色金属、钢铁、磷化工、建材等重点行业节能降碳升级改造，淘汰落后工艺技术和生产装置，实施煤电、水泥、焦化企业超低排放改造，到2025年，钢铁行业全面完成超低排放改造。</w:t>
                  </w:r>
                </w:p>
              </w:tc>
              <w:tc>
                <w:tcPr>
                  <w:tcW w:w="2861" w:type="dxa"/>
                  <w:vAlign w:val="center"/>
                </w:tcPr>
                <w:p w14:paraId="4BE70BAE">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项目属于日用塑料制品制造，不属于石化、化工、包装印刷、工业涂装等VOCs排放重点源行业。项目采取布袋除尘减少颗粒物排放量，采取“活性炭吸附/脱附+催化燃烧装置”减少挥发性有机物与甲醛的排放量。</w:t>
                  </w:r>
                </w:p>
              </w:tc>
              <w:tc>
                <w:tcPr>
                  <w:tcW w:w="679" w:type="dxa"/>
                  <w:vAlign w:val="center"/>
                </w:tcPr>
                <w:p w14:paraId="5EA76126">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符合</w:t>
                  </w:r>
                </w:p>
              </w:tc>
            </w:tr>
            <w:tr w14:paraId="4233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Merge w:val="continue"/>
                  <w:vAlign w:val="center"/>
                </w:tcPr>
                <w:p w14:paraId="4E25987A">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p>
              </w:tc>
              <w:tc>
                <w:tcPr>
                  <w:tcW w:w="2817" w:type="dxa"/>
                  <w:vAlign w:val="center"/>
                </w:tcPr>
                <w:p w14:paraId="439CCD78">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5</w:t>
                  </w: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加大环境污染物减排力度，到2025年，实现氮氧化物减排1224吨，挥发性有机物减排1393吨，化学需氧量减排2461吨，氨氮减排230吨。</w:t>
                  </w:r>
                </w:p>
              </w:tc>
              <w:tc>
                <w:tcPr>
                  <w:tcW w:w="2861" w:type="dxa"/>
                  <w:vAlign w:val="center"/>
                </w:tcPr>
                <w:p w14:paraId="218C02FF">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项目采取布袋除尘减少颗粒物排放量，采取</w:t>
                  </w: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活性炭吸附/脱附+催化燃烧装置</w:t>
                  </w: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减少挥发性有机物与甲醛的排放量。</w:t>
                  </w:r>
                </w:p>
              </w:tc>
              <w:tc>
                <w:tcPr>
                  <w:tcW w:w="679" w:type="dxa"/>
                  <w:vAlign w:val="center"/>
                </w:tcPr>
                <w:p w14:paraId="62EC1CAD">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p>
              </w:tc>
            </w:tr>
            <w:tr w14:paraId="2373D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Merge w:val="continue"/>
                  <w:vAlign w:val="center"/>
                </w:tcPr>
                <w:p w14:paraId="30BA4946">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p>
              </w:tc>
              <w:tc>
                <w:tcPr>
                  <w:tcW w:w="2817" w:type="dxa"/>
                  <w:vAlign w:val="center"/>
                </w:tcPr>
                <w:p w14:paraId="373D6069">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6、严格管控农用地，不得在特定农产品禁止生产区域种植食用农产品；安全利用农用地，制定受污染耕地安全利用方案，降低农产品超标风险。合理规划污染地块土地用途，从严管控农药、化工、有色金属等行业企业重度污染地块开发利用，对列入建设用地土壤污染风险管控和修复名录的地块不得作为住宅、公共管理与公共服务用地，不得办理土地征收、收回、收购、土地供应以及改变土地用途等手续，应当依法开展土壤污染状况调查、治理与修复，并符合相应规划用地土壤环境质量要求后，方可进入用地程序。</w:t>
                  </w:r>
                </w:p>
              </w:tc>
              <w:tc>
                <w:tcPr>
                  <w:tcW w:w="2861" w:type="dxa"/>
                  <w:vAlign w:val="center"/>
                </w:tcPr>
                <w:p w14:paraId="3F554FE4">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项目位于易门产业园区麦子田片区，用地属二类工业用地，不涉及农用地。</w:t>
                  </w:r>
                </w:p>
              </w:tc>
              <w:tc>
                <w:tcPr>
                  <w:tcW w:w="679" w:type="dxa"/>
                  <w:vAlign w:val="center"/>
                </w:tcPr>
                <w:p w14:paraId="04F6DA37">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符合</w:t>
                  </w:r>
                </w:p>
              </w:tc>
            </w:tr>
            <w:tr w14:paraId="21997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Merge w:val="continue"/>
                  <w:vAlign w:val="center"/>
                </w:tcPr>
                <w:p w14:paraId="03284055">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p>
              </w:tc>
              <w:tc>
                <w:tcPr>
                  <w:tcW w:w="2817" w:type="dxa"/>
                  <w:vAlign w:val="center"/>
                </w:tcPr>
                <w:p w14:paraId="172D31C7">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7、加快“无废城市”建设，产生工业固体废物的单位应当建立健全工业固体废物产生、收集、贮存、运输、利用、处置全过程的污染环境防治责任制度，按照国家有关规定建立工业固体废物管理台账，加强重金属污染物排放管理，落实区域“减量替代”和“等量替代”要求，重金属污染物排放量2025年比2020年削减4%。 </w:t>
                  </w:r>
                </w:p>
              </w:tc>
              <w:tc>
                <w:tcPr>
                  <w:tcW w:w="2861" w:type="dxa"/>
                  <w:vAlign w:val="center"/>
                </w:tcPr>
                <w:p w14:paraId="4A3E50D8">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项目根据相关要求设置一般固废暂存点以及危险废物暂存点，按照国家有关规定建立工业固体废物管理台账。称量打磨废气收尘灰、边角料与不合格品、废包装袋收集后外售综合利用；车间沉降粉尘委托环卫部门进行处置；废润滑油、废液压油定期委托有资质的单位清运处置；生活垃圾定期委托环卫部门处置；固废做到100%处置。</w:t>
                  </w:r>
                </w:p>
              </w:tc>
              <w:tc>
                <w:tcPr>
                  <w:tcW w:w="679" w:type="dxa"/>
                  <w:vAlign w:val="center"/>
                </w:tcPr>
                <w:p w14:paraId="5DC247D6">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符合</w:t>
                  </w:r>
                </w:p>
              </w:tc>
            </w:tr>
            <w:tr w14:paraId="5D897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Merge w:val="continue"/>
                  <w:vAlign w:val="center"/>
                </w:tcPr>
                <w:p w14:paraId="63207F2D">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p>
              </w:tc>
              <w:tc>
                <w:tcPr>
                  <w:tcW w:w="2817" w:type="dxa"/>
                  <w:vAlign w:val="center"/>
                </w:tcPr>
                <w:p w14:paraId="3EDE7D78">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8、到2025年，中心城区细颗粒物（PM</w:t>
                  </w:r>
                  <w:r>
                    <w:rPr>
                      <w:rFonts w:hint="eastAsia" w:cs="Times New Roman"/>
                      <w:b w:val="0"/>
                      <w:bCs w:val="0"/>
                      <w:color w:val="000000" w:themeColor="text1"/>
                      <w:kern w:val="2"/>
                      <w:sz w:val="21"/>
                      <w:szCs w:val="21"/>
                      <w:vertAlign w:val="subscript"/>
                      <w:lang w:val="en-US" w:eastAsia="zh-CN" w:bidi="ar-SA"/>
                      <w14:textFill>
                        <w14:solidFill>
                          <w14:schemeClr w14:val="tx1"/>
                        </w14:solidFill>
                      </w14:textFill>
                    </w:rPr>
                    <w:t>2.5</w:t>
                  </w: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）平均浓度控制在21微克/立方米以内，城市空气质量优良天数比率达到98.5%以上，坚决防范重度及以上污染天气发生，全市地表水国控断面优良水体比例达80%，消除城市黑臭水体，消除劣Ⅴ类水体。</w:t>
                  </w:r>
                </w:p>
              </w:tc>
              <w:tc>
                <w:tcPr>
                  <w:tcW w:w="2861" w:type="dxa"/>
                  <w:vAlign w:val="center"/>
                </w:tcPr>
                <w:p w14:paraId="11B46E9E">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项目位于易门产业园区麦子田片区，不属于中心城区。根据区域环境质量现状调查，项目所在区域2024年满足环境空气质量为《环境空气质量标准》（GB3095-2012）二级标准要求，评价范围内的翠柏保护区满足《环境空气质量标准》（GB3095-2026）表1过渡阶段一级浓度限值和表2一级浓度限值，属于达标区，空气质量现状良好；周边地表水满足《地表水环境质量标准》（GB3838-2002）Ⅲ类水质要求。</w:t>
                  </w:r>
                </w:p>
              </w:tc>
              <w:tc>
                <w:tcPr>
                  <w:tcW w:w="679" w:type="dxa"/>
                  <w:vAlign w:val="center"/>
                </w:tcPr>
                <w:p w14:paraId="3CF571D4">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符合</w:t>
                  </w:r>
                </w:p>
              </w:tc>
            </w:tr>
            <w:tr w14:paraId="4CA28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Merge w:val="restart"/>
                  <w:vAlign w:val="center"/>
                </w:tcPr>
                <w:p w14:paraId="7989A4DA">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环境风险防控</w:t>
                  </w:r>
                </w:p>
              </w:tc>
              <w:tc>
                <w:tcPr>
                  <w:tcW w:w="2817" w:type="dxa"/>
                  <w:vAlign w:val="center"/>
                </w:tcPr>
                <w:p w14:paraId="3E3232BE">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1、强化与其他滇中城市的大气、水污染防治联防联控协作机制，加强区域内重污染天气和跨界水体风险应急联动。</w:t>
                  </w:r>
                </w:p>
              </w:tc>
              <w:tc>
                <w:tcPr>
                  <w:tcW w:w="2861" w:type="dxa"/>
                  <w:vAlign w:val="center"/>
                </w:tcPr>
                <w:p w14:paraId="68A4EF2D">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项目不涉及</w:t>
                  </w:r>
                </w:p>
              </w:tc>
              <w:tc>
                <w:tcPr>
                  <w:tcW w:w="679" w:type="dxa"/>
                  <w:vAlign w:val="center"/>
                </w:tcPr>
                <w:p w14:paraId="11A5FF6A">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符合</w:t>
                  </w:r>
                </w:p>
              </w:tc>
            </w:tr>
            <w:tr w14:paraId="1BFB6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Merge w:val="continue"/>
                  <w:vAlign w:val="center"/>
                </w:tcPr>
                <w:p w14:paraId="6F7A2316">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p>
              </w:tc>
              <w:tc>
                <w:tcPr>
                  <w:tcW w:w="2817" w:type="dxa"/>
                  <w:vAlign w:val="center"/>
                </w:tcPr>
                <w:p w14:paraId="7AB18A43">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2、开展涉危险废物涉重金属企业、化工园区等重点领域环境风险调查评估，加强危险化学品运输全链条安全监管。完善环境应急管理体系，提升市县两级环境应急响应能力，推进应急物资库建设。开展涉铊企业排查整治行动。建立“平战结合”医疗废物应急处置体系。</w:t>
                  </w:r>
                </w:p>
              </w:tc>
              <w:tc>
                <w:tcPr>
                  <w:tcW w:w="2861" w:type="dxa"/>
                  <w:vAlign w:val="center"/>
                </w:tcPr>
                <w:p w14:paraId="028941F2">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项目危险废物涉及废润滑油、废液压油、废油桶与废活性炭，定期委托有资质的单位清运处置，危险废物临时贮存应按《危险废物贮存污染控制标准》（GB18597-2023）进行建设；项目建成投产后及时制定突发环境事件应急预案，并到生态环境部门备案，定期进行应急演练。</w:t>
                  </w:r>
                </w:p>
              </w:tc>
              <w:tc>
                <w:tcPr>
                  <w:tcW w:w="679" w:type="dxa"/>
                  <w:vAlign w:val="center"/>
                </w:tcPr>
                <w:p w14:paraId="2107F8B0">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符合</w:t>
                  </w:r>
                </w:p>
              </w:tc>
            </w:tr>
            <w:tr w14:paraId="50861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Merge w:val="restart"/>
                  <w:vAlign w:val="center"/>
                </w:tcPr>
                <w:p w14:paraId="2CA98DAF">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资源开发利用效率</w:t>
                  </w:r>
                </w:p>
              </w:tc>
              <w:tc>
                <w:tcPr>
                  <w:tcW w:w="2817" w:type="dxa"/>
                  <w:vAlign w:val="center"/>
                </w:tcPr>
                <w:p w14:paraId="27C577EF">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1、降低水、土地、能源、矿产资源消耗强度，强化约束性指标管理。</w:t>
                  </w:r>
                </w:p>
              </w:tc>
              <w:tc>
                <w:tcPr>
                  <w:tcW w:w="2861" w:type="dxa"/>
                  <w:vAlign w:val="center"/>
                </w:tcPr>
                <w:p w14:paraId="19EA116A">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项目不消耗矿产资源，厂区内消耗能源为电能，电能属于清洁能源；项目租用云南联帆建材科技有限公司厂房，不新增用地。</w:t>
                  </w:r>
                </w:p>
              </w:tc>
              <w:tc>
                <w:tcPr>
                  <w:tcW w:w="679" w:type="dxa"/>
                  <w:vAlign w:val="center"/>
                </w:tcPr>
                <w:p w14:paraId="1C670AB4">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符合</w:t>
                  </w:r>
                </w:p>
              </w:tc>
            </w:tr>
            <w:tr w14:paraId="324E7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Merge w:val="continue"/>
                  <w:vAlign w:val="center"/>
                </w:tcPr>
                <w:p w14:paraId="39883E69">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p>
              </w:tc>
              <w:tc>
                <w:tcPr>
                  <w:tcW w:w="2817" w:type="dxa"/>
                  <w:vAlign w:val="center"/>
                </w:tcPr>
                <w:p w14:paraId="6E6EBC4E">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2、实行最严格的水资源管理制度，严格用水总量、强度指标管理，严格取水管控，建立重点监控取水单位名录，强化重点监控取水单位管理。全市年用水总量、万元工业增加值用水量降幅等指标达到省考核要求。</w:t>
                  </w:r>
                </w:p>
              </w:tc>
              <w:tc>
                <w:tcPr>
                  <w:tcW w:w="2861" w:type="dxa"/>
                  <w:vAlign w:val="center"/>
                </w:tcPr>
                <w:p w14:paraId="795C3BC9">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项目采用市政供水，不涉及取水。项目冷却水循环使用不外排，生活污水依托化粪池与污水处理站处理达到《城市污水再生利用 城市杂用水水质》（GB/T 18920-2020）表1城市绿化、道路清扫标准暂存于回用水池，非雨天回用于厂区绿化及道路浇洒，以减少水量使用。</w:t>
                  </w:r>
                </w:p>
              </w:tc>
              <w:tc>
                <w:tcPr>
                  <w:tcW w:w="679" w:type="dxa"/>
                  <w:vAlign w:val="center"/>
                </w:tcPr>
                <w:p w14:paraId="03DA4571">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符合</w:t>
                  </w:r>
                </w:p>
              </w:tc>
            </w:tr>
            <w:tr w14:paraId="2E78C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Merge w:val="continue"/>
                  <w:vAlign w:val="center"/>
                </w:tcPr>
                <w:p w14:paraId="20EC8C4B">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p>
              </w:tc>
              <w:tc>
                <w:tcPr>
                  <w:tcW w:w="2817" w:type="dxa"/>
                  <w:vAlign w:val="center"/>
                </w:tcPr>
                <w:p w14:paraId="5F9CBFF1">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3、坚持最严格的耕地保护制度，守住耕地保护红线。坚持节约用地，严格执行耕地占补平衡等制度，提高土地投资强度和单位面积产出水平。</w:t>
                  </w:r>
                </w:p>
              </w:tc>
              <w:tc>
                <w:tcPr>
                  <w:tcW w:w="2861" w:type="dxa"/>
                  <w:vAlign w:val="center"/>
                </w:tcPr>
                <w:p w14:paraId="71EE3ED5">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项目租用云南联帆建材科技有限公司厂房，不新增用地，且用地属于二类工业用地，不涉及耕地。</w:t>
                  </w:r>
                </w:p>
              </w:tc>
              <w:tc>
                <w:tcPr>
                  <w:tcW w:w="679" w:type="dxa"/>
                  <w:shd w:val="clear" w:color="auto" w:fill="auto"/>
                  <w:vAlign w:val="center"/>
                </w:tcPr>
                <w:p w14:paraId="50028375">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符合</w:t>
                  </w:r>
                </w:p>
              </w:tc>
            </w:tr>
            <w:tr w14:paraId="204D5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Merge w:val="continue"/>
                  <w:vAlign w:val="center"/>
                </w:tcPr>
                <w:p w14:paraId="7BD54547">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p>
              </w:tc>
              <w:tc>
                <w:tcPr>
                  <w:tcW w:w="2817" w:type="dxa"/>
                  <w:vAlign w:val="center"/>
                </w:tcPr>
                <w:p w14:paraId="199BCD4E">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4、全市单位GDP二氧化碳排放累计下降率完成云南省下达的指标；单位GDP能耗持续下降，到2025年，全市单位GDP能耗累计下降率14%。</w:t>
                  </w:r>
                </w:p>
              </w:tc>
              <w:tc>
                <w:tcPr>
                  <w:tcW w:w="2861" w:type="dxa"/>
                  <w:vAlign w:val="center"/>
                </w:tcPr>
                <w:p w14:paraId="387177B8">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项目使用能源为电能，电能属于清洁能源，且生产设备均选择低耗能设备。</w:t>
                  </w:r>
                </w:p>
              </w:tc>
              <w:tc>
                <w:tcPr>
                  <w:tcW w:w="679" w:type="dxa"/>
                  <w:vAlign w:val="center"/>
                </w:tcPr>
                <w:p w14:paraId="293A3F93">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符合</w:t>
                  </w:r>
                </w:p>
              </w:tc>
            </w:tr>
            <w:tr w14:paraId="4C391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Merge w:val="continue"/>
                  <w:vAlign w:val="center"/>
                </w:tcPr>
                <w:p w14:paraId="56DDD47F">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p>
              </w:tc>
              <w:tc>
                <w:tcPr>
                  <w:tcW w:w="2817" w:type="dxa"/>
                  <w:vAlign w:val="center"/>
                </w:tcPr>
                <w:p w14:paraId="0CD04849">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5、高污染燃料禁燃区按照《高污染燃料目录》及当地有关禁燃区管理规定执行。</w:t>
                  </w:r>
                </w:p>
              </w:tc>
              <w:tc>
                <w:tcPr>
                  <w:tcW w:w="2861" w:type="dxa"/>
                  <w:vAlign w:val="center"/>
                </w:tcPr>
                <w:p w14:paraId="555E6643">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项目不涉及高污染燃料。</w:t>
                  </w:r>
                </w:p>
              </w:tc>
              <w:tc>
                <w:tcPr>
                  <w:tcW w:w="679" w:type="dxa"/>
                  <w:vAlign w:val="center"/>
                </w:tcPr>
                <w:p w14:paraId="1B46F13F">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符合</w:t>
                  </w:r>
                </w:p>
              </w:tc>
            </w:tr>
            <w:tr w14:paraId="1CCED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Merge w:val="continue"/>
                  <w:vAlign w:val="center"/>
                </w:tcPr>
                <w:p w14:paraId="2D541A4A">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p>
              </w:tc>
              <w:tc>
                <w:tcPr>
                  <w:tcW w:w="2817" w:type="dxa"/>
                  <w:vAlign w:val="center"/>
                </w:tcPr>
                <w:p w14:paraId="640C996E">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6、实施高效节水灌溉工程，大力推广高效节水灌溉措施，到2025年，农田灌溉水有效利用系数达到0.55。</w:t>
                  </w:r>
                </w:p>
              </w:tc>
              <w:tc>
                <w:tcPr>
                  <w:tcW w:w="2861" w:type="dxa"/>
                  <w:vAlign w:val="center"/>
                </w:tcPr>
                <w:p w14:paraId="1524FEA8">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both"/>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项目不涉及农田灌溉。</w:t>
                  </w:r>
                </w:p>
              </w:tc>
              <w:tc>
                <w:tcPr>
                  <w:tcW w:w="679" w:type="dxa"/>
                  <w:vAlign w:val="center"/>
                </w:tcPr>
                <w:p w14:paraId="1D911BDE">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jc w:val="center"/>
                    <w:textAlignment w:val="auto"/>
                    <w:rPr>
                      <w:rFonts w:hint="default"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2"/>
                      <w:sz w:val="21"/>
                      <w:szCs w:val="21"/>
                      <w:vertAlign w:val="baseline"/>
                      <w:lang w:val="en-US" w:eastAsia="zh-CN" w:bidi="ar-SA"/>
                      <w14:textFill>
                        <w14:solidFill>
                          <w14:schemeClr w14:val="tx1"/>
                        </w14:solidFill>
                      </w14:textFill>
                    </w:rPr>
                    <w:t>符合</w:t>
                  </w:r>
                </w:p>
              </w:tc>
            </w:tr>
          </w:tbl>
          <w:p w14:paraId="34E438F1">
            <w:pPr>
              <w:pStyle w:val="79"/>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项目易门县产业园区重点管控单元相符性见下表：</w:t>
            </w:r>
          </w:p>
          <w:p w14:paraId="697E536C">
            <w:pPr>
              <w:keepNext w:val="0"/>
              <w:keepLines w:val="0"/>
              <w:pageBreakBefore w:val="0"/>
              <w:widowControl w:val="0"/>
              <w:numPr>
                <w:ilvl w:val="1"/>
                <w:numId w:val="0"/>
              </w:numPr>
              <w:tabs>
                <w:tab w:val="left" w:pos="0"/>
                <w:tab w:val="left" w:pos="420"/>
              </w:tabs>
              <w:kinsoku/>
              <w:wordWrap/>
              <w:overflowPunct/>
              <w:topLinePunct w:val="0"/>
              <w:autoSpaceDE/>
              <w:autoSpaceDN/>
              <w:bidi w:val="0"/>
              <w:adjustRightInd w:val="0"/>
              <w:snapToGrid w:val="0"/>
              <w:spacing w:line="240" w:lineRule="auto"/>
              <w:ind w:leftChars="0"/>
              <w:jc w:val="center"/>
              <w:textAlignment w:val="auto"/>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表1-</w:t>
            </w:r>
            <w:r>
              <w:rPr>
                <w:rFonts w:hint="eastAsia" w:cs="Times New Roman"/>
                <w:b/>
                <w:bCs/>
                <w:color w:val="000000" w:themeColor="text1"/>
                <w:kern w:val="2"/>
                <w:sz w:val="21"/>
                <w:szCs w:val="21"/>
                <w:lang w:val="en-US" w:eastAsia="zh-CN" w:bidi="ar-SA"/>
                <w14:textFill>
                  <w14:solidFill>
                    <w14:schemeClr w14:val="tx1"/>
                  </w14:solidFill>
                </w14:textFill>
              </w:rPr>
              <w:t>5</w:t>
            </w: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项目与重点管控单元生态环境准入清单的相符性分析一览表</w:t>
            </w:r>
          </w:p>
          <w:tbl>
            <w:tblPr>
              <w:tblStyle w:val="3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426"/>
              <w:gridCol w:w="2572"/>
              <w:gridCol w:w="2875"/>
              <w:gridCol w:w="684"/>
            </w:tblGrid>
            <w:tr w14:paraId="37DFB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76" w:type="pct"/>
                  <w:vAlign w:val="center"/>
                </w:tcPr>
                <w:p w14:paraId="041D2F4C">
                  <w:pPr>
                    <w:widowControl w:val="0"/>
                    <w:adjustRightInd w:val="0"/>
                    <w:snapToGrid w:val="0"/>
                    <w:spacing w:before="24" w:beforeLines="10" w:after="24" w:afterLines="10" w:line="259" w:lineRule="auto"/>
                    <w:jc w:val="center"/>
                    <w:rPr>
                      <w:rFonts w:ascii="Times New Roman" w:hAnsi="Times New Roman" w:eastAsia="宋体" w:cs="Times New Roman"/>
                      <w:b/>
                      <w:bCs/>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0"/>
                      <w:sz w:val="21"/>
                      <w:szCs w:val="20"/>
                      <w:lang w:val="en-US" w:eastAsia="zh-CN" w:bidi="ar-SA"/>
                      <w14:textFill>
                        <w14:solidFill>
                          <w14:schemeClr w14:val="tx1"/>
                        </w14:solidFill>
                      </w14:textFill>
                    </w:rPr>
                    <w:t>单元名称</w:t>
                  </w:r>
                </w:p>
              </w:tc>
              <w:tc>
                <w:tcPr>
                  <w:tcW w:w="2067" w:type="pct"/>
                  <w:gridSpan w:val="2"/>
                  <w:vAlign w:val="center"/>
                </w:tcPr>
                <w:p w14:paraId="405C9D45">
                  <w:pPr>
                    <w:widowControl w:val="0"/>
                    <w:adjustRightInd w:val="0"/>
                    <w:snapToGrid w:val="0"/>
                    <w:spacing w:before="24" w:beforeLines="10" w:after="24" w:afterLines="10" w:line="259" w:lineRule="auto"/>
                    <w:jc w:val="center"/>
                    <w:rPr>
                      <w:rFonts w:ascii="Times New Roman" w:hAnsi="Times New Roman" w:eastAsia="宋体" w:cs="Times New Roman"/>
                      <w:b/>
                      <w:bCs/>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0"/>
                      <w:sz w:val="21"/>
                      <w:szCs w:val="20"/>
                      <w:lang w:val="en-US" w:eastAsia="zh-CN" w:bidi="ar-SA"/>
                      <w14:textFill>
                        <w14:solidFill>
                          <w14:schemeClr w14:val="tx1"/>
                        </w14:solidFill>
                      </w14:textFill>
                    </w:rPr>
                    <w:t>管控要求</w:t>
                  </w:r>
                </w:p>
              </w:tc>
              <w:tc>
                <w:tcPr>
                  <w:tcW w:w="1983" w:type="pct"/>
                  <w:vAlign w:val="center"/>
                </w:tcPr>
                <w:p w14:paraId="064CF8AA">
                  <w:pPr>
                    <w:widowControl w:val="0"/>
                    <w:adjustRightInd w:val="0"/>
                    <w:snapToGrid w:val="0"/>
                    <w:spacing w:before="24" w:beforeLines="10" w:after="24" w:afterLines="10" w:line="259" w:lineRule="auto"/>
                    <w:jc w:val="center"/>
                    <w:rPr>
                      <w:rFonts w:ascii="Times New Roman" w:hAnsi="Times New Roman" w:eastAsia="宋体" w:cs="Times New Roman"/>
                      <w:b/>
                      <w:bCs/>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0"/>
                      <w:sz w:val="21"/>
                      <w:szCs w:val="20"/>
                      <w:lang w:val="en-US" w:eastAsia="zh-CN" w:bidi="ar-SA"/>
                      <w14:textFill>
                        <w14:solidFill>
                          <w14:schemeClr w14:val="tx1"/>
                        </w14:solidFill>
                      </w14:textFill>
                    </w:rPr>
                    <w:t>本项目情况</w:t>
                  </w:r>
                </w:p>
              </w:tc>
              <w:tc>
                <w:tcPr>
                  <w:tcW w:w="472" w:type="pct"/>
                  <w:vAlign w:val="center"/>
                </w:tcPr>
                <w:p w14:paraId="340E5EEE">
                  <w:pPr>
                    <w:widowControl w:val="0"/>
                    <w:adjustRightInd w:val="0"/>
                    <w:snapToGrid w:val="0"/>
                    <w:spacing w:before="24" w:beforeLines="10" w:after="24" w:afterLines="10" w:line="259" w:lineRule="auto"/>
                    <w:jc w:val="center"/>
                    <w:rPr>
                      <w:rFonts w:ascii="Times New Roman" w:hAnsi="Times New Roman" w:eastAsia="宋体" w:cs="Times New Roman"/>
                      <w:b/>
                      <w:bCs/>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0"/>
                      <w:sz w:val="21"/>
                      <w:szCs w:val="20"/>
                      <w:lang w:val="en-US" w:eastAsia="zh-CN" w:bidi="ar-SA"/>
                      <w14:textFill>
                        <w14:solidFill>
                          <w14:schemeClr w14:val="tx1"/>
                        </w14:solidFill>
                      </w14:textFill>
                    </w:rPr>
                    <w:t>是否符合</w:t>
                  </w:r>
                </w:p>
              </w:tc>
            </w:tr>
            <w:tr w14:paraId="324A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6" w:type="pct"/>
                  <w:vMerge w:val="restart"/>
                  <w:vAlign w:val="center"/>
                </w:tcPr>
                <w:p w14:paraId="2BB85175">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t>易门县产业园区重点管控单元</w:t>
                  </w:r>
                </w:p>
              </w:tc>
              <w:tc>
                <w:tcPr>
                  <w:tcW w:w="293" w:type="pct"/>
                  <w:vMerge w:val="restart"/>
                  <w:vAlign w:val="center"/>
                </w:tcPr>
                <w:p w14:paraId="3F0BD3A9">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t>空间布局约束</w:t>
                  </w:r>
                </w:p>
              </w:tc>
              <w:tc>
                <w:tcPr>
                  <w:tcW w:w="1774" w:type="pct"/>
                  <w:vAlign w:val="center"/>
                </w:tcPr>
                <w:p w14:paraId="0C78615A">
                  <w:pPr>
                    <w:widowControl w:val="0"/>
                    <w:adjustRightInd w:val="0"/>
                    <w:snapToGrid w:val="0"/>
                    <w:spacing w:before="24" w:beforeLines="10" w:after="24" w:afterLines="10" w:line="259" w:lineRule="auto"/>
                    <w:jc w:val="both"/>
                    <w:rPr>
                      <w:rFonts w:hint="default"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cs="Times New Roman"/>
                      <w:color w:val="000000" w:themeColor="text1"/>
                      <w:kern w:val="0"/>
                      <w:sz w:val="21"/>
                      <w:szCs w:val="20"/>
                      <w:lang w:val="en-US" w:eastAsia="zh-CN" w:bidi="ar-SA"/>
                      <w14:textFill>
                        <w14:solidFill>
                          <w14:schemeClr w14:val="tx1"/>
                        </w14:solidFill>
                      </w14:textFill>
                    </w:rPr>
                    <w:t>1、合理规划产业分区和功能定位，禁止不符合产业政策、产业结构调整指导目录和园区规划要求的项目入园区。新建、扩建金属冶炼项目大气污染物鼓励实施超低排放要求，“两高”项目实行主要污染物区域削减替代。</w:t>
                  </w:r>
                </w:p>
              </w:tc>
              <w:tc>
                <w:tcPr>
                  <w:tcW w:w="1983" w:type="pct"/>
                  <w:vAlign w:val="center"/>
                </w:tcPr>
                <w:p w14:paraId="039776D2">
                  <w:pPr>
                    <w:widowControl w:val="0"/>
                    <w:adjustRightInd w:val="0"/>
                    <w:snapToGrid w:val="0"/>
                    <w:spacing w:before="24" w:beforeLines="10" w:after="24" w:afterLines="10" w:line="259" w:lineRule="auto"/>
                    <w:jc w:val="both"/>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本项目</w:t>
                  </w:r>
                  <w:r>
                    <w:rPr>
                      <w:rFonts w:hint="eastAsia" w:cs="Times New Roman"/>
                      <w:color w:val="000000" w:themeColor="text1"/>
                      <w:kern w:val="0"/>
                      <w:sz w:val="21"/>
                      <w:szCs w:val="20"/>
                      <w:lang w:val="en-US" w:eastAsia="zh-CN" w:bidi="ar-SA"/>
                      <w14:textFill>
                        <w14:solidFill>
                          <w14:schemeClr w14:val="tx1"/>
                        </w14:solidFill>
                      </w14:textFill>
                    </w:rPr>
                    <w:t>属于</w:t>
                  </w:r>
                  <w:r>
                    <w:rPr>
                      <w:rFonts w:hint="eastAsia" w:ascii="Times New Roman" w:eastAsia="宋体"/>
                      <w:color w:val="000000" w:themeColor="text1"/>
                      <w:sz w:val="21"/>
                      <w:szCs w:val="21"/>
                      <w:lang w:val="en-US" w:eastAsia="zh-CN"/>
                      <w14:textFill>
                        <w14:solidFill>
                          <w14:schemeClr w14:val="tx1"/>
                        </w14:solidFill>
                      </w14:textFill>
                    </w:rPr>
                    <w:t>日用塑料制品制造</w:t>
                  </w: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，不属于重污染行业</w:t>
                  </w:r>
                  <w:r>
                    <w:rPr>
                      <w:rFonts w:hint="eastAsia" w:cs="Times New Roman"/>
                      <w:color w:val="000000" w:themeColor="text1"/>
                      <w:kern w:val="0"/>
                      <w:sz w:val="21"/>
                      <w:szCs w:val="20"/>
                      <w:lang w:val="en-US" w:eastAsia="zh-CN" w:bidi="ar-SA"/>
                      <w14:textFill>
                        <w14:solidFill>
                          <w14:schemeClr w14:val="tx1"/>
                        </w14:solidFill>
                      </w14:textFill>
                    </w:rPr>
                    <w:t>。</w:t>
                  </w:r>
                </w:p>
              </w:tc>
              <w:tc>
                <w:tcPr>
                  <w:tcW w:w="472" w:type="pct"/>
                  <w:vAlign w:val="center"/>
                </w:tcPr>
                <w:p w14:paraId="7AEE3949">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符合</w:t>
                  </w:r>
                </w:p>
              </w:tc>
            </w:tr>
            <w:tr w14:paraId="65831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476" w:type="pct"/>
                  <w:vMerge w:val="continue"/>
                  <w:vAlign w:val="center"/>
                </w:tcPr>
                <w:p w14:paraId="0A2EADF3">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p>
              </w:tc>
              <w:tc>
                <w:tcPr>
                  <w:tcW w:w="293" w:type="pct"/>
                  <w:vMerge w:val="continue"/>
                  <w:vAlign w:val="center"/>
                </w:tcPr>
                <w:p w14:paraId="0ECB1F3D">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p>
              </w:tc>
              <w:tc>
                <w:tcPr>
                  <w:tcW w:w="1774" w:type="pct"/>
                  <w:vAlign w:val="center"/>
                </w:tcPr>
                <w:p w14:paraId="136CC0B7">
                  <w:pPr>
                    <w:widowControl w:val="0"/>
                    <w:adjustRightInd w:val="0"/>
                    <w:snapToGrid w:val="0"/>
                    <w:spacing w:before="24" w:beforeLines="10" w:after="24" w:afterLines="10" w:line="259" w:lineRule="auto"/>
                    <w:jc w:val="both"/>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cs="Times New Roman"/>
                      <w:color w:val="000000" w:themeColor="text1"/>
                      <w:kern w:val="0"/>
                      <w:sz w:val="21"/>
                      <w:szCs w:val="20"/>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居民集中区周边禁止布局重污染企业，园区内工业用地与人口密集区应合理设置绿化隔离带。</w:t>
                  </w:r>
                </w:p>
              </w:tc>
              <w:tc>
                <w:tcPr>
                  <w:tcW w:w="1983" w:type="pct"/>
                  <w:vAlign w:val="center"/>
                </w:tcPr>
                <w:p w14:paraId="2B50D6A6">
                  <w:pPr>
                    <w:widowControl w:val="0"/>
                    <w:adjustRightInd w:val="0"/>
                    <w:snapToGrid w:val="0"/>
                    <w:spacing w:before="24" w:beforeLines="10" w:after="24" w:afterLines="10" w:line="259" w:lineRule="auto"/>
                    <w:jc w:val="both"/>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本项目</w:t>
                  </w:r>
                  <w:r>
                    <w:rPr>
                      <w:rFonts w:hint="eastAsia" w:cs="Times New Roman"/>
                      <w:color w:val="000000" w:themeColor="text1"/>
                      <w:kern w:val="0"/>
                      <w:sz w:val="21"/>
                      <w:szCs w:val="20"/>
                      <w:lang w:val="en-US" w:eastAsia="zh-CN" w:bidi="ar-SA"/>
                      <w14:textFill>
                        <w14:solidFill>
                          <w14:schemeClr w14:val="tx1"/>
                        </w14:solidFill>
                      </w14:textFill>
                    </w:rPr>
                    <w:t>属于</w:t>
                  </w:r>
                  <w:r>
                    <w:rPr>
                      <w:rFonts w:hint="eastAsia" w:ascii="Times New Roman" w:eastAsia="宋体"/>
                      <w:color w:val="000000" w:themeColor="text1"/>
                      <w:sz w:val="21"/>
                      <w:szCs w:val="21"/>
                      <w:lang w:val="en-US" w:eastAsia="zh-CN"/>
                      <w14:textFill>
                        <w14:solidFill>
                          <w14:schemeClr w14:val="tx1"/>
                        </w14:solidFill>
                      </w14:textFill>
                    </w:rPr>
                    <w:t>日用塑料制品制造</w:t>
                  </w: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，不属于重污染行业；项目位于玉溪市易门产业园区</w:t>
                  </w:r>
                  <w:r>
                    <w:rPr>
                      <w:rFonts w:hint="eastAsia" w:cs="Times New Roman"/>
                      <w:color w:val="000000" w:themeColor="text1"/>
                      <w:kern w:val="0"/>
                      <w:sz w:val="21"/>
                      <w:szCs w:val="20"/>
                      <w:lang w:val="en-US" w:eastAsia="zh-CN" w:bidi="ar-SA"/>
                      <w14:textFill>
                        <w14:solidFill>
                          <w14:schemeClr w14:val="tx1"/>
                        </w14:solidFill>
                      </w14:textFill>
                    </w:rPr>
                    <w:t>麦子田</w:t>
                  </w: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片区，距离居民集中区较远。</w:t>
                  </w:r>
                </w:p>
              </w:tc>
              <w:tc>
                <w:tcPr>
                  <w:tcW w:w="472" w:type="pct"/>
                  <w:vAlign w:val="center"/>
                </w:tcPr>
                <w:p w14:paraId="05766369">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符合</w:t>
                  </w:r>
                </w:p>
              </w:tc>
            </w:tr>
            <w:tr w14:paraId="41AFB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476" w:type="pct"/>
                  <w:vMerge w:val="continue"/>
                  <w:vAlign w:val="center"/>
                </w:tcPr>
                <w:p w14:paraId="5F86D218">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p>
              </w:tc>
              <w:tc>
                <w:tcPr>
                  <w:tcW w:w="293" w:type="pct"/>
                  <w:vMerge w:val="continue"/>
                  <w:vAlign w:val="center"/>
                </w:tcPr>
                <w:p w14:paraId="607A30A5">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p>
              </w:tc>
              <w:tc>
                <w:tcPr>
                  <w:tcW w:w="1774" w:type="pct"/>
                  <w:vAlign w:val="center"/>
                </w:tcPr>
                <w:p w14:paraId="7765C70F">
                  <w:pPr>
                    <w:widowControl w:val="0"/>
                    <w:adjustRightInd w:val="0"/>
                    <w:snapToGrid w:val="0"/>
                    <w:spacing w:before="24" w:beforeLines="10" w:after="24" w:afterLines="10" w:line="259" w:lineRule="auto"/>
                    <w:jc w:val="both"/>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cs="Times New Roman"/>
                      <w:color w:val="000000" w:themeColor="text1"/>
                      <w:kern w:val="0"/>
                      <w:sz w:val="21"/>
                      <w:szCs w:val="20"/>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麦子田片区布局重污染企业远离六街街道居民集中区。</w:t>
                  </w:r>
                </w:p>
              </w:tc>
              <w:tc>
                <w:tcPr>
                  <w:tcW w:w="1983" w:type="pct"/>
                  <w:vAlign w:val="center"/>
                </w:tcPr>
                <w:p w14:paraId="3AB1423C">
                  <w:pPr>
                    <w:widowControl w:val="0"/>
                    <w:adjustRightInd w:val="0"/>
                    <w:snapToGrid w:val="0"/>
                    <w:spacing w:before="24" w:beforeLines="10" w:after="24" w:afterLines="10" w:line="259" w:lineRule="auto"/>
                    <w:jc w:val="both"/>
                    <w:rPr>
                      <w:rFonts w:hint="default"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项目不属于重污染企业，距离六街镇居民集中区（东北侧3200m）较远。</w:t>
                  </w:r>
                </w:p>
              </w:tc>
              <w:tc>
                <w:tcPr>
                  <w:tcW w:w="472" w:type="pct"/>
                  <w:shd w:val="clear" w:color="auto" w:fill="auto"/>
                  <w:vAlign w:val="center"/>
                </w:tcPr>
                <w:p w14:paraId="4C9E8456">
                  <w:pPr>
                    <w:widowControl w:val="0"/>
                    <w:adjustRightInd w:val="0"/>
                    <w:snapToGrid w:val="0"/>
                    <w:spacing w:before="24" w:beforeLines="10" w:after="24" w:afterLines="10" w:line="259" w:lineRule="auto"/>
                    <w:jc w:val="cente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符合</w:t>
                  </w:r>
                </w:p>
              </w:tc>
            </w:tr>
            <w:tr w14:paraId="5C040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76" w:type="pct"/>
                  <w:vMerge w:val="continue"/>
                  <w:vAlign w:val="center"/>
                </w:tcPr>
                <w:p w14:paraId="73463184">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p>
              </w:tc>
              <w:tc>
                <w:tcPr>
                  <w:tcW w:w="293" w:type="pct"/>
                  <w:vMerge w:val="restart"/>
                  <w:vAlign w:val="center"/>
                </w:tcPr>
                <w:p w14:paraId="4A6A2BA7">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t>污染物排放管控</w:t>
                  </w:r>
                </w:p>
              </w:tc>
              <w:tc>
                <w:tcPr>
                  <w:tcW w:w="1774" w:type="pct"/>
                  <w:vAlign w:val="center"/>
                </w:tcPr>
                <w:p w14:paraId="7038FB68">
                  <w:pPr>
                    <w:widowControl w:val="0"/>
                    <w:adjustRightInd w:val="0"/>
                    <w:snapToGrid w:val="0"/>
                    <w:spacing w:before="24" w:beforeLines="10" w:after="24" w:afterLines="10" w:line="259" w:lineRule="auto"/>
                    <w:jc w:val="both"/>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1.积极开展区域地表水环境综合整治，加强园区清污分流、雨污分流系统建设，提高生活污水的截污率，为产业布局腾出环境容量。</w:t>
                  </w:r>
                </w:p>
              </w:tc>
              <w:tc>
                <w:tcPr>
                  <w:tcW w:w="1983" w:type="pct"/>
                  <w:vMerge w:val="restart"/>
                  <w:vAlign w:val="center"/>
                </w:tcPr>
                <w:p w14:paraId="4CA85ED9">
                  <w:pPr>
                    <w:widowControl w:val="0"/>
                    <w:adjustRightInd w:val="0"/>
                    <w:snapToGrid w:val="0"/>
                    <w:spacing w:before="24" w:beforeLines="10" w:after="24" w:afterLines="10" w:line="259" w:lineRule="auto"/>
                    <w:jc w:val="both"/>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根据现场踏勘，项目租用生产区域地面已硬化，建设过程中不新增建设用地，有完善的雨污分流系统。</w:t>
                  </w:r>
                </w:p>
                <w:p w14:paraId="52AC0849">
                  <w:pPr>
                    <w:widowControl w:val="0"/>
                    <w:adjustRightInd w:val="0"/>
                    <w:snapToGrid w:val="0"/>
                    <w:spacing w:before="24" w:beforeLines="10" w:after="24" w:afterLines="10" w:line="259" w:lineRule="auto"/>
                    <w:jc w:val="both"/>
                    <w:rPr>
                      <w:rFonts w:hint="default"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项目</w:t>
                  </w:r>
                  <w:r>
                    <w:rPr>
                      <w:rFonts w:hint="eastAsia" w:cs="Times New Roman"/>
                      <w:color w:val="000000" w:themeColor="text1"/>
                      <w:kern w:val="0"/>
                      <w:sz w:val="21"/>
                      <w:szCs w:val="20"/>
                      <w:lang w:val="en-US" w:eastAsia="zh-CN" w:bidi="ar-SA"/>
                      <w14:textFill>
                        <w14:solidFill>
                          <w14:schemeClr w14:val="tx1"/>
                        </w14:solidFill>
                      </w14:textFill>
                    </w:rPr>
                    <w:t>生产废水</w:t>
                  </w: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冷却水循环使用不外排，生活污水依托</w:t>
                  </w:r>
                  <w:r>
                    <w:rPr>
                      <w:rFonts w:hint="eastAsia" w:cs="Times New Roman"/>
                      <w:color w:val="000000" w:themeColor="text1"/>
                      <w:kern w:val="0"/>
                      <w:sz w:val="21"/>
                      <w:szCs w:val="20"/>
                      <w:lang w:val="en-US" w:eastAsia="zh-CN" w:bidi="ar-SA"/>
                      <w14:textFill>
                        <w14:solidFill>
                          <w14:schemeClr w14:val="tx1"/>
                        </w14:solidFill>
                      </w14:textFill>
                    </w:rPr>
                    <w:t>云南联帆建材科技有限公司已建成</w:t>
                  </w: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化粪池与污水处理站处理达到《城市污水再生利用 城市杂用水水质》（GB/T 18920-2020）表1城市绿化、道路清扫标准暂存于回用水池，非雨天回用于厂区绿化及道路浇洒，</w:t>
                  </w:r>
                  <w:r>
                    <w:rPr>
                      <w:rFonts w:hint="eastAsia" w:cs="Times New Roman"/>
                      <w:color w:val="000000" w:themeColor="text1"/>
                      <w:kern w:val="0"/>
                      <w:sz w:val="21"/>
                      <w:szCs w:val="20"/>
                      <w:lang w:val="en-US" w:eastAsia="zh-CN" w:bidi="ar-SA"/>
                      <w14:textFill>
                        <w14:solidFill>
                          <w14:schemeClr w14:val="tx1"/>
                        </w14:solidFill>
                      </w14:textFill>
                    </w:rPr>
                    <w:t>不外排</w:t>
                  </w: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w:t>
                  </w:r>
                </w:p>
                <w:p w14:paraId="28BFEF32">
                  <w:pPr>
                    <w:widowControl w:val="0"/>
                    <w:adjustRightInd w:val="0"/>
                    <w:snapToGrid w:val="0"/>
                    <w:spacing w:before="24" w:beforeLines="10" w:after="24" w:afterLines="10" w:line="259" w:lineRule="auto"/>
                    <w:jc w:val="both"/>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0"/>
                      <w:lang w:val="en-US" w:eastAsia="zh-CN" w:bidi="ar-SA"/>
                      <w14:textFill>
                        <w14:solidFill>
                          <w14:schemeClr w14:val="tx1"/>
                        </w14:solidFill>
                      </w14:textFill>
                    </w:rPr>
                    <w:t>项目的建设对周边地表水环境的影响较小。</w:t>
                  </w:r>
                </w:p>
              </w:tc>
              <w:tc>
                <w:tcPr>
                  <w:tcW w:w="472" w:type="pct"/>
                  <w:vAlign w:val="center"/>
                </w:tcPr>
                <w:p w14:paraId="014A7A2B">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符合</w:t>
                  </w:r>
                </w:p>
              </w:tc>
            </w:tr>
            <w:tr w14:paraId="1D973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76" w:type="pct"/>
                  <w:vMerge w:val="continue"/>
                  <w:vAlign w:val="center"/>
                </w:tcPr>
                <w:p w14:paraId="309103F2">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p>
              </w:tc>
              <w:tc>
                <w:tcPr>
                  <w:tcW w:w="293" w:type="pct"/>
                  <w:vMerge w:val="continue"/>
                  <w:vAlign w:val="center"/>
                </w:tcPr>
                <w:p w14:paraId="069BE9DB">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p>
              </w:tc>
              <w:tc>
                <w:tcPr>
                  <w:tcW w:w="1774" w:type="pct"/>
                  <w:vAlign w:val="center"/>
                </w:tcPr>
                <w:p w14:paraId="344C121B">
                  <w:pPr>
                    <w:widowControl w:val="0"/>
                    <w:adjustRightInd w:val="0"/>
                    <w:snapToGrid w:val="0"/>
                    <w:spacing w:before="24" w:beforeLines="10" w:after="24" w:afterLines="10" w:line="259" w:lineRule="auto"/>
                    <w:jc w:val="both"/>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2.生产废水由企业自行建设废水处理站处理后，回用于生产，严禁外排；生活污水经处理达三级污水综合排放标准后排入各片区污水处理厂处理，园区应加快污水处理设施及配套管网建设，确保产业园区废水处理率达到100%。除园区污水处理厂入河排污口外，不新设、改设或者扩大排污口，园区污水处理厂必须处理达到《城镇污水处理厂污染物排放标准》（GB18918－2002）一级A标后达标外排。</w:t>
                  </w:r>
                </w:p>
              </w:tc>
              <w:tc>
                <w:tcPr>
                  <w:tcW w:w="1983" w:type="pct"/>
                  <w:vMerge w:val="continue"/>
                  <w:vAlign w:val="center"/>
                </w:tcPr>
                <w:p w14:paraId="11EB269C">
                  <w:pPr>
                    <w:widowControl w:val="0"/>
                    <w:adjustRightInd w:val="0"/>
                    <w:snapToGrid w:val="0"/>
                    <w:spacing w:before="24" w:beforeLines="10" w:after="24" w:afterLines="10" w:line="259" w:lineRule="auto"/>
                    <w:jc w:val="cente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pPr>
                </w:p>
              </w:tc>
              <w:tc>
                <w:tcPr>
                  <w:tcW w:w="472" w:type="pct"/>
                  <w:vAlign w:val="center"/>
                </w:tcPr>
                <w:p w14:paraId="53EC060A">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符合</w:t>
                  </w:r>
                </w:p>
              </w:tc>
            </w:tr>
            <w:tr w14:paraId="63FAD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76" w:type="pct"/>
                  <w:vMerge w:val="continue"/>
                  <w:vAlign w:val="center"/>
                </w:tcPr>
                <w:p w14:paraId="1074FAB7">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p>
              </w:tc>
              <w:tc>
                <w:tcPr>
                  <w:tcW w:w="293" w:type="pct"/>
                  <w:vMerge w:val="continue"/>
                  <w:vAlign w:val="center"/>
                </w:tcPr>
                <w:p w14:paraId="2E8A86B6">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p>
              </w:tc>
              <w:tc>
                <w:tcPr>
                  <w:tcW w:w="1774" w:type="pct"/>
                  <w:vAlign w:val="center"/>
                </w:tcPr>
                <w:p w14:paraId="26DDE430">
                  <w:pPr>
                    <w:widowControl w:val="0"/>
                    <w:adjustRightInd w:val="0"/>
                    <w:snapToGrid w:val="0"/>
                    <w:spacing w:before="24" w:beforeLines="10" w:after="24" w:afterLines="10" w:line="259" w:lineRule="auto"/>
                    <w:jc w:val="both"/>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3.现有重污染企业要开展技术升级改造和环保设施提标改造，减少污染排放。</w:t>
                  </w:r>
                </w:p>
              </w:tc>
              <w:tc>
                <w:tcPr>
                  <w:tcW w:w="1983" w:type="pct"/>
                  <w:vAlign w:val="center"/>
                </w:tcPr>
                <w:p w14:paraId="7E23688B">
                  <w:pPr>
                    <w:widowControl w:val="0"/>
                    <w:adjustRightInd w:val="0"/>
                    <w:snapToGrid w:val="0"/>
                    <w:spacing w:before="24" w:beforeLines="10" w:after="24" w:afterLines="10" w:line="259" w:lineRule="auto"/>
                    <w:jc w:val="both"/>
                    <w:rPr>
                      <w:rFonts w:hint="default"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本项目</w:t>
                  </w:r>
                  <w:r>
                    <w:rPr>
                      <w:rFonts w:hint="eastAsia" w:cs="Times New Roman"/>
                      <w:color w:val="000000" w:themeColor="text1"/>
                      <w:kern w:val="0"/>
                      <w:sz w:val="21"/>
                      <w:szCs w:val="20"/>
                      <w:lang w:val="en-US" w:eastAsia="zh-CN" w:bidi="ar-SA"/>
                      <w14:textFill>
                        <w14:solidFill>
                          <w14:schemeClr w14:val="tx1"/>
                        </w14:solidFill>
                      </w14:textFill>
                    </w:rPr>
                    <w:t>属于</w:t>
                  </w:r>
                  <w:r>
                    <w:rPr>
                      <w:rFonts w:hint="eastAsia" w:ascii="Times New Roman" w:eastAsia="宋体"/>
                      <w:color w:val="000000" w:themeColor="text1"/>
                      <w:sz w:val="21"/>
                      <w:szCs w:val="21"/>
                      <w:lang w:val="en-US" w:eastAsia="zh-CN"/>
                      <w14:textFill>
                        <w14:solidFill>
                          <w14:schemeClr w14:val="tx1"/>
                        </w14:solidFill>
                      </w14:textFill>
                    </w:rPr>
                    <w:t>日用塑料制品制造</w:t>
                  </w: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，不属于重污染行业。</w:t>
                  </w:r>
                </w:p>
              </w:tc>
              <w:tc>
                <w:tcPr>
                  <w:tcW w:w="472" w:type="pct"/>
                  <w:vAlign w:val="center"/>
                </w:tcPr>
                <w:p w14:paraId="712EC1C0">
                  <w:pPr>
                    <w:widowControl w:val="0"/>
                    <w:adjustRightInd w:val="0"/>
                    <w:snapToGrid w:val="0"/>
                    <w:spacing w:before="24" w:beforeLines="10" w:after="24" w:afterLines="10" w:line="259" w:lineRule="auto"/>
                    <w:jc w:val="cente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符合</w:t>
                  </w:r>
                </w:p>
              </w:tc>
            </w:tr>
            <w:tr w14:paraId="5036A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6" w:type="pct"/>
                  <w:vMerge w:val="continue"/>
                  <w:vAlign w:val="center"/>
                </w:tcPr>
                <w:p w14:paraId="4BDC5268">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p>
              </w:tc>
              <w:tc>
                <w:tcPr>
                  <w:tcW w:w="293" w:type="pct"/>
                  <w:vMerge w:val="restart"/>
                  <w:vAlign w:val="center"/>
                </w:tcPr>
                <w:p w14:paraId="157AA172">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t>环境风险防控</w:t>
                  </w:r>
                </w:p>
              </w:tc>
              <w:tc>
                <w:tcPr>
                  <w:tcW w:w="1774" w:type="pct"/>
                  <w:vAlign w:val="center"/>
                </w:tcPr>
                <w:p w14:paraId="04E99093">
                  <w:pPr>
                    <w:widowControl w:val="0"/>
                    <w:adjustRightInd w:val="0"/>
                    <w:snapToGrid w:val="0"/>
                    <w:spacing w:before="24" w:beforeLines="10" w:after="24" w:afterLines="10" w:line="259" w:lineRule="auto"/>
                    <w:jc w:val="both"/>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1.靠近城区居民分布密集区周边区域不宜布置日常储量构成重大危险源的使用危险化学品的项目。</w:t>
                  </w:r>
                </w:p>
              </w:tc>
              <w:tc>
                <w:tcPr>
                  <w:tcW w:w="1983" w:type="pct"/>
                  <w:vAlign w:val="center"/>
                </w:tcPr>
                <w:p w14:paraId="1FE83047">
                  <w:pPr>
                    <w:widowControl w:val="0"/>
                    <w:adjustRightInd w:val="0"/>
                    <w:snapToGrid w:val="0"/>
                    <w:spacing w:before="24" w:beforeLines="10" w:after="24" w:afterLines="10" w:line="259" w:lineRule="auto"/>
                    <w:jc w:val="both"/>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本项目不涉及重大危险源。</w:t>
                  </w:r>
                </w:p>
              </w:tc>
              <w:tc>
                <w:tcPr>
                  <w:tcW w:w="472" w:type="pct"/>
                  <w:vAlign w:val="center"/>
                </w:tcPr>
                <w:p w14:paraId="04D37F9B">
                  <w:pPr>
                    <w:widowControl w:val="0"/>
                    <w:adjustRightInd w:val="0"/>
                    <w:snapToGrid w:val="0"/>
                    <w:spacing w:before="24" w:beforeLines="10" w:after="24" w:afterLines="10" w:line="259" w:lineRule="auto"/>
                    <w:jc w:val="cente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符合</w:t>
                  </w:r>
                </w:p>
              </w:tc>
            </w:tr>
            <w:tr w14:paraId="20F8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476" w:type="pct"/>
                  <w:vMerge w:val="continue"/>
                  <w:vAlign w:val="center"/>
                </w:tcPr>
                <w:p w14:paraId="57C5881A">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p>
              </w:tc>
              <w:tc>
                <w:tcPr>
                  <w:tcW w:w="293" w:type="pct"/>
                  <w:vMerge w:val="continue"/>
                  <w:vAlign w:val="center"/>
                </w:tcPr>
                <w:p w14:paraId="688FAB20">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p>
              </w:tc>
              <w:tc>
                <w:tcPr>
                  <w:tcW w:w="1774" w:type="pct"/>
                  <w:vAlign w:val="center"/>
                </w:tcPr>
                <w:p w14:paraId="56030165">
                  <w:pPr>
                    <w:widowControl w:val="0"/>
                    <w:adjustRightInd w:val="0"/>
                    <w:snapToGrid w:val="0"/>
                    <w:spacing w:before="24" w:beforeLines="10" w:after="24" w:afterLines="10" w:line="259" w:lineRule="auto"/>
                    <w:jc w:val="both"/>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2.各片区应注重液氨和天然气等危险化学品的贮存和风险防范，其最大可信事故半致死浓度范围内不得有居民点存在。</w:t>
                  </w:r>
                </w:p>
              </w:tc>
              <w:tc>
                <w:tcPr>
                  <w:tcW w:w="1983" w:type="pct"/>
                  <w:vAlign w:val="center"/>
                </w:tcPr>
                <w:p w14:paraId="4D5E7BD0">
                  <w:pPr>
                    <w:widowControl w:val="0"/>
                    <w:adjustRightInd w:val="0"/>
                    <w:snapToGrid w:val="0"/>
                    <w:spacing w:before="24" w:beforeLines="10" w:after="24" w:afterLines="10" w:line="259" w:lineRule="auto"/>
                    <w:jc w:val="both"/>
                    <w:rPr>
                      <w:rFonts w:hint="default"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本项目不涉及重液氨与天然气的使用。</w:t>
                  </w:r>
                </w:p>
              </w:tc>
              <w:tc>
                <w:tcPr>
                  <w:tcW w:w="472" w:type="pct"/>
                  <w:vAlign w:val="center"/>
                </w:tcPr>
                <w:p w14:paraId="35CC875E">
                  <w:pPr>
                    <w:widowControl w:val="0"/>
                    <w:adjustRightInd w:val="0"/>
                    <w:snapToGrid w:val="0"/>
                    <w:spacing w:before="24" w:beforeLines="10" w:after="24" w:afterLines="10" w:line="259" w:lineRule="auto"/>
                    <w:jc w:val="cente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符合</w:t>
                  </w:r>
                </w:p>
              </w:tc>
            </w:tr>
            <w:tr w14:paraId="2943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476" w:type="pct"/>
                  <w:vMerge w:val="continue"/>
                  <w:vAlign w:val="center"/>
                </w:tcPr>
                <w:p w14:paraId="1ACE3BA9">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p>
              </w:tc>
              <w:tc>
                <w:tcPr>
                  <w:tcW w:w="293" w:type="pct"/>
                  <w:vMerge w:val="continue"/>
                  <w:vAlign w:val="center"/>
                </w:tcPr>
                <w:p w14:paraId="2D737757">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p>
              </w:tc>
              <w:tc>
                <w:tcPr>
                  <w:tcW w:w="1774" w:type="pct"/>
                  <w:vAlign w:val="center"/>
                </w:tcPr>
                <w:p w14:paraId="4D8208E6">
                  <w:pPr>
                    <w:widowControl w:val="0"/>
                    <w:adjustRightInd w:val="0"/>
                    <w:snapToGrid w:val="0"/>
                    <w:spacing w:before="24" w:beforeLines="10" w:after="24" w:afterLines="10" w:line="259" w:lineRule="auto"/>
                    <w:jc w:val="both"/>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3.对于进驻园区项目在选址布局时要充分考虑防护距离的要求。</w:t>
                  </w:r>
                </w:p>
              </w:tc>
              <w:tc>
                <w:tcPr>
                  <w:tcW w:w="1983" w:type="pct"/>
                  <w:vAlign w:val="center"/>
                </w:tcPr>
                <w:p w14:paraId="3690507C">
                  <w:pPr>
                    <w:widowControl w:val="0"/>
                    <w:adjustRightInd w:val="0"/>
                    <w:snapToGrid w:val="0"/>
                    <w:spacing w:before="24" w:beforeLines="10" w:after="24" w:afterLines="10" w:line="259" w:lineRule="auto"/>
                    <w:jc w:val="both"/>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项目不涉及防护距离。</w:t>
                  </w:r>
                </w:p>
              </w:tc>
              <w:tc>
                <w:tcPr>
                  <w:tcW w:w="472" w:type="pct"/>
                  <w:vAlign w:val="center"/>
                </w:tcPr>
                <w:p w14:paraId="539E0996">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符合</w:t>
                  </w:r>
                </w:p>
              </w:tc>
            </w:tr>
            <w:tr w14:paraId="7CB1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476" w:type="pct"/>
                  <w:vMerge w:val="continue"/>
                  <w:vAlign w:val="center"/>
                </w:tcPr>
                <w:p w14:paraId="0AECD6B5">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p>
              </w:tc>
              <w:tc>
                <w:tcPr>
                  <w:tcW w:w="293" w:type="pct"/>
                  <w:vMerge w:val="continue"/>
                  <w:vAlign w:val="center"/>
                </w:tcPr>
                <w:p w14:paraId="4638E23F">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p>
              </w:tc>
              <w:tc>
                <w:tcPr>
                  <w:tcW w:w="1774" w:type="pct"/>
                  <w:vAlign w:val="center"/>
                </w:tcPr>
                <w:p w14:paraId="58B8C2B8">
                  <w:pPr>
                    <w:widowControl w:val="0"/>
                    <w:adjustRightInd w:val="0"/>
                    <w:snapToGrid w:val="0"/>
                    <w:spacing w:before="24" w:beforeLines="10" w:after="24" w:afterLines="10" w:line="259" w:lineRule="auto"/>
                    <w:jc w:val="both"/>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4.制定突发环境事件应急预案，完善风险管理机制，加强风险控制防范。建立区域环境监测制度，加强规划实施的跟踪监测与管理。</w:t>
                  </w:r>
                </w:p>
              </w:tc>
              <w:tc>
                <w:tcPr>
                  <w:tcW w:w="1983" w:type="pct"/>
                  <w:vAlign w:val="center"/>
                </w:tcPr>
                <w:p w14:paraId="136463FA">
                  <w:pPr>
                    <w:widowControl w:val="0"/>
                    <w:adjustRightInd w:val="0"/>
                    <w:snapToGrid w:val="0"/>
                    <w:spacing w:before="24" w:beforeLines="10" w:after="24" w:afterLines="10" w:line="259" w:lineRule="auto"/>
                    <w:jc w:val="both"/>
                    <w:rPr>
                      <w:rFonts w:hint="default"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本次环评要求建设单位在投产前更新突发环境事件应急预案，完善风险管理机制，加强风险控制防范。本次环评提出企业自行监测要求，建设单位需委托有资质的单位进行定期监测。</w:t>
                  </w:r>
                </w:p>
              </w:tc>
              <w:tc>
                <w:tcPr>
                  <w:tcW w:w="472" w:type="pct"/>
                  <w:vAlign w:val="center"/>
                </w:tcPr>
                <w:p w14:paraId="441CD6DF">
                  <w:pPr>
                    <w:widowControl w:val="0"/>
                    <w:adjustRightInd w:val="0"/>
                    <w:snapToGrid w:val="0"/>
                    <w:spacing w:before="24" w:beforeLines="10" w:after="24" w:afterLines="10" w:line="259" w:lineRule="auto"/>
                    <w:jc w:val="cente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符合</w:t>
                  </w:r>
                </w:p>
              </w:tc>
            </w:tr>
            <w:tr w14:paraId="79EA0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vAlign w:val="center"/>
                </w:tcPr>
                <w:p w14:paraId="1116D9DE">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p>
              </w:tc>
              <w:tc>
                <w:tcPr>
                  <w:tcW w:w="293" w:type="pct"/>
                  <w:vAlign w:val="center"/>
                </w:tcPr>
                <w:p w14:paraId="2D835171">
                  <w:pPr>
                    <w:widowControl w:val="0"/>
                    <w:adjustRightInd w:val="0"/>
                    <w:snapToGrid w:val="0"/>
                    <w:spacing w:before="24" w:beforeLines="10" w:after="24" w:afterLines="10" w:line="259" w:lineRule="auto"/>
                    <w:jc w:val="cente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t>资源开发效率要求</w:t>
                  </w:r>
                </w:p>
              </w:tc>
              <w:tc>
                <w:tcPr>
                  <w:tcW w:w="1774" w:type="pct"/>
                  <w:vAlign w:val="center"/>
                </w:tcPr>
                <w:p w14:paraId="6A8F241F">
                  <w:pPr>
                    <w:widowControl w:val="0"/>
                    <w:adjustRightInd w:val="0"/>
                    <w:snapToGrid w:val="0"/>
                    <w:spacing w:before="24" w:beforeLines="10" w:after="24" w:afterLines="10" w:line="259" w:lineRule="auto"/>
                    <w:jc w:val="both"/>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0"/>
                      <w:lang w:val="en-US" w:eastAsia="zh-CN" w:bidi="ar-SA"/>
                      <w14:textFill>
                        <w14:solidFill>
                          <w14:schemeClr w14:val="tx1"/>
                        </w14:solidFill>
                      </w14:textFill>
                    </w:rPr>
                    <w:t>工业用水循环利用率达</w:t>
                  </w:r>
                  <w:r>
                    <w:rPr>
                      <w:rFonts w:hint="default" w:ascii="Times New Roman" w:hAnsi="Times New Roman" w:eastAsia="宋体" w:cs="Times New Roman"/>
                      <w:color w:val="000000" w:themeColor="text1"/>
                      <w:kern w:val="0"/>
                      <w:sz w:val="21"/>
                      <w:szCs w:val="20"/>
                      <w:lang w:val="en-US" w:eastAsia="zh-CN" w:bidi="ar-SA"/>
                      <w14:textFill>
                        <w14:solidFill>
                          <w14:schemeClr w14:val="tx1"/>
                        </w14:solidFill>
                      </w14:textFill>
                    </w:rPr>
                    <w:t>90%以上。加大中水回用力度，完善中水管网建设，要求除食品行业外，其他工业企业的中水回用率要求达40%。</w:t>
                  </w:r>
                </w:p>
              </w:tc>
              <w:tc>
                <w:tcPr>
                  <w:tcW w:w="1983" w:type="pct"/>
                  <w:vAlign w:val="center"/>
                </w:tcPr>
                <w:p w14:paraId="1831407E">
                  <w:pPr>
                    <w:widowControl w:val="0"/>
                    <w:adjustRightInd w:val="0"/>
                    <w:snapToGrid w:val="0"/>
                    <w:spacing w:before="24" w:beforeLines="10" w:after="24" w:afterLines="10" w:line="259" w:lineRule="auto"/>
                    <w:jc w:val="both"/>
                    <w:rPr>
                      <w:rFonts w:hint="default"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本项目冷却水循环使用，不外排；工业用水循环率达100%</w:t>
                  </w:r>
                  <w:r>
                    <w:rPr>
                      <w:rFonts w:hint="eastAsia" w:cs="Times New Roman"/>
                      <w:color w:val="000000" w:themeColor="text1"/>
                      <w:kern w:val="0"/>
                      <w:sz w:val="21"/>
                      <w:szCs w:val="20"/>
                      <w:lang w:val="en-US" w:eastAsia="zh-CN" w:bidi="ar-SA"/>
                      <w14:textFill>
                        <w14:solidFill>
                          <w14:schemeClr w14:val="tx1"/>
                        </w14:solidFill>
                      </w14:textFill>
                    </w:rPr>
                    <w:t>，项目生活污水经处理达标后全部回用，中水回用率100%</w:t>
                  </w: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w:t>
                  </w:r>
                </w:p>
              </w:tc>
              <w:tc>
                <w:tcPr>
                  <w:tcW w:w="472" w:type="pct"/>
                  <w:vAlign w:val="center"/>
                </w:tcPr>
                <w:p w14:paraId="2C27998D">
                  <w:pPr>
                    <w:widowControl w:val="0"/>
                    <w:adjustRightInd w:val="0"/>
                    <w:snapToGrid w:val="0"/>
                    <w:spacing w:before="24" w:beforeLines="10" w:after="24" w:afterLines="10" w:line="259" w:lineRule="auto"/>
                    <w:jc w:val="cente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bidi="ar-SA"/>
                      <w14:textFill>
                        <w14:solidFill>
                          <w14:schemeClr w14:val="tx1"/>
                        </w14:solidFill>
                      </w14:textFill>
                    </w:rPr>
                    <w:t>符合</w:t>
                  </w:r>
                </w:p>
              </w:tc>
            </w:tr>
          </w:tbl>
          <w:p w14:paraId="3B3E5B74">
            <w:pPr>
              <w:autoSpaceDE w:val="0"/>
              <w:autoSpaceDN w:val="0"/>
              <w:adjustRightInd w:val="0"/>
              <w:snapToGrid w:val="0"/>
              <w:spacing w:line="360" w:lineRule="auto"/>
              <w:ind w:firstLine="480" w:firstLineChars="200"/>
              <w:rPr>
                <w:rFonts w:hint="default" w:ascii="Times New Roman" w:hAnsi="Times New Roman" w:cs="Times New Roman"/>
                <w:b w:val="0"/>
                <w:bCs w:val="0"/>
                <w:color w:val="000000" w:themeColor="text1"/>
                <w:kern w:val="0"/>
                <w:sz w:val="24"/>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综上，项目位于玉溪市易门产业园区</w:t>
            </w:r>
            <w:r>
              <w:rPr>
                <w:rFonts w:hint="eastAsia" w:cs="Times New Roman"/>
                <w:color w:val="000000" w:themeColor="text1"/>
                <w:kern w:val="0"/>
                <w:sz w:val="24"/>
                <w:szCs w:val="24"/>
                <w:lang w:val="en-US" w:eastAsia="zh-CN" w:bidi="ar-SA"/>
                <w14:textFill>
                  <w14:solidFill>
                    <w14:schemeClr w14:val="tx1"/>
                  </w14:solidFill>
                </w14:textFill>
              </w:rPr>
              <w:t>麦子田片</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区，位于易门县产业园区重点管控单元</w:t>
            </w:r>
            <w:r>
              <w:rPr>
                <w:rFonts w:hint="eastAsia" w:cs="Times New Roman"/>
                <w:color w:val="000000" w:themeColor="text1"/>
                <w:kern w:val="0"/>
                <w:sz w:val="24"/>
                <w:szCs w:val="24"/>
                <w:lang w:val="en-US" w:eastAsia="zh-CN" w:bidi="ar-SA"/>
                <w14:textFill>
                  <w14:solidFill>
                    <w14:schemeClr w14:val="tx1"/>
                  </w14:solidFill>
                </w14:textFill>
              </w:rPr>
              <w:t>内</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，项目建设</w:t>
            </w:r>
            <w:r>
              <w:rPr>
                <w:rFonts w:hint="eastAsia" w:cs="Times New Roman"/>
                <w:color w:val="000000" w:themeColor="text1"/>
                <w:kern w:val="0"/>
                <w:sz w:val="24"/>
                <w:szCs w:val="24"/>
                <w:lang w:val="en-US" w:eastAsia="zh-CN" w:bidi="ar-SA"/>
                <w14:textFill>
                  <w14:solidFill>
                    <w14:schemeClr w14:val="tx1"/>
                  </w14:solidFill>
                </w14:textFill>
              </w:rPr>
              <w:t>均</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满足《玉溪市生态环境局关于印发玉溪市生态环境分区管控动态更新调整方案（2023年）的通知》（玉市环〔2024〕40号）中区域总体管控要求</w:t>
            </w:r>
            <w:r>
              <w:rPr>
                <w:rFonts w:hint="eastAsia" w:cs="Times New Roman"/>
                <w:color w:val="000000" w:themeColor="text1"/>
                <w:kern w:val="0"/>
                <w:sz w:val="24"/>
                <w:szCs w:val="24"/>
                <w:lang w:val="en-US" w:eastAsia="zh-CN" w:bidi="ar-SA"/>
                <w14:textFill>
                  <w14:solidFill>
                    <w14:schemeClr w14:val="tx1"/>
                  </w14:solidFill>
                </w14:textFill>
              </w:rPr>
              <w:t>以及</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易门县产业园区重点管控单元的管控要求。</w:t>
            </w:r>
          </w:p>
          <w:p w14:paraId="3BD4C9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cs="Times New Roman"/>
                <w:b/>
                <w:bCs/>
                <w:color w:val="000000" w:themeColor="text1"/>
                <w:kern w:val="2"/>
                <w:sz w:val="24"/>
                <w:szCs w:val="24"/>
                <w:highlight w:val="none"/>
                <w:lang w:val="en-US" w:eastAsia="zh-CN" w:bidi="ar-SA"/>
                <w14:textFill>
                  <w14:solidFill>
                    <w14:schemeClr w14:val="tx1"/>
                  </w14:solidFill>
                </w14:textFill>
              </w:rPr>
              <w:t>3</w:t>
            </w:r>
            <w:r>
              <w:rPr>
                <w:rFonts w:hint="eastAsia" w:eastAsia="宋体" w:cs="Times New Roman"/>
                <w:b/>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与《云南省长江经济带发展负面清单指南实施细则（试行）》</w:t>
            </w:r>
            <w:r>
              <w:rPr>
                <w:rFonts w:hint="eastAsia" w:cs="Times New Roman"/>
                <w:b/>
                <w:bCs/>
                <w:color w:val="000000" w:themeColor="text1"/>
                <w:kern w:val="2"/>
                <w:sz w:val="24"/>
                <w:szCs w:val="24"/>
                <w:highlight w:val="none"/>
                <w:lang w:val="en-US" w:eastAsia="zh-CN" w:bidi="ar-SA"/>
                <w14:textFill>
                  <w14:solidFill>
                    <w14:schemeClr w14:val="tx1"/>
                  </w14:solidFill>
                </w14:textFill>
              </w:rPr>
              <w:t>（2022年版）</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的相符性分析</w:t>
            </w:r>
          </w:p>
          <w:p w14:paraId="62DA49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本项目位于</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易门产业园区</w:t>
            </w:r>
            <w:r>
              <w:rPr>
                <w:rFonts w:hint="eastAsia" w:cs="Times New Roman"/>
                <w:color w:val="000000" w:themeColor="text1"/>
                <w:kern w:val="0"/>
                <w:sz w:val="24"/>
                <w:szCs w:val="24"/>
                <w:lang w:val="en-US" w:eastAsia="zh-CN" w:bidi="ar-SA"/>
                <w14:textFill>
                  <w14:solidFill>
                    <w14:schemeClr w14:val="tx1"/>
                  </w14:solidFill>
                </w14:textFill>
              </w:rPr>
              <w:t>麦子田片区</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，北面</w:t>
            </w:r>
            <w:r>
              <w:rPr>
                <w:rFonts w:hint="eastAsia" w:cs="Times New Roman"/>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km的扒河。</w:t>
            </w:r>
          </w:p>
          <w:p w14:paraId="44AA19D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bCs/>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经对照《云南省长江经济带发展负面清单指南实施细则</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试行</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2022年版</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），本项目没有位于禁止开发的各功能区及保护区内。</w:t>
            </w:r>
            <w:r>
              <w:rPr>
                <w:rFonts w:hint="eastAsia" w:cs="Times New Roman"/>
                <w:color w:val="000000" w:themeColor="text1"/>
                <w:kern w:val="2"/>
                <w:sz w:val="24"/>
                <w:szCs w:val="24"/>
                <w:highlight w:val="none"/>
                <w:lang w:val="en-US" w:eastAsia="zh-CN" w:bidi="ar-SA"/>
                <w14:textFill>
                  <w14:solidFill>
                    <w14:schemeClr w14:val="tx1"/>
                  </w14:solidFill>
                </w14:textFill>
              </w:rPr>
              <w:t>与“</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实施细则</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工业布局的要求</w:t>
            </w:r>
            <w:r>
              <w:rPr>
                <w:rFonts w:hint="eastAsia" w:cs="Times New Roman"/>
                <w:color w:val="000000" w:themeColor="text1"/>
                <w:kern w:val="2"/>
                <w:sz w:val="24"/>
                <w:szCs w:val="24"/>
                <w:highlight w:val="none"/>
                <w:lang w:val="en-US" w:eastAsia="zh-CN" w:bidi="ar-SA"/>
                <w14:textFill>
                  <w14:solidFill>
                    <w14:schemeClr w14:val="tx1"/>
                  </w14:solidFill>
                </w14:textFill>
              </w:rPr>
              <w:t>对照分析见下表</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2423FFFF">
            <w:pPr>
              <w:keepNext w:val="0"/>
              <w:keepLines w:val="0"/>
              <w:pageBreakBefore w:val="0"/>
              <w:widowControl w:val="0"/>
              <w:kinsoku/>
              <w:wordWrap/>
              <w:overflowPunct/>
              <w:topLinePunct w:val="0"/>
              <w:autoSpaceDE w:val="0"/>
              <w:autoSpaceDN w:val="0"/>
              <w:bidi w:val="0"/>
              <w:adjustRightInd w:val="0"/>
              <w:snapToGrid w:val="0"/>
              <w:spacing w:line="240" w:lineRule="auto"/>
              <w:ind w:firstLine="422" w:firstLineChars="200"/>
              <w:jc w:val="center"/>
              <w:textAlignment w:val="auto"/>
              <w:rPr>
                <w:rFonts w:hint="default" w:ascii="Times New Roman" w:hAnsi="Times New Roman" w:cs="Times New Roman"/>
                <w:color w:val="000000" w:themeColor="text1"/>
                <w:sz w:val="21"/>
                <w:szCs w:val="21"/>
                <w:lang w:val="en-US"/>
                <w14:textFill>
                  <w14:solidFill>
                    <w14:schemeClr w14:val="tx1"/>
                  </w14:solidFill>
                </w14:textFill>
              </w:rPr>
            </w:pPr>
            <w:r>
              <w:rPr>
                <w:rFonts w:hint="default" w:ascii="Times New Roman" w:hAnsi="Times New Roman" w:cs="Times New Roman"/>
                <w:b/>
                <w:bCs/>
                <w:color w:val="000000" w:themeColor="text1"/>
                <w:kern w:val="0"/>
                <w:sz w:val="21"/>
                <w:szCs w:val="21"/>
                <w:lang w:val="en-US" w:eastAsia="zh-CN"/>
                <w14:textFill>
                  <w14:solidFill>
                    <w14:schemeClr w14:val="tx1"/>
                  </w14:solidFill>
                </w14:textFill>
              </w:rPr>
              <w:t>表1-</w:t>
            </w:r>
            <w:r>
              <w:rPr>
                <w:rFonts w:hint="eastAsia" w:cs="Times New Roman"/>
                <w:b/>
                <w:bCs/>
                <w:color w:val="000000" w:themeColor="text1"/>
                <w:kern w:val="0"/>
                <w:sz w:val="21"/>
                <w:szCs w:val="21"/>
                <w:lang w:val="en-US" w:eastAsia="zh-CN"/>
                <w14:textFill>
                  <w14:solidFill>
                    <w14:schemeClr w14:val="tx1"/>
                  </w14:solidFill>
                </w14:textFill>
              </w:rPr>
              <w:t xml:space="preserve">6  </w:t>
            </w:r>
            <w:r>
              <w:rPr>
                <w:rFonts w:hint="default" w:ascii="Times New Roman" w:hAnsi="Times New Roman" w:cs="Times New Roman"/>
                <w:b/>
                <w:bCs/>
                <w:color w:val="000000" w:themeColor="text1"/>
                <w:kern w:val="0"/>
                <w:sz w:val="21"/>
                <w:szCs w:val="21"/>
                <w:lang w:val="en-US" w:eastAsia="zh-CN"/>
                <w14:textFill>
                  <w14:solidFill>
                    <w14:schemeClr w14:val="tx1"/>
                  </w14:solidFill>
                </w14:textFill>
              </w:rPr>
              <w:t>项目与</w:t>
            </w:r>
            <w:r>
              <w:rPr>
                <w:rFonts w:hint="eastAsia" w:cs="Times New Roman"/>
                <w:b/>
                <w:bCs/>
                <w:color w:val="000000" w:themeColor="text1"/>
                <w:kern w:val="0"/>
                <w:sz w:val="21"/>
                <w:szCs w:val="21"/>
                <w:lang w:val="en-US" w:eastAsia="zh-CN"/>
                <w14:textFill>
                  <w14:solidFill>
                    <w14:schemeClr w14:val="tx1"/>
                  </w14:solidFill>
                </w14:textFill>
              </w:rPr>
              <w:t>“</w:t>
            </w:r>
            <w:r>
              <w:rPr>
                <w:rFonts w:hint="default" w:ascii="Times New Roman" w:hAnsi="Times New Roman" w:cs="Times New Roman"/>
                <w:b/>
                <w:bCs/>
                <w:color w:val="000000" w:themeColor="text1"/>
                <w:kern w:val="0"/>
                <w:sz w:val="21"/>
                <w:szCs w:val="21"/>
                <w:lang w:val="en-US" w:eastAsia="zh-CN"/>
                <w14:textFill>
                  <w14:solidFill>
                    <w14:schemeClr w14:val="tx1"/>
                  </w14:solidFill>
                </w14:textFill>
              </w:rPr>
              <w:t>实施细则</w:t>
            </w:r>
            <w:r>
              <w:rPr>
                <w:rFonts w:hint="eastAsia" w:cs="Times New Roman"/>
                <w:b/>
                <w:bCs/>
                <w:color w:val="000000" w:themeColor="text1"/>
                <w:kern w:val="0"/>
                <w:sz w:val="21"/>
                <w:szCs w:val="21"/>
                <w:lang w:val="en-US" w:eastAsia="zh-CN"/>
                <w14:textFill>
                  <w14:solidFill>
                    <w14:schemeClr w14:val="tx1"/>
                  </w14:solidFill>
                </w14:textFill>
              </w:rPr>
              <w:t>”</w:t>
            </w:r>
            <w:r>
              <w:rPr>
                <w:rFonts w:hint="default" w:ascii="Times New Roman" w:hAnsi="Times New Roman" w:cs="Times New Roman"/>
                <w:b/>
                <w:bCs/>
                <w:color w:val="000000" w:themeColor="text1"/>
                <w:kern w:val="0"/>
                <w:sz w:val="21"/>
                <w:szCs w:val="21"/>
                <w:lang w:val="en-US" w:eastAsia="zh-CN"/>
                <w14:textFill>
                  <w14:solidFill>
                    <w14:schemeClr w14:val="tx1"/>
                  </w14:solidFill>
                </w14:textFill>
              </w:rPr>
              <w:t>工业布局的要求对照分析</w:t>
            </w:r>
          </w:p>
          <w:tbl>
            <w:tblPr>
              <w:tblStyle w:val="3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3204"/>
              <w:gridCol w:w="2560"/>
              <w:gridCol w:w="773"/>
            </w:tblGrid>
            <w:tr w14:paraId="0D765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vAlign w:val="center"/>
                </w:tcPr>
                <w:p w14:paraId="77ACDE8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bCs/>
                      <w:color w:val="000000" w:themeColor="text1"/>
                      <w:kern w:val="2"/>
                      <w:sz w:val="21"/>
                      <w:szCs w:val="21"/>
                      <w:highlight w:val="none"/>
                      <w:vertAlign w:val="baseline"/>
                      <w:lang w:val="en-US" w:eastAsia="zh-CN" w:bidi="ar-SA"/>
                      <w14:textFill>
                        <w14:solidFill>
                          <w14:schemeClr w14:val="tx1"/>
                        </w14:solidFill>
                      </w14:textFill>
                    </w:rPr>
                    <w:t>实施细则</w:t>
                  </w:r>
                </w:p>
              </w:tc>
              <w:tc>
                <w:tcPr>
                  <w:tcW w:w="2209" w:type="pct"/>
                  <w:vAlign w:val="center"/>
                </w:tcPr>
                <w:p w14:paraId="0F457FA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b/>
                      <w:bCs/>
                      <w:color w:val="000000" w:themeColor="text1"/>
                      <w:kern w:val="0"/>
                      <w:sz w:val="21"/>
                      <w:szCs w:val="21"/>
                      <w:lang w:val="en-US" w:eastAsia="zh-CN"/>
                      <w14:textFill>
                        <w14:solidFill>
                          <w14:schemeClr w14:val="tx1"/>
                        </w14:solidFill>
                      </w14:textFill>
                    </w:rPr>
                    <w:t>管控要求</w:t>
                  </w:r>
                </w:p>
              </w:tc>
              <w:tc>
                <w:tcPr>
                  <w:tcW w:w="1765" w:type="pct"/>
                  <w:vAlign w:val="center"/>
                </w:tcPr>
                <w:p w14:paraId="2B9F977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bCs/>
                      <w:color w:val="000000" w:themeColor="text1"/>
                      <w:kern w:val="2"/>
                      <w:sz w:val="21"/>
                      <w:szCs w:val="21"/>
                      <w:highlight w:val="none"/>
                      <w:vertAlign w:val="baseline"/>
                      <w:lang w:val="en-US" w:eastAsia="zh-CN" w:bidi="ar-SA"/>
                      <w14:textFill>
                        <w14:solidFill>
                          <w14:schemeClr w14:val="tx1"/>
                        </w14:solidFill>
                      </w14:textFill>
                    </w:rPr>
                    <w:t>本项目情况</w:t>
                  </w:r>
                </w:p>
              </w:tc>
              <w:tc>
                <w:tcPr>
                  <w:tcW w:w="533" w:type="pct"/>
                  <w:vAlign w:val="center"/>
                </w:tcPr>
                <w:p w14:paraId="537C966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bCs/>
                      <w:color w:val="000000" w:themeColor="text1"/>
                      <w:kern w:val="2"/>
                      <w:sz w:val="21"/>
                      <w:szCs w:val="21"/>
                      <w:highlight w:val="none"/>
                      <w:vertAlign w:val="baseline"/>
                      <w:lang w:val="en-US" w:eastAsia="zh-CN" w:bidi="ar-SA"/>
                      <w14:textFill>
                        <w14:solidFill>
                          <w14:schemeClr w14:val="tx1"/>
                        </w14:solidFill>
                      </w14:textFill>
                    </w:rPr>
                    <w:t>相符性分析</w:t>
                  </w:r>
                </w:p>
              </w:tc>
            </w:tr>
            <w:tr w14:paraId="0C2F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vAlign w:val="center"/>
                </w:tcPr>
                <w:p w14:paraId="311B5C0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1</w:t>
                  </w:r>
                </w:p>
              </w:tc>
              <w:tc>
                <w:tcPr>
                  <w:tcW w:w="2209" w:type="pct"/>
                  <w:vAlign w:val="center"/>
                </w:tcPr>
                <w:p w14:paraId="3856CC7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禁止新建、改建和扩建不符合《全国内河航道与港口布局规划》等全国港口规划和《昭通市港口码头岸线规划（金沙江段2019年—2035年）》、《景洪港总体规划（2019—2035年）》等州（市）级以上港口布局规划以及港口总体规划的码头项目。</w:t>
                  </w:r>
                </w:p>
              </w:tc>
              <w:tc>
                <w:tcPr>
                  <w:tcW w:w="1765" w:type="pct"/>
                  <w:vAlign w:val="center"/>
                </w:tcPr>
                <w:p w14:paraId="124DC11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本项目不属于港口项目。</w:t>
                  </w:r>
                </w:p>
              </w:tc>
              <w:tc>
                <w:tcPr>
                  <w:tcW w:w="533" w:type="pct"/>
                  <w:vAlign w:val="center"/>
                </w:tcPr>
                <w:p w14:paraId="3519B5E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1DE15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vAlign w:val="center"/>
                </w:tcPr>
                <w:p w14:paraId="6013A83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2</w:t>
                  </w:r>
                </w:p>
              </w:tc>
              <w:tc>
                <w:tcPr>
                  <w:tcW w:w="2209" w:type="pct"/>
                  <w:vAlign w:val="center"/>
                </w:tcPr>
                <w:p w14:paraId="6ED23B4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禁止在自然保护区核心区、缓冲区的岸线和河段范围内投资建设旅游和生产经营项目。禁止建设与自然保护区保护方向不一致的旅游项目。禁止在自然保护区内进行开矿、采石、挖沙等活动。禁止在自然保护区的核心区和缓冲区内建设任何生产设施，禁止在自然保护区的实验区内建设污染环境、破坏资源或者景观的生产设施。</w:t>
                  </w:r>
                </w:p>
              </w:tc>
              <w:tc>
                <w:tcPr>
                  <w:tcW w:w="1765" w:type="pct"/>
                  <w:vAlign w:val="center"/>
                </w:tcPr>
                <w:p w14:paraId="3790CE5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本项目不涉及《长江岸线保护和开发利用总体规划》划定的岸线保护区、《全国重要江河湖泊水功能区划》划定的河段保护区、保留区。本项目不属于旅游项目，不进行开矿、采石、挖沙等活动；本项目</w:t>
                  </w: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距离翠柏自然保护区1.8km，</w:t>
                  </w: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不属于自然保护区的核心区、缓冲区和试验区内。</w:t>
                  </w:r>
                </w:p>
              </w:tc>
              <w:tc>
                <w:tcPr>
                  <w:tcW w:w="533" w:type="pct"/>
                  <w:vAlign w:val="center"/>
                </w:tcPr>
                <w:p w14:paraId="12261E4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689FF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vAlign w:val="center"/>
                </w:tcPr>
                <w:p w14:paraId="5BD5CA4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w:t>
                  </w:r>
                </w:p>
              </w:tc>
              <w:tc>
                <w:tcPr>
                  <w:tcW w:w="2209" w:type="pct"/>
                  <w:vAlign w:val="center"/>
                </w:tcPr>
                <w:p w14:paraId="562D494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禁止在风景名胜区核心景区的岸线和河段范围内投资建设与风景名胜资源保护无关的项目。禁止在风景名胜区内进行开山、采石、开矿、开荒、修坟立碑等破坏景观、植被和地形地貌的活动以及修建储存爆炸性、易燃性、放射性、毒害性、腐蚀性物品的设施；禁止在风景名胜区内设立开发区和在核心景区内建设宾馆、会所、培训中心、疗养院以及与风景名胜资源保护无关的投资建设项目。</w:t>
                  </w: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 xml:space="preserve"> </w:t>
                  </w:r>
                </w:p>
              </w:tc>
              <w:tc>
                <w:tcPr>
                  <w:tcW w:w="1765" w:type="pct"/>
                  <w:vAlign w:val="center"/>
                </w:tcPr>
                <w:p w14:paraId="0F013CA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项目用地不涉及风景名胜区</w:t>
                  </w: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w:t>
                  </w:r>
                </w:p>
              </w:tc>
              <w:tc>
                <w:tcPr>
                  <w:tcW w:w="533" w:type="pct"/>
                  <w:vAlign w:val="center"/>
                </w:tcPr>
                <w:p w14:paraId="0094106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0C32B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vAlign w:val="center"/>
                </w:tcPr>
                <w:p w14:paraId="02C7E11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4</w:t>
                  </w:r>
                </w:p>
              </w:tc>
              <w:tc>
                <w:tcPr>
                  <w:tcW w:w="2209" w:type="pct"/>
                  <w:vAlign w:val="center"/>
                </w:tcPr>
                <w:p w14:paraId="7C09CFD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禁止在饮用水水源一级保护区的岸线和河段范围内新建、改建、扩建与供水设施和保护水源无关的投资建设项目，以及网箱养殖、畜禽养殖、旅游等可能污染饮用水水体的投资建设项目。禁止在饮用水水源二级保护区的岸线和河段范围内新建、改建、扩建排放污染物的投资建设项目</w:t>
                  </w: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w:t>
                  </w:r>
                </w:p>
              </w:tc>
              <w:tc>
                <w:tcPr>
                  <w:tcW w:w="1765" w:type="pct"/>
                  <w:vAlign w:val="center"/>
                </w:tcPr>
                <w:p w14:paraId="1278C83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本项目不涉及饮用水水源一级保护区、饮用水水源二级保护区。</w:t>
                  </w:r>
                </w:p>
              </w:tc>
              <w:tc>
                <w:tcPr>
                  <w:tcW w:w="533" w:type="pct"/>
                  <w:vAlign w:val="center"/>
                </w:tcPr>
                <w:p w14:paraId="589E7C8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7AD14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vAlign w:val="center"/>
                </w:tcPr>
                <w:p w14:paraId="73F928D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5</w:t>
                  </w:r>
                </w:p>
              </w:tc>
              <w:tc>
                <w:tcPr>
                  <w:tcW w:w="2209" w:type="pct"/>
                  <w:vAlign w:val="center"/>
                </w:tcPr>
                <w:p w14:paraId="2CC973C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禁止在水产种质资源保护区的岸线和河段范围内新建围湖造田、围湖造地或围填海等投资建设项目。禁止擅自征收、占用国家湿地公园的土地；禁止在国家湿地公园内挖沙、采矿，以及建设度假村、高尔夫球场等任何不符合主体功能定位的投资建设项目。</w:t>
                  </w:r>
                </w:p>
              </w:tc>
              <w:tc>
                <w:tcPr>
                  <w:tcW w:w="1765" w:type="pct"/>
                  <w:vAlign w:val="center"/>
                </w:tcPr>
                <w:p w14:paraId="5C726AF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eastAsia="宋体" w:cs="Times New Roman"/>
                      <w:color w:val="000000" w:themeColor="text1"/>
                      <w:kern w:val="2"/>
                      <w:sz w:val="21"/>
                      <w:szCs w:val="21"/>
                      <w:highlight w:val="none"/>
                      <w:vertAlign w:val="baseline"/>
                      <w:lang w:val="en-US" w:eastAsia="zh-CN" w:bidi="ar-SA"/>
                      <w14:textFill>
                        <w14:solidFill>
                          <w14:schemeClr w14:val="tx1"/>
                        </w14:solidFill>
                      </w14:textFill>
                    </w:rPr>
                    <w:t>本项目不涉及水产种质资源保护区的岸线或河段范围；本项目不涉及国家湿地公园的土地。</w:t>
                  </w:r>
                </w:p>
              </w:tc>
              <w:tc>
                <w:tcPr>
                  <w:tcW w:w="533" w:type="pct"/>
                  <w:vAlign w:val="center"/>
                </w:tcPr>
                <w:p w14:paraId="252E84C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56B50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vAlign w:val="center"/>
                </w:tcPr>
                <w:p w14:paraId="2A98A31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6</w:t>
                  </w:r>
                </w:p>
              </w:tc>
              <w:tc>
                <w:tcPr>
                  <w:tcW w:w="2209" w:type="pct"/>
                  <w:vAlign w:val="center"/>
                </w:tcPr>
                <w:p w14:paraId="2600289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禁止违法利用、占用长江流域河湖岸线。禁止在金沙江岸线保护区和保留区内投资建设除事关公共安全及公众利益的防洪护岸、河道治理、供水、生态环境保护、航道整治、国家重要基础设施以外的项目。禁止在金沙江干流、九大高原湖泊保护区、保留区内投资建设不利于水资源及自然生态保护的项目。</w:t>
                  </w:r>
                </w:p>
              </w:tc>
              <w:tc>
                <w:tcPr>
                  <w:tcW w:w="1765" w:type="pct"/>
                  <w:vAlign w:val="center"/>
                </w:tcPr>
                <w:p w14:paraId="300731D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本项目不涉及占用长江流域河湖岸线项目</w:t>
                  </w: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w:t>
                  </w:r>
                </w:p>
              </w:tc>
              <w:tc>
                <w:tcPr>
                  <w:tcW w:w="533" w:type="pct"/>
                  <w:vAlign w:val="center"/>
                </w:tcPr>
                <w:p w14:paraId="6F764B5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39383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vAlign w:val="center"/>
                </w:tcPr>
                <w:p w14:paraId="1775F54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7</w:t>
                  </w:r>
                </w:p>
              </w:tc>
              <w:tc>
                <w:tcPr>
                  <w:tcW w:w="2209" w:type="pct"/>
                  <w:vAlign w:val="center"/>
                </w:tcPr>
                <w:p w14:paraId="5280847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禁止在金沙江干流、长江一级支流建设除党中央、国务院、国家投资主管部门、省级有关部门批复同意以外的过江基础设施项目；禁止未经许可在金沙江干流、长江一级支流、九大高原湖泊流域新设、改设或扩大排污口</w:t>
                  </w: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w:t>
                  </w:r>
                </w:p>
              </w:tc>
              <w:tc>
                <w:tcPr>
                  <w:tcW w:w="1765" w:type="pct"/>
                  <w:vAlign w:val="center"/>
                </w:tcPr>
                <w:p w14:paraId="5BB5EEB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项目不属于过江基础设施项目，项目不涉及新设、改设或扩大排污口。</w:t>
                  </w:r>
                </w:p>
              </w:tc>
              <w:tc>
                <w:tcPr>
                  <w:tcW w:w="533" w:type="pct"/>
                  <w:vAlign w:val="center"/>
                </w:tcPr>
                <w:p w14:paraId="21B1DB1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3F33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vAlign w:val="center"/>
                </w:tcPr>
                <w:p w14:paraId="5F83D2E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8</w:t>
                  </w:r>
                </w:p>
              </w:tc>
              <w:tc>
                <w:tcPr>
                  <w:tcW w:w="2209" w:type="pct"/>
                  <w:vAlign w:val="center"/>
                </w:tcPr>
                <w:p w14:paraId="143A1B6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禁止在金沙江干流、长江一级支流、水生生物保护区和长江流域禁捕水域开展天然渔业资源生产性捕捞。</w:t>
                  </w:r>
                </w:p>
              </w:tc>
              <w:tc>
                <w:tcPr>
                  <w:tcW w:w="1765" w:type="pct"/>
                  <w:vAlign w:val="center"/>
                </w:tcPr>
                <w:p w14:paraId="5B97EF9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本项目不涉及天然渔业资源生产性捕捞。</w:t>
                  </w:r>
                </w:p>
              </w:tc>
              <w:tc>
                <w:tcPr>
                  <w:tcW w:w="533" w:type="pct"/>
                  <w:vAlign w:val="center"/>
                </w:tcPr>
                <w:p w14:paraId="1D4C0EB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37F26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vAlign w:val="center"/>
                </w:tcPr>
                <w:p w14:paraId="3C83448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9</w:t>
                  </w:r>
                </w:p>
              </w:tc>
              <w:tc>
                <w:tcPr>
                  <w:tcW w:w="2209" w:type="pct"/>
                  <w:vAlign w:val="center"/>
                </w:tcPr>
                <w:p w14:paraId="129A3CA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禁止在金沙江干流，长江一级支流和九大高原湖泊岸线一公里范围内新建、扩建化工园区和化工项目。禁止在金沙江干流岸线三公里范围内和长江一级支流岸线一公里范围内新建、改建、扩建尾矿库、冶炼渣库和磷石膏库，以提升安全、生态环境保护水平为目的的改建除外。</w:t>
                  </w:r>
                </w:p>
              </w:tc>
              <w:tc>
                <w:tcPr>
                  <w:tcW w:w="1765" w:type="pct"/>
                  <w:vAlign w:val="center"/>
                </w:tcPr>
                <w:p w14:paraId="47D1476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本项目距离最近的地表水体为北面2km的扒河。本项目属于日用塑料制品制造，不在禁止建设范围内。</w:t>
                  </w:r>
                </w:p>
              </w:tc>
              <w:tc>
                <w:tcPr>
                  <w:tcW w:w="533" w:type="pct"/>
                  <w:vAlign w:val="center"/>
                </w:tcPr>
                <w:p w14:paraId="58554CC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09AE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vAlign w:val="center"/>
                </w:tcPr>
                <w:p w14:paraId="7BE0628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10</w:t>
                  </w:r>
                </w:p>
              </w:tc>
              <w:tc>
                <w:tcPr>
                  <w:tcW w:w="2209" w:type="pct"/>
                  <w:vAlign w:val="center"/>
                </w:tcPr>
                <w:p w14:paraId="55F8466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禁止在合规园区外新建、扩建钢铁、石化、化工、焦化、建材、有色、制浆造纸行业中的高污染项目。</w:t>
                  </w:r>
                </w:p>
              </w:tc>
              <w:tc>
                <w:tcPr>
                  <w:tcW w:w="1765" w:type="pct"/>
                  <w:vAlign w:val="center"/>
                </w:tcPr>
                <w:p w14:paraId="2AD2F84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本项目位于合规园区内，且不属于新建、扩建钢铁、石化、化工、焦化、建材、有色、制浆造纸行业中的高污染项目。</w:t>
                  </w:r>
                </w:p>
              </w:tc>
              <w:tc>
                <w:tcPr>
                  <w:tcW w:w="533" w:type="pct"/>
                  <w:vAlign w:val="center"/>
                </w:tcPr>
                <w:p w14:paraId="546F543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625E8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vAlign w:val="center"/>
                </w:tcPr>
                <w:p w14:paraId="1A1E6A1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11</w:t>
                  </w:r>
                </w:p>
              </w:tc>
              <w:tc>
                <w:tcPr>
                  <w:tcW w:w="2209" w:type="pct"/>
                  <w:vAlign w:val="center"/>
                </w:tcPr>
                <w:p w14:paraId="41A7247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禁止新建、扩建不符合国家石化、现代煤化工等产业布局规划的项目。禁止列入《云南省城镇人口密集区危险化学品生产企业搬迁改造名单》的搬迁改造企业在原址新建、扩建危险化学品生产项目</w:t>
                  </w: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w:t>
                  </w:r>
                </w:p>
              </w:tc>
              <w:tc>
                <w:tcPr>
                  <w:tcW w:w="1765" w:type="pct"/>
                  <w:vAlign w:val="center"/>
                </w:tcPr>
                <w:p w14:paraId="3651151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本项目不属于不符合国家石化、现代煤化工等产业布局规划的项目；本项目不属于危险化学品生产项目。</w:t>
                  </w:r>
                </w:p>
              </w:tc>
              <w:tc>
                <w:tcPr>
                  <w:tcW w:w="533" w:type="pct"/>
                  <w:vAlign w:val="center"/>
                </w:tcPr>
                <w:p w14:paraId="19AAE00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08CC5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vAlign w:val="center"/>
                </w:tcPr>
                <w:p w14:paraId="45BB715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12</w:t>
                  </w:r>
                </w:p>
              </w:tc>
              <w:tc>
                <w:tcPr>
                  <w:tcW w:w="2209" w:type="pct"/>
                  <w:vAlign w:val="center"/>
                </w:tcPr>
                <w:p w14:paraId="314A71C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禁止新建、扩建法律法规和相关政策明令禁止的落后产能项目，依法依规关停退出能耗、环保、质量、安全不达标产能和技术落后产能。禁止新建、扩建不符合国家产能置换要求的过剩产能行业的项目。禁止新建、扩建不符合要求的高耗能、高排放项目，推动退出重点高耗能行业</w:t>
                  </w: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限制类</w:t>
                  </w: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产能。禁止建设高毒高残留以及对环境影响大的农药原药生产装置，严控尿素、磷铵、电石、焦炭、黄磷、烧碱、纯碱、聚氯乙烯等行业新增产能</w:t>
                  </w: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w:t>
                  </w:r>
                </w:p>
              </w:tc>
              <w:tc>
                <w:tcPr>
                  <w:tcW w:w="1765" w:type="pct"/>
                  <w:vAlign w:val="center"/>
                </w:tcPr>
                <w:p w14:paraId="18DBBFC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本项目不属于落后产能项目、过剩产能行业的项目、高能耗、高排放项目。本项目不涉及建设高毒高残留以及对环境影响大的农药原药生产装置，不属于尿素、磷铵、电石、焦炭、黄磷、烧碱、纯碱、聚氯乙烯等行业。</w:t>
                  </w:r>
                </w:p>
              </w:tc>
              <w:tc>
                <w:tcPr>
                  <w:tcW w:w="533" w:type="pct"/>
                  <w:vAlign w:val="center"/>
                </w:tcPr>
                <w:p w14:paraId="33FC897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符合</w:t>
                  </w:r>
                </w:p>
              </w:tc>
            </w:tr>
          </w:tbl>
          <w:p w14:paraId="7A38A8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根据与“实施细则”工业布局的要求对照分析</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，本项目不属于云南省长江经济带负面清单所列的企业。</w:t>
            </w:r>
          </w:p>
          <w:p w14:paraId="7618AE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cs="Times New Roman"/>
                <w:b/>
                <w:bCs/>
                <w:color w:val="000000" w:themeColor="text1"/>
                <w:kern w:val="2"/>
                <w:sz w:val="24"/>
                <w:szCs w:val="24"/>
                <w:highlight w:val="none"/>
                <w:lang w:val="en-US" w:eastAsia="zh-CN" w:bidi="ar-SA"/>
                <w14:textFill>
                  <w14:solidFill>
                    <w14:schemeClr w14:val="tx1"/>
                  </w14:solidFill>
                </w14:textFill>
              </w:rPr>
            </w:pPr>
            <w:r>
              <w:rPr>
                <w:rFonts w:hint="eastAsia" w:cs="Times New Roman"/>
                <w:b/>
                <w:bCs/>
                <w:color w:val="000000" w:themeColor="text1"/>
                <w:kern w:val="2"/>
                <w:sz w:val="24"/>
                <w:szCs w:val="24"/>
                <w:highlight w:val="none"/>
                <w:lang w:val="en-US" w:eastAsia="zh-CN" w:bidi="ar-SA"/>
                <w14:textFill>
                  <w14:solidFill>
                    <w14:schemeClr w14:val="tx1"/>
                  </w14:solidFill>
                </w14:textFill>
              </w:rPr>
              <w:t>4、与《中华人民共和国长江保护法》符合性分析</w:t>
            </w:r>
          </w:p>
          <w:p w14:paraId="494C56E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本项目位于</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易门产业园区</w:t>
            </w:r>
            <w:r>
              <w:rPr>
                <w:rFonts w:hint="eastAsia" w:cs="Times New Roman"/>
                <w:color w:val="000000" w:themeColor="text1"/>
                <w:kern w:val="0"/>
                <w:sz w:val="24"/>
                <w:szCs w:val="24"/>
                <w:lang w:val="en-US" w:eastAsia="zh-CN" w:bidi="ar-SA"/>
                <w14:textFill>
                  <w14:solidFill>
                    <w14:schemeClr w14:val="tx1"/>
                  </w14:solidFill>
                </w14:textFill>
              </w:rPr>
              <w:t>麦子田片区</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最近的地表水体为</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北面</w:t>
            </w:r>
            <w:r>
              <w:rPr>
                <w:rFonts w:hint="eastAsia" w:cs="Times New Roman"/>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km的扒河</w:t>
            </w:r>
            <w:r>
              <w:rPr>
                <w:rFonts w:hint="eastAsia" w:cs="Times New Roman"/>
                <w:color w:val="000000" w:themeColor="text1"/>
                <w:kern w:val="2"/>
                <w:sz w:val="24"/>
                <w:szCs w:val="24"/>
                <w:highlight w:val="none"/>
                <w:lang w:val="en-US" w:eastAsia="zh-CN" w:bidi="ar-SA"/>
                <w14:textFill>
                  <w14:solidFill>
                    <w14:schemeClr w14:val="tx1"/>
                  </w14:solidFill>
                </w14:textFill>
              </w:rPr>
              <w:t>。</w:t>
            </w:r>
          </w:p>
          <w:p w14:paraId="326627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与</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《中华人民共和国长江保护法》</w:t>
            </w:r>
            <w:r>
              <w:rPr>
                <w:rFonts w:hint="eastAsia" w:cs="Times New Roman"/>
                <w:color w:val="000000" w:themeColor="text1"/>
                <w:kern w:val="2"/>
                <w:sz w:val="24"/>
                <w:szCs w:val="24"/>
                <w:highlight w:val="none"/>
                <w:lang w:val="en-US" w:eastAsia="zh-CN" w:bidi="ar-SA"/>
                <w14:textFill>
                  <w14:solidFill>
                    <w14:schemeClr w14:val="tx1"/>
                  </w14:solidFill>
                </w14:textFill>
              </w:rPr>
              <w:t>（2020年12月26日第十三届全国人民代表大会常务委员会第二十四次会议通过）中的水污染防治内容对照分析见下表：</w:t>
            </w:r>
          </w:p>
          <w:p w14:paraId="0C6DB8B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kern w:val="0"/>
                <w:sz w:val="21"/>
                <w:szCs w:val="21"/>
                <w:lang w:val="en-US" w:eastAsia="zh-CN"/>
                <w14:textFill>
                  <w14:solidFill>
                    <w14:schemeClr w14:val="tx1"/>
                  </w14:solidFill>
                </w14:textFill>
              </w:rPr>
              <w:t>表1-</w:t>
            </w:r>
            <w:r>
              <w:rPr>
                <w:rFonts w:hint="eastAsia" w:cs="Times New Roman"/>
                <w:b/>
                <w:bCs/>
                <w:color w:val="000000" w:themeColor="text1"/>
                <w:kern w:val="0"/>
                <w:sz w:val="21"/>
                <w:szCs w:val="21"/>
                <w:lang w:val="en-US" w:eastAsia="zh-CN"/>
                <w14:textFill>
                  <w14:solidFill>
                    <w14:schemeClr w14:val="tx1"/>
                  </w14:solidFill>
                </w14:textFill>
              </w:rPr>
              <w:t xml:space="preserve">7  </w:t>
            </w:r>
            <w:r>
              <w:rPr>
                <w:rFonts w:hint="default" w:ascii="Times New Roman" w:hAnsi="Times New Roman" w:cs="Times New Roman"/>
                <w:b/>
                <w:bCs/>
                <w:color w:val="000000" w:themeColor="text1"/>
                <w:kern w:val="0"/>
                <w:sz w:val="21"/>
                <w:szCs w:val="21"/>
                <w:lang w:val="en-US" w:eastAsia="zh-CN"/>
                <w14:textFill>
                  <w14:solidFill>
                    <w14:schemeClr w14:val="tx1"/>
                  </w14:solidFill>
                </w14:textFill>
              </w:rPr>
              <w:t>项目与</w:t>
            </w:r>
            <w:r>
              <w:rPr>
                <w:rFonts w:hint="eastAsia" w:cs="Times New Roman"/>
                <w:b/>
                <w:bCs/>
                <w:color w:val="000000" w:themeColor="text1"/>
                <w:kern w:val="0"/>
                <w:sz w:val="21"/>
                <w:szCs w:val="21"/>
                <w:lang w:val="en-US" w:eastAsia="zh-CN"/>
                <w14:textFill>
                  <w14:solidFill>
                    <w14:schemeClr w14:val="tx1"/>
                  </w14:solidFill>
                </w14:textFill>
              </w:rPr>
              <w:t>《中华人民共和国长江保护法》水污染防治措施</w:t>
            </w:r>
            <w:r>
              <w:rPr>
                <w:rFonts w:hint="default" w:ascii="Times New Roman" w:hAnsi="Times New Roman" w:cs="Times New Roman"/>
                <w:b/>
                <w:bCs/>
                <w:color w:val="000000" w:themeColor="text1"/>
                <w:kern w:val="0"/>
                <w:sz w:val="21"/>
                <w:szCs w:val="21"/>
                <w:lang w:val="en-US" w:eastAsia="zh-CN"/>
                <w14:textFill>
                  <w14:solidFill>
                    <w14:schemeClr w14:val="tx1"/>
                  </w14:solidFill>
                </w14:textFill>
              </w:rPr>
              <w:t>要求对照分析</w:t>
            </w:r>
          </w:p>
          <w:tbl>
            <w:tblPr>
              <w:tblStyle w:val="32"/>
              <w:tblW w:w="7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2500"/>
              <w:gridCol w:w="2932"/>
              <w:gridCol w:w="1129"/>
            </w:tblGrid>
            <w:tr w14:paraId="4C158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dxa"/>
                  <w:vAlign w:val="center"/>
                </w:tcPr>
                <w:p w14:paraId="39AE300F">
                  <w:pPr>
                    <w:pStyle w:val="11"/>
                    <w:jc w:val="center"/>
                    <w:rPr>
                      <w:rFonts w:hint="default"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bCs/>
                      <w:color w:val="000000" w:themeColor="text1"/>
                      <w:kern w:val="2"/>
                      <w:sz w:val="21"/>
                      <w:szCs w:val="21"/>
                      <w:highlight w:val="none"/>
                      <w:vertAlign w:val="baseline"/>
                      <w:lang w:val="en-US" w:eastAsia="zh-CN" w:bidi="ar-SA"/>
                      <w14:textFill>
                        <w14:solidFill>
                          <w14:schemeClr w14:val="tx1"/>
                        </w14:solidFill>
                      </w14:textFill>
                    </w:rPr>
                    <w:t>序号</w:t>
                  </w:r>
                </w:p>
              </w:tc>
              <w:tc>
                <w:tcPr>
                  <w:tcW w:w="2500" w:type="dxa"/>
                  <w:vAlign w:val="center"/>
                </w:tcPr>
                <w:p w14:paraId="6A8FE966">
                  <w:pPr>
                    <w:pStyle w:val="11"/>
                    <w:jc w:val="center"/>
                    <w:rPr>
                      <w:rFonts w:hint="default"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bCs/>
                      <w:color w:val="000000" w:themeColor="text1"/>
                      <w:kern w:val="2"/>
                      <w:sz w:val="21"/>
                      <w:szCs w:val="21"/>
                      <w:highlight w:val="none"/>
                      <w:vertAlign w:val="baseline"/>
                      <w:lang w:val="en-US" w:eastAsia="zh-CN" w:bidi="ar-SA"/>
                      <w14:textFill>
                        <w14:solidFill>
                          <w14:schemeClr w14:val="tx1"/>
                        </w14:solidFill>
                      </w14:textFill>
                    </w:rPr>
                    <w:t>水污染防治要求</w:t>
                  </w:r>
                </w:p>
              </w:tc>
              <w:tc>
                <w:tcPr>
                  <w:tcW w:w="2932" w:type="dxa"/>
                  <w:vAlign w:val="center"/>
                </w:tcPr>
                <w:p w14:paraId="58595C85">
                  <w:pPr>
                    <w:pStyle w:val="11"/>
                    <w:jc w:val="center"/>
                    <w:rPr>
                      <w:rFonts w:hint="default"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bCs/>
                      <w:color w:val="000000" w:themeColor="text1"/>
                      <w:kern w:val="2"/>
                      <w:sz w:val="21"/>
                      <w:szCs w:val="21"/>
                      <w:highlight w:val="none"/>
                      <w:vertAlign w:val="baseline"/>
                      <w:lang w:val="en-US" w:eastAsia="zh-CN" w:bidi="ar-SA"/>
                      <w14:textFill>
                        <w14:solidFill>
                          <w14:schemeClr w14:val="tx1"/>
                        </w14:solidFill>
                      </w14:textFill>
                    </w:rPr>
                    <w:t>本项目情况</w:t>
                  </w:r>
                </w:p>
              </w:tc>
              <w:tc>
                <w:tcPr>
                  <w:tcW w:w="1129" w:type="dxa"/>
                  <w:vAlign w:val="center"/>
                </w:tcPr>
                <w:p w14:paraId="4A3DFE2F">
                  <w:pPr>
                    <w:pStyle w:val="11"/>
                    <w:jc w:val="center"/>
                    <w:rPr>
                      <w:rFonts w:hint="default"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bCs/>
                      <w:color w:val="000000" w:themeColor="text1"/>
                      <w:kern w:val="2"/>
                      <w:sz w:val="21"/>
                      <w:szCs w:val="21"/>
                      <w:highlight w:val="none"/>
                      <w:vertAlign w:val="baseline"/>
                      <w:lang w:val="en-US" w:eastAsia="zh-CN" w:bidi="ar-SA"/>
                      <w14:textFill>
                        <w14:solidFill>
                          <w14:schemeClr w14:val="tx1"/>
                        </w14:solidFill>
                      </w14:textFill>
                    </w:rPr>
                    <w:t>是否符合</w:t>
                  </w:r>
                </w:p>
              </w:tc>
            </w:tr>
            <w:tr w14:paraId="6597A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dxa"/>
                  <w:vAlign w:val="center"/>
                </w:tcPr>
                <w:p w14:paraId="3636C204">
                  <w:pPr>
                    <w:pStyle w:val="11"/>
                    <w:jc w:val="center"/>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第四十六条</w:t>
                  </w:r>
                </w:p>
              </w:tc>
              <w:tc>
                <w:tcPr>
                  <w:tcW w:w="2500" w:type="dxa"/>
                  <w:vAlign w:val="center"/>
                </w:tcPr>
                <w:p w14:paraId="2ABB4FE7">
                  <w:pPr>
                    <w:pStyle w:val="11"/>
                    <w:jc w:val="both"/>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磷矿开采加工、磷肥和含磷农药制造等企业，应当按照排污许可要求，采取有效措施控制总磷排放浓度和排放总量；对排污口和周边环境进行总磷监测，依法公开监测信息</w:t>
                  </w:r>
                </w:p>
              </w:tc>
              <w:tc>
                <w:tcPr>
                  <w:tcW w:w="2932" w:type="dxa"/>
                  <w:vAlign w:val="center"/>
                </w:tcPr>
                <w:p w14:paraId="322F20B1">
                  <w:pPr>
                    <w:pStyle w:val="11"/>
                    <w:jc w:val="both"/>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本项目属于日用塑料制品制造，不属于磷矿开采加工、磷肥和含磷农药制造等企业。</w:t>
                  </w:r>
                </w:p>
              </w:tc>
              <w:tc>
                <w:tcPr>
                  <w:tcW w:w="1129" w:type="dxa"/>
                  <w:vAlign w:val="center"/>
                </w:tcPr>
                <w:p w14:paraId="0D194AC8">
                  <w:pPr>
                    <w:pStyle w:val="11"/>
                    <w:jc w:val="center"/>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77093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dxa"/>
                  <w:vAlign w:val="center"/>
                </w:tcPr>
                <w:p w14:paraId="6D2FEF78">
                  <w:pPr>
                    <w:pStyle w:val="11"/>
                    <w:jc w:val="center"/>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第四十八条</w:t>
                  </w:r>
                </w:p>
              </w:tc>
              <w:tc>
                <w:tcPr>
                  <w:tcW w:w="2500" w:type="dxa"/>
                  <w:vAlign w:val="center"/>
                </w:tcPr>
                <w:p w14:paraId="469287B9">
                  <w:pPr>
                    <w:pStyle w:val="11"/>
                    <w:jc w:val="both"/>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长江流域农业生产应当科学使用农业投入品，减少化肥、农药施用，推广有机肥使用，科学处置农用薄膜、农作物秸秆等农业废弃物。</w:t>
                  </w:r>
                </w:p>
              </w:tc>
              <w:tc>
                <w:tcPr>
                  <w:tcW w:w="2932" w:type="dxa"/>
                  <w:vAlign w:val="center"/>
                </w:tcPr>
                <w:p w14:paraId="07AE7FB4">
                  <w:pPr>
                    <w:pStyle w:val="11"/>
                    <w:jc w:val="both"/>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本项目属于日用塑料制品制造，不使用化肥农药。</w:t>
                  </w:r>
                </w:p>
              </w:tc>
              <w:tc>
                <w:tcPr>
                  <w:tcW w:w="1129" w:type="dxa"/>
                  <w:vAlign w:val="center"/>
                </w:tcPr>
                <w:p w14:paraId="26E5D46F">
                  <w:pPr>
                    <w:pStyle w:val="11"/>
                    <w:jc w:val="center"/>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21519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dxa"/>
                  <w:vAlign w:val="center"/>
                </w:tcPr>
                <w:p w14:paraId="63129945">
                  <w:pPr>
                    <w:pStyle w:val="11"/>
                    <w:jc w:val="center"/>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第四十九条</w:t>
                  </w:r>
                </w:p>
              </w:tc>
              <w:tc>
                <w:tcPr>
                  <w:tcW w:w="2500" w:type="dxa"/>
                  <w:vAlign w:val="center"/>
                </w:tcPr>
                <w:p w14:paraId="4396B8E3">
                  <w:pPr>
                    <w:pStyle w:val="11"/>
                    <w:jc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禁止在长江流域河湖管理范围内倾倒、填埋、堆放、弃置、处理固体废物</w:t>
                  </w:r>
                </w:p>
              </w:tc>
              <w:tc>
                <w:tcPr>
                  <w:tcW w:w="2932" w:type="dxa"/>
                  <w:vAlign w:val="center"/>
                </w:tcPr>
                <w:p w14:paraId="6907E7EA">
                  <w:pPr>
                    <w:pStyle w:val="11"/>
                    <w:jc w:val="both"/>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本项目所产生的固体废物主要为一般工业固废、危险废物与生活垃圾。项目产生的一般工业固废收集后外售，产生的危险废物经收集后暂存于危险废物贮存间委托有资质单位处置，生活垃圾收集后委托环卫部门进行清运处置，固废处置率100%。</w:t>
                  </w:r>
                </w:p>
              </w:tc>
              <w:tc>
                <w:tcPr>
                  <w:tcW w:w="1129" w:type="dxa"/>
                  <w:vAlign w:val="center"/>
                </w:tcPr>
                <w:p w14:paraId="6A974F81">
                  <w:pPr>
                    <w:pStyle w:val="11"/>
                    <w:jc w:val="center"/>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符合</w:t>
                  </w:r>
                </w:p>
              </w:tc>
            </w:tr>
          </w:tbl>
          <w:p w14:paraId="36FD3FB3">
            <w:pPr>
              <w:pStyle w:val="11"/>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jc w:val="left"/>
              <w:textAlignment w:val="auto"/>
              <w:rPr>
                <w:rFonts w:hint="eastAsia"/>
                <w:color w:val="000000" w:themeColor="text1"/>
                <w:lang w:val="en-US" w:eastAsia="zh-CN"/>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根据与《中华人民共和国长江保护法》中水污染防治内容作对照分析</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，本项目不</w:t>
            </w:r>
            <w:r>
              <w:rPr>
                <w:rFonts w:hint="eastAsia" w:cs="Times New Roman"/>
                <w:color w:val="000000" w:themeColor="text1"/>
                <w:kern w:val="2"/>
                <w:sz w:val="24"/>
                <w:szCs w:val="24"/>
                <w:highlight w:val="none"/>
                <w:lang w:val="en-US" w:eastAsia="zh-CN" w:bidi="ar-SA"/>
                <w14:textFill>
                  <w14:solidFill>
                    <w14:schemeClr w14:val="tx1"/>
                  </w14:solidFill>
                </w14:textFill>
              </w:rPr>
              <w:t>违反《中华人民共和国长江保护法》中的水污染防治内容</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6DBE02AF">
            <w:pPr>
              <w:pStyle w:val="79"/>
              <w:bidi w:val="0"/>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cs="Times New Roman"/>
                <w:b/>
                <w:bCs/>
                <w:color w:val="000000" w:themeColor="text1"/>
                <w:kern w:val="2"/>
                <w:sz w:val="24"/>
                <w:szCs w:val="24"/>
                <w:highlight w:val="none"/>
                <w:lang w:val="en-US" w:eastAsia="zh-CN" w:bidi="ar-SA"/>
                <w14:textFill>
                  <w14:solidFill>
                    <w14:schemeClr w14:val="tx1"/>
                  </w14:solidFill>
                </w14:textFill>
              </w:rPr>
              <w:t>5、与《中华人民共和国生态环境法典》符合性分析</w:t>
            </w:r>
          </w:p>
          <w:p w14:paraId="62273AB7">
            <w:pPr>
              <w:pStyle w:val="79"/>
              <w:bidi w:val="0"/>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本项目污染防治内容与《中华人民共和国生态环境法典》（2026年3月12日第十四届全国人民代表大会第四次会议通过</w:t>
            </w:r>
            <w:r>
              <w:rPr>
                <w:rFonts w:hint="eastAsia" w:cs="Times New Roman"/>
                <w:color w:val="000000" w:themeColor="text1"/>
                <w:kern w:val="2"/>
                <w:sz w:val="24"/>
                <w:szCs w:val="24"/>
                <w:highlight w:val="none"/>
                <w:lang w:val="en-US" w:eastAsia="zh-CN" w:bidi="ar-SA"/>
                <w14:textFill>
                  <w14:solidFill>
                    <w14:schemeClr w14:val="tx1"/>
                  </w14:solidFill>
                </w14:textFill>
              </w:rPr>
              <w:t>，2026年8月15日实施</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）符合性分析如下</w:t>
            </w:r>
            <w:r>
              <w:rPr>
                <w:rFonts w:hint="eastAsia" w:cs="Times New Roman"/>
                <w:color w:val="000000" w:themeColor="text1"/>
                <w:kern w:val="2"/>
                <w:sz w:val="24"/>
                <w:szCs w:val="24"/>
                <w:highlight w:val="none"/>
                <w:lang w:val="en-US" w:eastAsia="zh-CN" w:bidi="ar-SA"/>
                <w14:textFill>
                  <w14:solidFill>
                    <w14:schemeClr w14:val="tx1"/>
                  </w14:solidFill>
                </w14:textFill>
              </w:rPr>
              <w:t>：</w:t>
            </w:r>
          </w:p>
          <w:p w14:paraId="050552BA">
            <w:pPr>
              <w:widowControl/>
              <w:adjustRightInd w:val="0"/>
              <w:snapToGrid w:val="0"/>
              <w:jc w:val="center"/>
              <w:rPr>
                <w:rFonts w:hint="default" w:ascii="Times New Roman" w:hAnsi="Times New Roman" w:eastAsia="宋体" w:cs="Times New Roman"/>
                <w:b/>
                <w:bCs/>
                <w:color w:val="000000" w:themeColor="text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szCs w:val="21"/>
                <w:highlight w:val="none"/>
                <w:lang w:bidi="ar"/>
                <w14:textFill>
                  <w14:solidFill>
                    <w14:schemeClr w14:val="tx1"/>
                  </w14:solidFill>
                </w14:textFill>
              </w:rPr>
              <w:t>表1-</w:t>
            </w:r>
            <w:r>
              <w:rPr>
                <w:rFonts w:hint="eastAsia" w:cs="Times New Roman"/>
                <w:b/>
                <w:bCs/>
                <w:color w:val="000000" w:themeColor="text1"/>
                <w:szCs w:val="21"/>
                <w:highlight w:val="none"/>
                <w:lang w:val="en-US" w:eastAsia="zh-CN" w:bidi="ar"/>
                <w14:textFill>
                  <w14:solidFill>
                    <w14:schemeClr w14:val="tx1"/>
                  </w14:solidFill>
                </w14:textFill>
              </w:rPr>
              <w:t>8</w:t>
            </w:r>
            <w:r>
              <w:rPr>
                <w:rFonts w:hint="default" w:ascii="Times New Roman" w:hAnsi="Times New Roman" w:eastAsia="宋体" w:cs="Times New Roman"/>
                <w:b/>
                <w:bCs/>
                <w:color w:val="000000" w:themeColor="text1"/>
                <w:szCs w:val="21"/>
                <w:highlight w:val="none"/>
                <w:lang w:val="en-US" w:eastAsia="zh-CN" w:bidi="ar"/>
                <w14:textFill>
                  <w14:solidFill>
                    <w14:schemeClr w14:val="tx1"/>
                  </w14:solidFill>
                </w14:textFill>
              </w:rPr>
              <w:t xml:space="preserve"> </w:t>
            </w:r>
            <w:r>
              <w:rPr>
                <w:rFonts w:hint="default" w:ascii="Times New Roman" w:hAnsi="Times New Roman" w:eastAsia="宋体" w:cs="Times New Roman"/>
                <w:b/>
                <w:bCs/>
                <w:color w:val="000000" w:themeColor="text1"/>
                <w:szCs w:val="21"/>
                <w:highlight w:val="none"/>
                <w:lang w:bidi="ar"/>
                <w14:textFill>
                  <w14:solidFill>
                    <w14:schemeClr w14:val="tx1"/>
                  </w14:solidFill>
                </w14:textFill>
              </w:rPr>
              <w:t xml:space="preserve"> 与</w:t>
            </w:r>
            <w:r>
              <w:rPr>
                <w:rFonts w:hint="default" w:ascii="Times New Roman" w:hAnsi="Times New Roman" w:eastAsia="宋体" w:cs="Times New Roman"/>
                <w:b/>
                <w:bCs/>
                <w:color w:val="000000" w:themeColor="text1"/>
                <w:szCs w:val="21"/>
                <w:highlight w:val="none"/>
                <w:lang w:val="en-US" w:eastAsia="zh-CN" w:bidi="ar"/>
                <w14:textFill>
                  <w14:solidFill>
                    <w14:schemeClr w14:val="tx1"/>
                  </w14:solidFill>
                </w14:textFill>
              </w:rPr>
              <w:t>《中华人民共和国生态环境法典》</w:t>
            </w:r>
            <w:r>
              <w:rPr>
                <w:rFonts w:hint="default" w:ascii="Times New Roman" w:hAnsi="Times New Roman" w:eastAsia="宋体" w:cs="Times New Roman"/>
                <w:b/>
                <w:bCs/>
                <w:color w:val="000000" w:themeColor="text1"/>
                <w:szCs w:val="21"/>
                <w:highlight w:val="none"/>
                <w:lang w:bidi="ar"/>
                <w14:textFill>
                  <w14:solidFill>
                    <w14:schemeClr w14:val="tx1"/>
                  </w14:solidFill>
                </w14:textFill>
              </w:rPr>
              <w:t>符合性分析</w:t>
            </w:r>
          </w:p>
          <w:tbl>
            <w:tblPr>
              <w:tblStyle w:val="3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
              <w:gridCol w:w="3743"/>
              <w:gridCol w:w="2424"/>
              <w:gridCol w:w="638"/>
            </w:tblGrid>
            <w:tr w14:paraId="607A2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 w:type="pct"/>
                  <w:noWrap w:val="0"/>
                  <w:vAlign w:val="center"/>
                </w:tcPr>
                <w:p w14:paraId="7A1A4465">
                  <w:pPr>
                    <w:jc w:val="cente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分编</w:t>
                  </w:r>
                </w:p>
              </w:tc>
              <w:tc>
                <w:tcPr>
                  <w:tcW w:w="2582" w:type="pct"/>
                  <w:noWrap w:val="0"/>
                  <w:vAlign w:val="center"/>
                </w:tcPr>
                <w:p w14:paraId="15A25979">
                  <w:pPr>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相关要求</w:t>
                  </w:r>
                </w:p>
              </w:tc>
              <w:tc>
                <w:tcPr>
                  <w:tcW w:w="1672" w:type="pct"/>
                  <w:noWrap w:val="0"/>
                  <w:vAlign w:val="center"/>
                </w:tcPr>
                <w:p w14:paraId="53D3E77A">
                  <w:pPr>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项目情况</w:t>
                  </w:r>
                </w:p>
              </w:tc>
              <w:tc>
                <w:tcPr>
                  <w:tcW w:w="440" w:type="pct"/>
                  <w:noWrap w:val="0"/>
                  <w:vAlign w:val="center"/>
                </w:tcPr>
                <w:p w14:paraId="5D830AD6">
                  <w:pPr>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符合性</w:t>
                  </w:r>
                </w:p>
              </w:tc>
            </w:tr>
            <w:tr w14:paraId="5F829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 w:type="pct"/>
                  <w:vMerge w:val="restart"/>
                  <w:noWrap w:val="0"/>
                  <w:vAlign w:val="center"/>
                </w:tcPr>
                <w:p w14:paraId="50897FC7">
                  <w:pPr>
                    <w:keepNext w:val="0"/>
                    <w:keepLines w:val="0"/>
                    <w:widowControl/>
                    <w:suppressLineNumbers w:val="0"/>
                    <w:jc w:val="both"/>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第二分编</w:t>
                  </w:r>
                </w:p>
                <w:p w14:paraId="3D86B85D">
                  <w:pPr>
                    <w:keepNext w:val="0"/>
                    <w:keepLines w:val="0"/>
                    <w:widowControl/>
                    <w:suppressLineNumbers w:val="0"/>
                    <w:jc w:val="both"/>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 xml:space="preserve"> 大气污染防治</w:t>
                  </w:r>
                </w:p>
              </w:tc>
              <w:tc>
                <w:tcPr>
                  <w:tcW w:w="2582" w:type="pct"/>
                  <w:noWrap w:val="0"/>
                  <w:vAlign w:val="center"/>
                </w:tcPr>
                <w:p w14:paraId="301C89D1">
                  <w:pPr>
                    <w:keepNext w:val="0"/>
                    <w:keepLines w:val="0"/>
                    <w:widowControl/>
                    <w:suppressLineNumbers w:val="0"/>
                    <w:jc w:val="both"/>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 xml:space="preserve">第一百八十九条 </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防治大气污染，应当加强对燃煤、工业、机动车船、非道路移动机械、扬尘、农业等大气污染的综合防治，推行区域大气污染联合防治，对颗粒物、二氧化硫、氮氧化物、挥发性有机物、氨等大气污染物和温室气体实施协同控制。</w:t>
                  </w:r>
                </w:p>
              </w:tc>
              <w:tc>
                <w:tcPr>
                  <w:tcW w:w="1672" w:type="pct"/>
                  <w:noWrap w:val="0"/>
                  <w:vAlign w:val="center"/>
                </w:tcPr>
                <w:p w14:paraId="28EDFE17">
                  <w:pPr>
                    <w:keepNext w:val="0"/>
                    <w:keepLines w:val="0"/>
                    <w:widowControl/>
                    <w:suppressLineNumbers w:val="0"/>
                    <w:jc w:val="both"/>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项目</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能源使用电能，电能属于清洁能源，</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不使用燃煤</w:t>
                  </w: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，项目生产过程中所产生的大气污染物均设置对应大气污染物治理措施，以减少大气污染物的排放</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w:t>
                  </w:r>
                </w:p>
              </w:tc>
              <w:tc>
                <w:tcPr>
                  <w:tcW w:w="440" w:type="pct"/>
                  <w:noWrap w:val="0"/>
                  <w:vAlign w:val="center"/>
                </w:tcPr>
                <w:p w14:paraId="54F5E46B">
                  <w:pPr>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r w14:paraId="44C8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 w:type="pct"/>
                  <w:vMerge w:val="continue"/>
                  <w:noWrap w:val="0"/>
                  <w:vAlign w:val="center"/>
                </w:tcPr>
                <w:p w14:paraId="1292DCCD">
                  <w:pPr>
                    <w:jc w:val="both"/>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582" w:type="pct"/>
                  <w:noWrap w:val="0"/>
                  <w:vAlign w:val="center"/>
                </w:tcPr>
                <w:p w14:paraId="3B879B1D">
                  <w:pPr>
                    <w:jc w:val="both"/>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第二百一十一条 </w:t>
                  </w:r>
                  <w:r>
                    <w:rPr>
                      <w:rFonts w:hint="default" w:ascii="Times New Roman" w:hAnsi="Times New Roman" w:eastAsia="宋体" w:cs="Times New Roman"/>
                      <w:color w:val="000000" w:themeColor="text1"/>
                      <w:sz w:val="21"/>
                      <w:szCs w:val="21"/>
                      <w:highlight w:val="none"/>
                      <w14:textFill>
                        <w14:solidFill>
                          <w14:schemeClr w14:val="tx1"/>
                        </w14:solidFill>
                      </w14:textFill>
                    </w:rPr>
                    <w:t>钢铁、建材、有色金属、石油、化工等企业生产过程中排放粉尘、硫化物和氮氧化物的，应当采用清洁生产工艺，配套建设除尘、脱硫、脱硝等装置，或者采取技术改造等其他控制大气污染物排放的措施。</w:t>
                  </w:r>
                </w:p>
              </w:tc>
              <w:tc>
                <w:tcPr>
                  <w:tcW w:w="1672" w:type="pct"/>
                  <w:noWrap w:val="0"/>
                  <w:vAlign w:val="center"/>
                </w:tcPr>
                <w:p w14:paraId="5B8E9AC7">
                  <w:pPr>
                    <w:keepNext w:val="0"/>
                    <w:keepLines w:val="0"/>
                    <w:widowControl/>
                    <w:suppressLineNumbers w:val="0"/>
                    <w:jc w:val="both"/>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项目采取布袋除尘减少颗粒物排放量，采取“活性炭吸附/脱附+催化燃烧装置”减少挥发性有机物与甲醛的排放量</w:t>
                  </w: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，所采用的大气污染物治理措施均为可行性技术</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w:t>
                  </w:r>
                </w:p>
              </w:tc>
              <w:tc>
                <w:tcPr>
                  <w:tcW w:w="440" w:type="pct"/>
                  <w:noWrap w:val="0"/>
                  <w:vAlign w:val="center"/>
                </w:tcPr>
                <w:p w14:paraId="70EC2FB8">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r w14:paraId="13BB7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 w:type="pct"/>
                  <w:vMerge w:val="continue"/>
                  <w:noWrap w:val="0"/>
                  <w:vAlign w:val="center"/>
                </w:tcPr>
                <w:p w14:paraId="3F3EE949">
                  <w:pPr>
                    <w:jc w:val="both"/>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582" w:type="pct"/>
                  <w:noWrap w:val="0"/>
                  <w:vAlign w:val="center"/>
                </w:tcPr>
                <w:p w14:paraId="12558654">
                  <w:pPr>
                    <w:jc w:val="both"/>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第二百一十四条</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生产、使用含挥发性有机物的原辅材料和产品，应当按照国家规定，在密闭空间、设备中进行并安装、使用污染防治设施，或者采取有效措施减少废气排放。</w:t>
                  </w:r>
                </w:p>
              </w:tc>
              <w:tc>
                <w:tcPr>
                  <w:tcW w:w="1672" w:type="pct"/>
                  <w:noWrap w:val="0"/>
                  <w:vAlign w:val="center"/>
                </w:tcPr>
                <w:p w14:paraId="7387F4D4">
                  <w:pPr>
                    <w:jc w:val="both"/>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项目</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“热压挤出”工序在相对密闭的油压成型机内进行，并</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采取</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“布袋除尘器”、“活性炭吸附/脱附+催化燃烧装置”</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减少</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污染物</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的排放量</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440" w:type="pct"/>
                  <w:noWrap w:val="0"/>
                  <w:vAlign w:val="center"/>
                </w:tcPr>
                <w:p w14:paraId="64EF6FBC">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r w14:paraId="51FC9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 w:type="pct"/>
                  <w:vMerge w:val="continue"/>
                  <w:noWrap w:val="0"/>
                  <w:vAlign w:val="center"/>
                </w:tcPr>
                <w:p w14:paraId="3AEBAFEB">
                  <w:pPr>
                    <w:widowControl/>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2582" w:type="pct"/>
                  <w:noWrap w:val="0"/>
                  <w:vAlign w:val="center"/>
                </w:tcPr>
                <w:p w14:paraId="43305E4C">
                  <w:pPr>
                    <w:widowControl/>
                    <w:jc w:val="both"/>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第二百一十七条</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 xml:space="preserve"> </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钢铁、建材、有色金属、石油、化工、制药、矿产开采企业和其他工业生产企业，应当加强精细化管理，采取集中收集处理等措施，严格控制粉尘和气态污染物的排放。工业生产企业应当采取密闭、围挡、遮盖、清扫、洒水等措施，减少内部物料的堆存、传输、装卸等环节产生的粉尘和气态污染物的排放。</w:t>
                  </w:r>
                </w:p>
              </w:tc>
              <w:tc>
                <w:tcPr>
                  <w:tcW w:w="1672" w:type="pct"/>
                  <w:noWrap w:val="0"/>
                  <w:vAlign w:val="center"/>
                </w:tcPr>
                <w:p w14:paraId="13C46BF8">
                  <w:pPr>
                    <w:widowControl/>
                    <w:jc w:val="both"/>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项目</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不涉及运输煤炭、垃圾、渣土、砂石、土方、灰浆等散装、流体物料，项目原料存储</w:t>
                  </w:r>
                  <w:r>
                    <w:rPr>
                      <w:rFonts w:hint="eastAsia" w:cs="Times New Roman"/>
                      <w:color w:val="000000" w:themeColor="text1"/>
                      <w:kern w:val="0"/>
                      <w:sz w:val="21"/>
                      <w:szCs w:val="21"/>
                      <w:highlight w:val="none"/>
                      <w:lang w:val="en-US" w:eastAsia="zh-CN" w:bidi="ar"/>
                      <w14:textFill>
                        <w14:solidFill>
                          <w14:schemeClr w14:val="tx1"/>
                        </w14:solidFill>
                      </w14:textFill>
                    </w:rPr>
                    <w:t>于</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生产车间内。</w:t>
                  </w:r>
                </w:p>
              </w:tc>
              <w:tc>
                <w:tcPr>
                  <w:tcW w:w="440" w:type="pct"/>
                  <w:noWrap w:val="0"/>
                  <w:vAlign w:val="center"/>
                </w:tcPr>
                <w:p w14:paraId="2AF33409">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r w14:paraId="4A835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 w:type="pct"/>
                  <w:vMerge w:val="restart"/>
                  <w:noWrap w:val="0"/>
                  <w:vAlign w:val="center"/>
                </w:tcPr>
                <w:p w14:paraId="44251766">
                  <w:pPr>
                    <w:widowControl/>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第</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三</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分编</w:t>
                  </w:r>
                </w:p>
                <w:p w14:paraId="4AD88B3F">
                  <w:pPr>
                    <w:widowControl/>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 xml:space="preserve"> </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水</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污染防治</w:t>
                  </w:r>
                </w:p>
              </w:tc>
              <w:tc>
                <w:tcPr>
                  <w:tcW w:w="2582" w:type="pct"/>
                  <w:noWrap w:val="0"/>
                  <w:vAlign w:val="center"/>
                </w:tcPr>
                <w:p w14:paraId="0B264668">
                  <w:pPr>
                    <w:widowControl/>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第二百九十八条、排放工业废水的企业应当采取有效措施，收集和处理产生的全部废水，防止污染环境。含有毒有害水污染物的工业废水应当分类收集和处理，防止渗漏、流失，不得稀释排放</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1672" w:type="pct"/>
                  <w:noWrap w:val="0"/>
                  <w:vAlign w:val="center"/>
                </w:tcPr>
                <w:p w14:paraId="110FD7BA">
                  <w:pPr>
                    <w:widowControl/>
                    <w:jc w:val="both"/>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bidi="ar"/>
                      <w14:textFill>
                        <w14:solidFill>
                          <w14:schemeClr w14:val="tx1"/>
                        </w14:solidFill>
                      </w14:textFill>
                    </w:rPr>
                    <w:t>项目生产冷却废水循环回用，不外排；生活污水</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依托联帆科技公司</w:t>
                  </w:r>
                  <w:r>
                    <w:rPr>
                      <w:rFonts w:hint="default" w:ascii="Times New Roman" w:hAnsi="Times New Roman" w:eastAsia="宋体" w:cs="Times New Roman"/>
                      <w:color w:val="000000" w:themeColor="text1"/>
                      <w:kern w:val="0"/>
                      <w:sz w:val="21"/>
                      <w:szCs w:val="21"/>
                      <w:highlight w:val="none"/>
                      <w:lang w:eastAsia="zh-CN" w:bidi="ar"/>
                      <w14:textFill>
                        <w14:solidFill>
                          <w14:schemeClr w14:val="tx1"/>
                        </w14:solidFill>
                      </w14:textFill>
                    </w:rPr>
                    <w:t>已建成的</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化粪池与</w:t>
                  </w:r>
                  <w:r>
                    <w:rPr>
                      <w:rFonts w:hint="default" w:ascii="Times New Roman" w:hAnsi="Times New Roman" w:eastAsia="宋体" w:cs="Times New Roman"/>
                      <w:color w:val="000000" w:themeColor="text1"/>
                      <w:kern w:val="0"/>
                      <w:sz w:val="21"/>
                      <w:szCs w:val="21"/>
                      <w:highlight w:val="none"/>
                      <w:lang w:eastAsia="zh-CN" w:bidi="ar"/>
                      <w14:textFill>
                        <w14:solidFill>
                          <w14:schemeClr w14:val="tx1"/>
                        </w14:solidFill>
                      </w14:textFill>
                    </w:rPr>
                    <w:t>一体化污水处理设备处理达标后回用于绿化及道路浇洒，不外排</w:t>
                  </w:r>
                  <w:r>
                    <w:rPr>
                      <w:rFonts w:hint="eastAsia" w:ascii="Times New Roman" w:hAnsi="Times New Roman" w:eastAsia="宋体" w:cs="Times New Roman"/>
                      <w:color w:val="000000" w:themeColor="text1"/>
                      <w:kern w:val="0"/>
                      <w:sz w:val="21"/>
                      <w:szCs w:val="21"/>
                      <w:highlight w:val="none"/>
                      <w:lang w:eastAsia="zh-CN" w:bidi="ar"/>
                      <w14:textFill>
                        <w14:solidFill>
                          <w14:schemeClr w14:val="tx1"/>
                        </w14:solidFill>
                      </w14:textFill>
                    </w:rPr>
                    <w:t>。</w:t>
                  </w:r>
                </w:p>
              </w:tc>
              <w:tc>
                <w:tcPr>
                  <w:tcW w:w="440" w:type="pct"/>
                  <w:noWrap w:val="0"/>
                  <w:vAlign w:val="center"/>
                </w:tcPr>
                <w:p w14:paraId="06B2DF73">
                  <w:pPr>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6524D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 w:type="pct"/>
                  <w:vMerge w:val="continue"/>
                  <w:noWrap w:val="0"/>
                  <w:vAlign w:val="center"/>
                </w:tcPr>
                <w:p w14:paraId="214D34FE">
                  <w:pPr>
                    <w:widowControl/>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2582" w:type="pct"/>
                  <w:noWrap w:val="0"/>
                  <w:vAlign w:val="center"/>
                </w:tcPr>
                <w:p w14:paraId="32FD2099">
                  <w:pPr>
                    <w:widowControl/>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第二百九十九条、禁止建设不符合国家产业政策的小型造纸、制革、印染、染料、炼焦、炼硫、炼砷、炼汞、炼油、电镀、农药、石棉、水泥、玻璃、钢铁、火电及其他严重污染水环境的生产项目</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1672" w:type="pct"/>
                  <w:noWrap w:val="0"/>
                  <w:vAlign w:val="center"/>
                </w:tcPr>
                <w:p w14:paraId="65F83BF1">
                  <w:pPr>
                    <w:widowControl/>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项目为日用塑料制品制造业，不属于小型造纸、制革、印染、染料、炼焦、炼硫、炼砷、炼汞、炼油、电镀、农药、石棉、水泥、玻璃、钢铁、火电及其他严重污染水环境的生产项目。</w:t>
                  </w:r>
                </w:p>
              </w:tc>
              <w:tc>
                <w:tcPr>
                  <w:tcW w:w="440" w:type="pct"/>
                  <w:noWrap w:val="0"/>
                  <w:vAlign w:val="center"/>
                </w:tcPr>
                <w:p w14:paraId="152BB72D">
                  <w:pPr>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56B6D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 w:type="pct"/>
                  <w:vMerge w:val="continue"/>
                  <w:noWrap w:val="0"/>
                  <w:vAlign w:val="center"/>
                </w:tcPr>
                <w:p w14:paraId="519D39FF">
                  <w:pPr>
                    <w:widowControl/>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2582" w:type="pct"/>
                  <w:noWrap w:val="0"/>
                  <w:vAlign w:val="center"/>
                </w:tcPr>
                <w:p w14:paraId="6BEF0A1B">
                  <w:pPr>
                    <w:widowControl/>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第三百条、企业应当采用原材料利用效率高、污染物排放量少的清洁工艺，并加强管理，减少水污染物的产生</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1672" w:type="pct"/>
                  <w:noWrap w:val="0"/>
                  <w:vAlign w:val="center"/>
                </w:tcPr>
                <w:p w14:paraId="5B804E3B">
                  <w:pPr>
                    <w:widowControl/>
                    <w:jc w:val="both"/>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项目</w:t>
                  </w:r>
                  <w:r>
                    <w:rPr>
                      <w:rFonts w:hint="default" w:ascii="Times New Roman" w:hAnsi="Times New Roman" w:eastAsia="宋体" w:cs="Times New Roman"/>
                      <w:color w:val="000000" w:themeColor="text1"/>
                      <w:kern w:val="0"/>
                      <w:sz w:val="21"/>
                      <w:szCs w:val="21"/>
                      <w:highlight w:val="none"/>
                      <w:lang w:eastAsia="zh-CN" w:bidi="ar"/>
                      <w14:textFill>
                        <w14:solidFill>
                          <w14:schemeClr w14:val="tx1"/>
                        </w14:solidFill>
                      </w14:textFill>
                    </w:rPr>
                    <w:t>生产</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过程中涉及</w:t>
                  </w:r>
                  <w:r>
                    <w:rPr>
                      <w:rFonts w:hint="default" w:ascii="Times New Roman" w:hAnsi="Times New Roman" w:eastAsia="宋体" w:cs="Times New Roman"/>
                      <w:color w:val="000000" w:themeColor="text1"/>
                      <w:kern w:val="0"/>
                      <w:sz w:val="21"/>
                      <w:szCs w:val="21"/>
                      <w:highlight w:val="none"/>
                      <w:lang w:eastAsia="zh-CN" w:bidi="ar"/>
                      <w14:textFill>
                        <w14:solidFill>
                          <w14:schemeClr w14:val="tx1"/>
                        </w14:solidFill>
                      </w14:textFill>
                    </w:rPr>
                    <w:t>冷却</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水，冷却</w:t>
                  </w:r>
                  <w:r>
                    <w:rPr>
                      <w:rFonts w:hint="default" w:ascii="Times New Roman" w:hAnsi="Times New Roman" w:eastAsia="宋体" w:cs="Times New Roman"/>
                      <w:color w:val="000000" w:themeColor="text1"/>
                      <w:kern w:val="0"/>
                      <w:sz w:val="21"/>
                      <w:szCs w:val="21"/>
                      <w:highlight w:val="none"/>
                      <w:lang w:eastAsia="zh-CN" w:bidi="ar"/>
                      <w14:textFill>
                        <w14:solidFill>
                          <w14:schemeClr w14:val="tx1"/>
                        </w14:solidFill>
                      </w14:textFill>
                    </w:rPr>
                    <w:t>废水循环回用，不外排</w:t>
                  </w:r>
                  <w:r>
                    <w:rPr>
                      <w:rFonts w:hint="eastAsia" w:ascii="Times New Roman" w:hAnsi="Times New Roman" w:eastAsia="宋体" w:cs="Times New Roman"/>
                      <w:color w:val="000000" w:themeColor="text1"/>
                      <w:kern w:val="0"/>
                      <w:sz w:val="21"/>
                      <w:szCs w:val="21"/>
                      <w:highlight w:val="none"/>
                      <w:lang w:eastAsia="zh-CN" w:bidi="ar"/>
                      <w14:textFill>
                        <w14:solidFill>
                          <w14:schemeClr w14:val="tx1"/>
                        </w14:solidFill>
                      </w14:textFill>
                    </w:rPr>
                    <w:t>。</w:t>
                  </w:r>
                </w:p>
              </w:tc>
              <w:tc>
                <w:tcPr>
                  <w:tcW w:w="440" w:type="pct"/>
                  <w:noWrap w:val="0"/>
                  <w:vAlign w:val="center"/>
                </w:tcPr>
                <w:p w14:paraId="1DF881C0">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34164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 w:type="pct"/>
                  <w:vMerge w:val="restart"/>
                  <w:noWrap w:val="0"/>
                  <w:vAlign w:val="center"/>
                </w:tcPr>
                <w:p w14:paraId="7B080EC8">
                  <w:pPr>
                    <w:widowControl/>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第</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六</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分编</w:t>
                  </w:r>
                </w:p>
                <w:p w14:paraId="4E9E164E">
                  <w:pPr>
                    <w:widowControl/>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 xml:space="preserve"> </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固体废物</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污染防治</w:t>
                  </w:r>
                </w:p>
              </w:tc>
              <w:tc>
                <w:tcPr>
                  <w:tcW w:w="2582" w:type="pct"/>
                  <w:noWrap w:val="0"/>
                  <w:vAlign w:val="center"/>
                </w:tcPr>
                <w:p w14:paraId="45EEDC58">
                  <w:pPr>
                    <w:widowControl/>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第四百八十九条、产生工业固体废物的单位应当建立健全工业固体废物产生、收集、贮存、运输、利用、处置全过程的污染防治责任制度，建立工业固体废物管理台账，如实记录产生工业固体废物的种类、数量、流向、贮存、利用、处置等信息，实现工业固体废物可追溯、可查询，并采取防治工业固体废物污染的措施</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。禁止向生活垃圾收集设施中投放工业固体废物。</w:t>
                  </w:r>
                </w:p>
              </w:tc>
              <w:tc>
                <w:tcPr>
                  <w:tcW w:w="1672" w:type="pct"/>
                  <w:noWrap w:val="0"/>
                  <w:vAlign w:val="center"/>
                </w:tcPr>
                <w:p w14:paraId="1599FFA4">
                  <w:pPr>
                    <w:widowControl/>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本次评价已对固体废物提出收集、贮存等相关措施。待项目建成后需设置全过程的污染防治责任制度，建立工业固体废物管理台账。</w:t>
                  </w:r>
                </w:p>
              </w:tc>
              <w:tc>
                <w:tcPr>
                  <w:tcW w:w="440" w:type="pct"/>
                  <w:noWrap w:val="0"/>
                  <w:vAlign w:val="center"/>
                </w:tcPr>
                <w:p w14:paraId="5E032D3E">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0B39F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 w:type="pct"/>
                  <w:vMerge w:val="continue"/>
                  <w:noWrap w:val="0"/>
                  <w:vAlign w:val="center"/>
                </w:tcPr>
                <w:p w14:paraId="46CDD493">
                  <w:pPr>
                    <w:widowControl/>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2582" w:type="pct"/>
                  <w:noWrap w:val="0"/>
                  <w:vAlign w:val="center"/>
                </w:tcPr>
                <w:p w14:paraId="6BF0FA75">
                  <w:pPr>
                    <w:widowControl/>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第四百九十条、产生工业固体废物的单位委托他人运输、利用、处置工业固体废物的，应当对受托方的主体资格和技术能力进行核实，依法签订书面合同，在合同中约定污染防治要求。</w:t>
                  </w:r>
                </w:p>
              </w:tc>
              <w:tc>
                <w:tcPr>
                  <w:tcW w:w="1672" w:type="pct"/>
                  <w:noWrap w:val="0"/>
                  <w:vAlign w:val="center"/>
                </w:tcPr>
                <w:p w14:paraId="258D43EE">
                  <w:pPr>
                    <w:widowControl/>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待项目建成后在产生固废前需签订相对应的固废协议。</w:t>
                  </w:r>
                </w:p>
              </w:tc>
              <w:tc>
                <w:tcPr>
                  <w:tcW w:w="440" w:type="pct"/>
                  <w:noWrap w:val="0"/>
                  <w:vAlign w:val="center"/>
                </w:tcPr>
                <w:p w14:paraId="56EF69B1">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667C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 w:type="pct"/>
                  <w:vMerge w:val="continue"/>
                  <w:noWrap w:val="0"/>
                  <w:vAlign w:val="center"/>
                </w:tcPr>
                <w:p w14:paraId="70DBE18E">
                  <w:pPr>
                    <w:widowControl/>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2582" w:type="pct"/>
                  <w:noWrap w:val="0"/>
                  <w:vAlign w:val="center"/>
                </w:tcPr>
                <w:p w14:paraId="5314D7DD">
                  <w:pPr>
                    <w:widowControl/>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第四百九十一条、实行排污许可管理的产生工业固体废物的单位的排污许可证中应当记载工业固体废物的贮存、利用、处置要求等信息。</w:t>
                  </w:r>
                </w:p>
              </w:tc>
              <w:tc>
                <w:tcPr>
                  <w:tcW w:w="1672" w:type="pct"/>
                  <w:noWrap w:val="0"/>
                  <w:vAlign w:val="center"/>
                </w:tcPr>
                <w:p w14:paraId="5543713B">
                  <w:pPr>
                    <w:widowControl/>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待项目建成后依法申请排污许可证。</w:t>
                  </w:r>
                </w:p>
              </w:tc>
              <w:tc>
                <w:tcPr>
                  <w:tcW w:w="440" w:type="pct"/>
                  <w:noWrap w:val="0"/>
                  <w:vAlign w:val="center"/>
                </w:tcPr>
                <w:p w14:paraId="3C2EEC80">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5C9DF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 w:type="pct"/>
                  <w:vMerge w:val="continue"/>
                  <w:noWrap w:val="0"/>
                  <w:vAlign w:val="center"/>
                </w:tcPr>
                <w:p w14:paraId="12C0C64C">
                  <w:pPr>
                    <w:widowControl/>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2582" w:type="pct"/>
                  <w:noWrap w:val="0"/>
                  <w:vAlign w:val="center"/>
                </w:tcPr>
                <w:p w14:paraId="56323E76">
                  <w:pPr>
                    <w:widowControl/>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第四百九十二条、产生工业固体废物的单位应当向所在地生态环境主管部门提供工业固体废物的种类、数量、流向、贮存、利用、处置等有关资料，以及减少工业固体废物产生、促进综合利用的具体措施。</w:t>
                  </w:r>
                </w:p>
              </w:tc>
              <w:tc>
                <w:tcPr>
                  <w:tcW w:w="1672" w:type="pct"/>
                  <w:noWrap w:val="0"/>
                  <w:vAlign w:val="center"/>
                </w:tcPr>
                <w:p w14:paraId="789D9C12">
                  <w:pPr>
                    <w:widowControl/>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待项目建成后依法向所在地生态环境主管部门提供工业固体废物的种类、数量、流向、贮存、利用、处置等有关资料以及减少工业固体废物产生、促进综合利用的具体措施。</w:t>
                  </w:r>
                </w:p>
              </w:tc>
              <w:tc>
                <w:tcPr>
                  <w:tcW w:w="440" w:type="pct"/>
                  <w:noWrap w:val="0"/>
                  <w:vAlign w:val="center"/>
                </w:tcPr>
                <w:p w14:paraId="48C2A452">
                  <w:pPr>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39EAB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 w:type="pct"/>
                  <w:vMerge w:val="continue"/>
                  <w:noWrap w:val="0"/>
                  <w:vAlign w:val="center"/>
                </w:tcPr>
                <w:p w14:paraId="6DB94B20">
                  <w:pPr>
                    <w:widowControl/>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2582" w:type="pct"/>
                  <w:noWrap w:val="0"/>
                  <w:vAlign w:val="center"/>
                </w:tcPr>
                <w:p w14:paraId="4157B56F">
                  <w:pPr>
                    <w:widowControl/>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第四百九十四条</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产生工业固体废物的单位应当根据经济、技术条件对工业固体废物加以利用；对暂时不利用或者不能利用的，应当按照国务院生态环境等有关部门的规定建设贮存设施、场所，安全分类存放，或者采取无害化处置措施。贮存工业固体废物应当采取符合国家生态环境保护标准的防护措施。建设工业固体废物贮存、处置的设施、场所，应当符合国家生态环境保护标准。</w:t>
                  </w:r>
                </w:p>
              </w:tc>
              <w:tc>
                <w:tcPr>
                  <w:tcW w:w="1672" w:type="pct"/>
                  <w:noWrap w:val="0"/>
                  <w:vAlign w:val="center"/>
                </w:tcPr>
                <w:p w14:paraId="44A94E8A">
                  <w:pPr>
                    <w:widowControl/>
                    <w:jc w:val="both"/>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项目</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称量打磨废气收尘灰、边角料与不合格品、废包装袋收集后外售综合利用；车间沉降粉尘委托环卫部门进行处置</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，废润滑油、废液压油定期委托有资质的单位清运处置；设置1间危险废物暂存间，危险废物临时贮存应按《危险废物贮存污染控制标准》（GB18597-2023）进行建设。</w:t>
                  </w:r>
                </w:p>
              </w:tc>
              <w:tc>
                <w:tcPr>
                  <w:tcW w:w="440" w:type="pct"/>
                  <w:noWrap w:val="0"/>
                  <w:vAlign w:val="center"/>
                </w:tcPr>
                <w:p w14:paraId="1332B4A6">
                  <w:pPr>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725F2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 w:type="pct"/>
                  <w:vMerge w:val="restart"/>
                  <w:noWrap w:val="0"/>
                  <w:vAlign w:val="center"/>
                </w:tcPr>
                <w:p w14:paraId="3CBBF43B">
                  <w:pPr>
                    <w:widowControl/>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第六分编</w:t>
                  </w:r>
                </w:p>
                <w:p w14:paraId="4199A895">
                  <w:pPr>
                    <w:widowControl/>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 xml:space="preserve"> </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噪声</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污染防治</w:t>
                  </w:r>
                </w:p>
              </w:tc>
              <w:tc>
                <w:tcPr>
                  <w:tcW w:w="2582" w:type="pct"/>
                  <w:noWrap w:val="0"/>
                  <w:vAlign w:val="center"/>
                </w:tcPr>
                <w:p w14:paraId="2E908570">
                  <w:pPr>
                    <w:widowControl/>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第五百六十五条、工业企业选址应当符合国土空间规划以及相关规划要求</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1672" w:type="pct"/>
                  <w:noWrap w:val="0"/>
                  <w:vAlign w:val="center"/>
                </w:tcPr>
                <w:p w14:paraId="75AEAED7">
                  <w:pPr>
                    <w:widowControl/>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项目位于云南易门产业园区麦子田片区，用地性质为二类工业用地，符合用地布局要求。</w:t>
                  </w:r>
                </w:p>
              </w:tc>
              <w:tc>
                <w:tcPr>
                  <w:tcW w:w="440" w:type="pct"/>
                  <w:noWrap w:val="0"/>
                  <w:vAlign w:val="center"/>
                </w:tcPr>
                <w:p w14:paraId="288DF3FB">
                  <w:pPr>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6D73C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 w:type="pct"/>
                  <w:vMerge w:val="continue"/>
                  <w:noWrap w:val="0"/>
                  <w:vAlign w:val="center"/>
                </w:tcPr>
                <w:p w14:paraId="2F959B20">
                  <w:pPr>
                    <w:widowControl/>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2582" w:type="pct"/>
                  <w:noWrap w:val="0"/>
                  <w:vAlign w:val="center"/>
                </w:tcPr>
                <w:p w14:paraId="68814FC1">
                  <w:pPr>
                    <w:widowControl/>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第五百六十六条、在噪声敏感建筑物集中区域，禁止新建排放噪声的工业企业，改建、扩建工业企业的，应当采取有效措施防止工业噪声污染。</w:t>
                  </w:r>
                </w:p>
              </w:tc>
              <w:tc>
                <w:tcPr>
                  <w:tcW w:w="1672" w:type="pct"/>
                  <w:noWrap w:val="0"/>
                  <w:vAlign w:val="center"/>
                </w:tcPr>
                <w:p w14:paraId="6CBC9B0C">
                  <w:pPr>
                    <w:widowControl/>
                    <w:jc w:val="both"/>
                    <w:rPr>
                      <w:rFonts w:hint="default" w:ascii="Times New Roman" w:hAnsi="Times New Roman" w:eastAsia="宋体" w:cs="Times New Roman"/>
                      <w:color w:val="000000" w:themeColor="text1"/>
                      <w:kern w:val="0"/>
                      <w:sz w:val="21"/>
                      <w:szCs w:val="21"/>
                      <w:highlight w:val="none"/>
                      <w:lang w:val="en-US"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本项目最近居民区距离项目直线距离350m，且距离六街镇（东北侧3200m）居民集中区较远</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。本项目已采取厂房隔声加强维护、定期检修，保持设备运行正常等措施防止工业噪声污染。</w:t>
                  </w:r>
                </w:p>
              </w:tc>
              <w:tc>
                <w:tcPr>
                  <w:tcW w:w="440" w:type="pct"/>
                  <w:noWrap w:val="0"/>
                  <w:vAlign w:val="center"/>
                </w:tcPr>
                <w:p w14:paraId="21B7F010">
                  <w:pPr>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169E7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 w:type="pct"/>
                  <w:vMerge w:val="continue"/>
                  <w:noWrap w:val="0"/>
                  <w:vAlign w:val="center"/>
                </w:tcPr>
                <w:p w14:paraId="60FF4F22">
                  <w:pPr>
                    <w:widowControl/>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2582" w:type="pct"/>
                  <w:noWrap w:val="0"/>
                  <w:vAlign w:val="center"/>
                </w:tcPr>
                <w:p w14:paraId="645D0DFD">
                  <w:pPr>
                    <w:widowControl/>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第五百六十七条、排放工业噪声的企业事业单位和其他生产经营者，应当采取有效措施，减少振动、降低噪声</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1672" w:type="pct"/>
                  <w:noWrap w:val="0"/>
                  <w:vAlign w:val="center"/>
                </w:tcPr>
                <w:p w14:paraId="56AB03D3">
                  <w:pPr>
                    <w:widowControl/>
                    <w:jc w:val="both"/>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本项目已采取厂房隔声加强维护、定期检修，保持设备运行正常等措施防止工业噪声污染。</w:t>
                  </w:r>
                </w:p>
              </w:tc>
              <w:tc>
                <w:tcPr>
                  <w:tcW w:w="440" w:type="pct"/>
                  <w:noWrap w:val="0"/>
                  <w:vAlign w:val="center"/>
                </w:tcPr>
                <w:p w14:paraId="31B3418B">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bl>
          <w:p w14:paraId="20B5129E">
            <w:pPr>
              <w:pStyle w:val="79"/>
              <w:bidi w:val="0"/>
              <w:rPr>
                <w:rFonts w:hint="eastAsia"/>
                <w:b/>
                <w:bCs/>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综上，本项目符合《中华人民共和国生态环境法典》（2026年3月12日第十四届全国人民代表大会第四次会议通过，2026年8月15日实施）污染防治内容的相关要求。</w:t>
            </w:r>
          </w:p>
          <w:p w14:paraId="55B1E93A">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eastAsia" w:ascii="Times New Roman" w:hAnsi="Times New Roman" w:eastAsia="宋体" w:cs="Times New Roman"/>
                <w:b/>
                <w:bCs/>
                <w:color w:val="000000" w:themeColor="text1"/>
                <w:kern w:val="0"/>
                <w:sz w:val="24"/>
                <w:lang w:val="en-US" w:eastAsia="zh-CN"/>
                <w14:textFill>
                  <w14:solidFill>
                    <w14:schemeClr w14:val="tx1"/>
                  </w14:solidFill>
                </w14:textFill>
              </w:rPr>
            </w:pPr>
            <w:r>
              <w:rPr>
                <w:rFonts w:hint="eastAsia" w:cs="Times New Roman"/>
                <w:b/>
                <w:bCs/>
                <w:color w:val="000000" w:themeColor="text1"/>
                <w:kern w:val="0"/>
                <w:sz w:val="24"/>
                <w:lang w:val="en-US" w:eastAsia="zh-CN"/>
                <w14:textFill>
                  <w14:solidFill>
                    <w14:schemeClr w14:val="tx1"/>
                  </w14:solidFill>
                </w14:textFill>
              </w:rPr>
              <w:t>6</w:t>
            </w:r>
            <w:r>
              <w:rPr>
                <w:rFonts w:hint="eastAsia" w:ascii="Times New Roman" w:hAnsi="Times New Roman" w:eastAsia="宋体" w:cs="Times New Roman"/>
                <w:b/>
                <w:bCs/>
                <w:color w:val="000000" w:themeColor="text1"/>
                <w:kern w:val="0"/>
                <w:sz w:val="24"/>
                <w:lang w:val="en-US" w:eastAsia="zh-CN"/>
                <w14:textFill>
                  <w14:solidFill>
                    <w14:schemeClr w14:val="tx1"/>
                  </w14:solidFill>
                </w14:textFill>
              </w:rPr>
              <w:t>、与《空气质量持续改善行动计划》（国发〔2023〕24号）的符合性分析</w:t>
            </w:r>
          </w:p>
          <w:p w14:paraId="70B41EB1">
            <w:pPr>
              <w:autoSpaceDE w:val="0"/>
              <w:autoSpaceDN w:val="0"/>
              <w:adjustRightInd w:val="0"/>
              <w:snapToGrid w:val="0"/>
              <w:spacing w:line="360" w:lineRule="auto"/>
              <w:ind w:firstLine="480" w:firstLineChars="200"/>
              <w:jc w:val="left"/>
              <w:rPr>
                <w:rFonts w:hint="eastAsia" w:ascii="Times New Roman" w:hAnsi="Times New Roman" w:eastAsia="宋体" w:cs="Times New Roman"/>
                <w:color w:val="000000" w:themeColor="text1"/>
                <w:kern w:val="0"/>
                <w:sz w:val="24"/>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lang w:val="en-US" w:eastAsia="zh-CN"/>
                <w14:textFill>
                  <w14:solidFill>
                    <w14:schemeClr w14:val="tx1"/>
                  </w14:solidFill>
                </w14:textFill>
              </w:rPr>
              <w:t>根据国务院关于印发《空气质量持续改善行动计划》的通知（国发〔2023〕24号），本项目与《空气质量持续改善行动计划》中相关要求的符合性分析见下表。</w:t>
            </w:r>
          </w:p>
          <w:p w14:paraId="1D3E5D7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表1-</w:t>
            </w:r>
            <w:r>
              <w:rPr>
                <w:rFonts w:hint="eastAsia" w:cs="Times New Roman"/>
                <w:b/>
                <w:bCs/>
                <w:color w:val="000000" w:themeColor="text1"/>
                <w:kern w:val="0"/>
                <w:sz w:val="21"/>
                <w:szCs w:val="21"/>
                <w:lang w:val="en-US" w:eastAsia="zh-CN"/>
                <w14:textFill>
                  <w14:solidFill>
                    <w14:schemeClr w14:val="tx1"/>
                  </w14:solidFill>
                </w14:textFill>
              </w:rPr>
              <w:t>9</w:t>
            </w: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 xml:space="preserve">  项目与《空气质量持续改善行动计划》符合性分析一览表</w:t>
            </w:r>
          </w:p>
          <w:tbl>
            <w:tblPr>
              <w:tblStyle w:val="32"/>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65"/>
              <w:gridCol w:w="2603"/>
              <w:gridCol w:w="875"/>
            </w:tblGrid>
            <w:tr w14:paraId="4D760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9" w:type="pct"/>
                  <w:noWrap w:val="0"/>
                  <w:vAlign w:val="center"/>
                </w:tcPr>
                <w:p w14:paraId="1CCCB3F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具体要求</w:t>
                  </w:r>
                </w:p>
              </w:tc>
              <w:tc>
                <w:tcPr>
                  <w:tcW w:w="1797" w:type="pct"/>
                  <w:noWrap w:val="0"/>
                  <w:vAlign w:val="center"/>
                </w:tcPr>
                <w:p w14:paraId="1B5E03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本项目情况</w:t>
                  </w:r>
                </w:p>
              </w:tc>
              <w:tc>
                <w:tcPr>
                  <w:tcW w:w="602" w:type="pct"/>
                  <w:noWrap w:val="0"/>
                  <w:vAlign w:val="center"/>
                </w:tcPr>
                <w:p w14:paraId="1BB6E3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符合性分析</w:t>
                  </w:r>
                </w:p>
              </w:tc>
            </w:tr>
            <w:tr w14:paraId="6089B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3"/>
                  <w:noWrap w:val="0"/>
                  <w:vAlign w:val="center"/>
                </w:tcPr>
                <w:p w14:paraId="091921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二、调整优化产业，推动产业绿色发展</w:t>
                  </w:r>
                </w:p>
              </w:tc>
            </w:tr>
            <w:tr w14:paraId="2C4E6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9" w:type="pct"/>
                  <w:noWrap w:val="0"/>
                  <w:vAlign w:val="center"/>
                </w:tcPr>
                <w:p w14:paraId="539CA63D">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四）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采用清洁运输方式。涉及产能置换的项目，被置换产能及其配套设施关停后，新建项目方可投产。</w:t>
                  </w:r>
                </w:p>
              </w:tc>
              <w:tc>
                <w:tcPr>
                  <w:tcW w:w="1797" w:type="pct"/>
                  <w:noWrap w:val="0"/>
                  <w:vAlign w:val="center"/>
                </w:tcPr>
                <w:p w14:paraId="1E6214FE">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本项目不属于高耗能、高排放项目。本项目不属于目录中的鼓励类、限制类和淘汰类项目；根据国务院《促进产业结构调整暂行规定》（国发〔2005〕40号）第十三条“不属于鼓励类、限制类及淘汰类，且符合国家有关法律、法规和政策规定的，为允许类”。因此本项目视为“允许类”项目，符合产业政策要求。本项目不涉及产能置换。</w:t>
                  </w:r>
                </w:p>
              </w:tc>
              <w:tc>
                <w:tcPr>
                  <w:tcW w:w="602" w:type="pct"/>
                  <w:noWrap w:val="0"/>
                  <w:vAlign w:val="center"/>
                </w:tcPr>
                <w:p w14:paraId="755FA4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0C07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9" w:type="pct"/>
                  <w:noWrap w:val="0"/>
                  <w:vAlign w:val="center"/>
                </w:tcPr>
                <w:p w14:paraId="5C9F482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五）加快退出重点行业落后产能。修订《产业结构调整指导目录》，研究将污染物或温室气体排放明显高出行业平均水平、能效和清洁生产水平低的工艺和装备纳入淘汰类和限制类名单。重点区域进一步提高落后产能能耗、环保、质量、安全、技术等要求，逐步退出限制类涉气行业工艺和装备；逐步淘汰步进式烧结机和球团竖炉以及半封闭式硅锰合金、镍铁、高碳铬铁、高碳锰铁电炉。引导重点区域钢铁、焦化、电解铝等产业有序调整优化。</w:t>
                  </w:r>
                </w:p>
              </w:tc>
              <w:tc>
                <w:tcPr>
                  <w:tcW w:w="1797" w:type="pct"/>
                  <w:noWrap w:val="0"/>
                  <w:vAlign w:val="center"/>
                </w:tcPr>
                <w:p w14:paraId="7989F4B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根据《产业结构调整指导目录（2024年本）》，本项目不属于目录中的鼓励类、限制类和淘汰类项目，为“允许类”项目，符合产业政策要求。本项目为茉莉花茶加工生产项目，不涉及钢铁、焦化、电解铝等产业。</w:t>
                  </w:r>
                </w:p>
              </w:tc>
              <w:tc>
                <w:tcPr>
                  <w:tcW w:w="602" w:type="pct"/>
                  <w:noWrap w:val="0"/>
                  <w:vAlign w:val="center"/>
                </w:tcPr>
                <w:p w14:paraId="539A925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06DA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3"/>
                  <w:noWrap w:val="0"/>
                  <w:vAlign w:val="center"/>
                </w:tcPr>
                <w:p w14:paraId="1D1D70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三、优化调整用地结构，推进面源污染治理</w:t>
                  </w:r>
                </w:p>
              </w:tc>
            </w:tr>
            <w:tr w14:paraId="35D97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9" w:type="pct"/>
                  <w:noWrap w:val="0"/>
                  <w:vAlign w:val="center"/>
                </w:tcPr>
                <w:p w14:paraId="59C54077">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十）严格合理控制煤炭消费总量。在保障能源安全供应的前提下，重点区域继续实施煤炭消费总量控制。到2025年，京津冀及周边地区、长三角地区煤炭消费量较2020年分别下降10%和5%左右，汾渭平原煤炭消费量实现负增长，重点削减非电力用煤。重点区域新改扩建用煤项目，依法实行煤炭等量或减量替代，替代方案不完善的不予审批；不得将使用石油焦、焦炭、兰炭等高污染燃料作为煤炭减量替代措施。完善重点区域煤炭消费减量替代管理办法，煤矸石、原料用煤不纳入煤炭消费总量考核。原则上不再新增自备燃煤机组，支持自备燃煤机组实施清洁能源替代。对支撑电力稳定供应、电网安全运行、清洁能源大规模并网消纳的煤电项目及其用煤量应予以合理保障。</w:t>
                  </w:r>
                </w:p>
              </w:tc>
              <w:tc>
                <w:tcPr>
                  <w:tcW w:w="1797" w:type="pct"/>
                  <w:noWrap w:val="0"/>
                  <w:vAlign w:val="center"/>
                </w:tcPr>
                <w:p w14:paraId="6759CBFC">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本项目能源使用电源，属清洁能源，不涉及煤炭使用。</w:t>
                  </w:r>
                </w:p>
              </w:tc>
              <w:tc>
                <w:tcPr>
                  <w:tcW w:w="602" w:type="pct"/>
                  <w:noWrap w:val="0"/>
                  <w:vAlign w:val="center"/>
                </w:tcPr>
                <w:p w14:paraId="3FC22C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4592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9" w:type="pct"/>
                  <w:noWrap w:val="0"/>
                  <w:vAlign w:val="center"/>
                </w:tcPr>
                <w:p w14:paraId="05414B58">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十一）积极开展燃煤锅炉关停整合。各地要将燃煤供热锅炉替代项目纳入城镇供热规划。县级及以上城市建成区原则上不再新建35蒸吨/小时及以下燃煤锅炉，重点区域原则上不再新建除集中供暖外的燃煤锅炉。加快热力管网建设，依托电厂、大型工业企业开展远距离供热示范，淘汰管网覆盖范围内的燃煤锅炉和散煤。到2025年，PM</w:t>
                  </w:r>
                  <w:r>
                    <w:rPr>
                      <w:rFonts w:hint="eastAsia" w:ascii="Times New Roman" w:hAnsi="Times New Roman" w:eastAsia="宋体" w:cs="Times New Roman"/>
                      <w:b w:val="0"/>
                      <w:bCs w:val="0"/>
                      <w:color w:val="000000" w:themeColor="text1"/>
                      <w:sz w:val="21"/>
                      <w:szCs w:val="21"/>
                      <w:vertAlign w:val="subscript"/>
                      <w:lang w:val="en-US" w:eastAsia="zh-CN"/>
                      <w14:textFill>
                        <w14:solidFill>
                          <w14:schemeClr w14:val="tx1"/>
                        </w14:solidFill>
                      </w14:textFill>
                    </w:rPr>
                    <w:t>2.5</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未达标城市基本淘汰10蒸吨/小时及以下燃煤锅炉；重点区域基本淘汰35蒸吨/小时及以下燃煤锅炉及茶水炉、经营性炉灶、储粮烘干设备、农产品加工等燃煤设施，充分发挥30万千瓦及以上热电联产电厂的供热能力，对其供热半径30 公里范围内的燃煤锅炉和落后燃煤小热电机组（含自备电厂）进行关停或整合。</w:t>
                  </w:r>
                </w:p>
              </w:tc>
              <w:tc>
                <w:tcPr>
                  <w:tcW w:w="1797" w:type="pct"/>
                  <w:noWrap w:val="0"/>
                  <w:vAlign w:val="center"/>
                </w:tcPr>
                <w:p w14:paraId="191BA462">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项目不涉及锅炉使用。</w:t>
                  </w:r>
                </w:p>
              </w:tc>
              <w:tc>
                <w:tcPr>
                  <w:tcW w:w="602" w:type="pct"/>
                  <w:noWrap w:val="0"/>
                  <w:vAlign w:val="center"/>
                </w:tcPr>
                <w:p w14:paraId="77B04B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6FA2E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3"/>
                  <w:noWrap w:val="0"/>
                  <w:vAlign w:val="center"/>
                </w:tcPr>
                <w:p w14:paraId="0E0153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五、强化面源污染治理，提升精细化管理水平</w:t>
                  </w:r>
                </w:p>
              </w:tc>
            </w:tr>
            <w:tr w14:paraId="26CF0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9" w:type="pct"/>
                  <w:noWrap w:val="0"/>
                  <w:vAlign w:val="center"/>
                </w:tcPr>
                <w:p w14:paraId="4D7A5371">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十八）深化扬尘污染综合治理。鼓励经济发达地区5000平方米及以上建筑工地安装视频监控并接入当地监管平台；重点区域道路、水务等长距离线性工程实行分段施工。将防治扬尘污染费用纳入工程造价。到2025年，装配式建筑占新建建筑面积比例达30%；地级及以上城市建成区道路机械化清扫率达80%左右，县城达70%左右。对城市公共裸地进行排查建档并采取防尘措施。城市大型煤炭、矿石等干散货码头物料堆场基本完成抑尘设施建设和物料输送系统封闭改造。</w:t>
                  </w:r>
                </w:p>
              </w:tc>
              <w:tc>
                <w:tcPr>
                  <w:tcW w:w="1797" w:type="pct"/>
                  <w:noWrap w:val="0"/>
                  <w:vAlign w:val="center"/>
                </w:tcPr>
                <w:p w14:paraId="2D1EC8A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本项目施工期主要是对生产车间内部进行适应性改造，建设产品堆放区，在生产车间安装生产设备以及相关环保设施和配套辅助设施后投入使用；运营期本项目采用封闭式生产车间，原辅材料均储存在生产车间内，完善健全抑尘设施和封闭式物料输送系统。</w:t>
                  </w:r>
                </w:p>
              </w:tc>
              <w:tc>
                <w:tcPr>
                  <w:tcW w:w="602" w:type="pct"/>
                  <w:noWrap w:val="0"/>
                  <w:vAlign w:val="center"/>
                </w:tcPr>
                <w:p w14:paraId="7FE1998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bl>
          <w:p w14:paraId="4C32BC33">
            <w:pPr>
              <w:pStyle w:val="29"/>
              <w:keepNext w:val="0"/>
              <w:keepLines w:val="0"/>
              <w:pageBreakBefore w:val="0"/>
              <w:widowControl/>
              <w:kinsoku/>
              <w:wordWrap/>
              <w:overflowPunct/>
              <w:topLinePunct w:val="0"/>
              <w:autoSpaceDE/>
              <w:autoSpaceDN/>
              <w:bidi w:val="0"/>
              <w:adjustRightInd/>
              <w:snapToGrid w:val="0"/>
              <w:spacing w:before="0" w:after="0" w:line="360" w:lineRule="auto"/>
              <w:ind w:right="0" w:firstLine="480" w:firstLineChars="200"/>
              <w:jc w:val="left"/>
              <w:textAlignment w:val="auto"/>
              <w:rPr>
                <w:rFonts w:hint="eastAsia"/>
                <w:b/>
                <w:bCs/>
                <w:color w:val="000000" w:themeColor="text1"/>
                <w:sz w:val="24"/>
                <w:szCs w:val="24"/>
                <w:lang w:val="en-US" w:eastAsia="zh-CN"/>
                <w14:textFill>
                  <w14:solidFill>
                    <w14:schemeClr w14:val="tx1"/>
                  </w14:solidFill>
                </w14:textFill>
              </w:rPr>
            </w:pP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t>由上表可知，项目建设符合</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《空气质量持续改善行动计划》（国发〔2023〕24号）</w: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t>相关要求。</w:t>
            </w:r>
          </w:p>
          <w:p w14:paraId="2853F986">
            <w:pPr>
              <w:pStyle w:val="29"/>
              <w:keepNext w:val="0"/>
              <w:keepLines w:val="0"/>
              <w:pageBreakBefore w:val="0"/>
              <w:widowControl/>
              <w:kinsoku/>
              <w:wordWrap/>
              <w:overflowPunct/>
              <w:topLinePunct w:val="0"/>
              <w:autoSpaceDE/>
              <w:autoSpaceDN/>
              <w:bidi w:val="0"/>
              <w:adjustRightInd/>
              <w:snapToGrid w:val="0"/>
              <w:spacing w:before="0" w:after="0" w:line="360" w:lineRule="auto"/>
              <w:ind w:right="0" w:firstLine="482" w:firstLineChars="200"/>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7、</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与《云南省空气质量持续改善行动实施方案》的符合性分析</w:t>
            </w:r>
          </w:p>
          <w:p w14:paraId="4621BC66">
            <w:pPr>
              <w:widowControl w:val="0"/>
              <w:topLinePunct w:val="0"/>
              <w:bidi w:val="0"/>
              <w:adjustRightInd w:val="0"/>
              <w:snapToGrid w:val="0"/>
              <w:spacing w:after="0" w:afterLines="0" w:line="360" w:lineRule="auto"/>
              <w:ind w:left="0" w:leftChars="0" w:right="0" w:firstLine="480" w:firstLineChars="200"/>
              <w:jc w:val="both"/>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根据云南省人民政府关于印发《云南省空气质量持续改善行动实施方案》的通知（云政发〔2024〕14号），分析如下：</w:t>
            </w:r>
          </w:p>
          <w:p w14:paraId="03729B59">
            <w:pPr>
              <w:widowControl w:val="0"/>
              <w:topLinePunct w:val="0"/>
              <w:bidi w:val="0"/>
              <w:adjustRightInd w:val="0"/>
              <w:snapToGrid w:val="0"/>
              <w:spacing w:after="0" w:afterLines="0"/>
              <w:ind w:left="0" w:leftChars="0" w:right="0" w:firstLine="0" w:firstLineChars="0"/>
              <w:jc w:val="center"/>
              <w:rPr>
                <w:rFonts w:hint="default" w:ascii="Times New Roman" w:hAnsi="Times New Roman" w:eastAsia="宋体" w:cs="Times New Roman"/>
                <w:b/>
                <w:bCs/>
                <w:color w:val="000000" w:themeColor="text1"/>
                <w:kern w:val="2"/>
                <w:sz w:val="21"/>
                <w:szCs w:val="18"/>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18"/>
                <w:lang w:val="en-US" w:eastAsia="zh-CN" w:bidi="ar-SA"/>
                <w14:textFill>
                  <w14:solidFill>
                    <w14:schemeClr w14:val="tx1"/>
                  </w14:solidFill>
                </w14:textFill>
              </w:rPr>
              <w:t>表1-</w:t>
            </w:r>
            <w:r>
              <w:rPr>
                <w:rFonts w:hint="eastAsia" w:ascii="Times New Roman" w:hAnsi="Times New Roman" w:eastAsia="宋体" w:cs="Times New Roman"/>
                <w:b/>
                <w:bCs/>
                <w:color w:val="000000" w:themeColor="text1"/>
                <w:kern w:val="2"/>
                <w:sz w:val="21"/>
                <w:szCs w:val="18"/>
                <w:lang w:val="en-US" w:eastAsia="zh-CN" w:bidi="ar-SA"/>
                <w14:textFill>
                  <w14:solidFill>
                    <w14:schemeClr w14:val="tx1"/>
                  </w14:solidFill>
                </w14:textFill>
              </w:rPr>
              <w:t>1</w:t>
            </w:r>
            <w:r>
              <w:rPr>
                <w:rFonts w:hint="eastAsia" w:cs="Times New Roman"/>
                <w:b/>
                <w:bCs/>
                <w:color w:val="000000" w:themeColor="text1"/>
                <w:kern w:val="2"/>
                <w:sz w:val="21"/>
                <w:szCs w:val="18"/>
                <w:lang w:val="en-US" w:eastAsia="zh-CN" w:bidi="ar-SA"/>
                <w14:textFill>
                  <w14:solidFill>
                    <w14:schemeClr w14:val="tx1"/>
                  </w14:solidFill>
                </w14:textFill>
              </w:rPr>
              <w:t>0</w:t>
            </w:r>
            <w:r>
              <w:rPr>
                <w:rFonts w:hint="default" w:ascii="Times New Roman" w:hAnsi="Times New Roman" w:eastAsia="宋体" w:cs="Times New Roman"/>
                <w:b/>
                <w:bCs/>
                <w:color w:val="000000" w:themeColor="text1"/>
                <w:kern w:val="2"/>
                <w:sz w:val="21"/>
                <w:szCs w:val="18"/>
                <w:lang w:val="en-US" w:eastAsia="zh-CN" w:bidi="ar-SA"/>
                <w14:textFill>
                  <w14:solidFill>
                    <w14:schemeClr w14:val="tx1"/>
                  </w14:solidFill>
                </w14:textFill>
              </w:rPr>
              <w:t xml:space="preserve">  与《云南省空气质量持续改善行动实施方案》的符合性分析表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3230"/>
              <w:gridCol w:w="2493"/>
              <w:gridCol w:w="801"/>
            </w:tblGrid>
            <w:tr w14:paraId="4F4C1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28" w:type="pct"/>
                  <w:gridSpan w:val="2"/>
                  <w:noWrap w:val="0"/>
                  <w:vAlign w:val="center"/>
                </w:tcPr>
                <w:p w14:paraId="502FA32B">
                  <w:pPr>
                    <w:keepNext w:val="0"/>
                    <w:keepLines w:val="0"/>
                    <w:pageBreakBefore w:val="0"/>
                    <w:widowControl w:val="0"/>
                    <w:kinsoku/>
                    <w:wordWrap/>
                    <w:overflowPunct/>
                    <w:topLinePunct w:val="0"/>
                    <w:autoSpaceDE/>
                    <w:autoSpaceDN/>
                    <w:bidi w:val="0"/>
                    <w:adjustRightInd w:val="0"/>
                    <w:snapToGrid w:val="0"/>
                    <w:spacing w:after="0" w:afterLines="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通知要求</w:t>
                  </w:r>
                  <w:r>
                    <w:rPr>
                      <w:rFonts w:hint="default" w:ascii="Times New Roman" w:hAnsi="Times New Roman" w:eastAsia="宋体" w:cs="Times New Roman"/>
                      <w:b/>
                      <w:bCs/>
                      <w:color w:val="000000" w:themeColor="text1"/>
                      <w:kern w:val="2"/>
                      <w:sz w:val="21"/>
                      <w:szCs w:val="18"/>
                      <w:lang w:val="en-US" w:eastAsia="zh-CN" w:bidi="ar-SA"/>
                      <w14:textFill>
                        <w14:solidFill>
                          <w14:schemeClr w14:val="tx1"/>
                        </w14:solidFill>
                      </w14:textFill>
                    </w:rPr>
                    <w:t>（摘抄）</w:t>
                  </w:r>
                </w:p>
              </w:tc>
              <w:tc>
                <w:tcPr>
                  <w:tcW w:w="1719" w:type="pct"/>
                  <w:noWrap w:val="0"/>
                  <w:vAlign w:val="center"/>
                </w:tcPr>
                <w:p w14:paraId="13B1CA89">
                  <w:pPr>
                    <w:keepNext w:val="0"/>
                    <w:keepLines w:val="0"/>
                    <w:pageBreakBefore w:val="0"/>
                    <w:widowControl w:val="0"/>
                    <w:kinsoku/>
                    <w:wordWrap/>
                    <w:overflowPunct/>
                    <w:topLinePunct w:val="0"/>
                    <w:autoSpaceDE/>
                    <w:autoSpaceDN/>
                    <w:bidi w:val="0"/>
                    <w:adjustRightInd w:val="0"/>
                    <w:snapToGrid w:val="0"/>
                    <w:spacing w:after="0" w:afterLines="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本项目情况</w:t>
                  </w:r>
                </w:p>
              </w:tc>
              <w:tc>
                <w:tcPr>
                  <w:tcW w:w="552" w:type="pct"/>
                  <w:noWrap w:val="0"/>
                  <w:vAlign w:val="center"/>
                </w:tcPr>
                <w:p w14:paraId="41560A32">
                  <w:pPr>
                    <w:widowControl w:val="0"/>
                    <w:topLinePunct w:val="0"/>
                    <w:bidi w:val="0"/>
                    <w:adjustRightInd w:val="0"/>
                    <w:snapToGrid w:val="0"/>
                    <w:spacing w:after="0" w:afterLines="0"/>
                    <w:ind w:left="0" w:leftChars="0" w:right="0" w:firstLine="0" w:firstLineChars="0"/>
                    <w:jc w:val="cente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符合性</w:t>
                  </w:r>
                </w:p>
              </w:tc>
            </w:tr>
            <w:tr w14:paraId="60D21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1" w:type="pct"/>
                  <w:noWrap w:val="0"/>
                  <w:vAlign w:val="center"/>
                </w:tcPr>
                <w:p w14:paraId="34EEF777">
                  <w:pPr>
                    <w:keepNext w:val="0"/>
                    <w:keepLines w:val="0"/>
                    <w:pageBreakBefore w:val="0"/>
                    <w:widowControl w:val="0"/>
                    <w:kinsoku/>
                    <w:wordWrap/>
                    <w:overflowPunct/>
                    <w:topLinePunct w:val="0"/>
                    <w:autoSpaceDE/>
                    <w:autoSpaceDN/>
                    <w:bidi w:val="0"/>
                    <w:adjustRightInd w:val="0"/>
                    <w:snapToGrid w:val="0"/>
                    <w:spacing w:after="0" w:afterLines="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4"/>
                      <w:rFonts w:hint="default" w:ascii="Times New Roman" w:hAnsi="Times New Roman" w:eastAsia="宋体" w:cs="Times New Roman"/>
                      <w:i w:val="0"/>
                      <w:iCs w:val="0"/>
                      <w:caps w:val="0"/>
                      <w:color w:val="000000" w:themeColor="text1"/>
                      <w:spacing w:val="0"/>
                      <w:kern w:val="2"/>
                      <w:sz w:val="21"/>
                      <w:szCs w:val="21"/>
                      <w:shd w:val="clear" w:color="auto" w:fill="FFFFFF"/>
                      <w:lang w:val="en-US" w:eastAsia="zh-CN" w:bidi="ar-SA"/>
                      <w14:textFill>
                        <w14:solidFill>
                          <w14:schemeClr w14:val="tx1"/>
                        </w14:solidFill>
                      </w14:textFill>
                    </w:rPr>
                    <w:t>二、优化产业结构</w:t>
                  </w:r>
                </w:p>
              </w:tc>
              <w:tc>
                <w:tcPr>
                  <w:tcW w:w="2226" w:type="pct"/>
                  <w:noWrap w:val="0"/>
                  <w:vAlign w:val="center"/>
                </w:tcPr>
                <w:p w14:paraId="567C025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val="0"/>
                    <w:snapToGrid w:val="0"/>
                    <w:spacing w:before="0" w:beforeAutospacing="0" w:after="0" w:afterLines="0" w:afterAutospacing="0" w:line="240" w:lineRule="auto"/>
                    <w:ind w:left="0" w:leftChars="0" w:right="0"/>
                    <w:jc w:val="both"/>
                    <w:textAlignment w:val="auto"/>
                    <w:rPr>
                      <w:rFonts w:hint="default" w:ascii="Times New Roman" w:hAnsi="Times New Roman" w:eastAsia="宋体" w:cs="Times New Roman"/>
                      <w:i w:val="0"/>
                      <w:iCs w:val="0"/>
                      <w:caps w:val="0"/>
                      <w:color w:val="000000" w:themeColor="text1"/>
                      <w:spacing w:val="0"/>
                      <w:kern w:val="0"/>
                      <w:sz w:val="21"/>
                      <w:szCs w:val="21"/>
                      <w:shd w:val="clear" w:color="auto" w:fill="FFFFFF"/>
                      <w:lang w:val="en-US" w:eastAsia="zh-CN" w:bidi="ar-SA"/>
                      <w14:textFill>
                        <w14:solidFill>
                          <w14:schemeClr w14:val="tx1"/>
                        </w14:solidFill>
                      </w14:textFill>
                    </w:rPr>
                  </w:pPr>
                  <w:r>
                    <w:rPr>
                      <w:rFonts w:hint="default" w:ascii="Times New Roman" w:hAnsi="Times New Roman" w:eastAsia="宋体" w:cs="Times New Roman"/>
                      <w:i w:val="0"/>
                      <w:iCs w:val="0"/>
                      <w:caps w:val="0"/>
                      <w:color w:val="000000" w:themeColor="text1"/>
                      <w:spacing w:val="0"/>
                      <w:kern w:val="0"/>
                      <w:sz w:val="21"/>
                      <w:szCs w:val="21"/>
                      <w:shd w:val="clear" w:color="auto" w:fill="FFFFFF"/>
                      <w:lang w:val="en-US" w:eastAsia="zh-CN" w:bidi="ar-SA"/>
                      <w14:textFill>
                        <w14:solidFill>
                          <w14:schemeClr w14:val="tx1"/>
                        </w14:solidFill>
                      </w14:textFill>
                    </w:rPr>
                    <w:t>（四）优化含VOCs原辅材料和产品结构。严格控制生产和使用高VOCs含量涂料、油墨、胶粘剂、清洗剂等建设项目，加大工业涂装、包装印刷和电子行业低（无）VOCs含量原辅材料替代力度。严格执行VOCs含量限值标准，室外构筑物防护和城市道路交通标志推广使用低（无）VOCs含量涂料。</w:t>
                  </w:r>
                </w:p>
                <w:p w14:paraId="1CB810D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val="0"/>
                    <w:snapToGrid w:val="0"/>
                    <w:spacing w:before="0" w:beforeAutospacing="0" w:after="0" w:afterLines="0" w:afterAutospacing="0" w:line="240" w:lineRule="auto"/>
                    <w:ind w:left="0" w:leftChars="0" w:right="0"/>
                    <w:jc w:val="both"/>
                    <w:textAlignment w:val="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i w:val="0"/>
                      <w:iCs w:val="0"/>
                      <w:caps w:val="0"/>
                      <w:color w:val="000000" w:themeColor="text1"/>
                      <w:spacing w:val="0"/>
                      <w:kern w:val="0"/>
                      <w:sz w:val="21"/>
                      <w:szCs w:val="21"/>
                      <w:shd w:val="clear" w:color="auto" w:fill="FFFFFF"/>
                      <w:lang w:val="en-US" w:eastAsia="zh-CN" w:bidi="ar-SA"/>
                      <w14:textFill>
                        <w14:solidFill>
                          <w14:schemeClr w14:val="tx1"/>
                        </w14:solidFill>
                      </w14:textFill>
                    </w:rPr>
                    <w:t>（五）推动绿色环保产业健康发展。支持培育一批低（无）VOCs含量原辅材料生产和使用、VOCs污染治理、超低排放、环境和大气成分监测等领域龙头企业。多措并举治理环保领域低价低质中标乱象，营造公平竞争环境，推动产业健康有序发展</w:t>
                  </w: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w:t>
                  </w:r>
                </w:p>
              </w:tc>
              <w:tc>
                <w:tcPr>
                  <w:tcW w:w="1719" w:type="pct"/>
                  <w:noWrap w:val="0"/>
                  <w:vAlign w:val="center"/>
                </w:tcPr>
                <w:p w14:paraId="3B7F8343">
                  <w:pPr>
                    <w:keepNext w:val="0"/>
                    <w:keepLines w:val="0"/>
                    <w:widowControl/>
                    <w:suppressLineNumbers w:val="0"/>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Cs w:val="21"/>
                      <w:highlight w:val="none"/>
                      <w14:textFill>
                        <w14:solidFill>
                          <w14:schemeClr w14:val="tx1"/>
                        </w14:solidFill>
                      </w14:textFill>
                    </w:rPr>
                    <w:t>本项目</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不涉及使用涂料、油墨、胶粘剂和清洗剂。</w:t>
                  </w:r>
                </w:p>
                <w:p w14:paraId="6EDEF5B8">
                  <w:pPr>
                    <w:keepNext w:val="0"/>
                    <w:keepLines w:val="0"/>
                    <w:pageBreakBefore w:val="0"/>
                    <w:widowControl w:val="0"/>
                    <w:kinsoku/>
                    <w:wordWrap/>
                    <w:overflowPunct/>
                    <w:topLinePunct w:val="0"/>
                    <w:autoSpaceDE/>
                    <w:autoSpaceDN/>
                    <w:bidi w:val="0"/>
                    <w:adjustRightInd w:val="0"/>
                    <w:snapToGrid w:val="0"/>
                    <w:spacing w:after="0" w:afterLines="0" w:line="240" w:lineRule="auto"/>
                    <w:ind w:left="0" w:leftChars="0" w:right="0" w:firstLine="0" w:firstLineChars="0"/>
                    <w:jc w:val="both"/>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2、项目</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生产</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过程产生的废气</w:t>
                  </w:r>
                  <w:r>
                    <w:rPr>
                      <w:rFonts w:hint="eastAsia" w:cs="Times New Roman"/>
                      <w:color w:val="000000" w:themeColor="text1"/>
                      <w:kern w:val="2"/>
                      <w:sz w:val="21"/>
                      <w:szCs w:val="21"/>
                      <w:highlight w:val="none"/>
                      <w:lang w:val="en-US" w:eastAsia="zh-CN" w:bidi="ar-SA"/>
                      <w14:textFill>
                        <w14:solidFill>
                          <w14:schemeClr w14:val="tx1"/>
                        </w14:solidFill>
                      </w14:textFill>
                    </w:rPr>
                    <w:t>通过</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集气罩（收集效率90%）+活性炭吸附/脱附+催化燃烧处理后通过15m高排气筒（DA001）外排</w:t>
                  </w: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w:t>
                  </w:r>
                </w:p>
              </w:tc>
              <w:tc>
                <w:tcPr>
                  <w:tcW w:w="552" w:type="pct"/>
                  <w:noWrap w:val="0"/>
                  <w:vAlign w:val="center"/>
                </w:tcPr>
                <w:p w14:paraId="3A7F9C20">
                  <w:pPr>
                    <w:widowControl w:val="0"/>
                    <w:topLinePunct w:val="0"/>
                    <w:bidi w:val="0"/>
                    <w:adjustRightInd w:val="0"/>
                    <w:snapToGrid w:val="0"/>
                    <w:spacing w:after="0" w:afterLines="0"/>
                    <w:ind w:left="0" w:leftChars="0" w:right="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符合</w:t>
                  </w:r>
                </w:p>
              </w:tc>
            </w:tr>
            <w:tr w14:paraId="1683E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1" w:type="pct"/>
                  <w:noWrap w:val="0"/>
                  <w:vAlign w:val="center"/>
                </w:tcPr>
                <w:p w14:paraId="11B78982">
                  <w:pPr>
                    <w:keepNext w:val="0"/>
                    <w:keepLines w:val="0"/>
                    <w:pageBreakBefore w:val="0"/>
                    <w:widowControl w:val="0"/>
                    <w:kinsoku/>
                    <w:wordWrap/>
                    <w:overflowPunct/>
                    <w:topLinePunct w:val="0"/>
                    <w:autoSpaceDE/>
                    <w:autoSpaceDN/>
                    <w:bidi w:val="0"/>
                    <w:adjustRightInd w:val="0"/>
                    <w:snapToGrid w:val="0"/>
                    <w:spacing w:after="0" w:afterLines="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4"/>
                      <w:rFonts w:hint="default" w:ascii="Times New Roman" w:hAnsi="Times New Roman" w:eastAsia="宋体" w:cs="Times New Roman"/>
                      <w:i w:val="0"/>
                      <w:iCs w:val="0"/>
                      <w:caps w:val="0"/>
                      <w:color w:val="000000" w:themeColor="text1"/>
                      <w:spacing w:val="0"/>
                      <w:kern w:val="2"/>
                      <w:sz w:val="21"/>
                      <w:szCs w:val="21"/>
                      <w:shd w:val="clear" w:color="auto" w:fill="FFFFFF"/>
                      <w:lang w:val="en-US" w:eastAsia="zh-CN" w:bidi="ar-SA"/>
                      <w14:textFill>
                        <w14:solidFill>
                          <w14:schemeClr w14:val="tx1"/>
                        </w14:solidFill>
                      </w14:textFill>
                    </w:rPr>
                    <w:t>三、优化能源结构</w:t>
                  </w:r>
                </w:p>
              </w:tc>
              <w:tc>
                <w:tcPr>
                  <w:tcW w:w="2226" w:type="pct"/>
                  <w:noWrap w:val="0"/>
                  <w:vAlign w:val="center"/>
                </w:tcPr>
                <w:p w14:paraId="70EEA748">
                  <w:pPr>
                    <w:keepNext w:val="0"/>
                    <w:keepLines w:val="0"/>
                    <w:pageBreakBefore w:val="0"/>
                    <w:widowControl w:val="0"/>
                    <w:kinsoku/>
                    <w:wordWrap/>
                    <w:overflowPunct/>
                    <w:topLinePunct w:val="0"/>
                    <w:autoSpaceDE/>
                    <w:autoSpaceDN/>
                    <w:bidi w:val="0"/>
                    <w:adjustRightInd w:val="0"/>
                    <w:snapToGrid w:val="0"/>
                    <w:spacing w:after="0" w:afterLines="0" w:line="240" w:lineRule="auto"/>
                    <w:ind w:left="0" w:leftChars="0" w:right="0" w:firstLine="0" w:firstLineChars="0"/>
                    <w:jc w:val="both"/>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aps w:val="0"/>
                      <w:color w:val="000000" w:themeColor="text1"/>
                      <w:spacing w:val="0"/>
                      <w:kern w:val="2"/>
                      <w:sz w:val="21"/>
                      <w:szCs w:val="21"/>
                      <w:shd w:val="clear" w:color="auto" w:fill="FFFFFF"/>
                      <w:lang w:val="en-US" w:eastAsia="zh-CN" w:bidi="ar-SA"/>
                      <w14:textFill>
                        <w14:solidFill>
                          <w14:schemeClr w14:val="tx1"/>
                        </w14:solidFill>
                      </w14:textFill>
                    </w:rPr>
                    <w:t>（九）推动工业炉窑清洁能源替代。有序推进以电代煤，积极稳妥推进以气代煤。对以煤、石油焦、渣油、重油等为燃料的工业炉窑，加快使用工业余热、电能、天然气等清洁能源进行替代</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1719" w:type="pct"/>
                  <w:noWrap w:val="0"/>
                  <w:vAlign w:val="center"/>
                </w:tcPr>
                <w:p w14:paraId="319880B8">
                  <w:pPr>
                    <w:keepNext w:val="0"/>
                    <w:keepLines w:val="0"/>
                    <w:pageBreakBefore w:val="0"/>
                    <w:widowControl w:val="0"/>
                    <w:kinsoku/>
                    <w:wordWrap/>
                    <w:overflowPunct/>
                    <w:topLinePunct w:val="0"/>
                    <w:autoSpaceDE/>
                    <w:autoSpaceDN/>
                    <w:bidi w:val="0"/>
                    <w:adjustRightInd w:val="0"/>
                    <w:snapToGrid w:val="0"/>
                    <w:spacing w:after="0" w:afterLines="0" w:line="240" w:lineRule="auto"/>
                    <w:ind w:left="0" w:leftChars="0" w:right="0" w:firstLine="210" w:firstLineChars="100"/>
                    <w:jc w:val="both"/>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项目生产线采用电能，为清洁能源。</w:t>
                  </w:r>
                </w:p>
              </w:tc>
              <w:tc>
                <w:tcPr>
                  <w:tcW w:w="552" w:type="pct"/>
                  <w:noWrap w:val="0"/>
                  <w:vAlign w:val="center"/>
                </w:tcPr>
                <w:p w14:paraId="2DF71B42">
                  <w:pPr>
                    <w:widowControl w:val="0"/>
                    <w:topLinePunct w:val="0"/>
                    <w:bidi w:val="0"/>
                    <w:adjustRightInd w:val="0"/>
                    <w:snapToGrid w:val="0"/>
                    <w:spacing w:after="0" w:afterLines="0"/>
                    <w:ind w:left="0" w:leftChars="0" w:right="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符合</w:t>
                  </w:r>
                </w:p>
              </w:tc>
            </w:tr>
            <w:tr w14:paraId="52318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1" w:type="pct"/>
                  <w:noWrap w:val="0"/>
                  <w:vAlign w:val="center"/>
                </w:tcPr>
                <w:p w14:paraId="34FF5DBD">
                  <w:pPr>
                    <w:keepNext w:val="0"/>
                    <w:keepLines w:val="0"/>
                    <w:pageBreakBefore w:val="0"/>
                    <w:widowControl w:val="0"/>
                    <w:kinsoku/>
                    <w:wordWrap/>
                    <w:overflowPunct/>
                    <w:topLinePunct w:val="0"/>
                    <w:autoSpaceDE/>
                    <w:autoSpaceDN/>
                    <w:bidi w:val="0"/>
                    <w:adjustRightInd w:val="0"/>
                    <w:snapToGrid w:val="0"/>
                    <w:spacing w:after="0" w:afterLines="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Style w:val="34"/>
                      <w:rFonts w:hint="default" w:ascii="Times New Roman" w:hAnsi="Times New Roman" w:eastAsia="宋体" w:cs="Times New Roman"/>
                      <w:i w:val="0"/>
                      <w:iCs w:val="0"/>
                      <w:caps w:val="0"/>
                      <w:color w:val="000000" w:themeColor="text1"/>
                      <w:spacing w:val="0"/>
                      <w:kern w:val="2"/>
                      <w:sz w:val="21"/>
                      <w:szCs w:val="21"/>
                      <w:shd w:val="clear" w:color="auto" w:fill="FFFFFF"/>
                      <w:lang w:val="en-US" w:eastAsia="zh-CN" w:bidi="ar-SA"/>
                      <w14:textFill>
                        <w14:solidFill>
                          <w14:schemeClr w14:val="tx1"/>
                        </w14:solidFill>
                      </w14:textFill>
                    </w:rPr>
                    <w:t>六、强化多污染物减排</w:t>
                  </w:r>
                </w:p>
              </w:tc>
              <w:tc>
                <w:tcPr>
                  <w:tcW w:w="2226" w:type="pct"/>
                  <w:noWrap w:val="0"/>
                  <w:vAlign w:val="center"/>
                </w:tcPr>
                <w:p w14:paraId="6393F2F1">
                  <w:pPr>
                    <w:keepNext w:val="0"/>
                    <w:keepLines w:val="0"/>
                    <w:pageBreakBefore w:val="0"/>
                    <w:widowControl w:val="0"/>
                    <w:kinsoku/>
                    <w:wordWrap/>
                    <w:overflowPunct/>
                    <w:topLinePunct w:val="0"/>
                    <w:autoSpaceDE/>
                    <w:autoSpaceDN/>
                    <w:bidi w:val="0"/>
                    <w:adjustRightInd w:val="0"/>
                    <w:snapToGrid w:val="0"/>
                    <w:spacing w:after="0" w:afterLines="0" w:line="240" w:lineRule="auto"/>
                    <w:ind w:left="0" w:leftChars="0" w:right="0" w:firstLine="0" w:firstLineChars="0"/>
                    <w:jc w:val="both"/>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aps w:val="0"/>
                      <w:color w:val="000000" w:themeColor="text1"/>
                      <w:spacing w:val="0"/>
                      <w:kern w:val="2"/>
                      <w:sz w:val="21"/>
                      <w:szCs w:val="21"/>
                      <w:shd w:val="clear" w:color="auto" w:fill="FFFFFF"/>
                      <w:lang w:val="en-US" w:eastAsia="zh-CN" w:bidi="ar-SA"/>
                      <w14:textFill>
                        <w14:solidFill>
                          <w14:schemeClr w14:val="tx1"/>
                        </w14:solidFill>
                      </w14:textFill>
                    </w:rPr>
                    <w:t>（十七）加强VOCs全过程综合治理。污水处理场所高浓度有机废气要单独收集处理；含VOCs有机废水储罐、装置区集水井（池）有机废气要密闭收集处理。研究建立全省统一的泄漏检测与修复信息管理平台。及时收集处理企业开停工、检维修期间退料、清洗、吹扫等作业产生的VOCs废气。</w:t>
                  </w:r>
                </w:p>
              </w:tc>
              <w:tc>
                <w:tcPr>
                  <w:tcW w:w="1719" w:type="pct"/>
                  <w:noWrap w:val="0"/>
                  <w:vAlign w:val="center"/>
                </w:tcPr>
                <w:p w14:paraId="10A64437">
                  <w:pPr>
                    <w:keepNext w:val="0"/>
                    <w:keepLines w:val="0"/>
                    <w:pageBreakBefore w:val="0"/>
                    <w:widowControl w:val="0"/>
                    <w:kinsoku/>
                    <w:wordWrap/>
                    <w:overflowPunct/>
                    <w:topLinePunct w:val="0"/>
                    <w:autoSpaceDE/>
                    <w:autoSpaceDN/>
                    <w:bidi w:val="0"/>
                    <w:adjustRightInd w:val="0"/>
                    <w:snapToGrid w:val="0"/>
                    <w:spacing w:after="0" w:afterLines="0" w:line="240" w:lineRule="auto"/>
                    <w:ind w:left="0" w:leftChars="0" w:right="0" w:firstLine="0" w:firstLineChars="0"/>
                    <w:jc w:val="both"/>
                    <w:textAlignment w:val="auto"/>
                    <w:rPr>
                      <w:rFonts w:hint="default" w:ascii="Times New Roman" w:hAnsi="Times New Roman" w:eastAsia="宋体" w:cs="Times New Roman"/>
                      <w:color w:val="000000" w:themeColor="text1"/>
                      <w:kern w:val="2"/>
                      <w:sz w:val="21"/>
                      <w:szCs w:val="21"/>
                      <w:highlight w:val="yellow"/>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项目使用原料常温下不产生有机废气，在</w:t>
                  </w:r>
                  <w:r>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t>生产过程中产生的VOCs采用</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集气罩（收集效率90%）+活性炭吸附/脱附+催化燃烧处理后通过15m高排气筒（DA001）外排</w:t>
                  </w:r>
                  <w:r>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t>，从而消减VOCs无组织排放。</w:t>
                  </w:r>
                </w:p>
              </w:tc>
              <w:tc>
                <w:tcPr>
                  <w:tcW w:w="552" w:type="pct"/>
                  <w:noWrap w:val="0"/>
                  <w:vAlign w:val="center"/>
                </w:tcPr>
                <w:p w14:paraId="73826163">
                  <w:pPr>
                    <w:keepNext w:val="0"/>
                    <w:keepLines w:val="0"/>
                    <w:pageBreakBefore w:val="0"/>
                    <w:widowControl w:val="0"/>
                    <w:kinsoku/>
                    <w:wordWrap/>
                    <w:overflowPunct/>
                    <w:topLinePunct w:val="0"/>
                    <w:autoSpaceDE/>
                    <w:autoSpaceDN/>
                    <w:bidi w:val="0"/>
                    <w:adjustRightInd w:val="0"/>
                    <w:snapToGrid w:val="0"/>
                    <w:spacing w:after="0" w:afterLines="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符合</w:t>
                  </w:r>
                </w:p>
              </w:tc>
            </w:tr>
          </w:tbl>
          <w:p w14:paraId="19178BB2">
            <w:pPr>
              <w:pStyle w:val="79"/>
              <w:bidi w:val="0"/>
              <w:rPr>
                <w:rFonts w:hint="default"/>
                <w:b/>
                <w:bCs/>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根据上表分析，项目符合《云南省空气质量持续改善行动实施方案》中的相关要求。</w:t>
            </w:r>
          </w:p>
          <w:p w14:paraId="15BA65B7">
            <w:pPr>
              <w:pStyle w:val="79"/>
              <w:bidi w:val="0"/>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8、与《关于印发〈重点行业挥发性有机物综合治理方案〉的通知》（环大气〔2019〕53号）的符合性分析</w:t>
            </w:r>
          </w:p>
          <w:p w14:paraId="0B672C81">
            <w:pPr>
              <w:pStyle w:val="11"/>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项目与《关于印发</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重点行业挥发性有机物综合治理方案</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的通知》</w:t>
            </w:r>
            <w:r>
              <w:rPr>
                <w:rFonts w:hint="default" w:ascii="Times New Roman" w:hAnsi="Times New Roman" w:eastAsia="宋体" w:cs="Times New Roman"/>
                <w:color w:val="000000" w:themeColor="text1"/>
                <w:sz w:val="24"/>
                <w:szCs w:val="24"/>
                <w:lang w:eastAsia="zh-CN"/>
                <w14:textFill>
                  <w14:solidFill>
                    <w14:schemeClr w14:val="tx1"/>
                  </w14:solidFill>
                </w14:textFill>
              </w:rPr>
              <w:t>（环大气</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2019</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53号</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的符合性分析见下表。</w:t>
            </w:r>
          </w:p>
          <w:p w14:paraId="19A0538E">
            <w:pPr>
              <w:pStyle w:val="11"/>
              <w:keepNext w:val="0"/>
              <w:keepLines w:val="0"/>
              <w:pageBreakBefore w:val="0"/>
              <w:widowControl w:val="0"/>
              <w:tabs>
                <w:tab w:val="left" w:pos="1147"/>
              </w:tabs>
              <w:kinsoku/>
              <w:wordWrap/>
              <w:overflowPunct/>
              <w:topLinePunct w:val="0"/>
              <w:autoSpaceDE/>
              <w:autoSpaceDN/>
              <w:bidi w:val="0"/>
              <w:adjustRightInd w:val="0"/>
              <w:snapToGrid w:val="0"/>
              <w:spacing w:before="0" w:after="0" w:line="240" w:lineRule="auto"/>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表</w:t>
            </w:r>
            <w:r>
              <w:rPr>
                <w:rFonts w:hint="eastAsia" w:cs="Times New Roman"/>
                <w:b/>
                <w:bCs/>
                <w:color w:val="000000" w:themeColor="text1"/>
                <w:sz w:val="21"/>
                <w:szCs w:val="21"/>
                <w:lang w:val="en-US" w:eastAsia="zh-CN"/>
                <w14:textFill>
                  <w14:solidFill>
                    <w14:schemeClr w14:val="tx1"/>
                  </w14:solidFill>
                </w14:textFill>
              </w:rPr>
              <w:t>1-11</w:t>
            </w:r>
            <w:r>
              <w:rPr>
                <w:rFonts w:hint="default" w:ascii="Times New Roman" w:hAnsi="Times New Roman" w:cs="Times New Roman"/>
                <w:b/>
                <w:bCs/>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b/>
                <w:bCs/>
                <w:color w:val="000000" w:themeColor="text1"/>
                <w:sz w:val="21"/>
                <w:szCs w:val="21"/>
                <w14:textFill>
                  <w14:solidFill>
                    <w14:schemeClr w14:val="tx1"/>
                  </w14:solidFill>
                </w14:textFill>
              </w:rPr>
              <w:t>与重点行业挥发性有机物综合治理方案符合性分析</w:t>
            </w:r>
          </w:p>
          <w:tbl>
            <w:tblPr>
              <w:tblStyle w:val="31"/>
              <w:tblW w:w="71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598"/>
              <w:gridCol w:w="3793"/>
              <w:gridCol w:w="1939"/>
              <w:gridCol w:w="857"/>
            </w:tblGrid>
            <w:tr w14:paraId="14120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35" w:hRule="atLeast"/>
                <w:jc w:val="center"/>
              </w:trPr>
              <w:tc>
                <w:tcPr>
                  <w:tcW w:w="598" w:type="dxa"/>
                  <w:noWrap w:val="0"/>
                  <w:vAlign w:val="center"/>
                </w:tcPr>
                <w:p w14:paraId="45CE5AB4">
                  <w:pPr>
                    <w:widowControl w:val="0"/>
                    <w:spacing w:before="10"/>
                    <w:jc w:val="center"/>
                    <w:rPr>
                      <w:rFonts w:hint="default" w:ascii="Times New Roman" w:hAnsi="Times New Roman" w:eastAsia="宋体" w:cs="Times New Roman"/>
                      <w:b/>
                      <w:bCs/>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en-US" w:bidi="ar-SA"/>
                      <w14:textFill>
                        <w14:solidFill>
                          <w14:schemeClr w14:val="tx1"/>
                        </w14:solidFill>
                      </w14:textFill>
                    </w:rPr>
                    <w:t>序号</w:t>
                  </w:r>
                </w:p>
              </w:tc>
              <w:tc>
                <w:tcPr>
                  <w:tcW w:w="3793" w:type="dxa"/>
                  <w:noWrap w:val="0"/>
                  <w:vAlign w:val="center"/>
                </w:tcPr>
                <w:p w14:paraId="004F3C46">
                  <w:pPr>
                    <w:widowControl w:val="0"/>
                    <w:spacing w:before="10"/>
                    <w:jc w:val="center"/>
                    <w:rPr>
                      <w:rFonts w:hint="default" w:ascii="Times New Roman" w:hAnsi="Times New Roman" w:eastAsia="宋体" w:cs="Times New Roman"/>
                      <w:b/>
                      <w:bCs/>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en-US" w:bidi="ar-SA"/>
                      <w14:textFill>
                        <w14:solidFill>
                          <w14:schemeClr w14:val="tx1"/>
                        </w14:solidFill>
                      </w14:textFill>
                    </w:rPr>
                    <w:t>相关要求</w:t>
                  </w:r>
                </w:p>
              </w:tc>
              <w:tc>
                <w:tcPr>
                  <w:tcW w:w="1939" w:type="dxa"/>
                  <w:noWrap w:val="0"/>
                  <w:vAlign w:val="center"/>
                </w:tcPr>
                <w:p w14:paraId="44CC456C">
                  <w:pPr>
                    <w:widowControl w:val="0"/>
                    <w:spacing w:before="10"/>
                    <w:jc w:val="center"/>
                    <w:rPr>
                      <w:rFonts w:hint="default" w:ascii="Times New Roman" w:hAnsi="Times New Roman" w:eastAsia="宋体" w:cs="Times New Roman"/>
                      <w:b/>
                      <w:bCs/>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en-US" w:bidi="ar-SA"/>
                      <w14:textFill>
                        <w14:solidFill>
                          <w14:schemeClr w14:val="tx1"/>
                        </w14:solidFill>
                      </w14:textFill>
                    </w:rPr>
                    <w:t>本项目情况</w:t>
                  </w:r>
                </w:p>
              </w:tc>
              <w:tc>
                <w:tcPr>
                  <w:tcW w:w="857" w:type="dxa"/>
                  <w:noWrap w:val="0"/>
                  <w:vAlign w:val="center"/>
                </w:tcPr>
                <w:p w14:paraId="5626C40A">
                  <w:pPr>
                    <w:widowControl w:val="0"/>
                    <w:spacing w:before="10"/>
                    <w:jc w:val="center"/>
                    <w:rPr>
                      <w:rFonts w:hint="eastAsia" w:ascii="Times New Roman" w:hAnsi="Times New Roman" w:eastAsia="宋体" w:cs="Times New Roman"/>
                      <w:b/>
                      <w:bCs/>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en-US" w:bidi="ar-SA"/>
                      <w14:textFill>
                        <w14:solidFill>
                          <w14:schemeClr w14:val="tx1"/>
                        </w14:solidFill>
                      </w14:textFill>
                    </w:rPr>
                    <w:t>相符</w:t>
                  </w:r>
                  <w:r>
                    <w:rPr>
                      <w:rFonts w:hint="eastAsia" w:ascii="Times New Roman" w:hAnsi="Times New Roman" w:eastAsia="宋体" w:cs="Times New Roman"/>
                      <w:b/>
                      <w:bCs/>
                      <w:color w:val="000000" w:themeColor="text1"/>
                      <w:kern w:val="0"/>
                      <w:sz w:val="21"/>
                      <w:szCs w:val="21"/>
                      <w:lang w:val="en-US" w:eastAsia="zh-CN" w:bidi="ar-SA"/>
                      <w14:textFill>
                        <w14:solidFill>
                          <w14:schemeClr w14:val="tx1"/>
                        </w14:solidFill>
                      </w14:textFill>
                    </w:rPr>
                    <w:t>性</w:t>
                  </w:r>
                </w:p>
              </w:tc>
            </w:tr>
            <w:tr w14:paraId="7DF70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138" w:hRule="atLeast"/>
                <w:jc w:val="center"/>
              </w:trPr>
              <w:tc>
                <w:tcPr>
                  <w:tcW w:w="598" w:type="dxa"/>
                  <w:noWrap w:val="0"/>
                  <w:vAlign w:val="center"/>
                </w:tcPr>
                <w:p w14:paraId="7C0BA2DD">
                  <w:pPr>
                    <w:widowControl w:val="0"/>
                    <w:spacing w:before="10"/>
                    <w:jc w:val="center"/>
                    <w:rPr>
                      <w:rFonts w:hint="default" w:ascii="Times New Roman" w:hAnsi="Times New Roman" w:eastAsia="宋体" w:cs="Times New Roman"/>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一</w:t>
                  </w:r>
                </w:p>
              </w:tc>
              <w:tc>
                <w:tcPr>
                  <w:tcW w:w="3793" w:type="dxa"/>
                  <w:noWrap w:val="0"/>
                  <w:vAlign w:val="center"/>
                </w:tcPr>
                <w:p w14:paraId="3E96C902">
                  <w:pPr>
                    <w:keepNext w:val="0"/>
                    <w:keepLines w:val="0"/>
                    <w:pageBreakBefore w:val="0"/>
                    <w:widowControl w:val="0"/>
                    <w:kinsoku/>
                    <w:wordWrap/>
                    <w:overflowPunct/>
                    <w:topLinePunct w:val="0"/>
                    <w:autoSpaceDE/>
                    <w:autoSpaceDN/>
                    <w:bidi w:val="0"/>
                    <w:adjustRightInd/>
                    <w:snapToGrid/>
                    <w:spacing w:before="0"/>
                    <w:ind w:firstLine="0" w:firstLineChars="0"/>
                    <w:jc w:val="both"/>
                    <w:textAlignment w:val="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shd w:val="clear" w:color="auto" w:fill="FFFFFF"/>
                      <w:lang w:val="en-US" w:eastAsia="zh-CN" w:bidi="ar-SA"/>
                      <w14:textFill>
                        <w14:solidFill>
                          <w14:schemeClr w14:val="tx1"/>
                        </w14:solidFill>
                      </w14:textFill>
                    </w:rPr>
                    <w:t>大力推进源头替代。通过使用水性、粉末、高固体分、无溶剂、辐射固化等低VOCs含量的涂料，水性、辐射固化、植物基等低VOCs含量的油墨，水基、热熔、无溶剂、辐射固化、改性、生物降解等低VOCs含量的胶粘剂，以及低VOCs含量、低反应活性的清洗剂等，替代溶剂型涂料、油墨、胶粘剂、清洗剂等，从源头减少VOCs产生。</w:t>
                  </w:r>
                </w:p>
              </w:tc>
              <w:tc>
                <w:tcPr>
                  <w:tcW w:w="1939" w:type="dxa"/>
                  <w:noWrap w:val="0"/>
                  <w:vAlign w:val="center"/>
                </w:tcPr>
                <w:p w14:paraId="0147E08C">
                  <w:pPr>
                    <w:keepNext w:val="0"/>
                    <w:keepLines w:val="0"/>
                    <w:pageBreakBefore w:val="0"/>
                    <w:widowControl w:val="0"/>
                    <w:kinsoku/>
                    <w:wordWrap/>
                    <w:overflowPunct/>
                    <w:topLinePunct w:val="0"/>
                    <w:autoSpaceDE/>
                    <w:autoSpaceDN/>
                    <w:bidi w:val="0"/>
                    <w:adjustRightInd/>
                    <w:snapToGrid/>
                    <w:spacing w:before="0"/>
                    <w:ind w:firstLine="0" w:firstLineChars="0"/>
                    <w:jc w:val="both"/>
                    <w:textAlignment w:val="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shd w:val="clear" w:color="auto" w:fill="FFFFFF"/>
                      <w:lang w:val="en-US" w:eastAsia="zh-CN" w:bidi="ar-SA"/>
                      <w14:textFill>
                        <w14:solidFill>
                          <w14:schemeClr w14:val="tx1"/>
                        </w14:solidFill>
                      </w14:textFill>
                    </w:rPr>
                    <w:t>项目</w:t>
                  </w:r>
                  <w:r>
                    <w:rPr>
                      <w:rFonts w:hint="eastAsia" w:ascii="Times New Roman" w:hAnsi="Times New Roman" w:eastAsia="宋体" w:cs="Times New Roman"/>
                      <w:color w:val="000000" w:themeColor="text1"/>
                      <w:kern w:val="0"/>
                      <w:sz w:val="21"/>
                      <w:szCs w:val="21"/>
                      <w:highlight w:val="none"/>
                      <w:shd w:val="clear" w:color="auto" w:fill="FFFFFF"/>
                      <w:lang w:val="en-US" w:eastAsia="zh-CN" w:bidi="ar-SA"/>
                      <w14:textFill>
                        <w14:solidFill>
                          <w14:schemeClr w14:val="tx1"/>
                        </w14:solidFill>
                      </w14:textFill>
                    </w:rPr>
                    <w:t>不涉及油墨、胶粘剂使用</w:t>
                  </w:r>
                  <w:r>
                    <w:rPr>
                      <w:rFonts w:hint="default" w:ascii="Times New Roman" w:hAnsi="Times New Roman" w:eastAsia="宋体" w:cs="Times New Roman"/>
                      <w:color w:val="000000" w:themeColor="text1"/>
                      <w:kern w:val="0"/>
                      <w:sz w:val="21"/>
                      <w:szCs w:val="21"/>
                      <w:highlight w:val="none"/>
                      <w:shd w:val="clear" w:color="auto" w:fill="FFFFFF"/>
                      <w:lang w:val="en-US" w:eastAsia="zh-CN" w:bidi="ar-SA"/>
                      <w14:textFill>
                        <w14:solidFill>
                          <w14:schemeClr w14:val="tx1"/>
                        </w14:solidFill>
                      </w14:textFill>
                    </w:rPr>
                    <w:t>。</w:t>
                  </w:r>
                </w:p>
              </w:tc>
              <w:tc>
                <w:tcPr>
                  <w:tcW w:w="857" w:type="dxa"/>
                  <w:noWrap w:val="0"/>
                  <w:vAlign w:val="center"/>
                </w:tcPr>
                <w:p w14:paraId="2BE7AFE9">
                  <w:pPr>
                    <w:widowControl w:val="0"/>
                    <w:spacing w:before="10"/>
                    <w:jc w:val="center"/>
                    <w:rPr>
                      <w:rFonts w:hint="default" w:ascii="Times New Roman" w:hAnsi="Times New Roman" w:eastAsia="宋体" w:cs="Times New Roman"/>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en-US" w:bidi="ar-SA"/>
                      <w14:textFill>
                        <w14:solidFill>
                          <w14:schemeClr w14:val="tx1"/>
                        </w14:solidFill>
                      </w14:textFill>
                    </w:rPr>
                    <w:t>符合</w:t>
                  </w:r>
                </w:p>
              </w:tc>
            </w:tr>
            <w:tr w14:paraId="7600A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405" w:hRule="atLeast"/>
                <w:jc w:val="center"/>
              </w:trPr>
              <w:tc>
                <w:tcPr>
                  <w:tcW w:w="598" w:type="dxa"/>
                  <w:noWrap w:val="0"/>
                  <w:vAlign w:val="center"/>
                </w:tcPr>
                <w:p w14:paraId="02AFBD44">
                  <w:pPr>
                    <w:widowControl w:val="0"/>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二</w:t>
                  </w:r>
                </w:p>
              </w:tc>
              <w:tc>
                <w:tcPr>
                  <w:tcW w:w="3793" w:type="dxa"/>
                  <w:noWrap w:val="0"/>
                  <w:vAlign w:val="center"/>
                </w:tcPr>
                <w:p w14:paraId="61F8647B">
                  <w:pPr>
                    <w:keepNext w:val="0"/>
                    <w:keepLines w:val="0"/>
                    <w:pageBreakBefore w:val="0"/>
                    <w:widowControl w:val="0"/>
                    <w:kinsoku/>
                    <w:wordWrap/>
                    <w:overflowPunct/>
                    <w:topLinePunct w:val="0"/>
                    <w:autoSpaceDE/>
                    <w:autoSpaceDN/>
                    <w:bidi w:val="0"/>
                    <w:adjustRightInd/>
                    <w:snapToGrid/>
                    <w:spacing w:before="0"/>
                    <w:ind w:firstLine="0" w:firstLineChars="0"/>
                    <w:jc w:val="both"/>
                    <w:textAlignment w:val="auto"/>
                    <w:rPr>
                      <w:rFonts w:hint="default" w:ascii="Times New Roman" w:hAnsi="Times New Roman" w:eastAsia="宋体" w:cs="Times New Roman"/>
                      <w:color w:val="000000" w:themeColor="text1"/>
                      <w:kern w:val="0"/>
                      <w:sz w:val="21"/>
                      <w:szCs w:val="21"/>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shd w:val="clear" w:color="auto" w:fill="FFFFFF"/>
                      <w:lang w:val="en-US" w:eastAsia="zh-CN" w:bidi="ar-SA"/>
                      <w14:textFill>
                        <w14:solidFill>
                          <w14:schemeClr w14:val="tx1"/>
                        </w14:solidFill>
                      </w14:textFill>
                    </w:rPr>
                    <w:t>全面加强无组织排放控制。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无组织排放。</w:t>
                  </w:r>
                </w:p>
              </w:tc>
              <w:tc>
                <w:tcPr>
                  <w:tcW w:w="1939" w:type="dxa"/>
                  <w:noWrap w:val="0"/>
                  <w:vAlign w:val="center"/>
                </w:tcPr>
                <w:p w14:paraId="5B9ADD2A">
                  <w:pPr>
                    <w:keepNext w:val="0"/>
                    <w:keepLines w:val="0"/>
                    <w:pageBreakBefore w:val="0"/>
                    <w:widowControl w:val="0"/>
                    <w:kinsoku/>
                    <w:wordWrap/>
                    <w:overflowPunct/>
                    <w:topLinePunct w:val="0"/>
                    <w:autoSpaceDE/>
                    <w:autoSpaceDN/>
                    <w:bidi w:val="0"/>
                    <w:adjustRightInd/>
                    <w:snapToGrid/>
                    <w:spacing w:before="0"/>
                    <w:ind w:firstLine="0" w:firstLineChars="0"/>
                    <w:jc w:val="both"/>
                    <w:textAlignment w:val="auto"/>
                    <w:rPr>
                      <w:rFonts w:hint="default" w:ascii="Times New Roman" w:hAnsi="Times New Roman" w:eastAsia="宋体" w:cs="Times New Roman"/>
                      <w:color w:val="000000" w:themeColor="text1"/>
                      <w:kern w:val="0"/>
                      <w:sz w:val="21"/>
                      <w:szCs w:val="21"/>
                      <w:shd w:val="clear" w:color="auto" w:fill="FFFFFF"/>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项目生产过程中产生的</w:t>
                  </w:r>
                  <w:r>
                    <w:rPr>
                      <w:rFonts w:hint="default" w:ascii="Times New Roman" w:hAnsi="Times New Roman" w:eastAsia="宋体" w:cs="Times New Roman"/>
                      <w:color w:val="000000" w:themeColor="text1"/>
                      <w:kern w:val="0"/>
                      <w:sz w:val="21"/>
                      <w:szCs w:val="21"/>
                      <w:shd w:val="clear" w:color="auto" w:fill="FFFFFF"/>
                      <w:lang w:val="en-US" w:eastAsia="zh-CN" w:bidi="ar-SA"/>
                      <w14:textFill>
                        <w14:solidFill>
                          <w14:schemeClr w14:val="tx1"/>
                        </w14:solidFill>
                      </w14:textFill>
                    </w:rPr>
                    <w:t>VOCs</w:t>
                  </w:r>
                  <w:r>
                    <w:rPr>
                      <w:rFonts w:hint="eastAsia" w:ascii="Times New Roman" w:hAnsi="Times New Roman" w:eastAsia="宋体" w:cs="Times New Roman"/>
                      <w:color w:val="000000" w:themeColor="text1"/>
                      <w:kern w:val="0"/>
                      <w:sz w:val="21"/>
                      <w:szCs w:val="21"/>
                      <w:shd w:val="clear" w:color="auto" w:fill="FFFFFF"/>
                      <w:lang w:val="en-US" w:eastAsia="zh-CN" w:bidi="ar-SA"/>
                      <w14:textFill>
                        <w14:solidFill>
                          <w14:schemeClr w14:val="tx1"/>
                        </w14:solidFill>
                      </w14:textFill>
                    </w:rPr>
                    <w:t>采用集气罩收集经</w:t>
                  </w:r>
                  <w:r>
                    <w:rPr>
                      <w:rFonts w:hint="eastAsia" w:cs="Times New Roman"/>
                      <w:color w:val="000000" w:themeColor="text1"/>
                      <w:kern w:val="0"/>
                      <w:sz w:val="21"/>
                      <w:szCs w:val="21"/>
                      <w:shd w:val="clear" w:color="auto" w:fill="FFFFFF"/>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0"/>
                      <w:sz w:val="21"/>
                      <w:szCs w:val="21"/>
                      <w:shd w:val="clear" w:color="auto" w:fill="FFFFFF"/>
                      <w:lang w:val="en-US" w:eastAsia="zh-CN" w:bidi="ar-SA"/>
                      <w14:textFill>
                        <w14:solidFill>
                          <w14:schemeClr w14:val="tx1"/>
                        </w14:solidFill>
                      </w14:textFill>
                    </w:rPr>
                    <w:t>活性炭吸附/脱附+催化燃烧装置</w:t>
                  </w:r>
                  <w:r>
                    <w:rPr>
                      <w:rFonts w:hint="eastAsia" w:cs="Times New Roman"/>
                      <w:color w:val="000000" w:themeColor="text1"/>
                      <w:kern w:val="0"/>
                      <w:sz w:val="21"/>
                      <w:szCs w:val="21"/>
                      <w:shd w:val="clear" w:color="auto" w:fill="FFFFFF"/>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0"/>
                      <w:sz w:val="21"/>
                      <w:szCs w:val="21"/>
                      <w:shd w:val="clear" w:color="auto" w:fill="FFFFFF"/>
                      <w:lang w:val="en-US" w:eastAsia="zh-CN" w:bidi="ar-SA"/>
                      <w14:textFill>
                        <w14:solidFill>
                          <w14:schemeClr w14:val="tx1"/>
                        </w14:solidFill>
                      </w14:textFill>
                    </w:rPr>
                    <w:t>处理后达标排放，有效削减了</w:t>
                  </w:r>
                  <w:r>
                    <w:rPr>
                      <w:rFonts w:hint="default" w:ascii="Times New Roman" w:hAnsi="Times New Roman" w:eastAsia="宋体" w:cs="Times New Roman"/>
                      <w:color w:val="000000" w:themeColor="text1"/>
                      <w:kern w:val="0"/>
                      <w:sz w:val="21"/>
                      <w:szCs w:val="21"/>
                      <w:shd w:val="clear" w:color="auto" w:fill="FFFFFF"/>
                      <w:lang w:val="en-US" w:eastAsia="zh-CN" w:bidi="ar-SA"/>
                      <w14:textFill>
                        <w14:solidFill>
                          <w14:schemeClr w14:val="tx1"/>
                        </w14:solidFill>
                      </w14:textFill>
                    </w:rPr>
                    <w:t>VOCs无组织排放。</w:t>
                  </w:r>
                </w:p>
              </w:tc>
              <w:tc>
                <w:tcPr>
                  <w:tcW w:w="857" w:type="dxa"/>
                  <w:noWrap w:val="0"/>
                  <w:vAlign w:val="center"/>
                </w:tcPr>
                <w:p w14:paraId="7BB4EF69">
                  <w:pPr>
                    <w:widowControl w:val="0"/>
                    <w:spacing w:before="0"/>
                    <w:jc w:val="center"/>
                    <w:rPr>
                      <w:rFonts w:hint="default" w:ascii="Times New Roman" w:hAnsi="Times New Roman" w:eastAsia="宋体" w:cs="Times New Roman"/>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en-US" w:bidi="ar-SA"/>
                      <w14:textFill>
                        <w14:solidFill>
                          <w14:schemeClr w14:val="tx1"/>
                        </w14:solidFill>
                      </w14:textFill>
                    </w:rPr>
                    <w:t>符合</w:t>
                  </w:r>
                </w:p>
              </w:tc>
            </w:tr>
            <w:tr w14:paraId="381CB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267" w:hRule="atLeast"/>
                <w:jc w:val="center"/>
              </w:trPr>
              <w:tc>
                <w:tcPr>
                  <w:tcW w:w="598" w:type="dxa"/>
                  <w:noWrap w:val="0"/>
                  <w:vAlign w:val="center"/>
                </w:tcPr>
                <w:p w14:paraId="17474C2B">
                  <w:pPr>
                    <w:widowControl w:val="0"/>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三</w:t>
                  </w:r>
                </w:p>
              </w:tc>
              <w:tc>
                <w:tcPr>
                  <w:tcW w:w="3793" w:type="dxa"/>
                  <w:noWrap w:val="0"/>
                  <w:vAlign w:val="center"/>
                </w:tcPr>
                <w:p w14:paraId="12F0A4A7">
                  <w:pPr>
                    <w:keepNext w:val="0"/>
                    <w:keepLines w:val="0"/>
                    <w:pageBreakBefore w:val="0"/>
                    <w:widowControl w:val="0"/>
                    <w:kinsoku/>
                    <w:wordWrap/>
                    <w:overflowPunct/>
                    <w:topLinePunct w:val="0"/>
                    <w:autoSpaceDE/>
                    <w:autoSpaceDN/>
                    <w:bidi w:val="0"/>
                    <w:adjustRightInd/>
                    <w:snapToGrid/>
                    <w:spacing w:before="0"/>
                    <w:ind w:firstLine="0" w:firstLineChars="0"/>
                    <w:jc w:val="both"/>
                    <w:textAlignment w:val="auto"/>
                    <w:rPr>
                      <w:rFonts w:hint="default" w:ascii="Times New Roman" w:hAnsi="Times New Roman" w:eastAsia="宋体" w:cs="Times New Roman"/>
                      <w:color w:val="000000" w:themeColor="text1"/>
                      <w:kern w:val="0"/>
                      <w:sz w:val="21"/>
                      <w:szCs w:val="21"/>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shd w:val="clear" w:color="auto" w:fill="FFFFFF"/>
                      <w:lang w:val="en-US" w:eastAsia="zh-CN" w:bidi="ar-SA"/>
                      <w14:textFill>
                        <w14:solidFill>
                          <w14:schemeClr w14:val="tx1"/>
                        </w14:solidFill>
                      </w14:textFill>
                    </w:rPr>
                    <w:t>推进使用先进生产工艺。通过采用全密闭、连续化、自动化等生产技术，以及高效工艺与设备等，减少工艺过程无组织排放。挥发性有机液体装载优先采用底部装载方式。石化、化工行业重点推进使用低（无）泄漏的泵、压缩机、过滤机、离心机、干燥设备等，推广采用油品在线调和技术、密闭式循环水冷却系统等。工业涂装行业重点推进使用紧凑式涂装工艺，推广采用辊涂、静电喷涂、高压无气喷涂、空气辅助无气喷涂、热喷涂等涂装技术，鼓励企业采用自动化、智能化喷涂设备替代人工喷涂，减少使用空气喷涂技术。包装印刷行业大力推广使用无溶剂复合、挤出复合、共挤出复合技术，鼓励采用水性凹印、醇水凹印、辐射固化凹印、柔版印刷、无水胶印等印刷工艺。</w:t>
                  </w:r>
                </w:p>
              </w:tc>
              <w:tc>
                <w:tcPr>
                  <w:tcW w:w="1939" w:type="dxa"/>
                  <w:noWrap w:val="0"/>
                  <w:vAlign w:val="center"/>
                </w:tcPr>
                <w:p w14:paraId="4C18ED3D">
                  <w:pPr>
                    <w:keepNext w:val="0"/>
                    <w:keepLines w:val="0"/>
                    <w:pageBreakBefore w:val="0"/>
                    <w:widowControl w:val="0"/>
                    <w:kinsoku/>
                    <w:wordWrap/>
                    <w:overflowPunct/>
                    <w:topLinePunct w:val="0"/>
                    <w:autoSpaceDE/>
                    <w:autoSpaceDN/>
                    <w:bidi w:val="0"/>
                    <w:adjustRightInd/>
                    <w:snapToGrid/>
                    <w:spacing w:before="0"/>
                    <w:ind w:firstLine="0" w:firstLineChars="0"/>
                    <w:jc w:val="both"/>
                    <w:textAlignment w:val="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shd w:val="clear" w:color="auto" w:fill="FFFFFF"/>
                      <w:lang w:val="en-US" w:eastAsia="zh-CN" w:bidi="ar-SA"/>
                      <w14:textFill>
                        <w14:solidFill>
                          <w14:schemeClr w14:val="tx1"/>
                        </w14:solidFill>
                      </w14:textFill>
                    </w:rPr>
                    <w:t>本项目属于</w:t>
                  </w:r>
                  <w:r>
                    <w:rPr>
                      <w:rFonts w:hint="eastAsia" w:ascii="Times New Roman" w:hAnsi="Times New Roman" w:eastAsia="宋体" w:cs="Times New Roman"/>
                      <w:color w:val="000000" w:themeColor="text1"/>
                      <w:kern w:val="0"/>
                      <w:sz w:val="21"/>
                      <w:szCs w:val="21"/>
                      <w:shd w:val="clear" w:color="auto" w:fill="FFFFFF"/>
                      <w:lang w:val="en-US" w:eastAsia="zh-CN" w:bidi="ar-SA"/>
                      <w14:textFill>
                        <w14:solidFill>
                          <w14:schemeClr w14:val="tx1"/>
                        </w14:solidFill>
                      </w14:textFill>
                    </w:rPr>
                    <w:t>日用塑料制品制造</w:t>
                  </w:r>
                  <w:r>
                    <w:rPr>
                      <w:rFonts w:hint="default" w:ascii="Times New Roman" w:hAnsi="Times New Roman" w:eastAsia="宋体" w:cs="Times New Roman"/>
                      <w:color w:val="000000" w:themeColor="text1"/>
                      <w:kern w:val="0"/>
                      <w:sz w:val="21"/>
                      <w:szCs w:val="21"/>
                      <w:shd w:val="clear" w:color="auto" w:fill="FFFFFF"/>
                      <w:lang w:val="en-US" w:eastAsia="zh-CN" w:bidi="ar-SA"/>
                      <w14:textFill>
                        <w14:solidFill>
                          <w14:schemeClr w14:val="tx1"/>
                        </w14:solidFill>
                      </w14:textFill>
                    </w:rPr>
                    <w:t>行业，不涉及石化、化工等行业</w:t>
                  </w:r>
                  <w:r>
                    <w:rPr>
                      <w:rFonts w:hint="eastAsia" w:ascii="Times New Roman" w:hAnsi="Times New Roman" w:eastAsia="宋体" w:cs="Times New Roman"/>
                      <w:color w:val="000000" w:themeColor="text1"/>
                      <w:kern w:val="0"/>
                      <w:sz w:val="21"/>
                      <w:szCs w:val="21"/>
                      <w:shd w:val="clear" w:color="auto" w:fill="FFFFFF"/>
                      <w:lang w:val="en-US" w:eastAsia="zh-CN" w:bidi="ar-SA"/>
                      <w14:textFill>
                        <w14:solidFill>
                          <w14:schemeClr w14:val="tx1"/>
                        </w14:solidFill>
                      </w14:textFill>
                    </w:rPr>
                    <w:t>，不属于工业涂装行业。</w:t>
                  </w:r>
                </w:p>
              </w:tc>
              <w:tc>
                <w:tcPr>
                  <w:tcW w:w="857" w:type="dxa"/>
                  <w:noWrap w:val="0"/>
                  <w:vAlign w:val="center"/>
                </w:tcPr>
                <w:p w14:paraId="5B911E85">
                  <w:pPr>
                    <w:widowControl w:val="0"/>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符合</w:t>
                  </w:r>
                </w:p>
              </w:tc>
            </w:tr>
            <w:tr w14:paraId="6B15C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415" w:hRule="atLeast"/>
                <w:jc w:val="center"/>
              </w:trPr>
              <w:tc>
                <w:tcPr>
                  <w:tcW w:w="598" w:type="dxa"/>
                  <w:noWrap w:val="0"/>
                  <w:vAlign w:val="center"/>
                </w:tcPr>
                <w:p w14:paraId="40C7EA6A">
                  <w:pPr>
                    <w:widowControl w:val="0"/>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四</w:t>
                  </w:r>
                </w:p>
              </w:tc>
              <w:tc>
                <w:tcPr>
                  <w:tcW w:w="3793" w:type="dxa"/>
                  <w:noWrap w:val="0"/>
                  <w:vAlign w:val="center"/>
                </w:tcPr>
                <w:p w14:paraId="46DDE03A">
                  <w:pPr>
                    <w:keepNext w:val="0"/>
                    <w:keepLines w:val="0"/>
                    <w:pageBreakBefore w:val="0"/>
                    <w:widowControl w:val="0"/>
                    <w:kinsoku/>
                    <w:wordWrap/>
                    <w:overflowPunct/>
                    <w:topLinePunct w:val="0"/>
                    <w:autoSpaceDE/>
                    <w:autoSpaceDN/>
                    <w:bidi w:val="0"/>
                    <w:adjustRightInd/>
                    <w:snapToGrid/>
                    <w:spacing w:before="0"/>
                    <w:ind w:firstLine="0" w:firstLineChars="0"/>
                    <w:jc w:val="both"/>
                    <w:textAlignment w:val="auto"/>
                    <w:rPr>
                      <w:rFonts w:hint="default" w:ascii="Times New Roman" w:hAnsi="Times New Roman" w:eastAsia="宋体" w:cs="Times New Roman"/>
                      <w:color w:val="000000" w:themeColor="text1"/>
                      <w:kern w:val="0"/>
                      <w:sz w:val="21"/>
                      <w:szCs w:val="21"/>
                      <w:shd w:val="clear" w:color="auto" w:fill="FFFFFF"/>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shd w:val="clear" w:color="auto" w:fill="FFFFFF"/>
                      <w:lang w:val="en-US" w:eastAsia="zh-CN" w:bidi="ar-SA"/>
                      <w14:textFill>
                        <w14:solidFill>
                          <w14:schemeClr w14:val="tx1"/>
                        </w14:solidFill>
                      </w14:textFill>
                    </w:rPr>
                    <w:t>提高废气收集率。遵循</w:t>
                  </w:r>
                  <w:r>
                    <w:rPr>
                      <w:rFonts w:hint="eastAsia" w:cs="Times New Roman"/>
                      <w:color w:val="000000" w:themeColor="text1"/>
                      <w:kern w:val="0"/>
                      <w:sz w:val="21"/>
                      <w:szCs w:val="21"/>
                      <w:shd w:val="clear" w:color="auto" w:fill="FFFFFF"/>
                      <w:lang w:val="en-US" w:eastAsia="zh-CN" w:bidi="ar-SA"/>
                      <w14:textFill>
                        <w14:solidFill>
                          <w14:schemeClr w14:val="tx1"/>
                        </w14:solidFill>
                      </w14:textFill>
                    </w:rPr>
                    <w:t>“</w:t>
                  </w:r>
                  <w:r>
                    <w:rPr>
                      <w:rFonts w:hint="default" w:ascii="Times New Roman" w:hAnsi="Times New Roman" w:eastAsia="宋体" w:cs="Times New Roman"/>
                      <w:color w:val="000000" w:themeColor="text1"/>
                      <w:kern w:val="0"/>
                      <w:sz w:val="21"/>
                      <w:szCs w:val="21"/>
                      <w:shd w:val="clear" w:color="auto" w:fill="FFFFFF"/>
                      <w:lang w:val="en-US" w:eastAsia="zh-CN" w:bidi="ar-SA"/>
                      <w14:textFill>
                        <w14:solidFill>
                          <w14:schemeClr w14:val="tx1"/>
                        </w14:solidFill>
                      </w14:textFill>
                    </w:rPr>
                    <w:t>应收尽收、分质收集</w:t>
                  </w:r>
                  <w:r>
                    <w:rPr>
                      <w:rFonts w:hint="eastAsia" w:cs="Times New Roman"/>
                      <w:color w:val="000000" w:themeColor="text1"/>
                      <w:kern w:val="0"/>
                      <w:sz w:val="21"/>
                      <w:szCs w:val="21"/>
                      <w:shd w:val="clear" w:color="auto" w:fill="FFFFFF"/>
                      <w:lang w:val="en-US" w:eastAsia="zh-CN" w:bidi="ar-SA"/>
                      <w14:textFill>
                        <w14:solidFill>
                          <w14:schemeClr w14:val="tx1"/>
                        </w14:solidFill>
                      </w14:textFill>
                    </w:rPr>
                    <w:t>”</w:t>
                  </w:r>
                  <w:r>
                    <w:rPr>
                      <w:rFonts w:hint="default" w:ascii="Times New Roman" w:hAnsi="Times New Roman" w:eastAsia="宋体" w:cs="Times New Roman"/>
                      <w:color w:val="000000" w:themeColor="text1"/>
                      <w:kern w:val="0"/>
                      <w:sz w:val="21"/>
                      <w:szCs w:val="21"/>
                      <w:shd w:val="clear" w:color="auto" w:fill="FFFFFF"/>
                      <w:lang w:val="en-US" w:eastAsia="zh-CN" w:bidi="ar-SA"/>
                      <w14:textFill>
                        <w14:solidFill>
                          <w14:schemeClr w14:val="tx1"/>
                        </w14:solidFill>
                      </w14:textFill>
                    </w:rPr>
                    <w:t>的原则，科学设计废气收集系统，将无组织排放转变为有组织排放进行控制。采用全密闭集气罩或密闭空间的，除行业有特殊要求外，应保持微负压状态，并根据相关规范合理设置通风量。采用局部集气罩的，距集气罩开口面最远处的VOCs无组织排放位置，控制风速应不低于0.3米/秒，有行业要求的按相关规定执行。</w:t>
                  </w:r>
                </w:p>
              </w:tc>
              <w:tc>
                <w:tcPr>
                  <w:tcW w:w="1939" w:type="dxa"/>
                  <w:noWrap w:val="0"/>
                  <w:vAlign w:val="center"/>
                </w:tcPr>
                <w:p w14:paraId="6FA08439">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eastAsia="宋体" w:cs="Times New Roman"/>
                      <w:color w:val="000000" w:themeColor="text1"/>
                      <w:kern w:val="28"/>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8"/>
                      <w:sz w:val="21"/>
                      <w:szCs w:val="21"/>
                      <w:highlight w:val="none"/>
                      <w:shd w:val="clear" w:color="auto" w:fill="FFFFFF"/>
                      <w:lang w:val="en-US" w:eastAsia="zh-CN" w:bidi="ar-SA"/>
                      <w14:textFill>
                        <w14:solidFill>
                          <w14:schemeClr w14:val="tx1"/>
                        </w14:solidFill>
                      </w14:textFill>
                    </w:rPr>
                    <w:t>项目</w:t>
                  </w:r>
                  <w:r>
                    <w:rPr>
                      <w:rFonts w:hint="eastAsia" w:ascii="Times New Roman" w:hAnsi="Times New Roman" w:eastAsia="宋体" w:cs="Times New Roman"/>
                      <w:color w:val="000000" w:themeColor="text1"/>
                      <w:kern w:val="28"/>
                      <w:sz w:val="21"/>
                      <w:szCs w:val="21"/>
                      <w:highlight w:val="none"/>
                      <w:shd w:val="clear" w:color="auto" w:fill="FFFFFF"/>
                      <w:lang w:val="en-US" w:eastAsia="zh-CN" w:bidi="ar-SA"/>
                      <w14:textFill>
                        <w14:solidFill>
                          <w14:schemeClr w14:val="tx1"/>
                        </w14:solidFill>
                      </w14:textFill>
                    </w:rPr>
                    <w:t>生产过程产生的有机</w:t>
                  </w:r>
                  <w:r>
                    <w:rPr>
                      <w:rFonts w:hint="default" w:ascii="Times New Roman" w:hAnsi="Times New Roman" w:eastAsia="宋体" w:cs="Times New Roman"/>
                      <w:color w:val="000000" w:themeColor="text1"/>
                      <w:kern w:val="28"/>
                      <w:sz w:val="21"/>
                      <w:szCs w:val="21"/>
                      <w:highlight w:val="none"/>
                      <w:shd w:val="clear" w:color="auto" w:fill="FFFFFF"/>
                      <w:lang w:val="en-US" w:eastAsia="zh-CN" w:bidi="ar-SA"/>
                      <w14:textFill>
                        <w14:solidFill>
                          <w14:schemeClr w14:val="tx1"/>
                        </w14:solidFill>
                      </w14:textFill>
                    </w:rPr>
                    <w:t>废气</w:t>
                  </w:r>
                  <w:r>
                    <w:rPr>
                      <w:rFonts w:hint="eastAsia" w:ascii="Times New Roman" w:hAnsi="Times New Roman" w:eastAsia="宋体" w:cs="Times New Roman"/>
                      <w:color w:val="000000" w:themeColor="text1"/>
                      <w:kern w:val="28"/>
                      <w:sz w:val="21"/>
                      <w:szCs w:val="21"/>
                      <w:highlight w:val="none"/>
                      <w:shd w:val="clear" w:color="auto" w:fill="FFFFFF"/>
                      <w:lang w:val="en-US" w:eastAsia="zh-CN" w:bidi="ar-SA"/>
                      <w14:textFill>
                        <w14:solidFill>
                          <w14:schemeClr w14:val="tx1"/>
                        </w14:solidFill>
                      </w14:textFill>
                    </w:rPr>
                    <w:t>经集气罩收集后进入</w:t>
                  </w:r>
                  <w:r>
                    <w:rPr>
                      <w:rFonts w:hint="eastAsia" w:cs="Times New Roman"/>
                      <w:color w:val="000000" w:themeColor="text1"/>
                      <w:kern w:val="28"/>
                      <w:sz w:val="21"/>
                      <w:szCs w:val="21"/>
                      <w:highlight w:val="none"/>
                      <w:shd w:val="clear" w:color="auto" w:fill="FFFFFF"/>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8"/>
                      <w:sz w:val="21"/>
                      <w:szCs w:val="21"/>
                      <w:highlight w:val="none"/>
                      <w:shd w:val="clear" w:color="auto" w:fill="FFFFFF"/>
                      <w:lang w:val="en-US" w:eastAsia="zh-CN" w:bidi="ar-SA"/>
                      <w14:textFill>
                        <w14:solidFill>
                          <w14:schemeClr w14:val="tx1"/>
                        </w14:solidFill>
                      </w14:textFill>
                    </w:rPr>
                    <w:t>活性炭吸附/脱附+催化燃烧装置</w:t>
                  </w:r>
                  <w:r>
                    <w:rPr>
                      <w:rFonts w:hint="eastAsia" w:cs="Times New Roman"/>
                      <w:color w:val="000000" w:themeColor="text1"/>
                      <w:kern w:val="28"/>
                      <w:sz w:val="21"/>
                      <w:szCs w:val="21"/>
                      <w:highlight w:val="none"/>
                      <w:shd w:val="clear" w:color="auto" w:fill="FFFFFF"/>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8"/>
                      <w:sz w:val="21"/>
                      <w:szCs w:val="21"/>
                      <w:highlight w:val="none"/>
                      <w:shd w:val="clear" w:color="auto" w:fill="FFFFFF"/>
                      <w:lang w:val="en-US" w:eastAsia="zh-CN" w:bidi="ar-SA"/>
                      <w14:textFill>
                        <w14:solidFill>
                          <w14:schemeClr w14:val="tx1"/>
                        </w14:solidFill>
                      </w14:textFill>
                    </w:rPr>
                    <w:t>处理后通过车间排气筒高空排放。</w:t>
                  </w:r>
                </w:p>
              </w:tc>
              <w:tc>
                <w:tcPr>
                  <w:tcW w:w="857" w:type="dxa"/>
                  <w:noWrap w:val="0"/>
                  <w:vAlign w:val="center"/>
                </w:tcPr>
                <w:p w14:paraId="066F30C6">
                  <w:pPr>
                    <w:widowControl w:val="0"/>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符合</w:t>
                  </w:r>
                </w:p>
              </w:tc>
            </w:tr>
          </w:tbl>
          <w:p w14:paraId="38321176">
            <w:pPr>
              <w:pStyle w:val="79"/>
              <w:bidi w:val="0"/>
              <w:rPr>
                <w:rFonts w:hint="eastAsia"/>
                <w:color w:val="000000" w:themeColor="text1"/>
                <w:lang w:val="en-US" w:eastAsia="zh-CN"/>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由上表可知，项目的建设符合《关于印发</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重点行业挥发性有机物综合治理方案</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的通知》的相关要求。</w:t>
            </w:r>
          </w:p>
          <w:p w14:paraId="21C54387">
            <w:pPr>
              <w:pStyle w:val="79"/>
              <w:bidi w:val="0"/>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9、与《固体废物综合治理行动计划的通知》（国发〔2025〕14号）符合性分析</w:t>
            </w:r>
          </w:p>
          <w:p w14:paraId="46A92C5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表1-1</w:t>
            </w:r>
            <w:r>
              <w:rPr>
                <w:rFonts w:hint="eastAsia" w:cs="Times New Roman"/>
                <w:b/>
                <w:bCs/>
                <w:color w:val="000000" w:themeColor="text1"/>
                <w:kern w:val="0"/>
                <w:sz w:val="21"/>
                <w:szCs w:val="21"/>
                <w:lang w:val="en-US" w:eastAsia="zh-CN"/>
                <w14:textFill>
                  <w14:solidFill>
                    <w14:schemeClr w14:val="tx1"/>
                  </w14:solidFill>
                </w14:textFill>
              </w:rPr>
              <w:t>2</w:t>
            </w: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 xml:space="preserve">  项目与《固体废物综合治理行动计划的通知》符合性分析一览表</w:t>
            </w:r>
          </w:p>
          <w:tbl>
            <w:tblPr>
              <w:tblStyle w:val="32"/>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65"/>
              <w:gridCol w:w="2602"/>
              <w:gridCol w:w="876"/>
            </w:tblGrid>
            <w:tr w14:paraId="0DFB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9" w:type="pct"/>
                  <w:noWrap w:val="0"/>
                  <w:vAlign w:val="center"/>
                </w:tcPr>
                <w:p w14:paraId="71CA5E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具体要求</w:t>
                  </w:r>
                </w:p>
              </w:tc>
              <w:tc>
                <w:tcPr>
                  <w:tcW w:w="1796" w:type="pct"/>
                  <w:noWrap w:val="0"/>
                  <w:vAlign w:val="center"/>
                </w:tcPr>
                <w:p w14:paraId="1A7771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本项目情况</w:t>
                  </w:r>
                </w:p>
              </w:tc>
              <w:tc>
                <w:tcPr>
                  <w:tcW w:w="604" w:type="pct"/>
                  <w:noWrap w:val="0"/>
                  <w:vAlign w:val="center"/>
                </w:tcPr>
                <w:p w14:paraId="608807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符合性分析</w:t>
                  </w:r>
                </w:p>
              </w:tc>
            </w:tr>
            <w:tr w14:paraId="66560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3"/>
                  <w:noWrap w:val="0"/>
                  <w:vAlign w:val="center"/>
                </w:tcPr>
                <w:p w14:paraId="0A480386">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二、推动源头管控和减量</w:t>
                  </w:r>
                </w:p>
              </w:tc>
            </w:tr>
            <w:tr w14:paraId="2C4CD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9" w:type="pct"/>
                  <w:noWrap w:val="0"/>
                  <w:vAlign w:val="center"/>
                </w:tcPr>
                <w:p w14:paraId="6F77499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严格落实产业、环保、节能等政策，依法依规淘汰落后产能。强化工业园区固体废物源头管控。大力推行绿色设计，支持企业改进生产工艺和装备，强化工业生产精细化管控，降低固体废物产生强度。推动重有色金属矿采选一体化建设，促进尾矿就近充填回填，原则上不再批准建设无自建矿山、无配套尾矿利用处置设施的选矿项目。推动重点行业固体废物产生量与综合消纳量逐步实现动态平衡</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w:t>
                  </w:r>
                </w:p>
              </w:tc>
              <w:tc>
                <w:tcPr>
                  <w:tcW w:w="1796" w:type="pct"/>
                  <w:noWrap w:val="0"/>
                  <w:vAlign w:val="center"/>
                </w:tcPr>
                <w:p w14:paraId="136556A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本项目严格落实产业、环保、节能等政策，</w:t>
                  </w:r>
                  <w:r>
                    <w:rPr>
                      <w:rFonts w:hint="eastAsia" w:cs="Times New Roman"/>
                      <w:b w:val="0"/>
                      <w:bCs w:val="0"/>
                      <w:color w:val="000000" w:themeColor="text1"/>
                      <w:sz w:val="21"/>
                      <w:szCs w:val="21"/>
                      <w:vertAlign w:val="baseline"/>
                      <w:lang w:val="en-US" w:eastAsia="zh-CN"/>
                      <w14:textFill>
                        <w14:solidFill>
                          <w14:schemeClr w14:val="tx1"/>
                        </w14:solidFill>
                      </w14:textFill>
                    </w:rPr>
                    <w:t>不涉及落后产能。项目固废100%处置，能回收的外售综合利用，不涉及有色金属矿采选、尾矿等。</w:t>
                  </w:r>
                </w:p>
              </w:tc>
              <w:tc>
                <w:tcPr>
                  <w:tcW w:w="604" w:type="pct"/>
                  <w:noWrap w:val="0"/>
                  <w:vAlign w:val="center"/>
                </w:tcPr>
                <w:p w14:paraId="0A04E2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7052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3"/>
                  <w:noWrap w:val="0"/>
                  <w:vAlign w:val="center"/>
                </w:tcPr>
                <w:p w14:paraId="712A5069">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三、规范收集转运和贮存</w:t>
                  </w:r>
                </w:p>
              </w:tc>
            </w:tr>
            <w:tr w14:paraId="74E94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9" w:type="pct"/>
                  <w:noWrap w:val="0"/>
                  <w:vAlign w:val="center"/>
                </w:tcPr>
                <w:p w14:paraId="52562A8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完善工业固体废物管理台账制度，强化全链条跟踪管控。推行工业固体废物分类收集贮存，防范混堆混排。禁止向生活垃圾收集设施中投放工业固体废物。严格执行工业固体废物、危险废物跨省转移审批制度。规范各类企业危险废物收集管理</w:t>
                  </w:r>
                </w:p>
              </w:tc>
              <w:tc>
                <w:tcPr>
                  <w:tcW w:w="1796" w:type="pct"/>
                  <w:noWrap w:val="0"/>
                  <w:vAlign w:val="center"/>
                </w:tcPr>
                <w:p w14:paraId="61F87F8D">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cs="Times New Roman"/>
                      <w:b w:val="0"/>
                      <w:bCs w:val="0"/>
                      <w:color w:val="000000" w:themeColor="text1"/>
                      <w:sz w:val="21"/>
                      <w:szCs w:val="21"/>
                      <w:vertAlign w:val="baseline"/>
                      <w:lang w:val="en-US" w:eastAsia="zh-CN"/>
                      <w14:textFill>
                        <w14:solidFill>
                          <w14:schemeClr w14:val="tx1"/>
                        </w14:solidFill>
                      </w14:textFill>
                    </w:rPr>
                    <w:t>本次评价已要求设置工业固体废物台账，一般固体废物与危险废物均分类收集贮存，按要求设置危废贮存设施，固废100%处置</w:t>
                  </w:r>
                </w:p>
              </w:tc>
              <w:tc>
                <w:tcPr>
                  <w:tcW w:w="604" w:type="pct"/>
                  <w:noWrap w:val="0"/>
                  <w:vAlign w:val="center"/>
                </w:tcPr>
                <w:p w14:paraId="339D86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bl>
          <w:p w14:paraId="0EA9A673">
            <w:pPr>
              <w:pStyle w:val="79"/>
              <w:bidi w:val="0"/>
              <w:rPr>
                <w:rFonts w:hint="default"/>
                <w:b w:val="0"/>
                <w:bCs w:val="0"/>
                <w:color w:val="000000" w:themeColor="text1"/>
                <w:lang w:val="en-US" w:eastAsia="zh-CN"/>
                <w14:textFill>
                  <w14:solidFill>
                    <w14:schemeClr w14:val="tx1"/>
                  </w14:solidFill>
                </w14:textFill>
              </w:rPr>
            </w:pPr>
            <w:r>
              <w:rPr>
                <w:rFonts w:hint="default"/>
                <w:b w:val="0"/>
                <w:bCs w:val="0"/>
                <w:color w:val="000000" w:themeColor="text1"/>
                <w:lang w:val="en-US" w:eastAsia="zh-CN"/>
                <w14:textFill>
                  <w14:solidFill>
                    <w14:schemeClr w14:val="tx1"/>
                  </w14:solidFill>
                </w14:textFill>
              </w:rPr>
              <w:t>由上表可知，项目的建设符合《固体废物综合治理行动计划的通知》的相关要求。</w:t>
            </w:r>
          </w:p>
          <w:p w14:paraId="281E2D1F">
            <w:pPr>
              <w:pStyle w:val="79"/>
              <w:bidi w:val="0"/>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10、与《挥发性有机物污染防治技术政策》（公告2013年 第31号）符合性分析</w:t>
            </w:r>
          </w:p>
          <w:p w14:paraId="4619D2C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表1-1</w:t>
            </w:r>
            <w:r>
              <w:rPr>
                <w:rFonts w:hint="eastAsia" w:cs="Times New Roman"/>
                <w:b/>
                <w:bCs/>
                <w:color w:val="000000" w:themeColor="text1"/>
                <w:kern w:val="0"/>
                <w:sz w:val="21"/>
                <w:szCs w:val="21"/>
                <w:lang w:val="en-US" w:eastAsia="zh-CN"/>
                <w14:textFill>
                  <w14:solidFill>
                    <w14:schemeClr w14:val="tx1"/>
                  </w14:solidFill>
                </w14:textFill>
              </w:rPr>
              <w:t>3</w:t>
            </w: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 xml:space="preserve">  项目与《挥发性有机物污染防治技术政策》符合性分析一览表</w:t>
            </w:r>
          </w:p>
          <w:tbl>
            <w:tblPr>
              <w:tblStyle w:val="32"/>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65"/>
              <w:gridCol w:w="2602"/>
              <w:gridCol w:w="876"/>
            </w:tblGrid>
            <w:tr w14:paraId="1E13C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9" w:type="pct"/>
                  <w:noWrap w:val="0"/>
                  <w:vAlign w:val="center"/>
                </w:tcPr>
                <w:p w14:paraId="0474A4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具体要求</w:t>
                  </w:r>
                </w:p>
              </w:tc>
              <w:tc>
                <w:tcPr>
                  <w:tcW w:w="1796" w:type="pct"/>
                  <w:noWrap w:val="0"/>
                  <w:vAlign w:val="center"/>
                </w:tcPr>
                <w:p w14:paraId="5C9D30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本项目情况</w:t>
                  </w:r>
                </w:p>
              </w:tc>
              <w:tc>
                <w:tcPr>
                  <w:tcW w:w="604" w:type="pct"/>
                  <w:noWrap w:val="0"/>
                  <w:vAlign w:val="center"/>
                </w:tcPr>
                <w:p w14:paraId="2662DE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符合性分析</w:t>
                  </w:r>
                </w:p>
              </w:tc>
            </w:tr>
            <w:tr w14:paraId="577C0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3"/>
                  <w:noWrap w:val="0"/>
                  <w:vAlign w:val="center"/>
                </w:tcPr>
                <w:p w14:paraId="6490283A">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三、末端治理与综合利用</w:t>
                  </w:r>
                </w:p>
              </w:tc>
            </w:tr>
            <w:tr w14:paraId="7D7FA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9" w:type="pct"/>
                  <w:noWrap w:val="0"/>
                  <w:vAlign w:val="center"/>
                </w:tcPr>
                <w:p w14:paraId="4F3A666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kern w:val="2"/>
                      <w:sz w:val="21"/>
                      <w:szCs w:val="21"/>
                      <w:vertAlign w:val="baseli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十三</w:t>
                  </w:r>
                  <w:r>
                    <w:rPr>
                      <w:rFonts w:hint="eastAsia" w:ascii="Times New Roman" w:hAnsi="Times New Roman" w:cs="Times New Roman"/>
                      <w:b w:val="0"/>
                      <w:bCs w:val="0"/>
                      <w:color w:val="000000" w:themeColor="text1"/>
                      <w:kern w:val="2"/>
                      <w:sz w:val="21"/>
                      <w:szCs w:val="21"/>
                      <w:vertAlign w:val="baseli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对于含高浓度VOCs的废气，宜优先采用冷凝回收、吸附回收技术进行回收利用，并辅助以其他治理技术实现达标排放。</w:t>
                  </w:r>
                </w:p>
              </w:tc>
              <w:tc>
                <w:tcPr>
                  <w:tcW w:w="1796" w:type="pct"/>
                  <w:vMerge w:val="restart"/>
                  <w:noWrap w:val="0"/>
                  <w:vAlign w:val="center"/>
                </w:tcPr>
                <w:p w14:paraId="27912C76">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项目生产过程产生的VOCs用集气罩收集经</w:t>
                  </w:r>
                  <w:r>
                    <w:rPr>
                      <w:rFonts w:hint="eastAsia" w:ascii="Times New Roman" w:hAnsi="Times New Roman" w:cs="Times New Roman"/>
                      <w:b w:val="0"/>
                      <w:bCs w:val="0"/>
                      <w:color w:val="000000" w:themeColor="text1"/>
                      <w:sz w:val="21"/>
                      <w:szCs w:val="21"/>
                      <w:vertAlign w:val="baseli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活性炭吸附/脱附+催化燃烧装置</w:t>
                  </w:r>
                  <w:r>
                    <w:rPr>
                      <w:rFonts w:hint="eastAsia" w:ascii="Times New Roman" w:hAnsi="Times New Roman" w:cs="Times New Roman"/>
                      <w:b w:val="0"/>
                      <w:bCs w:val="0"/>
                      <w:color w:val="000000" w:themeColor="text1"/>
                      <w:sz w:val="21"/>
                      <w:szCs w:val="21"/>
                      <w:vertAlign w:val="baseli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处理后达标排放</w:t>
                  </w:r>
                  <w:r>
                    <w:rPr>
                      <w:rFonts w:hint="eastAsia" w:ascii="Times New Roman" w:hAnsi="Times New Roman" w:cs="Times New Roman"/>
                      <w:b w:val="0"/>
                      <w:bCs w:val="0"/>
                      <w:color w:val="000000" w:themeColor="text1"/>
                      <w:sz w:val="21"/>
                      <w:szCs w:val="21"/>
                      <w:vertAlign w:val="baseline"/>
                      <w:lang w:val="en-US" w:eastAsia="zh-CN"/>
                      <w14:textFill>
                        <w14:solidFill>
                          <w14:schemeClr w14:val="tx1"/>
                        </w14:solidFill>
                      </w14:textFill>
                    </w:rPr>
                    <w:t>。</w:t>
                  </w:r>
                </w:p>
              </w:tc>
              <w:tc>
                <w:tcPr>
                  <w:tcW w:w="604" w:type="pct"/>
                  <w:vMerge w:val="restart"/>
                  <w:noWrap w:val="0"/>
                  <w:vAlign w:val="center"/>
                </w:tcPr>
                <w:p w14:paraId="04B1C9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13C5A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9" w:type="pct"/>
                  <w:noWrap w:val="0"/>
                  <w:vAlign w:val="center"/>
                </w:tcPr>
                <w:p w14:paraId="735C19B6">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（十四）对于含中等浓度VOCs的废气，可采用吸附技术回收有机溶剂，或采用催化燃烧和热力焚烧技术净化后达标排放。当采用催化燃烧和热力焚烧技术进行净化时，应进行余热回收利用。</w:t>
                  </w:r>
                </w:p>
              </w:tc>
              <w:tc>
                <w:tcPr>
                  <w:tcW w:w="1796" w:type="pct"/>
                  <w:vMerge w:val="continue"/>
                  <w:noWrap w:val="0"/>
                  <w:vAlign w:val="center"/>
                </w:tcPr>
                <w:p w14:paraId="2502BC4C">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604" w:type="pct"/>
                  <w:vMerge w:val="continue"/>
                  <w:noWrap w:val="0"/>
                  <w:vAlign w:val="center"/>
                </w:tcPr>
                <w:p w14:paraId="0F700C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r>
            <w:tr w14:paraId="65F92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9" w:type="pct"/>
                  <w:noWrap w:val="0"/>
                  <w:vAlign w:val="center"/>
                </w:tcPr>
                <w:p w14:paraId="25EE51B9">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十五）对于含低浓度VOCs的废气，有回收价值时可采用吸附技术、吸收技术对有机溶剂回收后达标排放；不宜回收时，可采用吸附浓缩燃烧技术、生物技术、吸收技术、等离子体技术或紫外光高级氧化技术等净化后达标排放。</w:t>
                  </w:r>
                </w:p>
              </w:tc>
              <w:tc>
                <w:tcPr>
                  <w:tcW w:w="1796" w:type="pct"/>
                  <w:vMerge w:val="continue"/>
                  <w:noWrap w:val="0"/>
                  <w:vAlign w:val="center"/>
                </w:tcPr>
                <w:p w14:paraId="76BA4FD5">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604" w:type="pct"/>
                  <w:vMerge w:val="continue"/>
                  <w:noWrap w:val="0"/>
                  <w:vAlign w:val="center"/>
                </w:tcPr>
                <w:p w14:paraId="2E1E54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r>
            <w:tr w14:paraId="63B33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9" w:type="pct"/>
                  <w:noWrap w:val="0"/>
                  <w:vAlign w:val="center"/>
                </w:tcPr>
                <w:p w14:paraId="0A8B637C">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t>（十九）严格控制VOCs处理过程中产生的二次污染，对于催化燃烧和热力焚烧过程中产生的含硫、氮、氯等无机废气，以及吸附、吸收、冷凝、生物等治理过程中所产生的含有机物废水，应处理后达标排放。</w:t>
                  </w:r>
                </w:p>
              </w:tc>
              <w:tc>
                <w:tcPr>
                  <w:tcW w:w="1796" w:type="pct"/>
                  <w:noWrap w:val="0"/>
                  <w:vAlign w:val="center"/>
                </w:tcPr>
                <w:p w14:paraId="48B646DD">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vertAlign w:val="baseline"/>
                      <w:lang w:val="en-US" w:eastAsia="zh-CN"/>
                      <w14:textFill>
                        <w14:solidFill>
                          <w14:schemeClr w14:val="tx1"/>
                        </w14:solidFill>
                      </w14:textFill>
                    </w:rPr>
                    <w:t>项目“活性炭吸附/脱附+催化燃烧装置”采用电加热方式进行催化，无其他污染物产生。</w:t>
                  </w:r>
                </w:p>
              </w:tc>
              <w:tc>
                <w:tcPr>
                  <w:tcW w:w="604" w:type="pct"/>
                  <w:noWrap w:val="0"/>
                  <w:vAlign w:val="center"/>
                </w:tcPr>
                <w:p w14:paraId="18A787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bl>
          <w:p w14:paraId="11E53267">
            <w:pPr>
              <w:pStyle w:val="79"/>
              <w:bidi w:val="0"/>
              <w:rPr>
                <w:rFonts w:hint="eastAsia"/>
                <w:b/>
                <w:bCs/>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由上表可知，项目有机废气污染防治技术符合《挥发性有机物污染防治技术政策》的相关要求</w:t>
            </w:r>
            <w:r>
              <w:rPr>
                <w:rFonts w:hint="eastAsia"/>
                <w:b/>
                <w:bCs/>
                <w:color w:val="000000" w:themeColor="text1"/>
                <w:lang w:val="en-US" w:eastAsia="zh-CN"/>
                <w14:textFill>
                  <w14:solidFill>
                    <w14:schemeClr w14:val="tx1"/>
                  </w14:solidFill>
                </w14:textFill>
              </w:rPr>
              <w:t>。</w:t>
            </w:r>
          </w:p>
          <w:p w14:paraId="49620550">
            <w:pPr>
              <w:pStyle w:val="79"/>
              <w:bidi w:val="0"/>
              <w:rPr>
                <w:rFonts w:hint="eastAsia"/>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11、与《云南省生态环境厅关于印发云南省重点行业挥发性有机物综合治理实施方案的通知》（云环通〔2019〕125号）符合性分析</w:t>
            </w:r>
          </w:p>
          <w:p w14:paraId="44118D08">
            <w:pPr>
              <w:pStyle w:val="79"/>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云南省生态环境厅于2019年10月10日以“云环通〔2019〕125号”下发关于印发云南省重点行业挥发性有机物综合治理实施方案的通知，项目的符合性分析详见下表。</w:t>
            </w:r>
          </w:p>
          <w:p w14:paraId="680D26D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表</w:t>
            </w:r>
            <w:r>
              <w:rPr>
                <w:rFonts w:hint="eastAsia" w:cs="Times New Roman"/>
                <w:b/>
                <w:bCs/>
                <w:color w:val="000000" w:themeColor="text1"/>
                <w:sz w:val="21"/>
                <w:szCs w:val="21"/>
                <w:lang w:val="en-US" w:eastAsia="zh-CN"/>
                <w14:textFill>
                  <w14:solidFill>
                    <w14:schemeClr w14:val="tx1"/>
                  </w14:solidFill>
                </w14:textFill>
              </w:rPr>
              <w:t>1-14</w:t>
            </w:r>
            <w:r>
              <w:rPr>
                <w:rFonts w:hint="eastAsia" w:ascii="Times New Roman" w:cs="Times New Roman"/>
                <w:b/>
                <w:bCs/>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b/>
                <w:bCs/>
                <w:color w:val="000000" w:themeColor="text1"/>
                <w:sz w:val="21"/>
                <w:szCs w:val="21"/>
                <w14:textFill>
                  <w14:solidFill>
                    <w14:schemeClr w14:val="tx1"/>
                  </w14:solidFill>
                </w14:textFill>
              </w:rPr>
              <w:t>与省重点行业挥发性有机物综合治理实施方案符合性分析</w:t>
            </w:r>
          </w:p>
          <w:tbl>
            <w:tblPr>
              <w:tblStyle w:val="31"/>
              <w:tblW w:w="702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457"/>
              <w:gridCol w:w="1836"/>
              <w:gridCol w:w="734"/>
            </w:tblGrid>
            <w:tr w14:paraId="53CB8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jc w:val="center"/>
              </w:trPr>
              <w:tc>
                <w:tcPr>
                  <w:tcW w:w="3171" w:type="pct"/>
                  <w:noWrap w:val="0"/>
                  <w:vAlign w:val="center"/>
                </w:tcPr>
                <w:p w14:paraId="13B154EF">
                  <w:pPr>
                    <w:widowControl w:val="0"/>
                    <w:snapToGrid w:val="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云南省重点行业挥发性有机物综合治理实施方案</w:t>
                  </w:r>
                </w:p>
              </w:tc>
              <w:tc>
                <w:tcPr>
                  <w:tcW w:w="1306" w:type="pct"/>
                  <w:noWrap w:val="0"/>
                  <w:vAlign w:val="center"/>
                </w:tcPr>
                <w:p w14:paraId="2C80F548">
                  <w:pPr>
                    <w:widowControl w:val="0"/>
                    <w:snapToGrid w:val="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本项目</w:t>
                  </w:r>
                </w:p>
              </w:tc>
              <w:tc>
                <w:tcPr>
                  <w:tcW w:w="522" w:type="pct"/>
                  <w:noWrap w:val="0"/>
                  <w:vAlign w:val="center"/>
                </w:tcPr>
                <w:p w14:paraId="45B84D1E">
                  <w:pPr>
                    <w:widowControl w:val="0"/>
                    <w:snapToGrid w:val="0"/>
                    <w:jc w:val="center"/>
                    <w:rPr>
                      <w:rFonts w:hint="eastAsia"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相符性</w:t>
                  </w:r>
                </w:p>
              </w:tc>
            </w:tr>
            <w:tr w14:paraId="5B797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8" w:hRule="atLeast"/>
                <w:jc w:val="center"/>
              </w:trPr>
              <w:tc>
                <w:tcPr>
                  <w:tcW w:w="3171" w:type="pct"/>
                  <w:noWrap w:val="0"/>
                  <w:vAlign w:val="center"/>
                </w:tcPr>
                <w:p w14:paraId="3A27D2F7">
                  <w:pPr>
                    <w:pStyle w:val="2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aps w:val="0"/>
                      <w:color w:val="000000" w:themeColor="text1"/>
                      <w:spacing w:val="0"/>
                      <w:kern w:val="0"/>
                      <w:sz w:val="21"/>
                      <w:szCs w:val="21"/>
                      <w:lang w:val="en-US" w:eastAsia="zh-CN" w:bidi="ar"/>
                      <w14:textFill>
                        <w14:solidFill>
                          <w14:schemeClr w14:val="tx1"/>
                        </w14:solidFill>
                      </w14:textFill>
                    </w:rPr>
                    <w:t>大力推进源头替代。通过使用水性、粉末、高固体分、无溶剂、辐射固化等低VOCs含量的涂料，水性、辐射固化、植物基等低VOCs含量的油墨，水基、热熔、无溶剂、辐射固化、改性、生物降解等低VOCs含量的胶粘剂，以及低VOCs含量、低反应活性的清洗剂等，替代溶剂型涂料、油墨、胶粘剂、清洗剂等，从源头减少VOCs产生。工业涂装、包装印刷等行业要加大源头替代力度；化工行业要推广使用低（无）VOCs含量、低反应活性的原辅材料，加快对芳香烃、含卤素有机化合物的绿色替代。企业应大力推广使用低VOCs含量木器涂料、车辆涂料、机械设备涂料、集装箱涂料以及建筑物和构筑物防护涂料等，在技术成熟的行业，推广使用低VOCs含量油墨和胶粘剂。鼓励加快低VOCs含量涂料、油墨、胶粘剂等研发和生产。</w:t>
                  </w:r>
                </w:p>
              </w:tc>
              <w:tc>
                <w:tcPr>
                  <w:tcW w:w="1306" w:type="pct"/>
                  <w:noWrap w:val="0"/>
                  <w:vAlign w:val="center"/>
                </w:tcPr>
                <w:p w14:paraId="409A14BD">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t>项目不涉及油墨、胶粘剂使用。</w:t>
                  </w:r>
                </w:p>
              </w:tc>
              <w:tc>
                <w:tcPr>
                  <w:tcW w:w="522" w:type="pct"/>
                  <w:noWrap w:val="0"/>
                  <w:vAlign w:val="center"/>
                </w:tcPr>
                <w:p w14:paraId="373B8D1B">
                  <w:pPr>
                    <w:widowControl w:val="0"/>
                    <w:snapToGrid w:val="0"/>
                    <w:spacing w:line="360" w:lineRule="auto"/>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符合</w:t>
                  </w:r>
                </w:p>
              </w:tc>
            </w:tr>
            <w:tr w14:paraId="0B4D4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3171" w:type="pct"/>
                  <w:noWrap w:val="0"/>
                  <w:vAlign w:val="center"/>
                </w:tcPr>
                <w:p w14:paraId="238346DD">
                  <w:pPr>
                    <w:pStyle w:val="2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aps w:val="0"/>
                      <w:color w:val="000000" w:themeColor="text1"/>
                      <w:spacing w:val="0"/>
                      <w:kern w:val="0"/>
                      <w:sz w:val="21"/>
                      <w:szCs w:val="21"/>
                      <w:lang w:val="en-US" w:eastAsia="zh-CN" w:bidi="ar"/>
                      <w14:textFill>
                        <w14:solidFill>
                          <w14:schemeClr w14:val="tx1"/>
                        </w14:solidFill>
                      </w14:textFill>
                    </w:rPr>
                    <w:t>全面加强无组织排放控制。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无组织排放。</w:t>
                  </w:r>
                </w:p>
              </w:tc>
              <w:tc>
                <w:tcPr>
                  <w:tcW w:w="1306" w:type="pct"/>
                  <w:noWrap w:val="0"/>
                  <w:vAlign w:val="center"/>
                </w:tcPr>
                <w:p w14:paraId="7966D2E7">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pPr>
                  <w:r>
                    <w:rPr>
                      <w:rFonts w:hint="eastAsia" w:ascii="Times New Roman" w:hAnsi="Times New Roman" w:cs="Times New Roman"/>
                      <w:color w:val="000000" w:themeColor="text1"/>
                      <w:sz w:val="21"/>
                      <w:szCs w:val="21"/>
                      <w:lang w:eastAsia="zh-CN"/>
                      <w14:textFill>
                        <w14:solidFill>
                          <w14:schemeClr w14:val="tx1"/>
                        </w14:solidFill>
                      </w14:textFill>
                    </w:rPr>
                    <w:t>项目生产过程产生的</w:t>
                  </w:r>
                  <w:r>
                    <w:rPr>
                      <w:rFonts w:hint="default" w:ascii="Times New Roman" w:hAnsi="Times New Roman" w:eastAsia="宋体" w:cs="Times New Roman"/>
                      <w:color w:val="000000" w:themeColor="text1"/>
                      <w:sz w:val="21"/>
                      <w:szCs w:val="21"/>
                      <w:shd w:val="clear" w:color="auto" w:fill="FFFFFF"/>
                      <w:lang w:eastAsia="zh-CN"/>
                      <w14:textFill>
                        <w14:solidFill>
                          <w14:schemeClr w14:val="tx1"/>
                        </w14:solidFill>
                      </w14:textFill>
                    </w:rPr>
                    <w:t>VOCs</w:t>
                  </w:r>
                  <w:r>
                    <w:rPr>
                      <w:rFonts w:hint="eastAsia" w:ascii="Times New Roman" w:hAnsi="Times New Roman" w:eastAsia="宋体" w:cs="Times New Roman"/>
                      <w:color w:val="000000" w:themeColor="text1"/>
                      <w:sz w:val="21"/>
                      <w:szCs w:val="21"/>
                      <w:shd w:val="clear" w:color="auto" w:fill="FFFFFF"/>
                      <w:lang w:eastAsia="zh-CN"/>
                      <w14:textFill>
                        <w14:solidFill>
                          <w14:schemeClr w14:val="tx1"/>
                        </w14:solidFill>
                      </w14:textFill>
                    </w:rPr>
                    <w:t>用集</w:t>
                  </w:r>
                  <w:r>
                    <w:rPr>
                      <w:rFonts w:hint="eastAsia" w:ascii="Times New Roman" w:hAnsi="Times New Roman" w:eastAsia="宋体" w:cs="Times New Roman"/>
                      <w:color w:val="000000" w:themeColor="text1"/>
                      <w:sz w:val="21"/>
                      <w:szCs w:val="21"/>
                      <w:shd w:val="clear" w:color="auto" w:fill="FFFFFF"/>
                      <w:lang w:val="en-US" w:eastAsia="zh-CN"/>
                      <w14:textFill>
                        <w14:solidFill>
                          <w14:schemeClr w14:val="tx1"/>
                        </w14:solidFill>
                      </w14:textFill>
                    </w:rPr>
                    <w:t>气罩收集经</w:t>
                  </w:r>
                  <w:r>
                    <w:rPr>
                      <w:rFonts w:hint="eastAsia" w:cs="Times New Roman"/>
                      <w:color w:val="000000" w:themeColor="text1"/>
                      <w:sz w:val="21"/>
                      <w:szCs w:val="21"/>
                      <w:shd w:val="clear" w:color="auto" w:fill="FFFFFF"/>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shd w:val="clear" w:color="auto" w:fill="FFFFFF"/>
                      <w:lang w:val="en-US" w:eastAsia="zh-CN"/>
                      <w14:textFill>
                        <w14:solidFill>
                          <w14:schemeClr w14:val="tx1"/>
                        </w14:solidFill>
                      </w14:textFill>
                    </w:rPr>
                    <w:t>活性炭吸附/脱附+催化燃烧装置</w:t>
                  </w:r>
                  <w:r>
                    <w:rPr>
                      <w:rFonts w:hint="eastAsia" w:cs="Times New Roman"/>
                      <w:color w:val="000000" w:themeColor="text1"/>
                      <w:sz w:val="21"/>
                      <w:szCs w:val="21"/>
                      <w:shd w:val="clear" w:color="auto" w:fill="FFFFFF"/>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shd w:val="clear" w:color="auto" w:fill="FFFFFF"/>
                      <w:lang w:val="en-US" w:eastAsia="zh-CN"/>
                      <w14:textFill>
                        <w14:solidFill>
                          <w14:schemeClr w14:val="tx1"/>
                        </w14:solidFill>
                      </w14:textFill>
                    </w:rPr>
                    <w:t>处</w:t>
                  </w:r>
                  <w:r>
                    <w:rPr>
                      <w:rFonts w:hint="eastAsia" w:ascii="Times New Roman" w:hAnsi="Times New Roman" w:cs="Times New Roman"/>
                      <w:color w:val="000000" w:themeColor="text1"/>
                      <w:sz w:val="21"/>
                      <w:szCs w:val="21"/>
                      <w:shd w:val="clear" w:color="auto" w:fill="FFFFFF"/>
                      <w:lang w:val="en-US" w:eastAsia="zh-CN"/>
                      <w14:textFill>
                        <w14:solidFill>
                          <w14:schemeClr w14:val="tx1"/>
                        </w14:solidFill>
                      </w14:textFill>
                    </w:rPr>
                    <w:t>理后达标排放，有效削减了</w:t>
                  </w:r>
                  <w:r>
                    <w:rPr>
                      <w:rFonts w:hint="default" w:ascii="Times New Roman" w:hAnsi="Times New Roman" w:eastAsia="宋体" w:cs="Times New Roman"/>
                      <w:color w:val="000000" w:themeColor="text1"/>
                      <w:sz w:val="21"/>
                      <w:szCs w:val="21"/>
                      <w:shd w:val="clear" w:color="auto" w:fill="FFFFFF"/>
                      <w:lang w:eastAsia="zh-CN"/>
                      <w14:textFill>
                        <w14:solidFill>
                          <w14:schemeClr w14:val="tx1"/>
                        </w14:solidFill>
                      </w14:textFill>
                    </w:rPr>
                    <w:t>VOCs无组织排放。</w:t>
                  </w:r>
                </w:p>
              </w:tc>
              <w:tc>
                <w:tcPr>
                  <w:tcW w:w="522" w:type="pct"/>
                  <w:noWrap w:val="0"/>
                  <w:vAlign w:val="center"/>
                </w:tcPr>
                <w:p w14:paraId="5AC78C13">
                  <w:pPr>
                    <w:widowControl w:val="0"/>
                    <w:snapToGrid w:val="0"/>
                    <w:spacing w:line="360" w:lineRule="auto"/>
                    <w:jc w:val="center"/>
                    <w:rPr>
                      <w:rFonts w:hint="eastAsia" w:ascii="Times New Roman" w:cs="Times New Roman"/>
                      <w:color w:val="000000" w:themeColor="text1"/>
                      <w:sz w:val="21"/>
                      <w:szCs w:val="21"/>
                      <w:lang w:eastAsia="zh-CN"/>
                      <w14:textFill>
                        <w14:solidFill>
                          <w14:schemeClr w14:val="tx1"/>
                        </w14:solidFill>
                      </w14:textFill>
                    </w:rPr>
                  </w:pPr>
                  <w:r>
                    <w:rPr>
                      <w:rFonts w:hint="eastAsia" w:ascii="Times New Roman" w:cs="Times New Roman"/>
                      <w:color w:val="000000" w:themeColor="text1"/>
                      <w:sz w:val="21"/>
                      <w:szCs w:val="21"/>
                      <w:lang w:eastAsia="zh-CN"/>
                      <w14:textFill>
                        <w14:solidFill>
                          <w14:schemeClr w14:val="tx1"/>
                        </w14:solidFill>
                      </w14:textFill>
                    </w:rPr>
                    <w:t>符合</w:t>
                  </w:r>
                </w:p>
              </w:tc>
            </w:tr>
            <w:tr w14:paraId="4698F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1" w:hRule="atLeast"/>
                <w:jc w:val="center"/>
              </w:trPr>
              <w:tc>
                <w:tcPr>
                  <w:tcW w:w="3171" w:type="pct"/>
                  <w:noWrap w:val="0"/>
                  <w:vAlign w:val="center"/>
                </w:tcPr>
                <w:p w14:paraId="6A9CDA71">
                  <w:pPr>
                    <w:pStyle w:val="2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aps w:val="0"/>
                      <w:color w:val="000000" w:themeColor="text1"/>
                      <w:spacing w:val="0"/>
                      <w:kern w:val="0"/>
                      <w:sz w:val="21"/>
                      <w:szCs w:val="21"/>
                      <w:lang w:val="en-US" w:eastAsia="zh-CN" w:bidi="ar"/>
                      <w14:textFill>
                        <w14:solidFill>
                          <w14:schemeClr w14:val="tx1"/>
                        </w14:solidFill>
                      </w14:textFill>
                    </w:rPr>
                    <w:t>加强设备与场所密闭管理。含VOCs物料应储存于密闭容器、包装袋，高效密封储罐，封闭式储库、料仓等。含VOCs物料转移和输送，应采用密闭管道或密闭容器、罐车等。高VOCs含量废水（废水液面上方100毫米处VOCs检测浓度超过200ppm，其中，重点区域超过100ppm，以碳计）的集输、储存和处理过程，应加盖密闭。含VOCs物料生产和使用过程，应采取有效收集措施或在密闭空间中操作。</w:t>
                  </w:r>
                </w:p>
              </w:tc>
              <w:tc>
                <w:tcPr>
                  <w:tcW w:w="1306" w:type="pct"/>
                  <w:noWrap w:val="0"/>
                  <w:vAlign w:val="center"/>
                </w:tcPr>
                <w:p w14:paraId="500CB781">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pPr>
                  <w:r>
                    <w:rPr>
                      <w:rFonts w:hint="eastAsia" w:ascii="Times New Roman" w:hAnsi="Times New Roman" w:cs="Times New Roman"/>
                      <w:color w:val="000000" w:themeColor="text1"/>
                      <w:sz w:val="21"/>
                      <w:szCs w:val="21"/>
                      <w:lang w:eastAsia="zh-CN"/>
                      <w14:textFill>
                        <w14:solidFill>
                          <w14:schemeClr w14:val="tx1"/>
                        </w14:solidFill>
                      </w14:textFill>
                    </w:rPr>
                    <w:t>项目使用</w:t>
                  </w:r>
                  <w:r>
                    <w:rPr>
                      <w:rFonts w:hint="default"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t>生产物料常温下不产生VOCs。</w:t>
                  </w:r>
                </w:p>
              </w:tc>
              <w:tc>
                <w:tcPr>
                  <w:tcW w:w="522" w:type="pct"/>
                  <w:noWrap w:val="0"/>
                  <w:vAlign w:val="center"/>
                </w:tcPr>
                <w:p w14:paraId="18B8EA52">
                  <w:pPr>
                    <w:widowControl w:val="0"/>
                    <w:snapToGrid w:val="0"/>
                    <w:spacing w:line="360" w:lineRule="auto"/>
                    <w:jc w:val="center"/>
                    <w:rPr>
                      <w:rFonts w:hint="eastAsia" w:ascii="Times New Roman" w:cs="Times New Roman"/>
                      <w:color w:val="000000" w:themeColor="text1"/>
                      <w:sz w:val="21"/>
                      <w:szCs w:val="21"/>
                      <w:lang w:eastAsia="zh-CN"/>
                      <w14:textFill>
                        <w14:solidFill>
                          <w14:schemeClr w14:val="tx1"/>
                        </w14:solidFill>
                      </w14:textFill>
                    </w:rPr>
                  </w:pPr>
                  <w:r>
                    <w:rPr>
                      <w:rFonts w:hint="eastAsia" w:ascii="Times New Roman" w:cs="Times New Roman"/>
                      <w:color w:val="000000" w:themeColor="text1"/>
                      <w:sz w:val="21"/>
                      <w:szCs w:val="21"/>
                      <w:lang w:eastAsia="zh-CN"/>
                      <w14:textFill>
                        <w14:solidFill>
                          <w14:schemeClr w14:val="tx1"/>
                        </w14:solidFill>
                      </w14:textFill>
                    </w:rPr>
                    <w:t>符合</w:t>
                  </w:r>
                </w:p>
              </w:tc>
            </w:tr>
            <w:tr w14:paraId="6CDEF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7" w:hRule="atLeast"/>
                <w:jc w:val="center"/>
              </w:trPr>
              <w:tc>
                <w:tcPr>
                  <w:tcW w:w="3171" w:type="pct"/>
                  <w:noWrap w:val="0"/>
                  <w:vAlign w:val="center"/>
                </w:tcPr>
                <w:p w14:paraId="28E25921">
                  <w:pPr>
                    <w:pStyle w:val="2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i w:val="0"/>
                      <w:iCs w:val="0"/>
                      <w:caps w:val="0"/>
                      <w:color w:val="000000" w:themeColor="text1"/>
                      <w:spacing w:val="0"/>
                      <w:kern w:val="0"/>
                      <w:sz w:val="21"/>
                      <w:szCs w:val="21"/>
                      <w:lang w:val="en-US" w:eastAsia="zh-CN" w:bidi="ar"/>
                      <w14:textFill>
                        <w14:solidFill>
                          <w14:schemeClr w14:val="tx1"/>
                        </w14:solidFill>
                      </w14:textFill>
                    </w:rPr>
                  </w:pPr>
                  <w:r>
                    <w:rPr>
                      <w:rFonts w:hint="default" w:ascii="Times New Roman" w:hAnsi="Times New Roman" w:eastAsia="宋体" w:cs="Times New Roman"/>
                      <w:i w:val="0"/>
                      <w:iCs w:val="0"/>
                      <w:caps w:val="0"/>
                      <w:color w:val="000000" w:themeColor="text1"/>
                      <w:spacing w:val="0"/>
                      <w:kern w:val="0"/>
                      <w:sz w:val="21"/>
                      <w:szCs w:val="21"/>
                      <w:lang w:val="en-US" w:eastAsia="zh-CN" w:bidi="ar"/>
                      <w14:textFill>
                        <w14:solidFill>
                          <w14:schemeClr w14:val="tx1"/>
                        </w14:solidFill>
                      </w14:textFill>
                    </w:rPr>
                    <w:t>推进使用先进生产工艺。通过采用全密闭、连续化、自动化等生产技术，以及高效工艺与设备等，减少工艺过程无组织排放。挥发性有机液体装载优先采用底部装载方式。石化、化工行业重点推进使用低（无）泄漏的泵、压缩机、过滤机、离心机、干燥设备等，推广采用油品在线调和技术、密闭式循环水冷却系统等。工业涂装行业重点推进使用紧凑式涂装工艺，推广采用辊涂、静电喷涂、高压无气喷涂、空气辅助无气喷涂、热喷涂等涂装技术，鼓励企业采用自动化、智能化喷涂设备替代人工喷涂，减少使用空气喷涂技术。包装印刷行业大力推广使用无溶剂复合、挤出复合、共挤出复合技术，鼓励采用水性凹印、醇水凹印、辐射固化凹印、柔版印刷、无水胶印等印刷工艺。</w:t>
                  </w:r>
                </w:p>
              </w:tc>
              <w:tc>
                <w:tcPr>
                  <w:tcW w:w="1306" w:type="pct"/>
                  <w:noWrap w:val="0"/>
                  <w:vAlign w:val="center"/>
                </w:tcPr>
                <w:p w14:paraId="4F4CE01D">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shd w:val="clear" w:color="auto" w:fill="FFFFFF"/>
                      <w:lang w:eastAsia="zh-CN"/>
                      <w14:textFill>
                        <w14:solidFill>
                          <w14:schemeClr w14:val="tx1"/>
                        </w14:solidFill>
                      </w14:textFill>
                    </w:rPr>
                    <w:t>本项目属于</w:t>
                  </w:r>
                  <w:r>
                    <w:rPr>
                      <w:rFonts w:hint="eastAsia" w:cs="Times New Roman"/>
                      <w:color w:val="000000" w:themeColor="text1"/>
                      <w:sz w:val="21"/>
                      <w:szCs w:val="21"/>
                      <w:shd w:val="clear" w:color="auto" w:fill="FFFFFF"/>
                      <w:lang w:val="en-US" w:eastAsia="zh-CN"/>
                      <w14:textFill>
                        <w14:solidFill>
                          <w14:schemeClr w14:val="tx1"/>
                        </w14:solidFill>
                      </w14:textFill>
                    </w:rPr>
                    <w:t>日用塑料制品制造</w:t>
                  </w:r>
                  <w:r>
                    <w:rPr>
                      <w:rFonts w:hint="default" w:ascii="Times New Roman" w:hAnsi="Times New Roman" w:eastAsia="宋体" w:cs="Times New Roman"/>
                      <w:color w:val="000000" w:themeColor="text1"/>
                      <w:sz w:val="21"/>
                      <w:szCs w:val="21"/>
                      <w:shd w:val="clear" w:color="auto" w:fill="FFFFFF"/>
                      <w:lang w:val="en-US" w:eastAsia="zh-CN"/>
                      <w14:textFill>
                        <w14:solidFill>
                          <w14:schemeClr w14:val="tx1"/>
                        </w14:solidFill>
                      </w14:textFill>
                    </w:rPr>
                    <w:t>生产</w:t>
                  </w:r>
                  <w:r>
                    <w:rPr>
                      <w:rFonts w:hint="default" w:ascii="Times New Roman" w:hAnsi="Times New Roman" w:eastAsia="宋体" w:cs="Times New Roman"/>
                      <w:color w:val="000000" w:themeColor="text1"/>
                      <w:sz w:val="21"/>
                      <w:szCs w:val="21"/>
                      <w:shd w:val="clear" w:color="auto" w:fill="FFFFFF"/>
                      <w:lang w:eastAsia="zh-CN"/>
                      <w14:textFill>
                        <w14:solidFill>
                          <w14:schemeClr w14:val="tx1"/>
                        </w14:solidFill>
                      </w14:textFill>
                    </w:rPr>
                    <w:t>行业，不涉及石化、化工等</w:t>
                  </w:r>
                  <w:r>
                    <w:rPr>
                      <w:rFonts w:hint="default" w:ascii="Times New Roman" w:hAnsi="Times New Roman" w:eastAsia="宋体" w:cs="Times New Roman"/>
                      <w:color w:val="000000" w:themeColor="text1"/>
                      <w:sz w:val="21"/>
                      <w:szCs w:val="21"/>
                      <w:shd w:val="clear" w:color="auto" w:fill="FFFFFF"/>
                      <w:lang w:val="en-US" w:eastAsia="zh-CN"/>
                      <w14:textFill>
                        <w14:solidFill>
                          <w14:schemeClr w14:val="tx1"/>
                        </w14:solidFill>
                      </w14:textFill>
                    </w:rPr>
                    <w:t>行业，</w:t>
                  </w:r>
                  <w:r>
                    <w:rPr>
                      <w:rFonts w:hint="eastAsia" w:ascii="Times New Roman" w:hAnsi="Times New Roman" w:eastAsia="宋体" w:cs="Times New Roman"/>
                      <w:color w:val="000000" w:themeColor="text1"/>
                      <w:sz w:val="21"/>
                      <w:szCs w:val="21"/>
                      <w:shd w:val="clear" w:color="auto" w:fill="FFFFFF"/>
                      <w:lang w:val="en-US" w:eastAsia="zh-CN"/>
                      <w14:textFill>
                        <w14:solidFill>
                          <w14:schemeClr w14:val="tx1"/>
                        </w14:solidFill>
                      </w14:textFill>
                    </w:rPr>
                    <w:t>不属于工业涂装行业</w:t>
                  </w:r>
                  <w:r>
                    <w:rPr>
                      <w:rFonts w:hint="default" w:ascii="Times New Roman" w:hAnsi="Times New Roman" w:eastAsia="宋体" w:cs="Times New Roman"/>
                      <w:color w:val="000000" w:themeColor="text1"/>
                      <w:sz w:val="21"/>
                      <w:szCs w:val="21"/>
                      <w:shd w:val="clear" w:color="auto" w:fill="FFFFFF"/>
                      <w:lang w:eastAsia="zh-CN"/>
                      <w14:textFill>
                        <w14:solidFill>
                          <w14:schemeClr w14:val="tx1"/>
                        </w14:solidFill>
                      </w14:textFill>
                    </w:rPr>
                    <w:t>。</w:t>
                  </w:r>
                </w:p>
              </w:tc>
              <w:tc>
                <w:tcPr>
                  <w:tcW w:w="522" w:type="pct"/>
                  <w:noWrap w:val="0"/>
                  <w:vAlign w:val="center"/>
                </w:tcPr>
                <w:p w14:paraId="000304C7">
                  <w:pPr>
                    <w:widowControl w:val="0"/>
                    <w:snapToGrid w:val="0"/>
                    <w:spacing w:line="360" w:lineRule="auto"/>
                    <w:jc w:val="center"/>
                    <w:rPr>
                      <w:rFonts w:hint="eastAsia" w:ascii="Times New Roman" w:cs="Times New Roman"/>
                      <w:color w:val="000000" w:themeColor="text1"/>
                      <w:sz w:val="21"/>
                      <w:szCs w:val="21"/>
                      <w:lang w:eastAsia="zh-CN"/>
                      <w14:textFill>
                        <w14:solidFill>
                          <w14:schemeClr w14:val="tx1"/>
                        </w14:solidFill>
                      </w14:textFill>
                    </w:rPr>
                  </w:pPr>
                  <w:r>
                    <w:rPr>
                      <w:rFonts w:hint="eastAsia" w:ascii="Times New Roman" w:cs="Times New Roman"/>
                      <w:color w:val="000000" w:themeColor="text1"/>
                      <w:sz w:val="21"/>
                      <w:szCs w:val="21"/>
                      <w:lang w:eastAsia="zh-CN"/>
                      <w14:textFill>
                        <w14:solidFill>
                          <w14:schemeClr w14:val="tx1"/>
                        </w14:solidFill>
                      </w14:textFill>
                    </w:rPr>
                    <w:t>符合</w:t>
                  </w:r>
                </w:p>
              </w:tc>
            </w:tr>
            <w:tr w14:paraId="7E596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jc w:val="center"/>
              </w:trPr>
              <w:tc>
                <w:tcPr>
                  <w:tcW w:w="3171" w:type="pct"/>
                  <w:noWrap w:val="0"/>
                  <w:vAlign w:val="center"/>
                </w:tcPr>
                <w:p w14:paraId="7FFD0058">
                  <w:pPr>
                    <w:keepNext w:val="0"/>
                    <w:keepLines w:val="0"/>
                    <w:pageBreakBefore w:val="0"/>
                    <w:widowControl w:val="0"/>
                    <w:kinsoku/>
                    <w:wordWrap/>
                    <w:overflowPunct/>
                    <w:topLinePunct w:val="0"/>
                    <w:autoSpaceDN/>
                    <w:bidi w:val="0"/>
                    <w:adjustRightInd w:val="0"/>
                    <w:snapToGrid w:val="0"/>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shd w:val="clear" w:color="auto" w:fill="FFFFFF"/>
                      <w14:textFill>
                        <w14:solidFill>
                          <w14:schemeClr w14:val="tx1"/>
                        </w14:solidFill>
                      </w14:textFill>
                    </w:rPr>
                    <w:t>提高废气收集率。遵循</w:t>
                  </w:r>
                  <w:r>
                    <w:rPr>
                      <w:rFonts w:hint="eastAsia" w:cs="Times New Roman"/>
                      <w:color w:val="000000" w:themeColor="text1"/>
                      <w:sz w:val="21"/>
                      <w:szCs w:val="21"/>
                      <w:shd w:val="clear" w:color="auto" w:fill="FFFFFF"/>
                      <w:lang w:eastAsia="zh-CN"/>
                      <w14:textFill>
                        <w14:solidFill>
                          <w14:schemeClr w14:val="tx1"/>
                        </w14:solidFill>
                      </w14:textFill>
                    </w:rPr>
                    <w:t>“</w:t>
                  </w:r>
                  <w:r>
                    <w:rPr>
                      <w:rFonts w:hint="default" w:ascii="Times New Roman" w:hAnsi="Times New Roman" w:eastAsia="宋体" w:cs="Times New Roman"/>
                      <w:color w:val="000000" w:themeColor="text1"/>
                      <w:sz w:val="21"/>
                      <w:szCs w:val="21"/>
                      <w:shd w:val="clear" w:color="auto" w:fill="FFFFFF"/>
                      <w14:textFill>
                        <w14:solidFill>
                          <w14:schemeClr w14:val="tx1"/>
                        </w14:solidFill>
                      </w14:textFill>
                    </w:rPr>
                    <w:t>应收尽收、分质收集</w:t>
                  </w:r>
                  <w:r>
                    <w:rPr>
                      <w:rFonts w:hint="eastAsia" w:cs="Times New Roman"/>
                      <w:color w:val="000000" w:themeColor="text1"/>
                      <w:sz w:val="21"/>
                      <w:szCs w:val="21"/>
                      <w:shd w:val="clear" w:color="auto" w:fill="FFFFFF"/>
                      <w:lang w:eastAsia="zh-CN"/>
                      <w14:textFill>
                        <w14:solidFill>
                          <w14:schemeClr w14:val="tx1"/>
                        </w14:solidFill>
                      </w14:textFill>
                    </w:rPr>
                    <w:t>”</w:t>
                  </w:r>
                  <w:r>
                    <w:rPr>
                      <w:rFonts w:hint="default" w:ascii="Times New Roman" w:hAnsi="Times New Roman" w:eastAsia="宋体" w:cs="Times New Roman"/>
                      <w:color w:val="000000" w:themeColor="text1"/>
                      <w:sz w:val="21"/>
                      <w:szCs w:val="21"/>
                      <w:shd w:val="clear" w:color="auto" w:fill="FFFFFF"/>
                      <w14:textFill>
                        <w14:solidFill>
                          <w14:schemeClr w14:val="tx1"/>
                        </w14:solidFill>
                      </w14:textFill>
                    </w:rPr>
                    <w:t>的原则，科学设计废气收集系统，将无组织排放转变为有组织排放进行控制。采用全密闭集气罩或密闭空间的，除行业有特殊要求外，应保持微负压状态，并根据相关规范合理设置通风量。采用局部集气罩的，距集气罩开口面最远处的VOCs 无组织排放位置，控制风速应不低于0.3米/秒，有行业要求的按相关规定执行。</w:t>
                  </w:r>
                </w:p>
              </w:tc>
              <w:tc>
                <w:tcPr>
                  <w:tcW w:w="1306" w:type="pct"/>
                  <w:noWrap w:val="0"/>
                  <w:vAlign w:val="center"/>
                </w:tcPr>
                <w:p w14:paraId="58C6235D">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t>项目</w:t>
                  </w:r>
                  <w:r>
                    <w:rPr>
                      <w:rFonts w:hint="eastAsia"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t>生产过程产生的有机</w:t>
                  </w:r>
                  <w:r>
                    <w:rPr>
                      <w:rFonts w:hint="default"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t>废气</w:t>
                  </w:r>
                  <w:r>
                    <w:rPr>
                      <w:rFonts w:hint="eastAsia"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t>经集气罩收集后进入</w:t>
                  </w:r>
                  <w:r>
                    <w:rPr>
                      <w:rFonts w:hint="eastAsia" w:cs="Times New Roman"/>
                      <w:color w:val="000000" w:themeColor="text1"/>
                      <w:sz w:val="21"/>
                      <w:szCs w:val="21"/>
                      <w:highlight w:val="none"/>
                      <w:shd w:val="clear" w:color="auto" w:fill="FFFFFF"/>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t>活性炭吸附/脱附+催化燃烧装置</w:t>
                  </w:r>
                  <w:r>
                    <w:rPr>
                      <w:rFonts w:hint="eastAsia" w:cs="Times New Roman"/>
                      <w:color w:val="000000" w:themeColor="text1"/>
                      <w:sz w:val="21"/>
                      <w:szCs w:val="21"/>
                      <w:highlight w:val="none"/>
                      <w:shd w:val="clear" w:color="auto" w:fill="FFFFFF"/>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t>处理后通过车间排气筒高空排放。</w:t>
                  </w:r>
                </w:p>
              </w:tc>
              <w:tc>
                <w:tcPr>
                  <w:tcW w:w="522" w:type="pct"/>
                  <w:noWrap w:val="0"/>
                  <w:vAlign w:val="center"/>
                </w:tcPr>
                <w:p w14:paraId="76F63B7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color w:val="000000" w:themeColor="text1"/>
                      <w:sz w:val="21"/>
                      <w:szCs w:val="21"/>
                      <w:lang w:eastAsia="zh-CN"/>
                      <w14:textFill>
                        <w14:solidFill>
                          <w14:schemeClr w14:val="tx1"/>
                        </w14:solidFill>
                      </w14:textFill>
                    </w:rPr>
                    <w:t>符合</w:t>
                  </w:r>
                </w:p>
              </w:tc>
            </w:tr>
            <w:tr w14:paraId="0CA83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3171" w:type="pct"/>
                  <w:noWrap w:val="0"/>
                  <w:vAlign w:val="center"/>
                </w:tcPr>
                <w:p w14:paraId="442CD896">
                  <w:pPr>
                    <w:pStyle w:val="2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shd w:val="clear" w:color="auto" w:fill="FFFFFF"/>
                      <w14:textFill>
                        <w14:solidFill>
                          <w14:schemeClr w14:val="tx1"/>
                        </w14:solidFill>
                      </w14:textFill>
                    </w:rPr>
                  </w:pPr>
                  <w:r>
                    <w:rPr>
                      <w:rFonts w:hint="default" w:ascii="Times New Roman" w:hAnsi="Times New Roman" w:eastAsia="宋体" w:cs="Times New Roman"/>
                      <w:i w:val="0"/>
                      <w:iCs w:val="0"/>
                      <w:caps w:val="0"/>
                      <w:color w:val="000000" w:themeColor="text1"/>
                      <w:spacing w:val="0"/>
                      <w:kern w:val="0"/>
                      <w:sz w:val="21"/>
                      <w:szCs w:val="21"/>
                      <w:lang w:val="en-US" w:eastAsia="zh-CN" w:bidi="ar"/>
                      <w14:textFill>
                        <w14:solidFill>
                          <w14:schemeClr w14:val="tx1"/>
                        </w14:solidFill>
                      </w14:textFill>
                    </w:rPr>
                    <w:t>推进建设适宜高效的治污设施。企业新建治污设施或对现有治污设施实施改造，应依据排放废气的浓度、组分、风量，温度、湿度、压力，以及生产工况等，合理选择治理技术。鼓励企业采用多种技术的组合工艺，提高VOCs治理效率。低浓度、大风量废气，宜采用沸石转轮吸附、活性炭吸附、减风增浓等浓缩技术，提高VOCs浓度后净化处理；高浓度废气，优先进行溶剂回收，难以回收的，宜采用高温焚烧、催化燃烧等技术。油气（溶剂）回收宜采用冷凝+吸附、吸附+吸收、膜分离+吸附等技术。低温等离子、光催化、光氧化技术主要适用于恶臭异味等治理；生物法主要适用于低浓度VOCs废气治理和恶臭异味治理。非水溶性的VOCs废气禁止采用水或水溶液喷淋吸收处理。采用一次性活性炭吸附技术的，应定期更换活性炭，废旧活性炭应再生或处理处置。有条件的工业园区和产业集群等，推广集中喷涂、溶剂集中回收、活性炭集中再生等，加强资源共享，提高VOCs治理效率。</w:t>
                  </w:r>
                </w:p>
              </w:tc>
              <w:tc>
                <w:tcPr>
                  <w:tcW w:w="1306" w:type="pct"/>
                  <w:noWrap w:val="0"/>
                  <w:vAlign w:val="center"/>
                </w:tcPr>
                <w:p w14:paraId="68AB7BE3">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t>项目生产过程产生的有机废气</w:t>
                  </w:r>
                  <w:r>
                    <w:rPr>
                      <w:rFonts w:hint="eastAsia" w:ascii="Times New Roman" w:hAnsi="Times New Roman" w:cs="Times New Roman"/>
                      <w:color w:val="000000" w:themeColor="text1"/>
                      <w:sz w:val="21"/>
                      <w:szCs w:val="21"/>
                      <w:highlight w:val="none"/>
                      <w:shd w:val="clear" w:color="auto" w:fill="FFFFFF"/>
                      <w:lang w:val="en-US" w:eastAsia="zh-CN"/>
                      <w14:textFill>
                        <w14:solidFill>
                          <w14:schemeClr w14:val="tx1"/>
                        </w14:solidFill>
                      </w14:textFill>
                    </w:rPr>
                    <w:t>经集气罩收集后进入</w:t>
                  </w:r>
                  <w:r>
                    <w:rPr>
                      <w:rFonts w:hint="eastAsia" w:cs="Times New Roman"/>
                      <w:color w:val="000000" w:themeColor="text1"/>
                      <w:sz w:val="21"/>
                      <w:szCs w:val="21"/>
                      <w:lang w:eastAsia="zh-CN"/>
                      <w14:textFill>
                        <w14:solidFill>
                          <w14:schemeClr w14:val="tx1"/>
                        </w14:solidFill>
                      </w14:textFill>
                    </w:rPr>
                    <w:t>“</w:t>
                  </w:r>
                  <w:r>
                    <w:rPr>
                      <w:rFonts w:hint="eastAsia"/>
                      <w:color w:val="000000" w:themeColor="text1"/>
                      <w14:textFill>
                        <w14:solidFill>
                          <w14:schemeClr w14:val="tx1"/>
                        </w14:solidFill>
                      </w14:textFill>
                    </w:rPr>
                    <w:t>活性炭吸附/脱附+催化燃烧装置</w:t>
                  </w:r>
                  <w:r>
                    <w:rPr>
                      <w:rFonts w:hint="eastAsia" w:cs="Times New Roman"/>
                      <w:b w:val="0"/>
                      <w:bCs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t>处理后通过车间排气筒高空排放。</w:t>
                  </w:r>
                </w:p>
              </w:tc>
              <w:tc>
                <w:tcPr>
                  <w:tcW w:w="522" w:type="pct"/>
                  <w:noWrap w:val="0"/>
                  <w:vAlign w:val="center"/>
                </w:tcPr>
                <w:p w14:paraId="7BB3CD3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color w:val="000000" w:themeColor="text1"/>
                      <w:sz w:val="21"/>
                      <w:szCs w:val="21"/>
                      <w:lang w:eastAsia="zh-CN"/>
                      <w14:textFill>
                        <w14:solidFill>
                          <w14:schemeClr w14:val="tx1"/>
                        </w14:solidFill>
                      </w14:textFill>
                    </w:rPr>
                    <w:t>符合</w:t>
                  </w:r>
                </w:p>
              </w:tc>
            </w:tr>
          </w:tbl>
          <w:p w14:paraId="6C769FFC">
            <w:pPr>
              <w:pStyle w:val="79"/>
              <w:bidi w:val="0"/>
              <w:rPr>
                <w:rFonts w:hint="eastAsia"/>
                <w:color w:val="000000" w:themeColor="text1"/>
                <w:lang w:val="en-US" w:eastAsia="zh-CN"/>
                <w14:textFill>
                  <w14:solidFill>
                    <w14:schemeClr w14:val="tx1"/>
                  </w14:solidFill>
                </w14:textFill>
              </w:rPr>
            </w:pPr>
            <w:r>
              <w:rPr>
                <w:rFonts w:hint="default" w:ascii="Times New Roman" w:hAnsi="Times New Roman" w:cs="Times New Roman"/>
                <w:color w:val="000000" w:themeColor="text1"/>
                <w:spacing w:val="-11"/>
                <w:sz w:val="24"/>
                <w:szCs w:val="24"/>
                <w14:textFill>
                  <w14:solidFill>
                    <w14:schemeClr w14:val="tx1"/>
                  </w14:solidFill>
                </w14:textFill>
              </w:rPr>
              <w:t>根据上述分析，本项目与</w:t>
            </w:r>
            <w:r>
              <w:rPr>
                <w:rFonts w:hint="default" w:ascii="Times New Roman" w:hAnsi="Times New Roman" w:cs="Times New Roman"/>
                <w:color w:val="000000" w:themeColor="text1"/>
                <w:sz w:val="24"/>
                <w:szCs w:val="24"/>
                <w14:textFill>
                  <w14:solidFill>
                    <w14:schemeClr w14:val="tx1"/>
                  </w14:solidFill>
                </w14:textFill>
              </w:rPr>
              <w:t>云南省重点行业挥发性有机物综合治理实施方案的通知</w:t>
            </w:r>
            <w:r>
              <w:rPr>
                <w:rFonts w:hint="default" w:ascii="Times New Roman" w:hAnsi="Times New Roman" w:cs="Times New Roman"/>
                <w:color w:val="000000" w:themeColor="text1"/>
                <w:spacing w:val="-11"/>
                <w:sz w:val="24"/>
                <w:szCs w:val="24"/>
                <w14:textFill>
                  <w14:solidFill>
                    <w14:schemeClr w14:val="tx1"/>
                  </w14:solidFill>
                </w14:textFill>
              </w:rPr>
              <w:t>的相</w:t>
            </w:r>
            <w:r>
              <w:rPr>
                <w:rFonts w:hint="default" w:ascii="Times New Roman" w:hAnsi="Times New Roman" w:cs="Times New Roman"/>
                <w:color w:val="000000" w:themeColor="text1"/>
                <w:sz w:val="24"/>
                <w:szCs w:val="24"/>
                <w14:textFill>
                  <w14:solidFill>
                    <w14:schemeClr w14:val="tx1"/>
                  </w14:solidFill>
                </w14:textFill>
              </w:rPr>
              <w:t>关要求相符合</w:t>
            </w:r>
            <w:r>
              <w:rPr>
                <w:rFonts w:hint="eastAsia" w:ascii="Times New Roman" w:hAnsi="Times New Roman" w:cs="Times New Roman"/>
                <w:color w:val="000000" w:themeColor="text1"/>
                <w:sz w:val="24"/>
                <w:szCs w:val="24"/>
                <w:lang w:eastAsia="zh-CN"/>
                <w14:textFill>
                  <w14:solidFill>
                    <w14:schemeClr w14:val="tx1"/>
                  </w14:solidFill>
                </w14:textFill>
              </w:rPr>
              <w:t>。</w:t>
            </w:r>
          </w:p>
          <w:p w14:paraId="0570A3BD">
            <w:pPr>
              <w:pStyle w:val="79"/>
              <w:bidi w:val="0"/>
              <w:rPr>
                <w:rFonts w:hint="eastAsia"/>
                <w:b/>
                <w:bCs/>
                <w:color w:val="000000" w:themeColor="text1"/>
                <w:lang w:val="en-US" w:eastAsia="zh-CN"/>
                <w14:textFill>
                  <w14:solidFill>
                    <w14:schemeClr w14:val="tx1"/>
                  </w14:solidFill>
                </w14:textFill>
              </w:rPr>
            </w:pPr>
          </w:p>
          <w:p w14:paraId="4028203F">
            <w:pPr>
              <w:pStyle w:val="79"/>
              <w:bidi w:val="0"/>
              <w:rPr>
                <w:rFonts w:hint="eastAsia"/>
                <w:b/>
                <w:bCs/>
                <w:color w:val="000000" w:themeColor="text1"/>
                <w:lang w:val="en-US" w:eastAsia="zh-CN"/>
                <w14:textFill>
                  <w14:solidFill>
                    <w14:schemeClr w14:val="tx1"/>
                  </w14:solidFill>
                </w14:textFill>
              </w:rPr>
            </w:pPr>
          </w:p>
          <w:p w14:paraId="3478138E">
            <w:pPr>
              <w:pStyle w:val="79"/>
              <w:bidi w:val="0"/>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12、与《玉溪市重点行业挥发性有机物综合治理实施方案》的符合性分析</w:t>
            </w:r>
          </w:p>
          <w:p w14:paraId="4428CFC5">
            <w:pPr>
              <w:spacing w:line="360" w:lineRule="auto"/>
              <w:ind w:firstLine="480" w:firstLineChars="200"/>
              <w:rPr>
                <w:rFonts w:hint="default" w:ascii="Times New Roman" w:hAnsi="Times New Roman" w:eastAsia="宋体" w:cs="Times New Roman"/>
                <w:b w:val="0"/>
                <w:bCs w:val="0"/>
                <w:color w:val="000000" w:themeColor="text1"/>
                <w:kern w:val="0"/>
                <w:sz w:val="24"/>
                <w:szCs w:val="24"/>
                <w:u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u w:val="none"/>
                <w:lang w:val="en-US" w:eastAsia="zh-CN" w:bidi="ar-SA"/>
                <w14:textFill>
                  <w14:solidFill>
                    <w14:schemeClr w14:val="tx1"/>
                  </w14:solidFill>
                </w14:textFill>
              </w:rPr>
              <w:t>项目建设与《</w:t>
            </w:r>
            <w:r>
              <w:rPr>
                <w:rFonts w:hint="eastAsia" w:ascii="Times New Roman" w:hAnsi="Times New Roman" w:eastAsia="宋体" w:cs="Times New Roman"/>
                <w:b w:val="0"/>
                <w:bCs w:val="0"/>
                <w:color w:val="000000" w:themeColor="text1"/>
                <w:kern w:val="0"/>
                <w:sz w:val="24"/>
                <w:szCs w:val="24"/>
                <w:u w:val="none"/>
                <w:lang w:val="en-US" w:eastAsia="zh-CN" w:bidi="ar-SA"/>
                <w14:textFill>
                  <w14:solidFill>
                    <w14:schemeClr w14:val="tx1"/>
                  </w14:solidFill>
                </w14:textFill>
              </w:rPr>
              <w:t>玉溪市重点行业挥发性有机物综合治理实施方案</w:t>
            </w:r>
            <w:r>
              <w:rPr>
                <w:rFonts w:hint="default" w:ascii="Times New Roman" w:hAnsi="Times New Roman" w:eastAsia="宋体" w:cs="Times New Roman"/>
                <w:b w:val="0"/>
                <w:bCs w:val="0"/>
                <w:color w:val="000000" w:themeColor="text1"/>
                <w:kern w:val="0"/>
                <w:sz w:val="24"/>
                <w:szCs w:val="24"/>
                <w:u w:val="none"/>
                <w:lang w:val="en-US" w:eastAsia="zh-CN" w:bidi="ar-SA"/>
                <w14:textFill>
                  <w14:solidFill>
                    <w14:schemeClr w14:val="tx1"/>
                  </w14:solidFill>
                </w14:textFill>
              </w:rPr>
              <w:t>》相符性分析如下</w:t>
            </w:r>
            <w:r>
              <w:rPr>
                <w:rFonts w:hint="eastAsia" w:ascii="Times New Roman" w:hAnsi="Times New Roman" w:eastAsia="宋体" w:cs="Times New Roman"/>
                <w:b w:val="0"/>
                <w:bCs w:val="0"/>
                <w:color w:val="000000" w:themeColor="text1"/>
                <w:kern w:val="0"/>
                <w:sz w:val="24"/>
                <w:szCs w:val="24"/>
                <w:u w:val="none"/>
                <w:lang w:val="en-US" w:eastAsia="zh-CN" w:bidi="ar-SA"/>
                <w14:textFill>
                  <w14:solidFill>
                    <w14:schemeClr w14:val="tx1"/>
                  </w14:solidFill>
                </w14:textFill>
              </w:rPr>
              <w:t>。</w:t>
            </w:r>
          </w:p>
          <w:p w14:paraId="544002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表</w:t>
            </w:r>
            <w:r>
              <w:rPr>
                <w:rFonts w:hint="eastAsia" w:cs="Times New Roman"/>
                <w:b/>
                <w:bCs w:val="0"/>
                <w:color w:val="000000" w:themeColor="text1"/>
                <w:sz w:val="21"/>
                <w:szCs w:val="21"/>
                <w:lang w:val="en-US" w:eastAsia="zh-CN"/>
                <w14:textFill>
                  <w14:solidFill>
                    <w14:schemeClr w14:val="tx1"/>
                  </w14:solidFill>
                </w14:textFill>
              </w:rPr>
              <w:t>1-15</w:t>
            </w:r>
            <w:r>
              <w:rPr>
                <w:rFonts w:hint="default" w:ascii="Times New Roman" w:hAnsi="Times New Roman" w:cs="Times New Roman"/>
                <w:b/>
                <w:bCs w:val="0"/>
                <w:color w:val="000000" w:themeColor="text1"/>
                <w:sz w:val="21"/>
                <w:szCs w:val="21"/>
                <w:lang w:val="en-US" w:eastAsia="zh-CN"/>
                <w14:textFill>
                  <w14:solidFill>
                    <w14:schemeClr w14:val="tx1"/>
                  </w14:solidFill>
                </w14:textFill>
              </w:rPr>
              <w:t xml:space="preserve">  </w:t>
            </w:r>
            <w:r>
              <w:rPr>
                <w:rFonts w:hint="eastAsia" w:cs="Times New Roman"/>
                <w:b/>
                <w:bCs w:val="0"/>
                <w:color w:val="000000" w:themeColor="text1"/>
                <w:sz w:val="21"/>
                <w:szCs w:val="21"/>
                <w:lang w:val="en-US" w:eastAsia="zh-CN"/>
                <w14:textFill>
                  <w14:solidFill>
                    <w14:schemeClr w14:val="tx1"/>
                  </w14:solidFill>
                </w14:textFill>
              </w:rPr>
              <w:t xml:space="preserve"> </w:t>
            </w:r>
            <w:r>
              <w:rPr>
                <w:rFonts w:hint="default" w:ascii="Times New Roman" w:hAnsi="Times New Roman" w:eastAsia="宋体" w:cs="Times New Roman"/>
                <w:b/>
                <w:bCs w:val="0"/>
                <w:color w:val="000000" w:themeColor="text1"/>
                <w:sz w:val="21"/>
                <w:szCs w:val="21"/>
                <w14:textFill>
                  <w14:solidFill>
                    <w14:schemeClr w14:val="tx1"/>
                  </w14:solidFill>
                </w14:textFill>
              </w:rPr>
              <w:t>与</w:t>
            </w:r>
            <w:r>
              <w:rPr>
                <w:rFonts w:hint="default" w:ascii="Times New Roman" w:hAnsi="Times New Roman" w:eastAsia="宋体" w:cs="Times New Roman"/>
                <w:b/>
                <w:bCs w:val="0"/>
                <w:color w:val="000000" w:themeColor="text1"/>
                <w:sz w:val="21"/>
                <w:szCs w:val="21"/>
                <w:lang w:eastAsia="zh-CN"/>
                <w14:textFill>
                  <w14:solidFill>
                    <w14:schemeClr w14:val="tx1"/>
                  </w14:solidFill>
                </w14:textFill>
              </w:rPr>
              <w:t>玉溪市重点行业挥发性有机物综合治理实施方案</w:t>
            </w:r>
            <w:r>
              <w:rPr>
                <w:rFonts w:hint="default" w:ascii="Times New Roman" w:hAnsi="Times New Roman" w:eastAsia="宋体" w:cs="Times New Roman"/>
                <w:b/>
                <w:bCs w:val="0"/>
                <w:color w:val="000000" w:themeColor="text1"/>
                <w:sz w:val="21"/>
                <w:szCs w:val="21"/>
                <w14:textFill>
                  <w14:solidFill>
                    <w14:schemeClr w14:val="tx1"/>
                  </w14:solidFill>
                </w14:textFill>
              </w:rPr>
              <w:t>相符分析</w:t>
            </w:r>
          </w:p>
          <w:tbl>
            <w:tblPr>
              <w:tblStyle w:val="31"/>
              <w:tblW w:w="70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03"/>
              <w:gridCol w:w="2121"/>
              <w:gridCol w:w="786"/>
            </w:tblGrid>
            <w:tr w14:paraId="4DC7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4103" w:type="dxa"/>
                  <w:noWrap w:val="0"/>
                  <w:vAlign w:val="center"/>
                </w:tcPr>
                <w:p w14:paraId="641C1998">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w:t>
                  </w:r>
                  <w:r>
                    <w:rPr>
                      <w:rFonts w:hint="default" w:ascii="Times New Roman" w:hAnsi="Times New Roman" w:eastAsia="宋体" w:cs="Times New Roman"/>
                      <w:b/>
                      <w:bCs w:val="0"/>
                      <w:color w:val="000000" w:themeColor="text1"/>
                      <w:sz w:val="21"/>
                      <w:szCs w:val="21"/>
                      <w:lang w:eastAsia="zh-CN"/>
                      <w14:textFill>
                        <w14:solidFill>
                          <w14:schemeClr w14:val="tx1"/>
                        </w14:solidFill>
                      </w14:textFill>
                    </w:rPr>
                    <w:t>玉溪市重点行业挥发性有机物综合治理实施方案</w:t>
                  </w:r>
                  <w:r>
                    <w:rPr>
                      <w:rFonts w:hint="default" w:ascii="Times New Roman" w:hAnsi="Times New Roman" w:eastAsia="宋体" w:cs="Times New Roman"/>
                      <w:b/>
                      <w:bCs w:val="0"/>
                      <w:color w:val="000000" w:themeColor="text1"/>
                      <w:sz w:val="21"/>
                      <w:szCs w:val="21"/>
                      <w14:textFill>
                        <w14:solidFill>
                          <w14:schemeClr w14:val="tx1"/>
                        </w14:solidFill>
                      </w14:textFill>
                    </w:rPr>
                    <w:t>》</w:t>
                  </w:r>
                </w:p>
              </w:tc>
              <w:tc>
                <w:tcPr>
                  <w:tcW w:w="2121" w:type="dxa"/>
                  <w:noWrap w:val="0"/>
                  <w:vAlign w:val="center"/>
                </w:tcPr>
                <w:p w14:paraId="7AD601A6">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项目情况</w:t>
                  </w:r>
                </w:p>
              </w:tc>
              <w:tc>
                <w:tcPr>
                  <w:tcW w:w="786" w:type="dxa"/>
                  <w:noWrap w:val="0"/>
                  <w:vAlign w:val="center"/>
                </w:tcPr>
                <w:p w14:paraId="2D9BBF37">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b/>
                      <w:b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相符性</w:t>
                  </w:r>
                </w:p>
              </w:tc>
            </w:tr>
            <w:tr w14:paraId="435F7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6" w:hRule="atLeast"/>
                <w:jc w:val="center"/>
              </w:trPr>
              <w:tc>
                <w:tcPr>
                  <w:tcW w:w="4103" w:type="dxa"/>
                  <w:noWrap w:val="0"/>
                  <w:vAlign w:val="center"/>
                </w:tcPr>
                <w:p w14:paraId="76A9E6B2">
                  <w:pPr>
                    <w:keepNext w:val="0"/>
                    <w:keepLines w:val="0"/>
                    <w:pageBreakBefore w:val="0"/>
                    <w:widowControl w:val="0"/>
                    <w:kinsoku/>
                    <w:wordWrap/>
                    <w:overflowPunct/>
                    <w:topLinePunct w:val="0"/>
                    <w:autoSpaceDE w:val="0"/>
                    <w:autoSpaceDN w:val="0"/>
                    <w:bidi w:val="0"/>
                    <w:adjustRightInd w:val="0"/>
                    <w:snapToGrid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lang w:eastAsia="zh-CN"/>
                      <w14:textFill>
                        <w14:solidFill>
                          <w14:schemeClr w14:val="tx1"/>
                        </w14:solidFill>
                      </w14:textFill>
                    </w:rPr>
                    <w:t>全面加强无组织排放控制，重点对含</w:t>
                  </w:r>
                  <w:r>
                    <w:rPr>
                      <w:rFonts w:hint="eastAsia" w:ascii="Times New Roman" w:hAnsi="Times New Roman" w:eastAsia="宋体" w:cs="Times New Roman"/>
                      <w:b w:val="0"/>
                      <w:bCs/>
                      <w:color w:val="000000" w:themeColor="text1"/>
                      <w:kern w:val="0"/>
                      <w:sz w:val="21"/>
                      <w:szCs w:val="21"/>
                      <w:lang w:val="en-US" w:eastAsia="zh-CN"/>
                      <w14:textFill>
                        <w14:solidFill>
                          <w14:schemeClr w14:val="tx1"/>
                        </w14:solidFill>
                      </w14:textFill>
                    </w:rPr>
                    <w:t>VOCs物料储存、转移和输送、设备与光纤组件泄漏、敞开页面逸散以及工艺过程等五类排放源实施管控，通过采取设备与场所密闭、工艺改进、废气有效收集等措施，削减VOCs无组织排放。</w:t>
                  </w:r>
                </w:p>
              </w:tc>
              <w:tc>
                <w:tcPr>
                  <w:tcW w:w="2121" w:type="dxa"/>
                  <w:noWrap w:val="0"/>
                  <w:vAlign w:val="center"/>
                </w:tcPr>
                <w:p w14:paraId="74471ECF">
                  <w:pPr>
                    <w:keepNext w:val="0"/>
                    <w:keepLines w:val="0"/>
                    <w:pageBreakBefore w:val="0"/>
                    <w:widowControl w:val="0"/>
                    <w:kinsoku/>
                    <w:wordWrap/>
                    <w:overflowPunct/>
                    <w:topLinePunct w:val="0"/>
                    <w:autoSpaceDE w:val="0"/>
                    <w:autoSpaceDN w:val="0"/>
                    <w:bidi w:val="0"/>
                    <w:adjustRightInd w:val="0"/>
                    <w:snapToGrid w:val="0"/>
                    <w:ind w:firstLine="0" w:firstLineChars="0"/>
                    <w:jc w:val="both"/>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eastAsia="zh-CN"/>
                      <w14:textFill>
                        <w14:solidFill>
                          <w14:schemeClr w14:val="tx1"/>
                        </w14:solidFill>
                      </w14:textFill>
                    </w:rPr>
                    <w:t>项目生产过程中产生的</w:t>
                  </w:r>
                  <w:r>
                    <w:rPr>
                      <w:rFonts w:hint="default" w:ascii="Times New Roman" w:hAnsi="Times New Roman" w:eastAsia="宋体" w:cs="Times New Roman"/>
                      <w:color w:val="000000" w:themeColor="text1"/>
                      <w:sz w:val="21"/>
                      <w:szCs w:val="21"/>
                      <w:shd w:val="clear" w:color="auto" w:fill="FFFFFF"/>
                      <w:lang w:eastAsia="zh-CN"/>
                      <w14:textFill>
                        <w14:solidFill>
                          <w14:schemeClr w14:val="tx1"/>
                        </w14:solidFill>
                      </w14:textFill>
                    </w:rPr>
                    <w:t>VOCs</w:t>
                  </w:r>
                  <w:r>
                    <w:rPr>
                      <w:rFonts w:hint="eastAsia" w:ascii="Times New Roman" w:hAnsi="Times New Roman" w:eastAsia="宋体" w:cs="Times New Roman"/>
                      <w:color w:val="000000" w:themeColor="text1"/>
                      <w:sz w:val="21"/>
                      <w:szCs w:val="21"/>
                      <w:shd w:val="clear" w:color="auto" w:fill="FFFFFF"/>
                      <w:lang w:eastAsia="zh-CN"/>
                      <w14:textFill>
                        <w14:solidFill>
                          <w14:schemeClr w14:val="tx1"/>
                        </w14:solidFill>
                      </w14:textFill>
                    </w:rPr>
                    <w:t>采用集气罩收集经</w:t>
                  </w:r>
                  <w:r>
                    <w:rPr>
                      <w:rFonts w:hint="eastAsia" w:cs="Times New Roman"/>
                      <w:color w:val="000000" w:themeColor="text1"/>
                      <w:sz w:val="21"/>
                      <w:szCs w:val="21"/>
                      <w:lang w:eastAsia="zh-CN"/>
                      <w14:textFill>
                        <w14:solidFill>
                          <w14:schemeClr w14:val="tx1"/>
                        </w14:solidFill>
                      </w14:textFill>
                    </w:rPr>
                    <w:t>“</w:t>
                  </w:r>
                  <w:r>
                    <w:rPr>
                      <w:rFonts w:hint="eastAsia"/>
                      <w:color w:val="000000" w:themeColor="text1"/>
                      <w14:textFill>
                        <w14:solidFill>
                          <w14:schemeClr w14:val="tx1"/>
                        </w14:solidFill>
                      </w14:textFill>
                    </w:rPr>
                    <w:t>活性炭吸附/脱附+催化燃烧装置</w:t>
                  </w:r>
                  <w:r>
                    <w:rPr>
                      <w:rFonts w:hint="eastAsia" w:cs="Times New Roman"/>
                      <w:b w:val="0"/>
                      <w:bCs w:val="0"/>
                      <w:color w:val="000000" w:themeColor="text1"/>
                      <w:sz w:val="21"/>
                      <w:szCs w:val="21"/>
                      <w:lang w:eastAsia="zh-CN"/>
                      <w14:textFill>
                        <w14:solidFill>
                          <w14:schemeClr w14:val="tx1"/>
                        </w14:solidFill>
                      </w14:textFill>
                    </w:rPr>
                    <w:t>”</w:t>
                  </w:r>
                  <w:r>
                    <w:rPr>
                      <w:rFonts w:hint="eastAsia" w:ascii="Times New Roman" w:hAnsi="Times New Roman" w:cs="Times New Roman"/>
                      <w:color w:val="000000" w:themeColor="text1"/>
                      <w:sz w:val="21"/>
                      <w:szCs w:val="21"/>
                      <w:shd w:val="clear" w:color="auto" w:fill="FFFFFF"/>
                      <w:lang w:val="en-US" w:eastAsia="zh-CN"/>
                      <w14:textFill>
                        <w14:solidFill>
                          <w14:schemeClr w14:val="tx1"/>
                        </w14:solidFill>
                      </w14:textFill>
                    </w:rPr>
                    <w:t>处理后达标排放，有效削减了</w:t>
                  </w:r>
                  <w:r>
                    <w:rPr>
                      <w:rFonts w:hint="default" w:ascii="Times New Roman" w:hAnsi="Times New Roman" w:eastAsia="宋体" w:cs="Times New Roman"/>
                      <w:color w:val="000000" w:themeColor="text1"/>
                      <w:sz w:val="21"/>
                      <w:szCs w:val="21"/>
                      <w:shd w:val="clear" w:color="auto" w:fill="FFFFFF"/>
                      <w:lang w:eastAsia="zh-CN"/>
                      <w14:textFill>
                        <w14:solidFill>
                          <w14:schemeClr w14:val="tx1"/>
                        </w14:solidFill>
                      </w14:textFill>
                    </w:rPr>
                    <w:t>VOCs无组织排放</w:t>
                  </w: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w:t>
                  </w:r>
                </w:p>
              </w:tc>
              <w:tc>
                <w:tcPr>
                  <w:tcW w:w="786" w:type="dxa"/>
                  <w:noWrap w:val="0"/>
                  <w:vAlign w:val="center"/>
                </w:tcPr>
                <w:p w14:paraId="2A576DB8">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符合</w:t>
                  </w:r>
                </w:p>
              </w:tc>
            </w:tr>
            <w:tr w14:paraId="7FC0E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5" w:hRule="atLeast"/>
                <w:jc w:val="center"/>
              </w:trPr>
              <w:tc>
                <w:tcPr>
                  <w:tcW w:w="4103" w:type="dxa"/>
                  <w:noWrap w:val="0"/>
                  <w:vAlign w:val="center"/>
                </w:tcPr>
                <w:p w14:paraId="073FBA29">
                  <w:pPr>
                    <w:keepNext w:val="0"/>
                    <w:keepLines w:val="0"/>
                    <w:pageBreakBefore w:val="0"/>
                    <w:widowControl w:val="0"/>
                    <w:kinsoku/>
                    <w:wordWrap/>
                    <w:overflowPunct/>
                    <w:topLinePunct w:val="0"/>
                    <w:autoSpaceDE w:val="0"/>
                    <w:autoSpaceDN w:val="0"/>
                    <w:bidi w:val="0"/>
                    <w:adjustRightInd w:val="0"/>
                    <w:snapToGrid w:val="0"/>
                    <w:ind w:firstLine="0" w:firstLineChars="0"/>
                    <w:textAlignment w:val="auto"/>
                    <w:rPr>
                      <w:rFonts w:hint="default" w:ascii="Times New Roman" w:hAnsi="Times New Roman" w:eastAsia="宋体" w:cs="Times New Roman"/>
                      <w:b w:val="0"/>
                      <w:bCs/>
                      <w:color w:val="000000" w:themeColor="text1"/>
                      <w:kern w:val="0"/>
                      <w:sz w:val="21"/>
                      <w:szCs w:val="21"/>
                      <w14:textFill>
                        <w14:solidFill>
                          <w14:schemeClr w14:val="tx1"/>
                        </w14:solidFill>
                      </w14:textFill>
                    </w:rPr>
                  </w:pPr>
                  <w:r>
                    <w:rPr>
                      <w:rFonts w:hint="default" w:ascii="Times New Roman" w:hAnsi="Times New Roman" w:eastAsia="宋体" w:cs="Times New Roman"/>
                      <w:b w:val="0"/>
                      <w:bCs/>
                      <w:color w:val="000000" w:themeColor="text1"/>
                      <w:kern w:val="0"/>
                      <w:sz w:val="21"/>
                      <w:szCs w:val="21"/>
                      <w14:textFill>
                        <w14:solidFill>
                          <w14:schemeClr w14:val="tx1"/>
                        </w14:solidFill>
                      </w14:textFill>
                    </w:rPr>
                    <w:t>推进建设适宜高效的治污设施。企业新建治污设施或对现有治污设施实施改造，应依据排放废气的浓度、组分、风量，温度、湿度、压力，以及生产工况等，合理选择治理技术。鼓励企业采用多种技术的组合工艺，提高VOCs治理效率。</w:t>
                  </w:r>
                </w:p>
              </w:tc>
              <w:tc>
                <w:tcPr>
                  <w:tcW w:w="2121" w:type="dxa"/>
                  <w:noWrap w:val="0"/>
                  <w:vAlign w:val="center"/>
                </w:tcPr>
                <w:p w14:paraId="0929C093">
                  <w:pPr>
                    <w:keepNext w:val="0"/>
                    <w:keepLines w:val="0"/>
                    <w:pageBreakBefore w:val="0"/>
                    <w:widowControl w:val="0"/>
                    <w:kinsoku/>
                    <w:wordWrap/>
                    <w:overflowPunct/>
                    <w:topLinePunct w:val="0"/>
                    <w:autoSpaceDE w:val="0"/>
                    <w:autoSpaceDN w:val="0"/>
                    <w:bidi w:val="0"/>
                    <w:adjustRightInd w:val="0"/>
                    <w:snapToGrid w:val="0"/>
                    <w:ind w:firstLine="0" w:firstLineChars="0"/>
                    <w:jc w:val="both"/>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项目在车间设置</w:t>
                  </w:r>
                  <w:r>
                    <w:rPr>
                      <w:rFonts w:hint="eastAsia" w:cs="Times New Roman"/>
                      <w:color w:val="000000" w:themeColor="text1"/>
                      <w:sz w:val="21"/>
                      <w:szCs w:val="21"/>
                      <w:lang w:eastAsia="zh-CN"/>
                      <w14:textFill>
                        <w14:solidFill>
                          <w14:schemeClr w14:val="tx1"/>
                        </w14:solidFill>
                      </w14:textFill>
                    </w:rPr>
                    <w:t>“</w:t>
                  </w:r>
                  <w:r>
                    <w:rPr>
                      <w:rFonts w:hint="eastAsia"/>
                      <w:color w:val="000000" w:themeColor="text1"/>
                      <w14:textFill>
                        <w14:solidFill>
                          <w14:schemeClr w14:val="tx1"/>
                        </w14:solidFill>
                      </w14:textFill>
                    </w:rPr>
                    <w:t>活性炭吸附/脱附+催化燃烧装置</w:t>
                  </w:r>
                  <w:r>
                    <w:rPr>
                      <w:rFonts w:hint="eastAsia" w:cs="Times New Roman"/>
                      <w:b w:val="0"/>
                      <w:bCs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Cs/>
                      <w:smallCaps w:val="0"/>
                      <w:color w:val="000000" w:themeColor="text1"/>
                      <w:sz w:val="21"/>
                      <w:szCs w:val="21"/>
                      <w:highlight w:val="none"/>
                      <w:vertAlign w:val="baseline"/>
                      <w:lang w:val="en-US" w:eastAsia="zh-CN"/>
                      <w14:textFill>
                        <w14:solidFill>
                          <w14:schemeClr w14:val="tx1"/>
                        </w14:solidFill>
                      </w14:textFill>
                    </w:rPr>
                    <w:t>处理VOCs，综合去除效率达</w:t>
                  </w:r>
                  <w:r>
                    <w:rPr>
                      <w:rFonts w:hint="eastAsia" w:ascii="Times New Roman" w:hAnsi="Times New Roman" w:eastAsia="宋体" w:cs="Times New Roman"/>
                      <w:bCs/>
                      <w:smallCaps w:val="0"/>
                      <w:color w:val="000000" w:themeColor="text1"/>
                      <w:sz w:val="21"/>
                      <w:szCs w:val="21"/>
                      <w:highlight w:val="none"/>
                      <w:vertAlign w:val="baseline"/>
                      <w:lang w:val="en-US" w:eastAsia="zh-CN"/>
                      <w14:textFill>
                        <w14:solidFill>
                          <w14:schemeClr w14:val="tx1"/>
                        </w14:solidFill>
                      </w14:textFill>
                    </w:rPr>
                    <w:t>60</w:t>
                  </w:r>
                  <w:r>
                    <w:rPr>
                      <w:rFonts w:hint="default" w:ascii="Times New Roman" w:hAnsi="Times New Roman" w:eastAsia="宋体" w:cs="Times New Roman"/>
                      <w:bCs/>
                      <w:smallCaps w:val="0"/>
                      <w:color w:val="000000" w:themeColor="text1"/>
                      <w:sz w:val="21"/>
                      <w:szCs w:val="21"/>
                      <w:highlight w:val="none"/>
                      <w:vertAlign w:val="baseline"/>
                      <w:lang w:val="en-US" w:eastAsia="zh-CN"/>
                      <w14:textFill>
                        <w14:solidFill>
                          <w14:schemeClr w14:val="tx1"/>
                        </w14:solidFill>
                      </w14:textFill>
                    </w:rPr>
                    <w:t>%</w:t>
                  </w:r>
                  <w:r>
                    <w:rPr>
                      <w:rFonts w:hint="eastAsia" w:ascii="Times New Roman" w:hAnsi="Times New Roman" w:eastAsia="宋体" w:cs="Times New Roman"/>
                      <w:bCs/>
                      <w:smallCaps w:val="0"/>
                      <w:color w:val="000000" w:themeColor="text1"/>
                      <w:sz w:val="21"/>
                      <w:szCs w:val="21"/>
                      <w:highlight w:val="none"/>
                      <w:vertAlign w:val="baseline"/>
                      <w:lang w:val="en-US" w:eastAsia="zh-CN"/>
                      <w14:textFill>
                        <w14:solidFill>
                          <w14:schemeClr w14:val="tx1"/>
                        </w14:solidFill>
                      </w14:textFill>
                    </w:rPr>
                    <w:t>，废气做到达标排放</w:t>
                  </w:r>
                  <w:r>
                    <w:rPr>
                      <w:rFonts w:hint="default" w:ascii="Times New Roman" w:hAnsi="Times New Roman" w:eastAsia="宋体" w:cs="Times New Roman"/>
                      <w:bCs/>
                      <w:smallCaps w:val="0"/>
                      <w:color w:val="000000" w:themeColor="text1"/>
                      <w:sz w:val="21"/>
                      <w:szCs w:val="21"/>
                      <w:highlight w:val="none"/>
                      <w:vertAlign w:val="baseline"/>
                      <w:lang w:val="en-US" w:eastAsia="zh-CN"/>
                      <w14:textFill>
                        <w14:solidFill>
                          <w14:schemeClr w14:val="tx1"/>
                        </w14:solidFill>
                      </w14:textFill>
                    </w:rPr>
                    <w:t>。</w:t>
                  </w:r>
                </w:p>
              </w:tc>
              <w:tc>
                <w:tcPr>
                  <w:tcW w:w="786" w:type="dxa"/>
                  <w:noWrap w:val="0"/>
                  <w:vAlign w:val="center"/>
                </w:tcPr>
                <w:p w14:paraId="4466B5AC">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符合</w:t>
                  </w:r>
                </w:p>
              </w:tc>
            </w:tr>
            <w:tr w14:paraId="69F55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4103" w:type="dxa"/>
                  <w:noWrap w:val="0"/>
                  <w:vAlign w:val="center"/>
                </w:tcPr>
                <w:p w14:paraId="3E5514F3">
                  <w:pPr>
                    <w:keepNext w:val="0"/>
                    <w:keepLines w:val="0"/>
                    <w:pageBreakBefore w:val="0"/>
                    <w:widowControl w:val="0"/>
                    <w:kinsoku/>
                    <w:wordWrap/>
                    <w:overflowPunct/>
                    <w:topLinePunct w:val="0"/>
                    <w:autoSpaceDE w:val="0"/>
                    <w:autoSpaceDN w:val="0"/>
                    <w:bidi w:val="0"/>
                    <w:adjustRightInd w:val="0"/>
                    <w:snapToGrid w:val="0"/>
                    <w:ind w:firstLine="0" w:firstLineChars="0"/>
                    <w:jc w:val="both"/>
                    <w:textAlignment w:val="auto"/>
                    <w:rPr>
                      <w:rFonts w:hint="eastAsia" w:ascii="Times New Roman" w:hAnsi="Times New Roman" w:eastAsia="宋体" w:cs="Times New Roman"/>
                      <w:b w:val="0"/>
                      <w:bCs/>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b w:val="0"/>
                      <w:bCs/>
                      <w:color w:val="000000" w:themeColor="text1"/>
                      <w:kern w:val="0"/>
                      <w:sz w:val="21"/>
                      <w:szCs w:val="21"/>
                      <w14:textFill>
                        <w14:solidFill>
                          <w14:schemeClr w14:val="tx1"/>
                        </w14:solidFill>
                      </w14:textFill>
                    </w:rPr>
                    <w:t>深入实施精细化管控。结合行业污染排放特征和VOCs物质光化学反应活性，参考全国重点控制的VOCs物质确定VOCs控制的重点行业和重点污染物，针性提出有效管控方案，提高VOCs治理的精准性、针对性和有效性</w:t>
                  </w:r>
                  <w:r>
                    <w:rPr>
                      <w:rFonts w:hint="eastAsia" w:ascii="Times New Roman" w:hAnsi="Times New Roman" w:eastAsia="宋体" w:cs="Times New Roman"/>
                      <w:b w:val="0"/>
                      <w:bCs/>
                      <w:color w:val="000000" w:themeColor="text1"/>
                      <w:kern w:val="0"/>
                      <w:sz w:val="21"/>
                      <w:szCs w:val="21"/>
                      <w:lang w:eastAsia="zh-CN"/>
                      <w14:textFill>
                        <w14:solidFill>
                          <w14:schemeClr w14:val="tx1"/>
                        </w14:solidFill>
                      </w14:textFill>
                    </w:rPr>
                    <w:t>。</w:t>
                  </w:r>
                </w:p>
              </w:tc>
              <w:tc>
                <w:tcPr>
                  <w:tcW w:w="2121" w:type="dxa"/>
                  <w:noWrap w:val="0"/>
                  <w:vAlign w:val="center"/>
                </w:tcPr>
                <w:p w14:paraId="4EC06430">
                  <w:pPr>
                    <w:keepNext w:val="0"/>
                    <w:keepLines w:val="0"/>
                    <w:pageBreakBefore w:val="0"/>
                    <w:widowControl w:val="0"/>
                    <w:kinsoku/>
                    <w:wordWrap/>
                    <w:overflowPunct/>
                    <w:topLinePunct w:val="0"/>
                    <w:autoSpaceDE w:val="0"/>
                    <w:autoSpaceDN w:val="0"/>
                    <w:bidi w:val="0"/>
                    <w:adjustRightInd w:val="0"/>
                    <w:snapToGrid w:val="0"/>
                    <w:ind w:firstLine="0" w:firstLineChars="0"/>
                    <w:jc w:val="both"/>
                    <w:textAlignment w:val="auto"/>
                    <w:rPr>
                      <w:rFonts w:hint="eastAsia" w:ascii="Times New Roman" w:hAnsi="Times New Roman" w:eastAsia="宋体" w:cs="Times New Roman"/>
                      <w:b w:val="0"/>
                      <w:bCs/>
                      <w:color w:val="000000" w:themeColor="text1"/>
                      <w:sz w:val="21"/>
                      <w:szCs w:val="21"/>
                      <w:lang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项目不属于重点行业，产生的</w:t>
                  </w:r>
                  <w:r>
                    <w:rPr>
                      <w:rFonts w:hint="default" w:ascii="Times New Roman" w:hAnsi="Times New Roman" w:eastAsia="宋体" w:cs="Times New Roman"/>
                      <w:b w:val="0"/>
                      <w:bCs/>
                      <w:color w:val="000000" w:themeColor="text1"/>
                      <w:kern w:val="0"/>
                      <w:sz w:val="21"/>
                      <w:szCs w:val="21"/>
                      <w14:textFill>
                        <w14:solidFill>
                          <w14:schemeClr w14:val="tx1"/>
                        </w14:solidFill>
                      </w14:textFill>
                    </w:rPr>
                    <w:t>VOCs</w:t>
                  </w:r>
                  <w:r>
                    <w:rPr>
                      <w:rFonts w:hint="eastAsia" w:ascii="Times New Roman" w:hAnsi="Times New Roman" w:eastAsia="宋体" w:cs="Times New Roman"/>
                      <w:b w:val="0"/>
                      <w:bCs/>
                      <w:color w:val="000000" w:themeColor="text1"/>
                      <w:kern w:val="0"/>
                      <w:sz w:val="21"/>
                      <w:szCs w:val="21"/>
                      <w:lang w:eastAsia="zh-CN"/>
                      <w14:textFill>
                        <w14:solidFill>
                          <w14:schemeClr w14:val="tx1"/>
                        </w14:solidFill>
                      </w14:textFill>
                    </w:rPr>
                    <w:t>经集气罩收集后经</w:t>
                  </w:r>
                  <w:r>
                    <w:rPr>
                      <w:rFonts w:hint="eastAsia" w:cs="Times New Roman"/>
                      <w:color w:val="000000" w:themeColor="text1"/>
                      <w:sz w:val="21"/>
                      <w:szCs w:val="21"/>
                      <w:lang w:eastAsia="zh-CN"/>
                      <w14:textFill>
                        <w14:solidFill>
                          <w14:schemeClr w14:val="tx1"/>
                        </w14:solidFill>
                      </w14:textFill>
                    </w:rPr>
                    <w:t>“</w:t>
                  </w:r>
                  <w:r>
                    <w:rPr>
                      <w:rFonts w:hint="eastAsia"/>
                      <w:color w:val="000000" w:themeColor="text1"/>
                      <w14:textFill>
                        <w14:solidFill>
                          <w14:schemeClr w14:val="tx1"/>
                        </w14:solidFill>
                      </w14:textFill>
                    </w:rPr>
                    <w:t>活性炭吸附/脱附+催化燃烧装置</w:t>
                  </w:r>
                  <w:r>
                    <w:rPr>
                      <w:rFonts w:hint="eastAsia" w:cs="Times New Roman"/>
                      <w:b w:val="0"/>
                      <w:bCs w:val="0"/>
                      <w:color w:val="000000" w:themeColor="text1"/>
                      <w:sz w:val="21"/>
                      <w:szCs w:val="21"/>
                      <w:lang w:eastAsia="zh-CN"/>
                      <w14:textFill>
                        <w14:solidFill>
                          <w14:schemeClr w14:val="tx1"/>
                        </w14:solidFill>
                      </w14:textFill>
                    </w:rPr>
                    <w:t>”</w:t>
                  </w:r>
                  <w:r>
                    <w:rPr>
                      <w:rFonts w:hint="eastAsia" w:ascii="Times New Roman" w:hAnsi="Times New Roman" w:eastAsia="宋体" w:cs="Times New Roman"/>
                      <w:b w:val="0"/>
                      <w:bCs/>
                      <w:color w:val="000000" w:themeColor="text1"/>
                      <w:kern w:val="0"/>
                      <w:sz w:val="21"/>
                      <w:szCs w:val="21"/>
                      <w:lang w:eastAsia="zh-CN"/>
                      <w14:textFill>
                        <w14:solidFill>
                          <w14:schemeClr w14:val="tx1"/>
                        </w14:solidFill>
                      </w14:textFill>
                    </w:rPr>
                    <w:t>处理后达标排放。</w:t>
                  </w:r>
                </w:p>
              </w:tc>
              <w:tc>
                <w:tcPr>
                  <w:tcW w:w="786" w:type="dxa"/>
                  <w:noWrap w:val="0"/>
                  <w:vAlign w:val="center"/>
                </w:tcPr>
                <w:p w14:paraId="46CB2E28">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符合</w:t>
                  </w:r>
                </w:p>
              </w:tc>
            </w:tr>
          </w:tbl>
          <w:p w14:paraId="2143B81F">
            <w:pPr>
              <w:pStyle w:val="79"/>
              <w:bidi w:val="0"/>
              <w:rPr>
                <w:rFonts w:hint="default"/>
                <w:color w:val="000000" w:themeColor="text1"/>
                <w:lang w:val="en-US" w:eastAsia="zh-CN"/>
                <w14:textFill>
                  <w14:solidFill>
                    <w14:schemeClr w14:val="tx1"/>
                  </w14:solidFill>
                </w14:textFill>
              </w:rPr>
            </w:pPr>
            <w:r>
              <w:rPr>
                <w:rFonts w:ascii="Times New Roman" w:hAnsi="宋体" w:eastAsia="宋体"/>
                <w:color w:val="000000" w:themeColor="text1"/>
                <w:sz w:val="24"/>
                <w14:textFill>
                  <w14:solidFill>
                    <w14:schemeClr w14:val="tx1"/>
                  </w14:solidFill>
                </w14:textFill>
              </w:rPr>
              <w:t>通过</w:t>
            </w:r>
            <w:r>
              <w:rPr>
                <w:rFonts w:hint="eastAsia" w:ascii="Times New Roman" w:hAnsi="宋体" w:eastAsia="宋体"/>
                <w:color w:val="000000" w:themeColor="text1"/>
                <w:sz w:val="24"/>
                <w:lang w:eastAsia="zh-CN"/>
                <w14:textFill>
                  <w14:solidFill>
                    <w14:schemeClr w14:val="tx1"/>
                  </w14:solidFill>
                </w14:textFill>
              </w:rPr>
              <w:t>上表</w:t>
            </w:r>
            <w:r>
              <w:rPr>
                <w:rFonts w:ascii="Times New Roman" w:hAnsi="宋体" w:eastAsia="宋体"/>
                <w:color w:val="000000" w:themeColor="text1"/>
                <w:sz w:val="24"/>
                <w14:textFill>
                  <w14:solidFill>
                    <w14:schemeClr w14:val="tx1"/>
                  </w14:solidFill>
                </w14:textFill>
              </w:rPr>
              <w:t>分析，项目建设符合</w:t>
            </w:r>
            <w:r>
              <w:rPr>
                <w:rFonts w:ascii="Times New Roman" w:hAnsi="宋体" w:eastAsia="宋体"/>
                <w:b w:val="0"/>
                <w:bCs w:val="0"/>
                <w:color w:val="000000" w:themeColor="text1"/>
                <w:sz w:val="24"/>
                <w14:textFill>
                  <w14:solidFill>
                    <w14:schemeClr w14:val="tx1"/>
                  </w14:solidFill>
                </w14:textFill>
              </w:rPr>
              <w:t>《</w:t>
            </w:r>
            <w:r>
              <w:rPr>
                <w:rFonts w:hint="eastAsia" w:ascii="Times New Roman" w:hAnsi="Times New Roman" w:eastAsia="宋体" w:cs="Times New Roman"/>
                <w:b w:val="0"/>
                <w:bCs w:val="0"/>
                <w:color w:val="000000" w:themeColor="text1"/>
                <w:sz w:val="24"/>
                <w:szCs w:val="24"/>
                <w:lang w:eastAsia="zh-CN"/>
                <w14:textFill>
                  <w14:solidFill>
                    <w14:schemeClr w14:val="tx1"/>
                  </w14:solidFill>
                </w14:textFill>
              </w:rPr>
              <w:t>玉溪市重点行业挥发性有机物综合治理实施方案</w:t>
            </w:r>
            <w:r>
              <w:rPr>
                <w:rFonts w:ascii="Times New Roman" w:hAnsi="宋体" w:eastAsia="宋体"/>
                <w:b w:val="0"/>
                <w:bCs w:val="0"/>
                <w:color w:val="000000" w:themeColor="text1"/>
                <w:sz w:val="24"/>
                <w14:textFill>
                  <w14:solidFill>
                    <w14:schemeClr w14:val="tx1"/>
                  </w14:solidFill>
                </w14:textFill>
              </w:rPr>
              <w:t>》</w:t>
            </w:r>
            <w:r>
              <w:rPr>
                <w:rFonts w:hint="eastAsia" w:ascii="Times New Roman" w:hAnsi="宋体" w:eastAsia="宋体"/>
                <w:b w:val="0"/>
                <w:bCs w:val="0"/>
                <w:color w:val="000000" w:themeColor="text1"/>
                <w:sz w:val="24"/>
                <w:lang w:eastAsia="zh-CN"/>
                <w14:textFill>
                  <w14:solidFill>
                    <w14:schemeClr w14:val="tx1"/>
                  </w14:solidFill>
                </w14:textFill>
              </w:rPr>
              <w:t>的</w:t>
            </w:r>
            <w:r>
              <w:rPr>
                <w:rStyle w:val="61"/>
                <w:rFonts w:ascii="Times New Roman" w:hAnsi="宋体" w:eastAsia="宋体"/>
                <w:b w:val="0"/>
                <w:bCs/>
                <w:color w:val="000000" w:themeColor="text1"/>
                <w:szCs w:val="24"/>
                <w14:textFill>
                  <w14:solidFill>
                    <w14:schemeClr w14:val="tx1"/>
                  </w14:solidFill>
                </w14:textFill>
              </w:rPr>
              <w:t>相关要求。</w:t>
            </w:r>
          </w:p>
          <w:p w14:paraId="7CFC6C69">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000000" w:themeColor="text1"/>
                <w:kern w:val="0"/>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lang w:val="en-US" w:eastAsia="zh-CN"/>
                <w14:textFill>
                  <w14:solidFill>
                    <w14:schemeClr w14:val="tx1"/>
                  </w14:solidFill>
                </w14:textFill>
              </w:rPr>
              <w:t>1</w:t>
            </w:r>
            <w:r>
              <w:rPr>
                <w:rFonts w:hint="eastAsia" w:cs="Times New Roman"/>
                <w:b/>
                <w:bCs/>
                <w:color w:val="000000" w:themeColor="text1"/>
                <w:sz w:val="24"/>
                <w:lang w:val="en-US" w:eastAsia="zh-CN"/>
                <w14:textFill>
                  <w14:solidFill>
                    <w14:schemeClr w14:val="tx1"/>
                  </w14:solidFill>
                </w14:textFill>
              </w:rPr>
              <w:t>3</w:t>
            </w:r>
            <w:r>
              <w:rPr>
                <w:rFonts w:hint="default" w:ascii="Times New Roman" w:hAnsi="Times New Roman" w:cs="Times New Roman"/>
                <w:b/>
                <w:bCs/>
                <w:color w:val="000000" w:themeColor="text1"/>
                <w:sz w:val="24"/>
                <w:lang w:val="en-US" w:eastAsia="zh-CN"/>
                <w14:textFill>
                  <w14:solidFill>
                    <w14:schemeClr w14:val="tx1"/>
                  </w14:solidFill>
                </w14:textFill>
              </w:rPr>
              <w:t>、</w:t>
            </w:r>
            <w:r>
              <w:rPr>
                <w:rFonts w:hint="default" w:ascii="Times New Roman" w:hAnsi="Times New Roman" w:eastAsia="宋体" w:cs="Times New Roman"/>
                <w:b/>
                <w:bCs/>
                <w:color w:val="000000" w:themeColor="text1"/>
                <w:kern w:val="0"/>
                <w:sz w:val="24"/>
                <w:szCs w:val="24"/>
                <w:lang w:val="en-US" w:eastAsia="zh-CN"/>
                <w14:textFill>
                  <w14:solidFill>
                    <w14:schemeClr w14:val="tx1"/>
                  </w14:solidFill>
                </w14:textFill>
              </w:rPr>
              <w:t>与《关于加快解决当前挥发性有机物治理突出问题的通知》（环大气〔2021〕65号）的符合性分析</w:t>
            </w:r>
          </w:p>
          <w:p w14:paraId="58EE7F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smallCaps w:val="0"/>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aps w:val="0"/>
                <w:smallCaps w:val="0"/>
                <w:color w:val="000000" w:themeColor="text1"/>
                <w:sz w:val="24"/>
                <w:highlight w:val="none"/>
                <w:lang w:val="en-US" w:eastAsia="zh-CN"/>
                <w14:textFill>
                  <w14:solidFill>
                    <w14:schemeClr w14:val="tx1"/>
                  </w14:solidFill>
                </w14:textFill>
              </w:rPr>
              <w:t>为深入打好污染防治攻坚战，生态环境部于2021年印发《关于加快解决当前挥发性有机物治理突出问题的通知》（环大气〔2021〕65号），提出了挥发性有机物治理突出问题排查整治工作要求，本项目与其符合性分析见下表。</w:t>
            </w:r>
          </w:p>
          <w:p w14:paraId="20184A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aps w:val="0"/>
                <w:smallCaps w:val="0"/>
                <w:color w:val="000000" w:themeColor="text1"/>
                <w:sz w:val="21"/>
                <w:szCs w:val="21"/>
                <w:highlight w:val="none"/>
                <w:lang w:val="en-US"/>
                <w14:textFill>
                  <w14:solidFill>
                    <w14:schemeClr w14:val="tx1"/>
                  </w14:solidFill>
                </w14:textFill>
              </w:rPr>
            </w:pPr>
            <w:r>
              <w:rPr>
                <w:rFonts w:hint="default" w:ascii="Times New Roman" w:hAnsi="Times New Roman" w:cs="Times New Roman"/>
                <w:b/>
                <w:bCs/>
                <w:caps w:val="0"/>
                <w:smallCaps w:val="0"/>
                <w:color w:val="000000" w:themeColor="text1"/>
                <w:sz w:val="21"/>
                <w:szCs w:val="21"/>
                <w:highlight w:val="none"/>
                <w14:textFill>
                  <w14:solidFill>
                    <w14:schemeClr w14:val="tx1"/>
                  </w14:solidFill>
                </w14:textFill>
              </w:rPr>
              <w:t>表</w:t>
            </w:r>
            <w:r>
              <w:rPr>
                <w:rFonts w:hint="eastAsia" w:cs="Times New Roman"/>
                <w:b/>
                <w:bCs/>
                <w:caps w:val="0"/>
                <w:smallCaps w:val="0"/>
                <w:color w:val="000000" w:themeColor="text1"/>
                <w:sz w:val="21"/>
                <w:szCs w:val="21"/>
                <w:highlight w:val="none"/>
                <w:lang w:val="en-US" w:eastAsia="zh-CN"/>
                <w14:textFill>
                  <w14:solidFill>
                    <w14:schemeClr w14:val="tx1"/>
                  </w14:solidFill>
                </w14:textFill>
              </w:rPr>
              <w:t>1-16</w:t>
            </w:r>
            <w:r>
              <w:rPr>
                <w:rFonts w:hint="eastAsia" w:ascii="Times New Roman" w:hAnsi="Times New Roman" w:eastAsia="宋体" w:cs="Times New Roman"/>
                <w:b/>
                <w:caps w:val="0"/>
                <w:smallCap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aps w:val="0"/>
                <w:smallCaps w:val="0"/>
                <w:color w:val="000000" w:themeColor="text1"/>
                <w:sz w:val="21"/>
                <w:szCs w:val="21"/>
                <w:highlight w:val="none"/>
                <w:lang w:val="en-US" w:eastAsia="zh-CN"/>
                <w14:textFill>
                  <w14:solidFill>
                    <w14:schemeClr w14:val="tx1"/>
                  </w14:solidFill>
                </w14:textFill>
              </w:rPr>
              <w:t>与加快解决当前挥发性有机物治理突出问题符合性分析</w:t>
            </w:r>
          </w:p>
          <w:tbl>
            <w:tblPr>
              <w:tblStyle w:val="32"/>
              <w:tblW w:w="70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
              <w:gridCol w:w="640"/>
              <w:gridCol w:w="3278"/>
              <w:gridCol w:w="1527"/>
              <w:gridCol w:w="1091"/>
            </w:tblGrid>
            <w:tr w14:paraId="628D5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85" w:type="pct"/>
                  <w:noWrap w:val="0"/>
                  <w:tcMar>
                    <w:top w:w="0" w:type="dxa"/>
                    <w:left w:w="57" w:type="dxa"/>
                    <w:bottom w:w="0" w:type="dxa"/>
                    <w:right w:w="57" w:type="dxa"/>
                  </w:tcMar>
                  <w:vAlign w:val="center"/>
                </w:tcPr>
                <w:p w14:paraId="0D743144">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aps w:val="0"/>
                      <w:smallCaps w:val="0"/>
                      <w:color w:val="000000" w:themeColor="text1"/>
                      <w:kern w:val="1"/>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1"/>
                      <w:sz w:val="21"/>
                      <w:szCs w:val="21"/>
                      <w:highlight w:val="none"/>
                      <w:vertAlign w:val="baseline"/>
                      <w:lang w:val="en-US" w:eastAsia="zh-CN" w:bidi="ar-SA"/>
                      <w14:textFill>
                        <w14:solidFill>
                          <w14:schemeClr w14:val="tx1"/>
                        </w14:solidFill>
                      </w14:textFill>
                    </w:rPr>
                    <w:t>序号</w:t>
                  </w:r>
                </w:p>
              </w:tc>
              <w:tc>
                <w:tcPr>
                  <w:tcW w:w="2671" w:type="pct"/>
                  <w:gridSpan w:val="2"/>
                  <w:noWrap w:val="0"/>
                  <w:tcMar>
                    <w:top w:w="0" w:type="dxa"/>
                    <w:left w:w="57" w:type="dxa"/>
                    <w:bottom w:w="0" w:type="dxa"/>
                    <w:right w:w="57" w:type="dxa"/>
                  </w:tcMar>
                  <w:vAlign w:val="center"/>
                </w:tcPr>
                <w:p w14:paraId="5701C191">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aps w:val="0"/>
                      <w:smallCaps w:val="0"/>
                      <w:color w:val="000000" w:themeColor="text1"/>
                      <w:kern w:val="1"/>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1"/>
                      <w:sz w:val="21"/>
                      <w:szCs w:val="21"/>
                      <w:highlight w:val="none"/>
                      <w:vertAlign w:val="baseline"/>
                      <w:lang w:val="en-US" w:eastAsia="zh-CN" w:bidi="ar-SA"/>
                      <w14:textFill>
                        <w14:solidFill>
                          <w14:schemeClr w14:val="tx1"/>
                        </w14:solidFill>
                      </w14:textFill>
                    </w:rPr>
                    <w:t>整治要求</w:t>
                  </w:r>
                </w:p>
              </w:tc>
              <w:tc>
                <w:tcPr>
                  <w:tcW w:w="1126" w:type="pct"/>
                  <w:noWrap w:val="0"/>
                  <w:tcMar>
                    <w:top w:w="0" w:type="dxa"/>
                    <w:left w:w="57" w:type="dxa"/>
                    <w:bottom w:w="0" w:type="dxa"/>
                    <w:right w:w="57" w:type="dxa"/>
                  </w:tcMar>
                  <w:vAlign w:val="center"/>
                </w:tcPr>
                <w:p w14:paraId="077B2C55">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aps w:val="0"/>
                      <w:smallCaps w:val="0"/>
                      <w:color w:val="000000" w:themeColor="text1"/>
                      <w:kern w:val="1"/>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1"/>
                      <w:sz w:val="21"/>
                      <w:szCs w:val="21"/>
                      <w:highlight w:val="none"/>
                      <w:vertAlign w:val="baseline"/>
                      <w:lang w:val="en-US" w:eastAsia="zh-CN" w:bidi="ar-SA"/>
                      <w14:textFill>
                        <w14:solidFill>
                          <w14:schemeClr w14:val="tx1"/>
                        </w14:solidFill>
                      </w14:textFill>
                    </w:rPr>
                    <w:t>本项目情况</w:t>
                  </w:r>
                </w:p>
              </w:tc>
              <w:tc>
                <w:tcPr>
                  <w:tcW w:w="816" w:type="pct"/>
                  <w:noWrap w:val="0"/>
                  <w:tcMar>
                    <w:top w:w="0" w:type="dxa"/>
                    <w:left w:w="57" w:type="dxa"/>
                    <w:bottom w:w="0" w:type="dxa"/>
                    <w:right w:w="57" w:type="dxa"/>
                  </w:tcMar>
                  <w:vAlign w:val="center"/>
                </w:tcPr>
                <w:p w14:paraId="0EF9AD68">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b/>
                      <w:bCs/>
                      <w:caps w:val="0"/>
                      <w:smallCaps w:val="0"/>
                      <w:color w:val="000000" w:themeColor="text1"/>
                      <w:kern w:val="1"/>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1"/>
                      <w:sz w:val="21"/>
                      <w:szCs w:val="21"/>
                      <w:highlight w:val="none"/>
                      <w:vertAlign w:val="baseline"/>
                      <w:lang w:val="en-US" w:eastAsia="zh-CN" w:bidi="ar-SA"/>
                      <w14:textFill>
                        <w14:solidFill>
                          <w14:schemeClr w14:val="tx1"/>
                        </w14:solidFill>
                      </w14:textFill>
                    </w:rPr>
                    <w:t>符合性</w:t>
                  </w:r>
                </w:p>
              </w:tc>
            </w:tr>
            <w:tr w14:paraId="42061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pct"/>
                  <w:noWrap w:val="0"/>
                  <w:tcMar>
                    <w:top w:w="0" w:type="dxa"/>
                    <w:left w:w="57" w:type="dxa"/>
                    <w:bottom w:w="0" w:type="dxa"/>
                    <w:right w:w="57" w:type="dxa"/>
                  </w:tcMar>
                  <w:vAlign w:val="center"/>
                </w:tcPr>
                <w:p w14:paraId="0C924951">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t>1</w:t>
                  </w:r>
                </w:p>
              </w:tc>
              <w:tc>
                <w:tcPr>
                  <w:tcW w:w="299" w:type="pct"/>
                  <w:noWrap w:val="0"/>
                  <w:tcMar>
                    <w:top w:w="0" w:type="dxa"/>
                    <w:left w:w="57" w:type="dxa"/>
                    <w:bottom w:w="0" w:type="dxa"/>
                    <w:right w:w="57" w:type="dxa"/>
                  </w:tcMar>
                  <w:vAlign w:val="center"/>
                </w:tcPr>
                <w:p w14:paraId="595DA5E0">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aps w:val="0"/>
                      <w:smallCap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t>废气收集设施</w:t>
                  </w:r>
                </w:p>
              </w:tc>
              <w:tc>
                <w:tcPr>
                  <w:tcW w:w="2372" w:type="pct"/>
                  <w:noWrap w:val="0"/>
                  <w:tcMar>
                    <w:top w:w="0" w:type="dxa"/>
                    <w:left w:w="57" w:type="dxa"/>
                    <w:bottom w:w="0" w:type="dxa"/>
                    <w:right w:w="57" w:type="dxa"/>
                  </w:tcMar>
                  <w:vAlign w:val="center"/>
                </w:tcPr>
                <w:p w14:paraId="4C74BB4E">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eastAsia="宋体" w:cs="Times New Roman"/>
                      <w:caps w:val="0"/>
                      <w:smallCap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t>产生VOCs的生产环节优先采用密闭设备、在密闭空间中操作或采用全密闭集气罩收集方式，并保持负压运行。废气收集系统的输送管道应密闭、无破损。有机液体进料鼓励采用底部、浸入管给料方式；固体物料投加逐步推进采用密闭式投料装置。</w:t>
                  </w:r>
                </w:p>
              </w:tc>
              <w:tc>
                <w:tcPr>
                  <w:tcW w:w="1126" w:type="pct"/>
                  <w:noWrap w:val="0"/>
                  <w:tcMar>
                    <w:top w:w="0" w:type="dxa"/>
                    <w:left w:w="57" w:type="dxa"/>
                    <w:bottom w:w="0" w:type="dxa"/>
                    <w:right w:w="57" w:type="dxa"/>
                  </w:tcMar>
                  <w:vAlign w:val="center"/>
                </w:tcPr>
                <w:p w14:paraId="08D15403">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eastAsia="宋体" w:cs="Times New Roman"/>
                      <w:caps w:val="0"/>
                      <w:smallCap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1"/>
                      <w:sz w:val="21"/>
                      <w:szCs w:val="21"/>
                      <w:highlight w:val="none"/>
                      <w:shd w:val="clear" w:color="auto" w:fill="FFFFFF"/>
                      <w:lang w:val="en-US" w:eastAsia="zh-CN" w:bidi="ar-SA"/>
                      <w14:textFill>
                        <w14:solidFill>
                          <w14:schemeClr w14:val="tx1"/>
                        </w14:solidFill>
                      </w14:textFill>
                    </w:rPr>
                    <w:t>项目</w:t>
                  </w:r>
                  <w:r>
                    <w:rPr>
                      <w:rFonts w:hint="eastAsia" w:ascii="Times New Roman" w:hAnsi="Times New Roman" w:eastAsia="宋体" w:cs="Times New Roman"/>
                      <w:color w:val="000000" w:themeColor="text1"/>
                      <w:kern w:val="1"/>
                      <w:sz w:val="21"/>
                      <w:szCs w:val="21"/>
                      <w:highlight w:val="none"/>
                      <w:shd w:val="clear" w:color="auto" w:fill="FFFFFF"/>
                      <w:lang w:val="en-US" w:eastAsia="zh-CN" w:bidi="ar-SA"/>
                      <w14:textFill>
                        <w14:solidFill>
                          <w14:schemeClr w14:val="tx1"/>
                        </w14:solidFill>
                      </w14:textFill>
                    </w:rPr>
                    <w:t>生产过程产生的有机</w:t>
                  </w:r>
                  <w:r>
                    <w:rPr>
                      <w:rFonts w:hint="default" w:ascii="Times New Roman" w:hAnsi="Times New Roman" w:eastAsia="宋体" w:cs="Times New Roman"/>
                      <w:color w:val="000000" w:themeColor="text1"/>
                      <w:kern w:val="1"/>
                      <w:sz w:val="21"/>
                      <w:szCs w:val="21"/>
                      <w:highlight w:val="none"/>
                      <w:shd w:val="clear" w:color="auto" w:fill="FFFFFF"/>
                      <w:lang w:val="en-US" w:eastAsia="zh-CN" w:bidi="ar-SA"/>
                      <w14:textFill>
                        <w14:solidFill>
                          <w14:schemeClr w14:val="tx1"/>
                        </w14:solidFill>
                      </w14:textFill>
                    </w:rPr>
                    <w:t>废气</w:t>
                  </w:r>
                  <w:r>
                    <w:rPr>
                      <w:rFonts w:hint="eastAsia" w:ascii="Times New Roman" w:hAnsi="Times New Roman" w:eastAsia="宋体" w:cs="Times New Roman"/>
                      <w:color w:val="000000" w:themeColor="text1"/>
                      <w:kern w:val="1"/>
                      <w:sz w:val="21"/>
                      <w:szCs w:val="21"/>
                      <w:highlight w:val="none"/>
                      <w:shd w:val="clear" w:color="auto" w:fill="FFFFFF"/>
                      <w:lang w:val="en-US" w:eastAsia="zh-CN" w:bidi="ar-SA"/>
                      <w14:textFill>
                        <w14:solidFill>
                          <w14:schemeClr w14:val="tx1"/>
                        </w14:solidFill>
                      </w14:textFill>
                    </w:rPr>
                    <w:t>经集气罩收集后进</w:t>
                  </w:r>
                  <w:r>
                    <w:rPr>
                      <w:rFonts w:hint="eastAsia" w:ascii="Times New Roman" w:hAnsi="Times New Roman" w:eastAsia="宋体" w:cs="Times New Roman"/>
                      <w:caps w:val="0"/>
                      <w:smallCaps w:val="0"/>
                      <w:color w:val="000000" w:themeColor="text1"/>
                      <w:kern w:val="1"/>
                      <w:sz w:val="21"/>
                      <w:szCs w:val="21"/>
                      <w:highlight w:val="none"/>
                      <w:lang w:val="en-US" w:eastAsia="zh-CN" w:bidi="ar-SA"/>
                      <w14:textFill>
                        <w14:solidFill>
                          <w14:schemeClr w14:val="tx1"/>
                        </w14:solidFill>
                      </w14:textFill>
                    </w:rPr>
                    <w:t>入</w:t>
                  </w:r>
                  <w:r>
                    <w:rPr>
                      <w:rFonts w:hint="eastAsia" w:cs="Times New Roman"/>
                      <w:caps w:val="0"/>
                      <w:smallCaps w:val="0"/>
                      <w:color w:val="000000" w:themeColor="text1"/>
                      <w:kern w:val="1"/>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aps w:val="0"/>
                      <w:smallCaps w:val="0"/>
                      <w:color w:val="000000" w:themeColor="text1"/>
                      <w:kern w:val="1"/>
                      <w:sz w:val="21"/>
                      <w:szCs w:val="21"/>
                      <w:highlight w:val="none"/>
                      <w:lang w:val="en-US" w:eastAsia="zh-CN" w:bidi="ar-SA"/>
                      <w14:textFill>
                        <w14:solidFill>
                          <w14:schemeClr w14:val="tx1"/>
                        </w14:solidFill>
                      </w14:textFill>
                    </w:rPr>
                    <w:t>活性炭吸附/脱附+催化燃烧装置</w:t>
                  </w:r>
                  <w:r>
                    <w:rPr>
                      <w:rFonts w:hint="eastAsia" w:cs="Times New Roman"/>
                      <w:caps w:val="0"/>
                      <w:smallCaps w:val="0"/>
                      <w:color w:val="000000" w:themeColor="text1"/>
                      <w:kern w:val="1"/>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1"/>
                      <w:sz w:val="21"/>
                      <w:szCs w:val="21"/>
                      <w:highlight w:val="none"/>
                      <w:shd w:val="clear" w:color="auto" w:fill="FFFFFF"/>
                      <w:lang w:val="en-US" w:eastAsia="zh-CN" w:bidi="ar-SA"/>
                      <w14:textFill>
                        <w14:solidFill>
                          <w14:schemeClr w14:val="tx1"/>
                        </w14:solidFill>
                      </w14:textFill>
                    </w:rPr>
                    <w:t>处理</w:t>
                  </w:r>
                  <w:r>
                    <w:rPr>
                      <w:rFonts w:hint="eastAsia" w:ascii="Times New Roman" w:hAnsi="Times New Roman" w:eastAsia="宋体" w:cs="Times New Roman"/>
                      <w:color w:val="000000" w:themeColor="text1"/>
                      <w:kern w:val="1"/>
                      <w:sz w:val="21"/>
                      <w:szCs w:val="21"/>
                      <w:highlight w:val="none"/>
                      <w:shd w:val="clear" w:color="auto" w:fill="FFFFFF"/>
                      <w:lang w:val="en-US" w:eastAsia="zh-CN" w:bidi="ar-SA"/>
                      <w14:textFill>
                        <w14:solidFill>
                          <w14:schemeClr w14:val="tx1"/>
                        </w14:solidFill>
                      </w14:textFill>
                    </w:rPr>
                    <w:t>，</w:t>
                  </w:r>
                  <w:r>
                    <w:rPr>
                      <w:rFonts w:hint="default" w:ascii="Times New Roman" w:hAnsi="Times New Roman" w:eastAsia="宋体" w:cs="Times New Roman"/>
                      <w:caps w:val="0"/>
                      <w:smallCaps w:val="0"/>
                      <w:color w:val="000000" w:themeColor="text1"/>
                      <w:kern w:val="1"/>
                      <w:sz w:val="21"/>
                      <w:szCs w:val="21"/>
                      <w:highlight w:val="none"/>
                      <w:lang w:val="en-US" w:eastAsia="zh-CN" w:bidi="ar-SA"/>
                      <w14:textFill>
                        <w14:solidFill>
                          <w14:schemeClr w14:val="tx1"/>
                        </w14:solidFill>
                      </w14:textFill>
                    </w:rPr>
                    <w:t>项目废气输送管道均密闭。</w:t>
                  </w:r>
                </w:p>
              </w:tc>
              <w:tc>
                <w:tcPr>
                  <w:tcW w:w="816" w:type="pct"/>
                  <w:noWrap w:val="0"/>
                  <w:tcMar>
                    <w:top w:w="0" w:type="dxa"/>
                    <w:left w:w="57" w:type="dxa"/>
                    <w:bottom w:w="0" w:type="dxa"/>
                    <w:right w:w="57" w:type="dxa"/>
                  </w:tcMar>
                  <w:vAlign w:val="center"/>
                </w:tcPr>
                <w:p w14:paraId="7AC50442">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aps w:val="0"/>
                      <w:smallCap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t>符合</w:t>
                  </w:r>
                </w:p>
              </w:tc>
            </w:tr>
            <w:tr w14:paraId="48F75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pct"/>
                  <w:noWrap w:val="0"/>
                  <w:tcMar>
                    <w:top w:w="0" w:type="dxa"/>
                    <w:left w:w="57" w:type="dxa"/>
                    <w:bottom w:w="0" w:type="dxa"/>
                    <w:right w:w="57" w:type="dxa"/>
                  </w:tcMar>
                  <w:vAlign w:val="center"/>
                </w:tcPr>
                <w:p w14:paraId="5CE6AE6F">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t>2</w:t>
                  </w:r>
                </w:p>
              </w:tc>
              <w:tc>
                <w:tcPr>
                  <w:tcW w:w="299" w:type="pct"/>
                  <w:noWrap w:val="0"/>
                  <w:tcMar>
                    <w:top w:w="0" w:type="dxa"/>
                    <w:left w:w="57" w:type="dxa"/>
                    <w:bottom w:w="0" w:type="dxa"/>
                    <w:right w:w="57" w:type="dxa"/>
                  </w:tcMar>
                  <w:vAlign w:val="center"/>
                </w:tcPr>
                <w:p w14:paraId="6C845E1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t>有机废气治理设施</w:t>
                  </w:r>
                </w:p>
              </w:tc>
              <w:tc>
                <w:tcPr>
                  <w:tcW w:w="2372" w:type="pct"/>
                  <w:noWrap w:val="0"/>
                  <w:tcMar>
                    <w:top w:w="0" w:type="dxa"/>
                    <w:left w:w="57" w:type="dxa"/>
                    <w:bottom w:w="0" w:type="dxa"/>
                    <w:right w:w="57" w:type="dxa"/>
                  </w:tcMar>
                  <w:vAlign w:val="center"/>
                </w:tcPr>
                <w:p w14:paraId="4EA11792">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t>新建治理设施或对现有治理设施实施改造，应依据排放废气特征、VOCs组分及浓度、生产工况等，合理选择治理技术；对治理难度大、单一治理工艺难以稳定达标的，宜采用多种技术的组合工艺；除恶臭异味治理外，一般不使用低温等离子、光催化、光氧化等技术。</w:t>
                  </w:r>
                </w:p>
              </w:tc>
              <w:tc>
                <w:tcPr>
                  <w:tcW w:w="1126" w:type="pct"/>
                  <w:noWrap w:val="0"/>
                  <w:tcMar>
                    <w:top w:w="0" w:type="dxa"/>
                    <w:left w:w="57" w:type="dxa"/>
                    <w:bottom w:w="0" w:type="dxa"/>
                    <w:right w:w="57" w:type="dxa"/>
                  </w:tcMar>
                  <w:vAlign w:val="center"/>
                </w:tcPr>
                <w:p w14:paraId="6F0FB2D0">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1"/>
                      <w:sz w:val="21"/>
                      <w:szCs w:val="21"/>
                      <w:highlight w:val="none"/>
                      <w:lang w:val="en-US" w:eastAsia="zh-CN" w:bidi="ar-SA"/>
                      <w14:textFill>
                        <w14:solidFill>
                          <w14:schemeClr w14:val="tx1"/>
                        </w14:solidFill>
                      </w14:textFill>
                    </w:rPr>
                    <w:t>项目有机废气采用</w:t>
                  </w:r>
                  <w:r>
                    <w:rPr>
                      <w:rFonts w:hint="eastAsia" w:cs="Times New Roman"/>
                      <w:caps w:val="0"/>
                      <w:smallCaps w:val="0"/>
                      <w:color w:val="000000" w:themeColor="text1"/>
                      <w:kern w:val="1"/>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aps w:val="0"/>
                      <w:smallCaps w:val="0"/>
                      <w:color w:val="000000" w:themeColor="text1"/>
                      <w:kern w:val="1"/>
                      <w:sz w:val="21"/>
                      <w:szCs w:val="21"/>
                      <w:highlight w:val="none"/>
                      <w:lang w:val="en-US" w:eastAsia="zh-CN" w:bidi="ar-SA"/>
                      <w14:textFill>
                        <w14:solidFill>
                          <w14:schemeClr w14:val="tx1"/>
                        </w14:solidFill>
                      </w14:textFill>
                    </w:rPr>
                    <w:t>活性炭吸附/脱附+催化燃烧装置</w:t>
                  </w:r>
                  <w:r>
                    <w:rPr>
                      <w:rFonts w:hint="eastAsia" w:cs="Times New Roman"/>
                      <w:caps w:val="0"/>
                      <w:smallCaps w:val="0"/>
                      <w:color w:val="000000" w:themeColor="text1"/>
                      <w:kern w:val="1"/>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aps w:val="0"/>
                      <w:smallCaps w:val="0"/>
                      <w:color w:val="000000" w:themeColor="text1"/>
                      <w:kern w:val="1"/>
                      <w:sz w:val="21"/>
                      <w:szCs w:val="21"/>
                      <w:highlight w:val="none"/>
                      <w:lang w:val="en-US" w:eastAsia="zh-CN" w:bidi="ar-SA"/>
                      <w14:textFill>
                        <w14:solidFill>
                          <w14:schemeClr w14:val="tx1"/>
                        </w14:solidFill>
                      </w14:textFill>
                    </w:rPr>
                    <w:t>+排气筒达标排放。</w:t>
                  </w:r>
                </w:p>
              </w:tc>
              <w:tc>
                <w:tcPr>
                  <w:tcW w:w="816" w:type="pct"/>
                  <w:noWrap w:val="0"/>
                  <w:tcMar>
                    <w:top w:w="0" w:type="dxa"/>
                    <w:left w:w="57" w:type="dxa"/>
                    <w:bottom w:w="0" w:type="dxa"/>
                    <w:right w:w="57" w:type="dxa"/>
                  </w:tcMar>
                  <w:vAlign w:val="center"/>
                </w:tcPr>
                <w:p w14:paraId="7E03A4E9">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t>符合</w:t>
                  </w:r>
                </w:p>
              </w:tc>
            </w:tr>
            <w:tr w14:paraId="4B674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pct"/>
                  <w:noWrap w:val="0"/>
                  <w:tcMar>
                    <w:top w:w="0" w:type="dxa"/>
                    <w:left w:w="57" w:type="dxa"/>
                    <w:bottom w:w="0" w:type="dxa"/>
                    <w:right w:w="57" w:type="dxa"/>
                  </w:tcMar>
                  <w:vAlign w:val="center"/>
                </w:tcPr>
                <w:p w14:paraId="3FDF99E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t>3</w:t>
                  </w:r>
                </w:p>
              </w:tc>
              <w:tc>
                <w:tcPr>
                  <w:tcW w:w="299" w:type="pct"/>
                  <w:noWrap w:val="0"/>
                  <w:tcMar>
                    <w:top w:w="0" w:type="dxa"/>
                    <w:left w:w="57" w:type="dxa"/>
                    <w:bottom w:w="0" w:type="dxa"/>
                    <w:right w:w="57" w:type="dxa"/>
                  </w:tcMar>
                  <w:vAlign w:val="center"/>
                </w:tcPr>
                <w:p w14:paraId="5CC6C15A">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t>产品VOCs含量</w:t>
                  </w:r>
                </w:p>
              </w:tc>
              <w:tc>
                <w:tcPr>
                  <w:tcW w:w="2372" w:type="pct"/>
                  <w:noWrap w:val="0"/>
                  <w:tcMar>
                    <w:top w:w="0" w:type="dxa"/>
                    <w:left w:w="57" w:type="dxa"/>
                    <w:bottom w:w="0" w:type="dxa"/>
                    <w:right w:w="57" w:type="dxa"/>
                  </w:tcMar>
                  <w:vAlign w:val="center"/>
                </w:tcPr>
                <w:p w14:paraId="4C8B9B7E">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t>工业涂装、包装印刷、鞋革箱包制造、竹木制品、电子等重点行业要加大低（无）VOCs含量原辅材料的源头替代力度，加强成熟技术替代品的应用。</w:t>
                  </w:r>
                </w:p>
              </w:tc>
              <w:tc>
                <w:tcPr>
                  <w:tcW w:w="1126" w:type="pct"/>
                  <w:noWrap w:val="0"/>
                  <w:tcMar>
                    <w:top w:w="0" w:type="dxa"/>
                    <w:left w:w="57" w:type="dxa"/>
                    <w:bottom w:w="0" w:type="dxa"/>
                    <w:right w:w="57" w:type="dxa"/>
                  </w:tcMar>
                  <w:vAlign w:val="center"/>
                </w:tcPr>
                <w:p w14:paraId="7BEA2334">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eastAsia="宋体" w:cs="Times New Roman"/>
                      <w:caps w:val="0"/>
                      <w:smallCaps w:val="0"/>
                      <w:color w:val="000000" w:themeColor="text1"/>
                      <w:kern w:val="1"/>
                      <w:sz w:val="21"/>
                      <w:szCs w:val="21"/>
                      <w:highlight w:val="no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1"/>
                      <w:sz w:val="21"/>
                      <w:szCs w:val="21"/>
                      <w:highlight w:val="none"/>
                      <w:lang w:val="en-US" w:eastAsia="zh-CN" w:bidi="ar-SA"/>
                      <w14:textFill>
                        <w14:solidFill>
                          <w14:schemeClr w14:val="tx1"/>
                        </w14:solidFill>
                      </w14:textFill>
                    </w:rPr>
                    <w:t>项目不</w:t>
                  </w:r>
                  <w:r>
                    <w:rPr>
                      <w:rFonts w:hint="eastAsia" w:ascii="Times New Roman" w:hAnsi="Times New Roman" w:eastAsia="宋体" w:cs="Times New Roman"/>
                      <w:caps w:val="0"/>
                      <w:smallCaps w:val="0"/>
                      <w:color w:val="000000" w:themeColor="text1"/>
                      <w:kern w:val="1"/>
                      <w:sz w:val="21"/>
                      <w:szCs w:val="21"/>
                      <w:highlight w:val="none"/>
                      <w:lang w:val="en-US" w:eastAsia="zh-CN" w:bidi="ar-SA"/>
                      <w14:textFill>
                        <w14:solidFill>
                          <w14:schemeClr w14:val="tx1"/>
                        </w14:solidFill>
                      </w14:textFill>
                    </w:rPr>
                    <w:t>涉及</w:t>
                  </w:r>
                  <w:r>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t>工业涂装、包装印刷、鞋革箱包制造、竹木制品、电子等重点行业</w:t>
                  </w:r>
                  <w:r>
                    <w:rPr>
                      <w:rFonts w:hint="eastAsia"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t>。</w:t>
                  </w:r>
                </w:p>
              </w:tc>
              <w:tc>
                <w:tcPr>
                  <w:tcW w:w="816" w:type="pct"/>
                  <w:noWrap w:val="0"/>
                  <w:tcMar>
                    <w:top w:w="0" w:type="dxa"/>
                    <w:left w:w="57" w:type="dxa"/>
                    <w:bottom w:w="0" w:type="dxa"/>
                    <w:right w:w="57" w:type="dxa"/>
                  </w:tcMar>
                  <w:vAlign w:val="center"/>
                </w:tcPr>
                <w:p w14:paraId="6ED7ACEE">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1"/>
                      <w:sz w:val="21"/>
                      <w:szCs w:val="21"/>
                      <w:highlight w:val="none"/>
                      <w:vertAlign w:val="baseline"/>
                      <w:lang w:val="en-US" w:eastAsia="zh-CN" w:bidi="ar-SA"/>
                      <w14:textFill>
                        <w14:solidFill>
                          <w14:schemeClr w14:val="tx1"/>
                        </w14:solidFill>
                      </w14:textFill>
                    </w:rPr>
                    <w:t>符合</w:t>
                  </w:r>
                </w:p>
              </w:tc>
            </w:tr>
          </w:tbl>
          <w:p w14:paraId="6B9380D5">
            <w:pPr>
              <w:keepNext w:val="0"/>
              <w:keepLines w:val="0"/>
              <w:pageBreakBefore w:val="0"/>
              <w:widowControl w:val="0"/>
              <w:kinsoku/>
              <w:wordWrap/>
              <w:overflowPunct/>
              <w:topLinePunct w:val="0"/>
              <w:autoSpaceDE/>
              <w:autoSpaceDN/>
              <w:bidi w:val="0"/>
              <w:adjustRightInd/>
              <w:snapToGrid/>
              <w:spacing w:after="0" w:line="360" w:lineRule="auto"/>
              <w:ind w:left="0" w:firstLine="480" w:firstLineChars="200"/>
              <w:jc w:val="both"/>
              <w:textAlignment w:val="auto"/>
              <w:rPr>
                <w:rFonts w:ascii="Times New Roman" w:hAnsi="宋体" w:eastAsia="宋体"/>
                <w:color w:val="000000" w:themeColor="text1"/>
                <w:sz w:val="24"/>
                <w14:textFill>
                  <w14:solidFill>
                    <w14:schemeClr w14:val="tx1"/>
                  </w14:solidFill>
                </w14:textFill>
              </w:rPr>
            </w:pPr>
            <w:r>
              <w:rPr>
                <w:rFonts w:hint="default" w:ascii="Times New Roman" w:hAnsi="Times New Roman" w:eastAsia="宋体" w:cs="Times New Roman"/>
                <w:caps w:val="0"/>
                <w:smallCaps w:val="0"/>
                <w:color w:val="000000" w:themeColor="text1"/>
                <w:kern w:val="1"/>
                <w:sz w:val="24"/>
                <w:szCs w:val="24"/>
                <w:highlight w:val="none"/>
                <w:lang w:val="en-US" w:eastAsia="zh-CN" w:bidi="ar-SA"/>
                <w14:textFill>
                  <w14:solidFill>
                    <w14:schemeClr w14:val="tx1"/>
                  </w14:solidFill>
                </w14:textFill>
              </w:rPr>
              <w:t>综上，项目符合《关于加快解决当前挥发性有机物治理突出问题的通知》（环大气〔2021〕65号）的要求。</w:t>
            </w:r>
          </w:p>
          <w:p w14:paraId="6186F298">
            <w:pPr>
              <w:pStyle w:val="79"/>
              <w:bidi w:val="0"/>
              <w:rPr>
                <w:rFonts w:hint="eastAsia" w:hAnsi="宋体"/>
                <w:b/>
                <w:bCs/>
                <w:color w:val="000000" w:themeColor="text1"/>
                <w:sz w:val="24"/>
                <w:lang w:val="en-US" w:eastAsia="zh-CN"/>
                <w14:textFill>
                  <w14:solidFill>
                    <w14:schemeClr w14:val="tx1"/>
                  </w14:solidFill>
                </w14:textFill>
              </w:rPr>
            </w:pPr>
            <w:r>
              <w:rPr>
                <w:rFonts w:hint="eastAsia" w:hAnsi="宋体"/>
                <w:b/>
                <w:bCs/>
                <w:color w:val="000000" w:themeColor="text1"/>
                <w:sz w:val="24"/>
                <w:lang w:val="en-US" w:eastAsia="zh-CN"/>
                <w14:textFill>
                  <w14:solidFill>
                    <w14:schemeClr w14:val="tx1"/>
                  </w14:solidFill>
                </w14:textFill>
              </w:rPr>
              <w:t>14、与《关于印发〈2020年挥发性有机物治理攻坚方案〉的通知》（环大气〔2020〕33号）的符合性分析</w:t>
            </w:r>
          </w:p>
          <w:p w14:paraId="2C481E4F">
            <w:pPr>
              <w:pStyle w:val="79"/>
              <w:bidi w:val="0"/>
              <w:rPr>
                <w:rFonts w:hint="eastAsia" w:hAnsi="宋体"/>
                <w:color w:val="000000" w:themeColor="text1"/>
                <w:sz w:val="24"/>
                <w:lang w:val="en-US" w:eastAsia="zh-CN"/>
                <w14:textFill>
                  <w14:solidFill>
                    <w14:schemeClr w14:val="tx1"/>
                  </w14:solidFill>
                </w14:textFill>
              </w:rPr>
            </w:pPr>
            <w:r>
              <w:rPr>
                <w:rFonts w:hint="eastAsia" w:hAnsi="宋体"/>
                <w:color w:val="000000" w:themeColor="text1"/>
                <w:sz w:val="24"/>
                <w:lang w:val="en-US" w:eastAsia="zh-CN"/>
                <w14:textFill>
                  <w14:solidFill>
                    <w14:schemeClr w14:val="tx1"/>
                  </w14:solidFill>
                </w14:textFill>
              </w:rPr>
              <w:t>本项目与《关于印发〈2020年挥发性有机物治理攻坚方案〉的通知》（环大气〔2020〕33号）的符合性分析详见下表。</w:t>
            </w:r>
          </w:p>
          <w:p w14:paraId="2FF34F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表</w:t>
            </w:r>
            <w:r>
              <w:rPr>
                <w:rFonts w:hint="eastAsia" w:cs="Times New Roman"/>
                <w:b/>
                <w:bCs/>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-1</w:t>
            </w:r>
            <w:r>
              <w:rPr>
                <w:rFonts w:hint="eastAsia" w:cs="Times New Roman"/>
                <w:b/>
                <w:bCs/>
                <w:color w:val="000000" w:themeColor="text1"/>
                <w:sz w:val="21"/>
                <w:szCs w:val="21"/>
                <w:highlight w:val="none"/>
                <w:lang w:val="en-US" w:eastAsia="zh-CN"/>
                <w14:textFill>
                  <w14:solidFill>
                    <w14:schemeClr w14:val="tx1"/>
                  </w14:solidFill>
                </w14:textFill>
              </w:rPr>
              <w:t>7</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与2020年挥发性有机物治理攻坚方案符合性分析</w:t>
            </w:r>
          </w:p>
          <w:tbl>
            <w:tblPr>
              <w:tblStyle w:val="31"/>
              <w:tblW w:w="7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583"/>
              <w:gridCol w:w="3578"/>
              <w:gridCol w:w="2195"/>
              <w:gridCol w:w="807"/>
            </w:tblGrid>
            <w:tr w14:paraId="00743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0" w:hRule="atLeast"/>
                <w:jc w:val="center"/>
              </w:trPr>
              <w:tc>
                <w:tcPr>
                  <w:tcW w:w="583" w:type="dxa"/>
                  <w:noWrap w:val="0"/>
                  <w:vAlign w:val="center"/>
                </w:tcPr>
                <w:p w14:paraId="6A24B011">
                  <w:pPr>
                    <w:widowControl w:val="0"/>
                    <w:spacing w:before="10"/>
                    <w:jc w:val="center"/>
                    <w:rPr>
                      <w:rFonts w:hint="default" w:ascii="Times New Roman" w:hAnsi="Times New Roman" w:eastAsia="宋体" w:cs="Times New Roman"/>
                      <w:b/>
                      <w:bCs/>
                      <w:color w:val="000000" w:themeColor="text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en-US" w:bidi="ar-SA"/>
                      <w14:textFill>
                        <w14:solidFill>
                          <w14:schemeClr w14:val="tx1"/>
                        </w14:solidFill>
                      </w14:textFill>
                    </w:rPr>
                    <w:t>序号</w:t>
                  </w:r>
                </w:p>
              </w:tc>
              <w:tc>
                <w:tcPr>
                  <w:tcW w:w="3578" w:type="dxa"/>
                  <w:noWrap w:val="0"/>
                  <w:vAlign w:val="center"/>
                </w:tcPr>
                <w:p w14:paraId="11DB3EE2">
                  <w:pPr>
                    <w:widowControl w:val="0"/>
                    <w:spacing w:before="10"/>
                    <w:jc w:val="center"/>
                    <w:rPr>
                      <w:rFonts w:hint="default" w:ascii="Times New Roman" w:hAnsi="Times New Roman" w:eastAsia="宋体" w:cs="Times New Roman"/>
                      <w:b/>
                      <w:bCs/>
                      <w:color w:val="000000" w:themeColor="text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en-US" w:bidi="ar-SA"/>
                      <w14:textFill>
                        <w14:solidFill>
                          <w14:schemeClr w14:val="tx1"/>
                        </w14:solidFill>
                      </w14:textFill>
                    </w:rPr>
                    <w:t>相关要求</w:t>
                  </w:r>
                </w:p>
              </w:tc>
              <w:tc>
                <w:tcPr>
                  <w:tcW w:w="2195" w:type="dxa"/>
                  <w:noWrap w:val="0"/>
                  <w:vAlign w:val="center"/>
                </w:tcPr>
                <w:p w14:paraId="1BC3E628">
                  <w:pPr>
                    <w:widowControl w:val="0"/>
                    <w:spacing w:before="10"/>
                    <w:jc w:val="center"/>
                    <w:rPr>
                      <w:rFonts w:hint="default" w:ascii="Times New Roman" w:hAnsi="Times New Roman" w:eastAsia="宋体" w:cs="Times New Roman"/>
                      <w:b/>
                      <w:bCs/>
                      <w:color w:val="000000" w:themeColor="text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en-US" w:bidi="ar-SA"/>
                      <w14:textFill>
                        <w14:solidFill>
                          <w14:schemeClr w14:val="tx1"/>
                        </w14:solidFill>
                      </w14:textFill>
                    </w:rPr>
                    <w:t>本项目情况</w:t>
                  </w:r>
                </w:p>
              </w:tc>
              <w:tc>
                <w:tcPr>
                  <w:tcW w:w="807" w:type="dxa"/>
                  <w:noWrap w:val="0"/>
                  <w:vAlign w:val="center"/>
                </w:tcPr>
                <w:p w14:paraId="56A8EB2F">
                  <w:pPr>
                    <w:widowControl w:val="0"/>
                    <w:spacing w:before="10"/>
                    <w:jc w:val="cente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en-US" w:bidi="ar-SA"/>
                      <w14:textFill>
                        <w14:solidFill>
                          <w14:schemeClr w14:val="tx1"/>
                        </w14:solidFill>
                      </w14:textFill>
                    </w:rPr>
                    <w:t>相符</w:t>
                  </w:r>
                  <w: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性</w:t>
                  </w:r>
                </w:p>
              </w:tc>
            </w:tr>
            <w:tr w14:paraId="0C2F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20" w:hRule="atLeast"/>
                <w:jc w:val="center"/>
              </w:trPr>
              <w:tc>
                <w:tcPr>
                  <w:tcW w:w="583" w:type="dxa"/>
                  <w:noWrap w:val="0"/>
                  <w:vAlign w:val="center"/>
                </w:tcPr>
                <w:p w14:paraId="4BB18F4F">
                  <w:pPr>
                    <w:widowControl w:val="0"/>
                    <w:spacing w:before="10"/>
                    <w:jc w:val="center"/>
                    <w:rPr>
                      <w:rFonts w:hint="default" w:ascii="Times New Roman" w:hAnsi="Times New Roman" w:eastAsia="宋体" w:cs="Times New Roman"/>
                      <w:color w:val="000000" w:themeColor="text1"/>
                      <w:kern w:val="0"/>
                      <w:sz w:val="21"/>
                      <w:szCs w:val="21"/>
                      <w:highlight w:val="yellow"/>
                      <w:lang w:val="en-US" w:eastAsia="en-US"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一</w:t>
                  </w:r>
                </w:p>
              </w:tc>
              <w:tc>
                <w:tcPr>
                  <w:tcW w:w="3578" w:type="dxa"/>
                  <w:noWrap w:val="0"/>
                  <w:vAlign w:val="center"/>
                </w:tcPr>
                <w:p w14:paraId="072A3EAC">
                  <w:pPr>
                    <w:keepNext w:val="0"/>
                    <w:keepLines w:val="0"/>
                    <w:pageBreakBefore w:val="0"/>
                    <w:widowControl w:val="0"/>
                    <w:kinsoku/>
                    <w:wordWrap/>
                    <w:overflowPunct/>
                    <w:topLinePunct w:val="0"/>
                    <w:autoSpaceDE/>
                    <w:autoSpaceDN/>
                    <w:bidi w:val="0"/>
                    <w:adjustRightInd/>
                    <w:snapToGrid/>
                    <w:spacing w:before="0"/>
                    <w:ind w:firstLine="0" w:firstLineChars="0"/>
                    <w:jc w:val="both"/>
                    <w:textAlignment w:val="auto"/>
                    <w:rPr>
                      <w:rFonts w:hint="default" w:ascii="Times New Roman" w:hAnsi="Times New Roman" w:eastAsia="宋体" w:cs="Times New Roman"/>
                      <w:color w:val="000000" w:themeColor="text1"/>
                      <w:kern w:val="0"/>
                      <w:sz w:val="21"/>
                      <w:szCs w:val="21"/>
                      <w:highlight w:val="yellow"/>
                      <w:lang w:val="en-US" w:eastAsia="zh-CN" w:bidi="ar-SA"/>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21"/>
                      <w:szCs w:val="21"/>
                      <w:shd w:val="clear" w:color="auto" w:fill="FFFFFF"/>
                      <w:lang w:val="en-US" w:eastAsia="zh-CN" w:bidi="ar-SA"/>
                      <w14:textFill>
                        <w14:solidFill>
                          <w14:schemeClr w14:val="tx1"/>
                        </w14:solidFill>
                      </w14:textFill>
                    </w:rPr>
                    <w:t>大力推进源头替代</w:t>
                  </w:r>
                  <w:r>
                    <w:rPr>
                      <w:rFonts w:hint="eastAsia" w:ascii="Times New Roman" w:hAnsi="Times New Roman" w:eastAsia="宋体" w:cs="Times New Roman"/>
                      <w:b w:val="0"/>
                      <w:bCs w:val="0"/>
                      <w:i w:val="0"/>
                      <w:iCs w:val="0"/>
                      <w:caps w:val="0"/>
                      <w:color w:val="000000" w:themeColor="text1"/>
                      <w:spacing w:val="0"/>
                      <w:kern w:val="0"/>
                      <w:sz w:val="21"/>
                      <w:szCs w:val="21"/>
                      <w:shd w:val="clear" w:color="auto" w:fill="FFFFFF"/>
                      <w:lang w:val="en-US" w:eastAsia="zh-CN" w:bidi="ar-SA"/>
                      <w14:textFill>
                        <w14:solidFill>
                          <w14:schemeClr w14:val="tx1"/>
                        </w14:solidFill>
                      </w14:textFill>
                    </w:rPr>
                    <w:t>，有效减少VOCs产生</w:t>
                  </w:r>
                  <w:r>
                    <w:rPr>
                      <w:rFonts w:hint="default" w:ascii="Times New Roman" w:hAnsi="Times New Roman" w:eastAsia="宋体" w:cs="Times New Roman"/>
                      <w:b w:val="0"/>
                      <w:bCs w:val="0"/>
                      <w:i w:val="0"/>
                      <w:iCs w:val="0"/>
                      <w:caps w:val="0"/>
                      <w:color w:val="000000" w:themeColor="text1"/>
                      <w:spacing w:val="0"/>
                      <w:kern w:val="0"/>
                      <w:sz w:val="21"/>
                      <w:szCs w:val="21"/>
                      <w:shd w:val="clear" w:color="auto" w:fill="FFFFFF"/>
                      <w:lang w:val="en-US" w:eastAsia="zh-CN" w:bidi="ar-SA"/>
                      <w14:textFill>
                        <w14:solidFill>
                          <w14:schemeClr w14:val="tx1"/>
                        </w14:solidFill>
                      </w14:textFill>
                    </w:rPr>
                    <w:t>。</w:t>
                  </w:r>
                  <w:r>
                    <w:rPr>
                      <w:rFonts w:hint="default" w:ascii="Times New Roman" w:hAnsi="Times New Roman" w:eastAsia="宋体" w:cs="Times New Roman"/>
                      <w:b w:val="0"/>
                      <w:bCs w:val="0"/>
                      <w:i w:val="0"/>
                      <w:iCs w:val="0"/>
                      <w:caps w:val="0"/>
                      <w:color w:val="000000" w:themeColor="text1"/>
                      <w:spacing w:val="0"/>
                      <w:kern w:val="0"/>
                      <w:sz w:val="21"/>
                      <w:szCs w:val="21"/>
                      <w:shd w:val="clear" w:color="auto" w:fill="FFFFFF"/>
                      <w:lang w:val="en-US" w:eastAsia="en-US" w:bidi="ar-SA"/>
                      <w14:textFill>
                        <w14:solidFill>
                          <w14:schemeClr w14:val="tx1"/>
                        </w14:solidFill>
                      </w14:textFill>
                    </w:rPr>
                    <w:t>大力推进低（无）VOCs含量原辅材料替代。将全面使用符合国家要求的低VOCs含量原辅材料的企业纳入正面清单和政府绿色采购清单。企业应建立原辅材料台账，记录VOCs原辅材料名称、成分、VOCs含量、采购量、使用量、库存量、回收方式、回收量等信息，并保存相关证明材料。采用符合国家有关低VOCs含量产品规定的涂料、油墨、胶粘剂等，排放浓度稳定达标且排放速率满足相关规定的，相应生产工序可不要求建设末端治理设施。使用的原辅材料VOCs含量（质量比）均低于10%的工序，可不要求采取无组织排放收集和处理措施。推进政府绿色采购，要求家具、印刷等政府定点招标采购企业优先使用低挥发性原辅材料，鼓励汽车维修等政府定点招标采购企业使用低挥发性原辅材料；将低VOCs含量产品纳入政府采购名录，并在政府投资项目中优先使用；引导将使用低VOCs含量涂料、胶粘剂等纳入政府采购装修合同环保条款</w:t>
                  </w:r>
                  <w:r>
                    <w:rPr>
                      <w:rFonts w:hint="default" w:ascii="Times New Roman" w:hAnsi="Times New Roman" w:eastAsia="宋体" w:cs="Times New Roman"/>
                      <w:b w:val="0"/>
                      <w:bCs w:val="0"/>
                      <w:i w:val="0"/>
                      <w:iCs w:val="0"/>
                      <w:caps w:val="0"/>
                      <w:color w:val="000000" w:themeColor="text1"/>
                      <w:spacing w:val="0"/>
                      <w:kern w:val="0"/>
                      <w:sz w:val="21"/>
                      <w:szCs w:val="21"/>
                      <w:shd w:val="clear" w:color="auto" w:fill="FFFFFF"/>
                      <w:lang w:val="en-US" w:eastAsia="zh-CN" w:bidi="ar-SA"/>
                      <w14:textFill>
                        <w14:solidFill>
                          <w14:schemeClr w14:val="tx1"/>
                        </w14:solidFill>
                      </w14:textFill>
                    </w:rPr>
                    <w:t>。</w:t>
                  </w:r>
                </w:p>
              </w:tc>
              <w:tc>
                <w:tcPr>
                  <w:tcW w:w="2195" w:type="dxa"/>
                  <w:noWrap w:val="0"/>
                  <w:vAlign w:val="center"/>
                </w:tcPr>
                <w:p w14:paraId="2CE4A997">
                  <w:pPr>
                    <w:keepNext w:val="0"/>
                    <w:keepLines w:val="0"/>
                    <w:pageBreakBefore w:val="0"/>
                    <w:widowControl w:val="0"/>
                    <w:kinsoku/>
                    <w:wordWrap/>
                    <w:overflowPunct/>
                    <w:topLinePunct w:val="0"/>
                    <w:autoSpaceDE/>
                    <w:autoSpaceDN/>
                    <w:bidi w:val="0"/>
                    <w:adjustRightInd w:val="0"/>
                    <w:snapToGrid/>
                    <w:spacing w:line="240" w:lineRule="auto"/>
                    <w:ind w:firstLine="0"/>
                    <w:jc w:val="both"/>
                    <w:textAlignment w:val="baseline"/>
                    <w:rPr>
                      <w:rFonts w:hint="default" w:ascii="Times New Roman" w:hAnsi="Times New Roman" w:eastAsia="宋体" w:cs="Times New Roman"/>
                      <w:color w:val="000000" w:themeColor="text1"/>
                      <w:kern w:val="28"/>
                      <w:sz w:val="21"/>
                      <w:szCs w:val="21"/>
                      <w:highlight w:val="yellow"/>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8"/>
                      <w:sz w:val="21"/>
                      <w:szCs w:val="21"/>
                      <w:highlight w:val="none"/>
                      <w:u w:val="none"/>
                      <w:vertAlign w:val="baseline"/>
                      <w:lang w:val="en-US" w:eastAsia="zh-CN" w:bidi="ar-SA"/>
                      <w14:textFill>
                        <w14:solidFill>
                          <w14:schemeClr w14:val="tx1"/>
                        </w14:solidFill>
                      </w14:textFill>
                    </w:rPr>
                    <w:t>本项目使用原料均从国内正规生产厂家购入；</w:t>
                  </w:r>
                  <w:r>
                    <w:rPr>
                      <w:rFonts w:hint="eastAsia" w:ascii="Times New Roman" w:hAnsi="Times New Roman" w:eastAsia="宋体" w:cs="Times New Roman"/>
                      <w:b w:val="0"/>
                      <w:bCs w:val="0"/>
                      <w:color w:val="000000" w:themeColor="text1"/>
                      <w:kern w:val="28"/>
                      <w:sz w:val="21"/>
                      <w:szCs w:val="21"/>
                      <w:highlight w:val="none"/>
                      <w:u w:val="none"/>
                      <w:vertAlign w:val="baseline"/>
                      <w:lang w:val="en-US" w:eastAsia="zh-CN" w:bidi="ar-SA"/>
                      <w14:textFill>
                        <w14:solidFill>
                          <w14:schemeClr w14:val="tx1"/>
                        </w14:solidFill>
                      </w14:textFill>
                    </w:rPr>
                    <w:t>环评要求企</w:t>
                  </w:r>
                  <w:r>
                    <w:rPr>
                      <w:rFonts w:hint="eastAsia" w:cs="Times New Roman"/>
                      <w:b w:val="0"/>
                      <w:bCs w:val="0"/>
                      <w:color w:val="000000" w:themeColor="text1"/>
                      <w:kern w:val="28"/>
                      <w:sz w:val="21"/>
                      <w:szCs w:val="21"/>
                      <w:highlight w:val="none"/>
                      <w:u w:val="none"/>
                      <w:vertAlign w:val="baseline"/>
                      <w:lang w:val="en-US" w:eastAsia="zh-CN" w:bidi="ar-SA"/>
                      <w14:textFill>
                        <w14:solidFill>
                          <w14:schemeClr w14:val="tx1"/>
                        </w14:solidFill>
                      </w14:textFill>
                    </w:rPr>
                    <w:t>业在</w:t>
                  </w:r>
                  <w:r>
                    <w:rPr>
                      <w:rFonts w:hint="eastAsia" w:ascii="Times New Roman" w:hAnsi="Times New Roman" w:eastAsia="宋体" w:cs="Times New Roman"/>
                      <w:b w:val="0"/>
                      <w:bCs w:val="0"/>
                      <w:color w:val="000000" w:themeColor="text1"/>
                      <w:kern w:val="28"/>
                      <w:sz w:val="21"/>
                      <w:szCs w:val="21"/>
                      <w:highlight w:val="none"/>
                      <w:u w:val="none"/>
                      <w:vertAlign w:val="baseline"/>
                      <w:lang w:val="en-US" w:eastAsia="zh-CN" w:bidi="ar-SA"/>
                      <w14:textFill>
                        <w14:solidFill>
                          <w14:schemeClr w14:val="tx1"/>
                        </w14:solidFill>
                      </w14:textFill>
                    </w:rPr>
                    <w:t>运行过程中严格按照要求建立原辅料台账</w:t>
                  </w:r>
                  <w:r>
                    <w:rPr>
                      <w:rFonts w:hint="default" w:ascii="Times New Roman" w:hAnsi="Times New Roman" w:eastAsia="宋体" w:cs="Times New Roman"/>
                      <w:b w:val="0"/>
                      <w:bCs w:val="0"/>
                      <w:color w:val="000000" w:themeColor="text1"/>
                      <w:kern w:val="28"/>
                      <w:sz w:val="21"/>
                      <w:szCs w:val="21"/>
                      <w:highlight w:val="none"/>
                      <w:u w:val="none"/>
                      <w:vertAlign w:val="baseline"/>
                      <w:lang w:val="en-US" w:eastAsia="zh-CN" w:bidi="ar-SA"/>
                      <w14:textFill>
                        <w14:solidFill>
                          <w14:schemeClr w14:val="tx1"/>
                        </w14:solidFill>
                      </w14:textFill>
                    </w:rPr>
                    <w:t>，并保存记录不少于3年。</w:t>
                  </w:r>
                </w:p>
              </w:tc>
              <w:tc>
                <w:tcPr>
                  <w:tcW w:w="807" w:type="dxa"/>
                  <w:noWrap w:val="0"/>
                  <w:vAlign w:val="center"/>
                </w:tcPr>
                <w:p w14:paraId="283B4FE2">
                  <w:pPr>
                    <w:widowControl w:val="0"/>
                    <w:spacing w:before="10"/>
                    <w:jc w:val="center"/>
                    <w:rPr>
                      <w:rFonts w:hint="default" w:ascii="Times New Roman" w:hAnsi="Times New Roman" w:eastAsia="宋体" w:cs="Times New Roman"/>
                      <w:color w:val="000000" w:themeColor="text1"/>
                      <w:kern w:val="0"/>
                      <w:sz w:val="21"/>
                      <w:szCs w:val="21"/>
                      <w:highlight w:val="yellow"/>
                      <w:lang w:val="en-US" w:eastAsia="en-US"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符合</w:t>
                  </w:r>
                </w:p>
              </w:tc>
            </w:tr>
            <w:tr w14:paraId="46AF5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583" w:type="dxa"/>
                  <w:noWrap w:val="0"/>
                  <w:vAlign w:val="center"/>
                </w:tcPr>
                <w:p w14:paraId="528E852C">
                  <w:pPr>
                    <w:widowControl w:val="0"/>
                    <w:spacing w:before="10"/>
                    <w:jc w:val="center"/>
                    <w:rPr>
                      <w:rFonts w:hint="default" w:ascii="Times New Roman" w:hAnsi="Times New Roman" w:eastAsia="宋体" w:cs="Times New Roman"/>
                      <w:color w:val="000000" w:themeColor="text1"/>
                      <w:kern w:val="0"/>
                      <w:sz w:val="21"/>
                      <w:szCs w:val="21"/>
                      <w:highlight w:val="yellow"/>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二</w:t>
                  </w:r>
                </w:p>
              </w:tc>
              <w:tc>
                <w:tcPr>
                  <w:tcW w:w="3578" w:type="dxa"/>
                  <w:noWrap w:val="0"/>
                  <w:vAlign w:val="center"/>
                </w:tcPr>
                <w:p w14:paraId="4E344B80">
                  <w:pPr>
                    <w:keepNext w:val="0"/>
                    <w:keepLines w:val="0"/>
                    <w:pageBreakBefore w:val="0"/>
                    <w:widowControl w:val="0"/>
                    <w:kinsoku/>
                    <w:wordWrap/>
                    <w:overflowPunct/>
                    <w:topLinePunct w:val="0"/>
                    <w:autoSpaceDE/>
                    <w:autoSpaceDN/>
                    <w:bidi w:val="0"/>
                    <w:adjustRightInd/>
                    <w:snapToGrid/>
                    <w:spacing w:before="0"/>
                    <w:ind w:firstLine="0" w:firstLineChars="0"/>
                    <w:jc w:val="both"/>
                    <w:textAlignment w:val="auto"/>
                    <w:rPr>
                      <w:rFonts w:hint="default" w:ascii="Times New Roman" w:hAnsi="Times New Roman" w:eastAsia="宋体" w:cs="Times New Roman"/>
                      <w:color w:val="000000" w:themeColor="text1"/>
                      <w:kern w:val="0"/>
                      <w:sz w:val="21"/>
                      <w:szCs w:val="21"/>
                      <w:highlight w:val="yellow"/>
                      <w:shd w:val="clear" w:color="auto" w:fill="FFFFFF"/>
                      <w:lang w:val="en-US" w:eastAsia="zh-CN" w:bidi="ar-SA"/>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21"/>
                      <w:szCs w:val="21"/>
                      <w:shd w:val="clear" w:color="auto" w:fill="FFFFFF"/>
                      <w:lang w:val="en-US" w:eastAsia="en-US" w:bidi="ar-SA"/>
                      <w14:textFill>
                        <w14:solidFill>
                          <w14:schemeClr w14:val="tx1"/>
                        </w14:solidFill>
                      </w14:textFill>
                    </w:rPr>
                    <w:t>全面落实标准要求，强化无组织排放控制</w:t>
                  </w:r>
                  <w:r>
                    <w:rPr>
                      <w:rFonts w:hint="default" w:ascii="Times New Roman" w:hAnsi="Times New Roman" w:eastAsia="宋体" w:cs="Times New Roman"/>
                      <w:b w:val="0"/>
                      <w:bCs w:val="0"/>
                      <w:i w:val="0"/>
                      <w:iCs w:val="0"/>
                      <w:caps w:val="0"/>
                      <w:color w:val="000000" w:themeColor="text1"/>
                      <w:spacing w:val="0"/>
                      <w:kern w:val="0"/>
                      <w:sz w:val="21"/>
                      <w:szCs w:val="21"/>
                      <w:shd w:val="clear" w:color="auto" w:fill="FFFFFF"/>
                      <w:lang w:val="en-US" w:eastAsia="zh-CN" w:bidi="ar-SA"/>
                      <w14:textFill>
                        <w14:solidFill>
                          <w14:schemeClr w14:val="tx1"/>
                        </w14:solidFill>
                      </w14:textFill>
                    </w:rPr>
                    <w:t>。</w:t>
                  </w:r>
                  <w:r>
                    <w:rPr>
                      <w:rFonts w:hint="default" w:ascii="Times New Roman" w:hAnsi="Times New Roman" w:eastAsia="宋体" w:cs="Times New Roman"/>
                      <w:b w:val="0"/>
                      <w:bCs w:val="0"/>
                      <w:i w:val="0"/>
                      <w:iCs w:val="0"/>
                      <w:caps w:val="0"/>
                      <w:color w:val="000000" w:themeColor="text1"/>
                      <w:spacing w:val="0"/>
                      <w:kern w:val="0"/>
                      <w:sz w:val="21"/>
                      <w:szCs w:val="21"/>
                      <w:shd w:val="clear" w:color="auto" w:fill="FFFFFF"/>
                      <w:lang w:val="en-US" w:eastAsia="en-US" w:bidi="ar-SA"/>
                      <w14:textFill>
                        <w14:solidFill>
                          <w14:schemeClr w14:val="tx1"/>
                        </w14:solidFill>
                      </w14:textFill>
                    </w:rPr>
                    <w:t>企业在无组织排放排查整治过程中，在保证安全的前提下，加强含VOCs物料全方位、全链条、全环节密闭管理。储存环节应采用密闭容器、包装袋，高效密封储罐，封闭式储库、料仓等。装卸、转移和输送环节应采用密闭管道或密闭容器、罐车等。生产和使用环节应采用密闭设备，或在密闭空间中操作并有效收集废气，或进行局部气体收集；非取用状态时容器应密闭。</w:t>
                  </w:r>
                </w:p>
              </w:tc>
              <w:tc>
                <w:tcPr>
                  <w:tcW w:w="2195" w:type="dxa"/>
                  <w:noWrap w:val="0"/>
                  <w:vAlign w:val="center"/>
                </w:tcPr>
                <w:p w14:paraId="501D8620">
                  <w:pPr>
                    <w:keepNext w:val="0"/>
                    <w:keepLines w:val="0"/>
                    <w:pageBreakBefore w:val="0"/>
                    <w:widowControl w:val="0"/>
                    <w:kinsoku/>
                    <w:wordWrap/>
                    <w:overflowPunct/>
                    <w:topLinePunct w:val="0"/>
                    <w:autoSpaceDE/>
                    <w:autoSpaceDN/>
                    <w:bidi w:val="0"/>
                    <w:adjustRightInd w:val="0"/>
                    <w:snapToGrid/>
                    <w:spacing w:line="240" w:lineRule="auto"/>
                    <w:ind w:firstLine="0"/>
                    <w:jc w:val="both"/>
                    <w:textAlignment w:val="baseline"/>
                    <w:rPr>
                      <w:rFonts w:hint="default" w:ascii="Times New Roman" w:hAnsi="Times New Roman" w:eastAsia="宋体" w:cs="Times New Roman"/>
                      <w:color w:val="000000" w:themeColor="text1"/>
                      <w:kern w:val="28"/>
                      <w:sz w:val="21"/>
                      <w:szCs w:val="21"/>
                      <w:highlight w:val="yellow"/>
                      <w:shd w:val="clear" w:color="auto" w:fill="FFFFFF"/>
                      <w:lang w:val="en-US" w:eastAsia="zh-CN" w:bidi="ar-SA"/>
                      <w14:textFill>
                        <w14:solidFill>
                          <w14:schemeClr w14:val="tx1"/>
                        </w14:solidFill>
                      </w14:textFill>
                    </w:rPr>
                  </w:pPr>
                  <w:r>
                    <w:rPr>
                      <w:rFonts w:hint="eastAsia" w:ascii="Times New Roman" w:hAnsi="Times New Roman" w:eastAsia="宋体" w:cs="Times New Roman"/>
                      <w:color w:val="000000" w:themeColor="text1"/>
                      <w:kern w:val="28"/>
                      <w:sz w:val="21"/>
                      <w:szCs w:val="21"/>
                      <w:highlight w:val="none"/>
                      <w:vertAlign w:val="baseline"/>
                      <w:lang w:val="en-US" w:eastAsia="zh-CN" w:bidi="ar-SA"/>
                      <w14:textFill>
                        <w14:solidFill>
                          <w14:schemeClr w14:val="tx1"/>
                        </w14:solidFill>
                      </w14:textFill>
                    </w:rPr>
                    <w:t>项目生产原料均为封闭袋装，且进厂后放置于封闭车间内，在转移及输送过程中均采用密闭的袋装输送。项目生产过程均在封闭车间内进行，并在热压挤出工序产生的挥发性有机物（以非甲烷总烃计）与甲醛上方设置集气罩，挥发性有机物收集后通过集气罩收集后进入</w:t>
                  </w:r>
                  <w:r>
                    <w:rPr>
                      <w:rFonts w:hint="eastAsia" w:cs="Times New Roman"/>
                      <w:color w:val="000000" w:themeColor="text1"/>
                      <w:kern w:val="28"/>
                      <w:sz w:val="21"/>
                      <w:szCs w:val="21"/>
                      <w:highlight w:val="none"/>
                      <w:vertAlign w:val="baseli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8"/>
                      <w:sz w:val="21"/>
                      <w:szCs w:val="21"/>
                      <w:highlight w:val="none"/>
                      <w:vertAlign w:val="baseline"/>
                      <w:lang w:val="en-US" w:eastAsia="zh-CN" w:bidi="ar-SA"/>
                      <w14:textFill>
                        <w14:solidFill>
                          <w14:schemeClr w14:val="tx1"/>
                        </w14:solidFill>
                      </w14:textFill>
                    </w:rPr>
                    <w:t>活性炭吸附/脱附+催化燃烧装置</w:t>
                  </w:r>
                  <w:r>
                    <w:rPr>
                      <w:rFonts w:hint="eastAsia" w:cs="Times New Roman"/>
                      <w:color w:val="000000" w:themeColor="text1"/>
                      <w:kern w:val="28"/>
                      <w:sz w:val="21"/>
                      <w:szCs w:val="21"/>
                      <w:highlight w:val="none"/>
                      <w:vertAlign w:val="baseli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8"/>
                      <w:sz w:val="21"/>
                      <w:szCs w:val="21"/>
                      <w:highlight w:val="none"/>
                      <w:vertAlign w:val="baseline"/>
                      <w:lang w:val="en-US" w:eastAsia="zh-CN" w:bidi="ar-SA"/>
                      <w14:textFill>
                        <w14:solidFill>
                          <w14:schemeClr w14:val="tx1"/>
                        </w14:solidFill>
                      </w14:textFill>
                    </w:rPr>
                    <w:t>处理。</w:t>
                  </w:r>
                </w:p>
              </w:tc>
              <w:tc>
                <w:tcPr>
                  <w:tcW w:w="807" w:type="dxa"/>
                  <w:noWrap w:val="0"/>
                  <w:vAlign w:val="center"/>
                </w:tcPr>
                <w:p w14:paraId="2506CA8D">
                  <w:pPr>
                    <w:widowControl w:val="0"/>
                    <w:spacing w:before="0"/>
                    <w:jc w:val="center"/>
                    <w:rPr>
                      <w:rFonts w:hint="default" w:ascii="Times New Roman" w:hAnsi="Times New Roman" w:eastAsia="宋体" w:cs="Times New Roman"/>
                      <w:color w:val="000000" w:themeColor="text1"/>
                      <w:kern w:val="0"/>
                      <w:sz w:val="21"/>
                      <w:szCs w:val="21"/>
                      <w:highlight w:val="yellow"/>
                      <w:lang w:val="en-US" w:eastAsia="en-US"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符合</w:t>
                  </w:r>
                </w:p>
              </w:tc>
            </w:tr>
            <w:tr w14:paraId="6967D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583" w:type="dxa"/>
                  <w:noWrap w:val="0"/>
                  <w:vAlign w:val="center"/>
                </w:tcPr>
                <w:p w14:paraId="03E1EA33">
                  <w:pPr>
                    <w:widowControl w:val="0"/>
                    <w:spacing w:before="10"/>
                    <w:jc w:val="center"/>
                    <w:rPr>
                      <w:rFonts w:hint="default" w:ascii="Times New Roman" w:hAnsi="Times New Roman" w:eastAsia="宋体" w:cs="Times New Roman"/>
                      <w:color w:val="000000" w:themeColor="text1"/>
                      <w:kern w:val="0"/>
                      <w:sz w:val="21"/>
                      <w:szCs w:val="21"/>
                      <w:highlight w:val="yellow"/>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三</w:t>
                  </w:r>
                </w:p>
              </w:tc>
              <w:tc>
                <w:tcPr>
                  <w:tcW w:w="3578" w:type="dxa"/>
                  <w:noWrap w:val="0"/>
                  <w:vAlign w:val="center"/>
                </w:tcPr>
                <w:p w14:paraId="56A8D1DC">
                  <w:pPr>
                    <w:keepNext w:val="0"/>
                    <w:keepLines w:val="0"/>
                    <w:pageBreakBefore w:val="0"/>
                    <w:widowControl w:val="0"/>
                    <w:kinsoku/>
                    <w:wordWrap/>
                    <w:overflowPunct/>
                    <w:topLinePunct w:val="0"/>
                    <w:autoSpaceDE/>
                    <w:autoSpaceDN/>
                    <w:bidi w:val="0"/>
                    <w:adjustRightInd/>
                    <w:snapToGrid/>
                    <w:spacing w:before="0"/>
                    <w:ind w:firstLine="0" w:firstLineChars="0"/>
                    <w:jc w:val="both"/>
                    <w:textAlignment w:val="auto"/>
                    <w:rPr>
                      <w:rFonts w:hint="default" w:ascii="Times New Roman" w:hAnsi="Times New Roman" w:eastAsia="宋体" w:cs="Times New Roman"/>
                      <w:color w:val="000000" w:themeColor="text1"/>
                      <w:kern w:val="0"/>
                      <w:sz w:val="21"/>
                      <w:szCs w:val="21"/>
                      <w:highlight w:val="yellow"/>
                      <w:shd w:val="clear" w:color="auto" w:fill="FFFFFF"/>
                      <w:lang w:val="en-US" w:eastAsia="zh-CN" w:bidi="ar-SA"/>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21"/>
                      <w:szCs w:val="21"/>
                      <w:shd w:val="clear" w:color="auto" w:fill="FFFFFF"/>
                      <w:lang w:val="en-US" w:eastAsia="en-US" w:bidi="ar-SA"/>
                      <w14:textFill>
                        <w14:solidFill>
                          <w14:schemeClr w14:val="tx1"/>
                        </w14:solidFill>
                      </w14:textFill>
                    </w:rPr>
                    <w:t>聚焦治污设施</w:t>
                  </w:r>
                  <w:r>
                    <w:rPr>
                      <w:rFonts w:hint="eastAsia" w:cs="Times New Roman"/>
                      <w:b w:val="0"/>
                      <w:bCs w:val="0"/>
                      <w:i w:val="0"/>
                      <w:iCs w:val="0"/>
                      <w:caps w:val="0"/>
                      <w:color w:val="000000" w:themeColor="text1"/>
                      <w:spacing w:val="0"/>
                      <w:kern w:val="0"/>
                      <w:sz w:val="21"/>
                      <w:szCs w:val="21"/>
                      <w:shd w:val="clear" w:color="auto" w:fill="FFFFFF"/>
                      <w:lang w:val="en-US" w:eastAsia="zh-CN" w:bidi="ar-SA"/>
                      <w14:textFill>
                        <w14:solidFill>
                          <w14:schemeClr w14:val="tx1"/>
                        </w14:solidFill>
                      </w14:textFill>
                    </w:rPr>
                    <w:t>“</w:t>
                  </w:r>
                  <w:r>
                    <w:rPr>
                      <w:rFonts w:hint="default" w:ascii="Times New Roman" w:hAnsi="Times New Roman" w:eastAsia="宋体" w:cs="Times New Roman"/>
                      <w:b w:val="0"/>
                      <w:bCs w:val="0"/>
                      <w:i w:val="0"/>
                      <w:iCs w:val="0"/>
                      <w:caps w:val="0"/>
                      <w:color w:val="000000" w:themeColor="text1"/>
                      <w:spacing w:val="0"/>
                      <w:kern w:val="0"/>
                      <w:sz w:val="21"/>
                      <w:szCs w:val="21"/>
                      <w:shd w:val="clear" w:color="auto" w:fill="FFFFFF"/>
                      <w:lang w:val="en-US" w:eastAsia="en-US" w:bidi="ar-SA"/>
                      <w14:textFill>
                        <w14:solidFill>
                          <w14:schemeClr w14:val="tx1"/>
                        </w14:solidFill>
                      </w14:textFill>
                    </w:rPr>
                    <w:t>三率</w:t>
                  </w:r>
                  <w:r>
                    <w:rPr>
                      <w:rFonts w:hint="eastAsia" w:cs="Times New Roman"/>
                      <w:b w:val="0"/>
                      <w:bCs w:val="0"/>
                      <w:i w:val="0"/>
                      <w:iCs w:val="0"/>
                      <w:caps w:val="0"/>
                      <w:color w:val="000000" w:themeColor="text1"/>
                      <w:spacing w:val="0"/>
                      <w:kern w:val="0"/>
                      <w:sz w:val="21"/>
                      <w:szCs w:val="21"/>
                      <w:shd w:val="clear" w:color="auto" w:fill="FFFFFF"/>
                      <w:lang w:val="en-US" w:eastAsia="zh-CN" w:bidi="ar-SA"/>
                      <w14:textFill>
                        <w14:solidFill>
                          <w14:schemeClr w14:val="tx1"/>
                        </w14:solidFill>
                      </w14:textFill>
                    </w:rPr>
                    <w:t>”</w:t>
                  </w:r>
                  <w:r>
                    <w:rPr>
                      <w:rFonts w:hint="default" w:ascii="Times New Roman" w:hAnsi="Times New Roman" w:eastAsia="宋体" w:cs="Times New Roman"/>
                      <w:b w:val="0"/>
                      <w:bCs w:val="0"/>
                      <w:i w:val="0"/>
                      <w:iCs w:val="0"/>
                      <w:caps w:val="0"/>
                      <w:color w:val="000000" w:themeColor="text1"/>
                      <w:spacing w:val="0"/>
                      <w:kern w:val="0"/>
                      <w:sz w:val="21"/>
                      <w:szCs w:val="21"/>
                      <w:shd w:val="clear" w:color="auto" w:fill="FFFFFF"/>
                      <w:lang w:val="en-US" w:eastAsia="en-US" w:bidi="ar-SA"/>
                      <w14:textFill>
                        <w14:solidFill>
                          <w14:schemeClr w14:val="tx1"/>
                        </w14:solidFill>
                      </w14:textFill>
                    </w:rPr>
                    <w:t>，提升综合治理效率</w:t>
                  </w:r>
                  <w:r>
                    <w:rPr>
                      <w:rFonts w:hint="default" w:ascii="Times New Roman" w:hAnsi="Times New Roman" w:eastAsia="宋体" w:cs="Times New Roman"/>
                      <w:b w:val="0"/>
                      <w:bCs w:val="0"/>
                      <w:i w:val="0"/>
                      <w:iCs w:val="0"/>
                      <w:caps w:val="0"/>
                      <w:color w:val="000000" w:themeColor="text1"/>
                      <w:spacing w:val="0"/>
                      <w:kern w:val="0"/>
                      <w:sz w:val="21"/>
                      <w:szCs w:val="21"/>
                      <w:shd w:val="clear" w:color="auto" w:fill="FFFFFF"/>
                      <w:lang w:val="en-US" w:eastAsia="zh-CN" w:bidi="ar-SA"/>
                      <w14:textFill>
                        <w14:solidFill>
                          <w14:schemeClr w14:val="tx1"/>
                        </w14:solidFill>
                      </w14:textFill>
                    </w:rPr>
                    <w:t>。</w:t>
                  </w:r>
                  <w:r>
                    <w:rPr>
                      <w:rFonts w:hint="default" w:ascii="Times New Roman" w:hAnsi="Times New Roman" w:eastAsia="宋体" w:cs="Times New Roman"/>
                      <w:b w:val="0"/>
                      <w:bCs w:val="0"/>
                      <w:i w:val="0"/>
                      <w:iCs w:val="0"/>
                      <w:caps w:val="0"/>
                      <w:color w:val="000000" w:themeColor="text1"/>
                      <w:spacing w:val="0"/>
                      <w:kern w:val="0"/>
                      <w:sz w:val="21"/>
                      <w:szCs w:val="21"/>
                      <w:shd w:val="clear" w:color="auto" w:fill="FFFFFF"/>
                      <w:lang w:val="en-US" w:eastAsia="en-US" w:bidi="ar-SA"/>
                      <w14:textFill>
                        <w14:solidFill>
                          <w14:schemeClr w14:val="tx1"/>
                        </w14:solidFill>
                      </w14:textFill>
                    </w:rPr>
                    <w:t>组织企业对现有VOCs废气收集率、治理设施同步运行率和去除率开展自查，重点关注单一采用光氧化、光催化、低温等离子、一次性活性炭吸附、喷淋吸收等工艺的治理设施，7月15日前完成。对达不到要求的VOCs收集、治理设施进行更换或升级改造，确保实现达标排放。除恶臭异味治理外，一般不采用低温等离子、光催化、光氧化等技术。行业排放标准中规定特别排放限值和控制要求的，应按相关规定执行；未制定行业标准的应执行大气污染物综合排放标准和挥发性有机物无组织排放控制标准；已制定更严格地方排放标准的，按地方标准执行</w:t>
                  </w:r>
                  <w:r>
                    <w:rPr>
                      <w:rFonts w:hint="default" w:ascii="Times New Roman" w:hAnsi="Times New Roman" w:eastAsia="宋体" w:cs="Times New Roman"/>
                      <w:b w:val="0"/>
                      <w:bCs w:val="0"/>
                      <w:i w:val="0"/>
                      <w:iCs w:val="0"/>
                      <w:caps w:val="0"/>
                      <w:color w:val="000000" w:themeColor="text1"/>
                      <w:spacing w:val="0"/>
                      <w:kern w:val="0"/>
                      <w:sz w:val="21"/>
                      <w:szCs w:val="21"/>
                      <w:shd w:val="clear" w:color="auto" w:fill="FFFFFF"/>
                      <w:lang w:val="en-US" w:eastAsia="zh-CN" w:bidi="ar-SA"/>
                      <w14:textFill>
                        <w14:solidFill>
                          <w14:schemeClr w14:val="tx1"/>
                        </w14:solidFill>
                      </w14:textFill>
                    </w:rPr>
                    <w:t>。</w:t>
                  </w:r>
                </w:p>
              </w:tc>
              <w:tc>
                <w:tcPr>
                  <w:tcW w:w="2195" w:type="dxa"/>
                  <w:noWrap w:val="0"/>
                  <w:vAlign w:val="center"/>
                </w:tcPr>
                <w:p w14:paraId="779BE843">
                  <w:pPr>
                    <w:keepNext w:val="0"/>
                    <w:keepLines w:val="0"/>
                    <w:pageBreakBefore w:val="0"/>
                    <w:widowControl w:val="0"/>
                    <w:kinsoku/>
                    <w:wordWrap/>
                    <w:overflowPunct/>
                    <w:topLinePunct w:val="0"/>
                    <w:autoSpaceDE/>
                    <w:autoSpaceDN/>
                    <w:bidi w:val="0"/>
                    <w:adjustRightInd/>
                    <w:snapToGrid/>
                    <w:spacing w:before="0"/>
                    <w:ind w:firstLine="0" w:firstLineChars="0"/>
                    <w:jc w:val="both"/>
                    <w:textAlignment w:val="auto"/>
                    <w:rPr>
                      <w:rFonts w:hint="default" w:ascii="Times New Roman" w:hAnsi="Times New Roman" w:eastAsia="宋体" w:cs="Times New Roman"/>
                      <w:color w:val="000000" w:themeColor="text1"/>
                      <w:kern w:val="0"/>
                      <w:sz w:val="21"/>
                      <w:szCs w:val="21"/>
                      <w:highlight w:val="yellow"/>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shd w:val="clear" w:color="auto" w:fill="FFFFFF"/>
                      <w:lang w:val="en-US" w:eastAsia="zh-CN" w:bidi="ar-SA"/>
                      <w14:textFill>
                        <w14:solidFill>
                          <w14:schemeClr w14:val="tx1"/>
                        </w14:solidFill>
                      </w14:textFill>
                    </w:rPr>
                    <w:t>项目有机</w:t>
                  </w:r>
                  <w:r>
                    <w:rPr>
                      <w:rFonts w:hint="default" w:ascii="Times New Roman" w:hAnsi="Times New Roman" w:eastAsia="宋体" w:cs="Times New Roman"/>
                      <w:color w:val="000000" w:themeColor="text1"/>
                      <w:kern w:val="0"/>
                      <w:sz w:val="21"/>
                      <w:szCs w:val="21"/>
                      <w:highlight w:val="none"/>
                      <w:shd w:val="clear" w:color="auto" w:fill="FFFFFF"/>
                      <w:lang w:val="en-US" w:eastAsia="zh-CN" w:bidi="ar-SA"/>
                      <w14:textFill>
                        <w14:solidFill>
                          <w14:schemeClr w14:val="tx1"/>
                        </w14:solidFill>
                      </w14:textFill>
                    </w:rPr>
                    <w:t>废气</w:t>
                  </w:r>
                  <w:r>
                    <w:rPr>
                      <w:rFonts w:hint="eastAsia" w:ascii="Times New Roman" w:hAnsi="Times New Roman" w:eastAsia="宋体" w:cs="Times New Roman"/>
                      <w:color w:val="000000" w:themeColor="text1"/>
                      <w:kern w:val="0"/>
                      <w:sz w:val="21"/>
                      <w:szCs w:val="21"/>
                      <w:highlight w:val="none"/>
                      <w:shd w:val="clear" w:color="auto" w:fill="FFFFFF"/>
                      <w:lang w:val="en-US" w:eastAsia="zh-CN" w:bidi="ar-SA"/>
                      <w14:textFill>
                        <w14:solidFill>
                          <w14:schemeClr w14:val="tx1"/>
                        </w14:solidFill>
                      </w14:textFill>
                    </w:rPr>
                    <w:t>经集气罩收集后进入</w:t>
                  </w:r>
                  <w:r>
                    <w:rPr>
                      <w:rFonts w:hint="eastAsia" w:cs="Times New Roman"/>
                      <w:color w:val="000000" w:themeColor="text1"/>
                      <w:kern w:val="0"/>
                      <w:sz w:val="21"/>
                      <w:szCs w:val="21"/>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0"/>
                      <w:sz w:val="21"/>
                      <w:szCs w:val="21"/>
                      <w:lang w:val="zh-CN" w:eastAsia="en-US" w:bidi="zh-CN"/>
                      <w14:textFill>
                        <w14:solidFill>
                          <w14:schemeClr w14:val="tx1"/>
                        </w14:solidFill>
                      </w14:textFill>
                    </w:rPr>
                    <w:t>活性炭吸附/脱附+催化燃烧装置</w:t>
                  </w:r>
                  <w:r>
                    <w:rPr>
                      <w:rFonts w:hint="eastAsia" w:cs="Times New Roman"/>
                      <w:b w:val="0"/>
                      <w:bCs w:val="0"/>
                      <w:color w:val="000000" w:themeColor="text1"/>
                      <w:kern w:val="0"/>
                      <w:sz w:val="21"/>
                      <w:szCs w:val="21"/>
                      <w:lang w:val="zh-CN" w:eastAsia="zh-CN" w:bidi="zh-CN"/>
                      <w14:textFill>
                        <w14:solidFill>
                          <w14:schemeClr w14:val="tx1"/>
                        </w14:solidFill>
                      </w14:textFill>
                    </w:rPr>
                    <w:t>”</w:t>
                  </w:r>
                  <w:r>
                    <w:rPr>
                      <w:rFonts w:hint="default" w:ascii="Times New Roman" w:hAnsi="Times New Roman" w:eastAsia="宋体" w:cs="Times New Roman"/>
                      <w:b w:val="0"/>
                      <w:bCs w:val="0"/>
                      <w:color w:val="000000" w:themeColor="text1"/>
                      <w:kern w:val="0"/>
                      <w:sz w:val="21"/>
                      <w:szCs w:val="21"/>
                      <w:lang w:val="en-US" w:eastAsia="zh-CN" w:bidi="zh-CN"/>
                      <w14:textFill>
                        <w14:solidFill>
                          <w14:schemeClr w14:val="tx1"/>
                        </w14:solidFill>
                      </w14:textFill>
                    </w:rPr>
                    <w:t>处</w:t>
                  </w:r>
                  <w:r>
                    <w:rPr>
                      <w:rFonts w:hint="default" w:ascii="Times New Roman" w:hAnsi="Times New Roman" w:eastAsia="宋体" w:cs="Times New Roman"/>
                      <w:color w:val="000000" w:themeColor="text1"/>
                      <w:kern w:val="0"/>
                      <w:sz w:val="21"/>
                      <w:szCs w:val="21"/>
                      <w:highlight w:val="none"/>
                      <w:shd w:val="clear" w:color="auto" w:fill="FFFFFF"/>
                      <w:lang w:val="en-US" w:eastAsia="zh-CN" w:bidi="ar-SA"/>
                      <w14:textFill>
                        <w14:solidFill>
                          <w14:schemeClr w14:val="tx1"/>
                        </w14:solidFill>
                      </w14:textFill>
                    </w:rPr>
                    <w:t>理后通过车间排气筒</w:t>
                  </w:r>
                  <w:r>
                    <w:rPr>
                      <w:rFonts w:hint="eastAsia" w:ascii="Times New Roman" w:hAnsi="Times New Roman" w:eastAsia="宋体" w:cs="Times New Roman"/>
                      <w:color w:val="000000" w:themeColor="text1"/>
                      <w:kern w:val="0"/>
                      <w:sz w:val="21"/>
                      <w:szCs w:val="21"/>
                      <w:highlight w:val="none"/>
                      <w:shd w:val="clear" w:color="auto" w:fill="FFFFFF"/>
                      <w:lang w:val="en-US" w:eastAsia="zh-CN" w:bidi="ar-SA"/>
                      <w14:textFill>
                        <w14:solidFill>
                          <w14:schemeClr w14:val="tx1"/>
                        </w14:solidFill>
                      </w14:textFill>
                    </w:rPr>
                    <w:t>达标</w:t>
                  </w:r>
                  <w:r>
                    <w:rPr>
                      <w:rFonts w:hint="default" w:ascii="Times New Roman" w:hAnsi="Times New Roman" w:eastAsia="宋体" w:cs="Times New Roman"/>
                      <w:color w:val="000000" w:themeColor="text1"/>
                      <w:kern w:val="0"/>
                      <w:sz w:val="21"/>
                      <w:szCs w:val="21"/>
                      <w:highlight w:val="none"/>
                      <w:shd w:val="clear" w:color="auto" w:fill="FFFFFF"/>
                      <w:lang w:val="en-US" w:eastAsia="zh-CN" w:bidi="ar-SA"/>
                      <w14:textFill>
                        <w14:solidFill>
                          <w14:schemeClr w14:val="tx1"/>
                        </w14:solidFill>
                      </w14:textFill>
                    </w:rPr>
                    <w:t>排放</w:t>
                  </w:r>
                  <w:r>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t>。</w:t>
                  </w:r>
                </w:p>
              </w:tc>
              <w:tc>
                <w:tcPr>
                  <w:tcW w:w="807" w:type="dxa"/>
                  <w:noWrap w:val="0"/>
                  <w:vAlign w:val="center"/>
                </w:tcPr>
                <w:p w14:paraId="19722F77">
                  <w:pPr>
                    <w:widowControl w:val="0"/>
                    <w:spacing w:before="10"/>
                    <w:jc w:val="center"/>
                    <w:rPr>
                      <w:rFonts w:hint="default" w:ascii="Times New Roman" w:hAnsi="Times New Roman" w:eastAsia="宋体" w:cs="Times New Roman"/>
                      <w:color w:val="000000" w:themeColor="text1"/>
                      <w:kern w:val="0"/>
                      <w:sz w:val="21"/>
                      <w:szCs w:val="21"/>
                      <w:highlight w:val="yellow"/>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符合</w:t>
                  </w:r>
                </w:p>
              </w:tc>
            </w:tr>
          </w:tbl>
          <w:p w14:paraId="4A0B96CA">
            <w:pPr>
              <w:pStyle w:val="79"/>
              <w:bidi w:val="0"/>
              <w:rPr>
                <w:rFonts w:hint="eastAsia" w:hAnsi="宋体"/>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综上所述，项目的建设符合</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《关于印发</w:t>
            </w:r>
            <w:r>
              <w:rPr>
                <w:rFonts w:hint="eastAsia"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2020年挥发性有机物治理攻坚方案</w:t>
            </w:r>
            <w:r>
              <w:rPr>
                <w:rFonts w:hint="eastAsia"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的通知》（环大气〔2020〕33号）</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的</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相关</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要求</w:t>
            </w:r>
            <w:r>
              <w:rPr>
                <w:rFonts w:hint="eastAsia" w:cs="Times New Roman"/>
                <w:color w:val="000000" w:themeColor="text1"/>
                <w:sz w:val="24"/>
                <w:szCs w:val="24"/>
                <w:lang w:val="en-US" w:eastAsia="zh-CN"/>
                <w14:textFill>
                  <w14:solidFill>
                    <w14:schemeClr w14:val="tx1"/>
                  </w14:solidFill>
                </w14:textFill>
              </w:rPr>
              <w:t>。</w:t>
            </w:r>
          </w:p>
          <w:p w14:paraId="79789139">
            <w:pPr>
              <w:pStyle w:val="29"/>
              <w:keepNext w:val="0"/>
              <w:keepLines w:val="0"/>
              <w:pageBreakBefore w:val="0"/>
              <w:widowControl w:val="0"/>
              <w:kinsoku/>
              <w:wordWrap/>
              <w:overflowPunct/>
              <w:topLinePunct w:val="0"/>
              <w:autoSpaceDE/>
              <w:autoSpaceDN/>
              <w:bidi w:val="0"/>
              <w:adjustRightInd/>
              <w:snapToGrid/>
              <w:spacing w:before="0" w:after="0" w:line="360" w:lineRule="auto"/>
              <w:ind w:left="0" w:leftChars="0" w:firstLine="482" w:firstLineChars="200"/>
              <w:jc w:val="left"/>
              <w:textAlignment w:val="auto"/>
              <w:rPr>
                <w:rFonts w:hint="default" w:ascii="Times New Roman" w:hAnsi="Times New Roman" w:cs="Times New Roman"/>
                <w:color w:val="000000" w:themeColor="text1"/>
                <w:kern w:val="0"/>
                <w:sz w:val="24"/>
                <w14:textFill>
                  <w14:solidFill>
                    <w14:schemeClr w14:val="tx1"/>
                  </w14:solidFill>
                </w14:textFill>
              </w:rPr>
            </w:pPr>
            <w:r>
              <w:rPr>
                <w:rFonts w:hint="eastAsia" w:cs="Times New Roman"/>
                <w:b/>
                <w:bCs/>
                <w:color w:val="000000" w:themeColor="text1"/>
                <w:kern w:val="2"/>
                <w:sz w:val="24"/>
                <w:szCs w:val="24"/>
                <w:highlight w:val="none"/>
                <w:lang w:val="en-US" w:eastAsia="zh-CN" w:bidi="ar-SA"/>
                <w14:textFill>
                  <w14:solidFill>
                    <w14:schemeClr w14:val="tx1"/>
                  </w14:solidFill>
                </w14:textFill>
              </w:rPr>
              <w:t>15、与《</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云南省土壤污染防治工作方案</w:t>
            </w:r>
            <w:r>
              <w:rPr>
                <w:rFonts w:hint="eastAsia" w:cs="Times New Roman"/>
                <w:b/>
                <w:bCs/>
                <w:color w:val="000000" w:themeColor="text1"/>
                <w:kern w:val="2"/>
                <w:sz w:val="24"/>
                <w:szCs w:val="24"/>
                <w:highlight w:val="none"/>
                <w:lang w:val="en-US" w:eastAsia="zh-CN" w:bidi="ar-SA"/>
                <w14:textFill>
                  <w14:solidFill>
                    <w14:schemeClr w14:val="tx1"/>
                  </w14:solidFill>
                </w14:textFill>
              </w:rPr>
              <w:t>》符合性分析</w:t>
            </w:r>
          </w:p>
          <w:p w14:paraId="144F0351">
            <w:pPr>
              <w:widowControl w:val="0"/>
              <w:spacing w:line="360" w:lineRule="auto"/>
              <w:ind w:firstLine="480" w:firstLineChars="200"/>
              <w:jc w:val="both"/>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t>《云南省土壤污染防治工作方案》（云政发〔2017〕8号）中</w:t>
            </w:r>
            <w:r>
              <w:rPr>
                <w:rFonts w:hint="eastAsia" w:cs="Times New Roman"/>
                <w:color w:val="000000" w:themeColor="text1"/>
                <w:kern w:val="0"/>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t>严格环境准入</w:t>
            </w:r>
            <w:r>
              <w:rPr>
                <w:rFonts w:hint="eastAsia" w:cs="Times New Roman"/>
                <w:color w:val="000000" w:themeColor="text1"/>
                <w:kern w:val="0"/>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t>，防止新建项目对土壤造成污染。排放重点污染物（镉、汞、砷、铅、铬等重金属和多环芳烃、石油烃等有机污染物）的建设项目。在开展环境影响评价时，要增加对土壤环境影响的评价内容，并提出防范土壤污染的具体措施；需要建设的土壤污染防治设施，要与主体工程同时设计、同时施工、同时投产使用：有关环境保护部门要做好风险管控、污染防治等措施落实情况的监督管理工作与防控企业污染。严格控制在优先保护类耕地集中区域新建有色金属矿采选、有色金属冶炼、石油加工、化工、农药、焦化、电镀、制革、印染、危险废物处置等行业企业。加强现有有关行业企业的环境监管，鼓励企业采用新技术、新工艺，提高生产技术和污染治理水平，加快提标升级改造和深度治理，确保稳定达到排放标准</w:t>
            </w:r>
            <w:r>
              <w:rPr>
                <w:rFonts w:hint="eastAsia" w:cs="Times New Roman"/>
                <w:color w:val="000000" w:themeColor="text1"/>
                <w:kern w:val="0"/>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t>。</w:t>
            </w:r>
          </w:p>
          <w:p w14:paraId="76FD8A00">
            <w:pPr>
              <w:widowControl w:val="0"/>
              <w:spacing w:line="360" w:lineRule="auto"/>
              <w:ind w:firstLine="480" w:firstLineChars="200"/>
              <w:jc w:val="both"/>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t>本项目属于</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其他</w:t>
            </w:r>
            <w:r>
              <w:rPr>
                <w:rFonts w:hint="eastAsia" w:cs="Times New Roman"/>
                <w:color w:val="000000" w:themeColor="text1"/>
                <w:kern w:val="0"/>
                <w:sz w:val="24"/>
                <w:szCs w:val="24"/>
                <w:lang w:val="en-US" w:eastAsia="zh-CN" w:bidi="ar-SA"/>
                <w14:textFill>
                  <w14:solidFill>
                    <w14:schemeClr w14:val="tx1"/>
                  </w14:solidFill>
                </w14:textFill>
              </w:rPr>
              <w:t>日用塑料制品制造</w:t>
            </w:r>
            <w:r>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t>项目，</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生产过程属于物理加工，不产生化学反应，</w:t>
            </w:r>
            <w:r>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t>不属于有色金属冶炼、汽油、柴油加工、化工、焦化、电镀、制革等行业企业。</w:t>
            </w:r>
          </w:p>
          <w:p w14:paraId="560A7225">
            <w:pPr>
              <w:pStyle w:val="29"/>
              <w:keepNext w:val="0"/>
              <w:keepLines w:val="0"/>
              <w:pageBreakBefore w:val="0"/>
              <w:widowControl w:val="0"/>
              <w:kinsoku/>
              <w:wordWrap/>
              <w:overflowPunct/>
              <w:topLinePunct w:val="0"/>
              <w:autoSpaceDE/>
              <w:autoSpaceDN/>
              <w:bidi w:val="0"/>
              <w:adjustRightInd/>
              <w:snapToGrid/>
              <w:spacing w:before="0" w:after="0" w:line="360" w:lineRule="auto"/>
              <w:ind w:left="0" w:leftChars="0" w:firstLine="480" w:firstLineChars="200"/>
              <w:jc w:val="left"/>
              <w:textAlignment w:val="auto"/>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lang w:val="en-US" w:eastAsia="zh-CN"/>
                <w14:textFill>
                  <w14:solidFill>
                    <w14:schemeClr w14:val="tx1"/>
                  </w14:solidFill>
                </w14:textFill>
              </w:rPr>
              <w:t>综上，本项目与《云南省土壤污染防治工作方案》相符</w:t>
            </w:r>
            <w:r>
              <w:rPr>
                <w:rFonts w:hint="eastAsia" w:cs="Times New Roman"/>
                <w:color w:val="000000" w:themeColor="text1"/>
                <w:kern w:val="0"/>
                <w:sz w:val="24"/>
                <w:lang w:val="en-US" w:eastAsia="zh-CN"/>
                <w14:textFill>
                  <w14:solidFill>
                    <w14:schemeClr w14:val="tx1"/>
                  </w14:solidFill>
                </w14:textFill>
              </w:rPr>
              <w:t>。</w:t>
            </w:r>
          </w:p>
          <w:p w14:paraId="63BA91AD">
            <w:pPr>
              <w:adjustRightInd w:val="0"/>
              <w:snapToGrid w:val="0"/>
              <w:spacing w:line="360" w:lineRule="auto"/>
              <w:ind w:firstLine="482" w:firstLineChars="200"/>
              <w:jc w:val="both"/>
              <w:rPr>
                <w:rFonts w:hint="default" w:ascii="Times New Roman" w:hAnsi="Times New Roman" w:eastAsia="宋体" w:cs="Times New Roman"/>
                <w:b/>
                <w:bCs/>
                <w:color w:val="000000" w:themeColor="text1"/>
                <w:sz w:val="24"/>
                <w:szCs w:val="22"/>
                <w:lang w:val="en-US" w:eastAsia="zh-CN"/>
                <w14:textFill>
                  <w14:solidFill>
                    <w14:schemeClr w14:val="tx1"/>
                  </w14:solidFill>
                </w14:textFill>
              </w:rPr>
            </w:pPr>
            <w:r>
              <w:rPr>
                <w:rFonts w:hint="eastAsia" w:cs="Times New Roman"/>
                <w:b/>
                <w:bCs/>
                <w:color w:val="000000" w:themeColor="text1"/>
                <w:sz w:val="24"/>
                <w:szCs w:val="22"/>
                <w:lang w:val="en-US" w:eastAsia="zh-CN"/>
                <w14:textFill>
                  <w14:solidFill>
                    <w14:schemeClr w14:val="tx1"/>
                  </w14:solidFill>
                </w14:textFill>
              </w:rPr>
              <w:t>16、与《食品安全国家标准 食品接触材料及制品生产通用卫生规范》（GB31603-2015）符合性分析</w:t>
            </w:r>
          </w:p>
          <w:p w14:paraId="1783DB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表</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-1</w:t>
            </w:r>
            <w:r>
              <w:rPr>
                <w:rFonts w:hint="eastAsia" w:cs="Times New Roman"/>
                <w:b/>
                <w:bCs/>
                <w:color w:val="000000" w:themeColor="text1"/>
                <w:sz w:val="21"/>
                <w:szCs w:val="21"/>
                <w:highlight w:val="none"/>
                <w:lang w:val="en-US" w:eastAsia="zh-CN"/>
                <w14:textFill>
                  <w14:solidFill>
                    <w14:schemeClr w14:val="tx1"/>
                  </w14:solidFill>
                </w14:textFill>
              </w:rPr>
              <w:t>8</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与生产通用卫生规范符合性分析</w:t>
            </w:r>
          </w:p>
          <w:tbl>
            <w:tblPr>
              <w:tblStyle w:val="31"/>
              <w:tblW w:w="7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3759"/>
              <w:gridCol w:w="2498"/>
              <w:gridCol w:w="947"/>
            </w:tblGrid>
            <w:tr w14:paraId="1A58C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0" w:hRule="atLeast"/>
                <w:jc w:val="center"/>
              </w:trPr>
              <w:tc>
                <w:tcPr>
                  <w:tcW w:w="3759" w:type="dxa"/>
                  <w:noWrap w:val="0"/>
                  <w:vAlign w:val="center"/>
                </w:tcPr>
                <w:p w14:paraId="3F384E9F">
                  <w:pPr>
                    <w:widowControl w:val="0"/>
                    <w:spacing w:before="10"/>
                    <w:jc w:val="center"/>
                    <w:rPr>
                      <w:rFonts w:hint="default" w:ascii="Times New Roman" w:hAnsi="Times New Roman" w:eastAsia="宋体" w:cs="Times New Roman"/>
                      <w:b/>
                      <w:bCs/>
                      <w:color w:val="000000" w:themeColor="text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en-US" w:bidi="ar-SA"/>
                      <w14:textFill>
                        <w14:solidFill>
                          <w14:schemeClr w14:val="tx1"/>
                        </w14:solidFill>
                      </w14:textFill>
                    </w:rPr>
                    <w:t>相关要求</w:t>
                  </w:r>
                </w:p>
              </w:tc>
              <w:tc>
                <w:tcPr>
                  <w:tcW w:w="2498" w:type="dxa"/>
                  <w:noWrap w:val="0"/>
                  <w:vAlign w:val="center"/>
                </w:tcPr>
                <w:p w14:paraId="177C7D7E">
                  <w:pPr>
                    <w:widowControl w:val="0"/>
                    <w:spacing w:before="10"/>
                    <w:jc w:val="center"/>
                    <w:rPr>
                      <w:rFonts w:hint="default" w:ascii="Times New Roman" w:hAnsi="Times New Roman" w:eastAsia="宋体" w:cs="Times New Roman"/>
                      <w:b/>
                      <w:bCs/>
                      <w:color w:val="000000" w:themeColor="text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en-US" w:bidi="ar-SA"/>
                      <w14:textFill>
                        <w14:solidFill>
                          <w14:schemeClr w14:val="tx1"/>
                        </w14:solidFill>
                      </w14:textFill>
                    </w:rPr>
                    <w:t>本项目情况</w:t>
                  </w:r>
                </w:p>
              </w:tc>
              <w:tc>
                <w:tcPr>
                  <w:tcW w:w="947" w:type="dxa"/>
                  <w:noWrap w:val="0"/>
                  <w:vAlign w:val="center"/>
                </w:tcPr>
                <w:p w14:paraId="1836069B">
                  <w:pPr>
                    <w:widowControl w:val="0"/>
                    <w:spacing w:before="10"/>
                    <w:jc w:val="cente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en-US" w:bidi="ar-SA"/>
                      <w14:textFill>
                        <w14:solidFill>
                          <w14:schemeClr w14:val="tx1"/>
                        </w14:solidFill>
                      </w14:textFill>
                    </w:rPr>
                    <w:t>相符</w:t>
                  </w:r>
                  <w: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性</w:t>
                  </w:r>
                </w:p>
              </w:tc>
            </w:tr>
            <w:tr w14:paraId="2FBC6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0" w:hRule="atLeast"/>
                <w:jc w:val="center"/>
              </w:trPr>
              <w:tc>
                <w:tcPr>
                  <w:tcW w:w="7204" w:type="dxa"/>
                  <w:gridSpan w:val="3"/>
                  <w:noWrap w:val="0"/>
                  <w:vAlign w:val="center"/>
                </w:tcPr>
                <w:p w14:paraId="0A4CC819">
                  <w:pPr>
                    <w:widowControl w:val="0"/>
                    <w:spacing w:before="10"/>
                    <w:jc w:val="left"/>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b/>
                      <w:bCs/>
                      <w:color w:val="000000" w:themeColor="text1"/>
                      <w:kern w:val="0"/>
                      <w:sz w:val="21"/>
                      <w:szCs w:val="21"/>
                      <w:highlight w:val="none"/>
                      <w:lang w:val="en-US" w:eastAsia="zh-CN" w:bidi="ar-SA"/>
                      <w14:textFill>
                        <w14:solidFill>
                          <w14:schemeClr w14:val="tx1"/>
                        </w14:solidFill>
                      </w14:textFill>
                    </w:rPr>
                    <w:t>3、厂区环境</w:t>
                  </w:r>
                </w:p>
              </w:tc>
            </w:tr>
            <w:tr w14:paraId="621F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20" w:hRule="atLeast"/>
                <w:jc w:val="center"/>
              </w:trPr>
              <w:tc>
                <w:tcPr>
                  <w:tcW w:w="3759" w:type="dxa"/>
                  <w:noWrap w:val="0"/>
                  <w:vAlign w:val="center"/>
                </w:tcPr>
                <w:p w14:paraId="0229B55E">
                  <w:pPr>
                    <w:keepNext w:val="0"/>
                    <w:keepLines w:val="0"/>
                    <w:pageBreakBefore w:val="0"/>
                    <w:widowControl w:val="0"/>
                    <w:kinsoku/>
                    <w:wordWrap/>
                    <w:overflowPunct/>
                    <w:topLinePunct w:val="0"/>
                    <w:autoSpaceDE/>
                    <w:autoSpaceDN/>
                    <w:bidi w:val="0"/>
                    <w:adjustRightInd/>
                    <w:snapToGrid/>
                    <w:spacing w:before="0"/>
                    <w:ind w:firstLine="0" w:firstLineChars="0"/>
                    <w:jc w:val="both"/>
                    <w:textAlignment w:val="auto"/>
                    <w:rPr>
                      <w:rFonts w:hint="default" w:ascii="Times New Roman" w:hAnsi="Times New Roman" w:eastAsia="宋体" w:cs="Times New Roman"/>
                      <w:color w:val="000000" w:themeColor="text1"/>
                      <w:kern w:val="0"/>
                      <w:sz w:val="21"/>
                      <w:szCs w:val="21"/>
                      <w:highlight w:val="yellow"/>
                      <w:lang w:val="en-US" w:eastAsia="zh-CN" w:bidi="ar-SA"/>
                      <w14:textFill>
                        <w14:solidFill>
                          <w14:schemeClr w14:val="tx1"/>
                        </w14:solidFill>
                      </w14:textFill>
                    </w:rPr>
                  </w:pPr>
                  <w:r>
                    <w:rPr>
                      <w:rFonts w:hint="eastAsia" w:ascii="Times New Roman" w:hAnsi="Times New Roman" w:cs="Times New Roman"/>
                      <w:b w:val="0"/>
                      <w:bCs w:val="0"/>
                      <w:i w:val="0"/>
                      <w:iCs w:val="0"/>
                      <w:caps w:val="0"/>
                      <w:color w:val="000000" w:themeColor="text1"/>
                      <w:spacing w:val="0"/>
                      <w:kern w:val="0"/>
                      <w:sz w:val="21"/>
                      <w:szCs w:val="21"/>
                      <w:shd w:val="clear" w:color="auto" w:fill="FFFFFF"/>
                      <w:lang w:val="en-US" w:eastAsia="zh-CN" w:bidi="ar-SA"/>
                      <w14:textFill>
                        <w14:solidFill>
                          <w14:schemeClr w14:val="tx1"/>
                        </w14:solidFill>
                      </w14:textFill>
                    </w:rPr>
                    <w:t>厂区道路应硬化，内外环境应整洁、卫生，生产区的空气、水质、场地应符合相关生产要求</w:t>
                  </w:r>
                  <w:r>
                    <w:rPr>
                      <w:rFonts w:hint="default" w:ascii="Times New Roman" w:hAnsi="Times New Roman" w:eastAsia="宋体" w:cs="Times New Roman"/>
                      <w:b w:val="0"/>
                      <w:bCs w:val="0"/>
                      <w:i w:val="0"/>
                      <w:iCs w:val="0"/>
                      <w:caps w:val="0"/>
                      <w:color w:val="000000" w:themeColor="text1"/>
                      <w:spacing w:val="0"/>
                      <w:kern w:val="0"/>
                      <w:sz w:val="21"/>
                      <w:szCs w:val="21"/>
                      <w:shd w:val="clear" w:color="auto" w:fill="FFFFFF"/>
                      <w:lang w:val="en-US" w:eastAsia="zh-CN" w:bidi="ar-SA"/>
                      <w14:textFill>
                        <w14:solidFill>
                          <w14:schemeClr w14:val="tx1"/>
                        </w14:solidFill>
                      </w14:textFill>
                    </w:rPr>
                    <w:t>。</w:t>
                  </w:r>
                  <w:r>
                    <w:rPr>
                      <w:rFonts w:hint="eastAsia" w:ascii="Times New Roman" w:hAnsi="Times New Roman" w:cs="Times New Roman"/>
                      <w:b w:val="0"/>
                      <w:bCs w:val="0"/>
                      <w:i w:val="0"/>
                      <w:iCs w:val="0"/>
                      <w:caps w:val="0"/>
                      <w:color w:val="000000" w:themeColor="text1"/>
                      <w:spacing w:val="0"/>
                      <w:kern w:val="0"/>
                      <w:sz w:val="21"/>
                      <w:szCs w:val="21"/>
                      <w:shd w:val="clear" w:color="auto" w:fill="FFFFFF"/>
                      <w:lang w:val="en-US" w:eastAsia="zh-CN" w:bidi="ar-SA"/>
                      <w14:textFill>
                        <w14:solidFill>
                          <w14:schemeClr w14:val="tx1"/>
                        </w14:solidFill>
                      </w14:textFill>
                    </w:rPr>
                    <w:t>企业的生产、行政、生活和辅助区的总体布局应合理，避免交叉污染。</w:t>
                  </w:r>
                </w:p>
              </w:tc>
              <w:tc>
                <w:tcPr>
                  <w:tcW w:w="2498" w:type="dxa"/>
                  <w:noWrap w:val="0"/>
                  <w:vAlign w:val="center"/>
                </w:tcPr>
                <w:p w14:paraId="015DBF2B">
                  <w:pPr>
                    <w:keepNext w:val="0"/>
                    <w:keepLines w:val="0"/>
                    <w:pageBreakBefore w:val="0"/>
                    <w:widowControl w:val="0"/>
                    <w:kinsoku/>
                    <w:wordWrap/>
                    <w:overflowPunct/>
                    <w:topLinePunct w:val="0"/>
                    <w:autoSpaceDE/>
                    <w:autoSpaceDN/>
                    <w:bidi w:val="0"/>
                    <w:adjustRightInd w:val="0"/>
                    <w:snapToGrid/>
                    <w:spacing w:line="240" w:lineRule="auto"/>
                    <w:ind w:firstLine="0"/>
                    <w:jc w:val="both"/>
                    <w:textAlignment w:val="baseline"/>
                    <w:rPr>
                      <w:rFonts w:hint="default" w:ascii="Times New Roman" w:hAnsi="Times New Roman" w:eastAsia="宋体" w:cs="Times New Roman"/>
                      <w:color w:val="000000" w:themeColor="text1"/>
                      <w:kern w:val="28"/>
                      <w:sz w:val="21"/>
                      <w:szCs w:val="21"/>
                      <w:highlight w:val="yellow"/>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8"/>
                      <w:sz w:val="21"/>
                      <w:szCs w:val="21"/>
                      <w:highlight w:val="none"/>
                      <w:u w:val="none"/>
                      <w:vertAlign w:val="baseline"/>
                      <w:lang w:val="en-US" w:eastAsia="zh-CN" w:bidi="ar-SA"/>
                      <w14:textFill>
                        <w14:solidFill>
                          <w14:schemeClr w14:val="tx1"/>
                        </w14:solidFill>
                      </w14:textFill>
                    </w:rPr>
                    <w:t>本项目</w:t>
                  </w:r>
                  <w:r>
                    <w:rPr>
                      <w:rFonts w:hint="eastAsia" w:ascii="Times New Roman" w:hAnsi="Times New Roman" w:cs="Times New Roman"/>
                      <w:b w:val="0"/>
                      <w:bCs w:val="0"/>
                      <w:color w:val="000000" w:themeColor="text1"/>
                      <w:kern w:val="28"/>
                      <w:sz w:val="21"/>
                      <w:szCs w:val="21"/>
                      <w:highlight w:val="none"/>
                      <w:u w:val="none"/>
                      <w:vertAlign w:val="baseline"/>
                      <w:lang w:val="en-US" w:eastAsia="zh-CN" w:bidi="ar-SA"/>
                      <w14:textFill>
                        <w14:solidFill>
                          <w14:schemeClr w14:val="tx1"/>
                        </w14:solidFill>
                      </w14:textFill>
                    </w:rPr>
                    <w:t>厂区道路包括生产车间在内均全部硬化，定期按照相关卫生要求进行清扫、管理，确定厂区内卫生符合要求。企业的生产区域与行政办公总体布局合理，不会形成交叉污染。</w:t>
                  </w:r>
                </w:p>
              </w:tc>
              <w:tc>
                <w:tcPr>
                  <w:tcW w:w="947" w:type="dxa"/>
                  <w:noWrap w:val="0"/>
                  <w:vAlign w:val="center"/>
                </w:tcPr>
                <w:p w14:paraId="3AD5F9B2">
                  <w:pPr>
                    <w:widowControl w:val="0"/>
                    <w:spacing w:before="10"/>
                    <w:jc w:val="center"/>
                    <w:rPr>
                      <w:rFonts w:hint="default" w:ascii="Times New Roman" w:hAnsi="Times New Roman" w:eastAsia="宋体" w:cs="Times New Roman"/>
                      <w:color w:val="000000" w:themeColor="text1"/>
                      <w:kern w:val="0"/>
                      <w:sz w:val="21"/>
                      <w:szCs w:val="21"/>
                      <w:highlight w:val="yellow"/>
                      <w:lang w:val="en-US" w:eastAsia="en-US"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符合</w:t>
                  </w:r>
                </w:p>
              </w:tc>
            </w:tr>
            <w:tr w14:paraId="6E21F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7204" w:type="dxa"/>
                  <w:gridSpan w:val="3"/>
                  <w:noWrap w:val="0"/>
                  <w:vAlign w:val="center"/>
                </w:tcPr>
                <w:p w14:paraId="15E145A3">
                  <w:pPr>
                    <w:widowControl w:val="0"/>
                    <w:spacing w:before="1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
                      <w:bCs/>
                      <w:color w:val="000000" w:themeColor="text1"/>
                      <w:kern w:val="2"/>
                      <w:sz w:val="21"/>
                      <w:szCs w:val="21"/>
                      <w:lang w:val="en-US" w:eastAsia="zh-CN" w:bidi="ar-SA"/>
                      <w14:textFill>
                        <w14:solidFill>
                          <w14:schemeClr w14:val="tx1"/>
                        </w14:solidFill>
                      </w14:textFill>
                    </w:rPr>
                    <w:t>4、厂房</w:t>
                  </w:r>
                </w:p>
              </w:tc>
            </w:tr>
            <w:tr w14:paraId="638A4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3759" w:type="dxa"/>
                  <w:noWrap w:val="0"/>
                  <w:vAlign w:val="center"/>
                </w:tcPr>
                <w:p w14:paraId="3F30F2A8">
                  <w:pPr>
                    <w:keepNext w:val="0"/>
                    <w:keepLines w:val="0"/>
                    <w:pageBreakBefore w:val="0"/>
                    <w:widowControl w:val="0"/>
                    <w:kinsoku/>
                    <w:wordWrap/>
                    <w:overflowPunct/>
                    <w:topLinePunct w:val="0"/>
                    <w:autoSpaceDE/>
                    <w:autoSpaceDN/>
                    <w:bidi w:val="0"/>
                    <w:adjustRightInd/>
                    <w:snapToGrid/>
                    <w:spacing w:before="0"/>
                    <w:ind w:firstLine="0" w:firstLineChars="0"/>
                    <w:jc w:val="both"/>
                    <w:textAlignment w:val="auto"/>
                    <w:rPr>
                      <w:rFonts w:hint="eastAsia" w:ascii="Times New Roman" w:hAnsi="Times New Roman" w:cs="Times New Roman"/>
                      <w:b w:val="0"/>
                      <w:bCs w:val="0"/>
                      <w:i w:val="0"/>
                      <w:iCs w:val="0"/>
                      <w:caps w:val="0"/>
                      <w:color w:val="000000" w:themeColor="text1"/>
                      <w:spacing w:val="0"/>
                      <w:kern w:val="0"/>
                      <w:sz w:val="21"/>
                      <w:szCs w:val="21"/>
                      <w:shd w:val="clear" w:color="auto" w:fill="FFFFFF"/>
                      <w:lang w:val="en-US" w:eastAsia="zh-CN" w:bidi="ar-SA"/>
                      <w14:textFill>
                        <w14:solidFill>
                          <w14:schemeClr w14:val="tx1"/>
                        </w14:solidFill>
                      </w14:textFill>
                    </w:rPr>
                  </w:pPr>
                  <w:r>
                    <w:rPr>
                      <w:rFonts w:hint="eastAsia" w:ascii="Times New Roman" w:hAnsi="Times New Roman" w:cs="Times New Roman"/>
                      <w:b w:val="0"/>
                      <w:bCs w:val="0"/>
                      <w:i w:val="0"/>
                      <w:iCs w:val="0"/>
                      <w:caps w:val="0"/>
                      <w:color w:val="000000" w:themeColor="text1"/>
                      <w:spacing w:val="0"/>
                      <w:kern w:val="0"/>
                      <w:sz w:val="21"/>
                      <w:szCs w:val="21"/>
                      <w:shd w:val="clear" w:color="auto" w:fill="FFFFFF"/>
                      <w:lang w:val="en-US" w:eastAsia="zh-CN" w:bidi="ar-SA"/>
                      <w14:textFill>
                        <w14:solidFill>
                          <w14:schemeClr w14:val="tx1"/>
                        </w14:solidFill>
                      </w14:textFill>
                    </w:rPr>
                    <w:t>4.1 厂房应按生产工艺流程及卫生要求进行合理布局，并根据不同生产区域的洁净度要求合理划分作业区，对厂区内的生产车间和公共场所实行分级卫生管理。</w:t>
                  </w:r>
                </w:p>
              </w:tc>
              <w:tc>
                <w:tcPr>
                  <w:tcW w:w="2498" w:type="dxa"/>
                  <w:noWrap w:val="0"/>
                  <w:vAlign w:val="center"/>
                </w:tcPr>
                <w:p w14:paraId="23366EF7">
                  <w:pPr>
                    <w:keepNext w:val="0"/>
                    <w:keepLines w:val="0"/>
                    <w:pageBreakBefore w:val="0"/>
                    <w:widowControl w:val="0"/>
                    <w:kinsoku/>
                    <w:wordWrap/>
                    <w:overflowPunct/>
                    <w:topLinePunct w:val="0"/>
                    <w:autoSpaceDE/>
                    <w:autoSpaceDN/>
                    <w:bidi w:val="0"/>
                    <w:adjustRightInd w:val="0"/>
                    <w:snapToGrid/>
                    <w:spacing w:line="240" w:lineRule="auto"/>
                    <w:ind w:firstLine="0"/>
                    <w:jc w:val="both"/>
                    <w:textAlignment w:val="baseline"/>
                    <w:rPr>
                      <w:rFonts w:hint="default" w:ascii="Times New Roman" w:hAnsi="Times New Roman" w:eastAsia="宋体" w:cs="Times New Roman"/>
                      <w:b w:val="0"/>
                      <w:bCs w:val="0"/>
                      <w:color w:val="000000" w:themeColor="text1"/>
                      <w:kern w:val="28"/>
                      <w:sz w:val="21"/>
                      <w:szCs w:val="21"/>
                      <w:highlight w:val="none"/>
                      <w:u w:val="none"/>
                      <w:vertAlign w:val="baseline"/>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28"/>
                      <w:sz w:val="21"/>
                      <w:szCs w:val="21"/>
                      <w:highlight w:val="none"/>
                      <w:u w:val="none"/>
                      <w:vertAlign w:val="baseline"/>
                      <w:lang w:val="en-US" w:eastAsia="zh-CN" w:bidi="ar-SA"/>
                      <w14:textFill>
                        <w14:solidFill>
                          <w14:schemeClr w14:val="tx1"/>
                        </w14:solidFill>
                      </w14:textFill>
                    </w:rPr>
                    <w:t>项目生产厂房已按照生产工艺流程及卫生要求进行布局，对生产车间与公共场所实行分级卫生管理。</w:t>
                  </w:r>
                </w:p>
              </w:tc>
              <w:tc>
                <w:tcPr>
                  <w:tcW w:w="947" w:type="dxa"/>
                  <w:noWrap w:val="0"/>
                  <w:vAlign w:val="center"/>
                </w:tcPr>
                <w:p w14:paraId="087EF5D4">
                  <w:pPr>
                    <w:widowControl w:val="0"/>
                    <w:spacing w:before="1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符合</w:t>
                  </w:r>
                </w:p>
              </w:tc>
            </w:tr>
            <w:tr w14:paraId="3E51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3759" w:type="dxa"/>
                  <w:noWrap w:val="0"/>
                  <w:vAlign w:val="center"/>
                </w:tcPr>
                <w:p w14:paraId="3D0E581A">
                  <w:pPr>
                    <w:keepNext w:val="0"/>
                    <w:keepLines w:val="0"/>
                    <w:pageBreakBefore w:val="0"/>
                    <w:widowControl w:val="0"/>
                    <w:kinsoku/>
                    <w:wordWrap/>
                    <w:overflowPunct/>
                    <w:topLinePunct w:val="0"/>
                    <w:autoSpaceDE/>
                    <w:autoSpaceDN/>
                    <w:bidi w:val="0"/>
                    <w:adjustRightInd/>
                    <w:snapToGrid/>
                    <w:spacing w:before="0"/>
                    <w:ind w:firstLine="0" w:firstLineChars="0"/>
                    <w:jc w:val="both"/>
                    <w:textAlignment w:val="auto"/>
                    <w:rPr>
                      <w:rFonts w:hint="eastAsia" w:ascii="Times New Roman" w:hAnsi="Times New Roman" w:cs="Times New Roman"/>
                      <w:b w:val="0"/>
                      <w:bCs w:val="0"/>
                      <w:i w:val="0"/>
                      <w:iCs w:val="0"/>
                      <w:caps w:val="0"/>
                      <w:color w:val="000000" w:themeColor="text1"/>
                      <w:spacing w:val="0"/>
                      <w:kern w:val="0"/>
                      <w:sz w:val="21"/>
                      <w:szCs w:val="21"/>
                      <w:shd w:val="clear" w:color="auto" w:fill="FFFFFF"/>
                      <w:lang w:val="en-US" w:eastAsia="zh-CN" w:bidi="ar-SA"/>
                      <w14:textFill>
                        <w14:solidFill>
                          <w14:schemeClr w14:val="tx1"/>
                        </w14:solidFill>
                      </w14:textFill>
                    </w:rPr>
                  </w:pPr>
                  <w:r>
                    <w:rPr>
                      <w:rFonts w:hint="eastAsia" w:ascii="Times New Roman" w:hAnsi="Times New Roman" w:cs="Times New Roman"/>
                      <w:b w:val="0"/>
                      <w:bCs w:val="0"/>
                      <w:i w:val="0"/>
                      <w:iCs w:val="0"/>
                      <w:caps w:val="0"/>
                      <w:color w:val="000000" w:themeColor="text1"/>
                      <w:spacing w:val="0"/>
                      <w:kern w:val="0"/>
                      <w:sz w:val="21"/>
                      <w:szCs w:val="21"/>
                      <w:shd w:val="clear" w:color="auto" w:fill="FFFFFF"/>
                      <w:lang w:val="en-US" w:eastAsia="zh-CN" w:bidi="ar-SA"/>
                      <w14:textFill>
                        <w14:solidFill>
                          <w14:schemeClr w14:val="tx1"/>
                        </w14:solidFill>
                      </w14:textFill>
                    </w:rPr>
                    <w:t>4.2 厂房面积应与生产能力相匹配，有足够的空间和场地放置设备、物料和产品，并满足生产操作需要。</w:t>
                  </w:r>
                </w:p>
              </w:tc>
              <w:tc>
                <w:tcPr>
                  <w:tcW w:w="2498" w:type="dxa"/>
                  <w:noWrap w:val="0"/>
                  <w:vAlign w:val="center"/>
                </w:tcPr>
                <w:p w14:paraId="144AE04A">
                  <w:pPr>
                    <w:keepNext w:val="0"/>
                    <w:keepLines w:val="0"/>
                    <w:pageBreakBefore w:val="0"/>
                    <w:widowControl w:val="0"/>
                    <w:kinsoku/>
                    <w:wordWrap/>
                    <w:overflowPunct/>
                    <w:topLinePunct w:val="0"/>
                    <w:autoSpaceDE/>
                    <w:autoSpaceDN/>
                    <w:bidi w:val="0"/>
                    <w:adjustRightInd w:val="0"/>
                    <w:snapToGrid/>
                    <w:spacing w:line="240" w:lineRule="auto"/>
                    <w:ind w:firstLine="0"/>
                    <w:jc w:val="both"/>
                    <w:textAlignment w:val="baseline"/>
                    <w:rPr>
                      <w:rFonts w:hint="default" w:ascii="Times New Roman" w:hAnsi="Times New Roman" w:eastAsia="宋体" w:cs="Times New Roman"/>
                      <w:b w:val="0"/>
                      <w:bCs w:val="0"/>
                      <w:color w:val="000000" w:themeColor="text1"/>
                      <w:kern w:val="28"/>
                      <w:sz w:val="21"/>
                      <w:szCs w:val="21"/>
                      <w:highlight w:val="none"/>
                      <w:u w:val="none"/>
                      <w:vertAlign w:val="baseline"/>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28"/>
                      <w:sz w:val="21"/>
                      <w:szCs w:val="21"/>
                      <w:highlight w:val="none"/>
                      <w:u w:val="none"/>
                      <w:vertAlign w:val="baseline"/>
                      <w:lang w:val="en-US" w:eastAsia="zh-CN" w:bidi="ar-SA"/>
                      <w14:textFill>
                        <w14:solidFill>
                          <w14:schemeClr w14:val="tx1"/>
                        </w14:solidFill>
                      </w14:textFill>
                    </w:rPr>
                    <w:t>项目设置生产线区域，设有原料堆放区等，满足生产操作需要。</w:t>
                  </w:r>
                </w:p>
              </w:tc>
              <w:tc>
                <w:tcPr>
                  <w:tcW w:w="947" w:type="dxa"/>
                  <w:noWrap w:val="0"/>
                  <w:vAlign w:val="center"/>
                </w:tcPr>
                <w:p w14:paraId="40B3E167">
                  <w:pPr>
                    <w:widowControl w:val="0"/>
                    <w:spacing w:before="1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符合</w:t>
                  </w:r>
                </w:p>
              </w:tc>
            </w:tr>
            <w:tr w14:paraId="75AC7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3759" w:type="dxa"/>
                  <w:noWrap w:val="0"/>
                  <w:vAlign w:val="center"/>
                </w:tcPr>
                <w:p w14:paraId="06C9EF98">
                  <w:pPr>
                    <w:keepNext w:val="0"/>
                    <w:keepLines w:val="0"/>
                    <w:pageBreakBefore w:val="0"/>
                    <w:widowControl w:val="0"/>
                    <w:kinsoku/>
                    <w:wordWrap/>
                    <w:overflowPunct/>
                    <w:topLinePunct w:val="0"/>
                    <w:autoSpaceDE/>
                    <w:autoSpaceDN/>
                    <w:bidi w:val="0"/>
                    <w:adjustRightInd/>
                    <w:snapToGrid/>
                    <w:spacing w:before="0"/>
                    <w:ind w:firstLine="0" w:firstLineChars="0"/>
                    <w:jc w:val="both"/>
                    <w:textAlignment w:val="auto"/>
                    <w:rPr>
                      <w:rFonts w:hint="eastAsia" w:ascii="Times New Roman" w:hAnsi="Times New Roman" w:cs="Times New Roman"/>
                      <w:b w:val="0"/>
                      <w:bCs w:val="0"/>
                      <w:i w:val="0"/>
                      <w:iCs w:val="0"/>
                      <w:caps w:val="0"/>
                      <w:color w:val="000000" w:themeColor="text1"/>
                      <w:spacing w:val="0"/>
                      <w:kern w:val="0"/>
                      <w:sz w:val="21"/>
                      <w:szCs w:val="21"/>
                      <w:shd w:val="clear" w:color="auto" w:fill="FFFFFF"/>
                      <w:lang w:val="en-US" w:eastAsia="zh-CN" w:bidi="ar-SA"/>
                      <w14:textFill>
                        <w14:solidFill>
                          <w14:schemeClr w14:val="tx1"/>
                        </w14:solidFill>
                      </w14:textFill>
                    </w:rPr>
                  </w:pPr>
                  <w:r>
                    <w:rPr>
                      <w:rFonts w:hint="eastAsia" w:ascii="Times New Roman" w:hAnsi="Times New Roman" w:cs="Times New Roman"/>
                      <w:b w:val="0"/>
                      <w:bCs w:val="0"/>
                      <w:i w:val="0"/>
                      <w:iCs w:val="0"/>
                      <w:caps w:val="0"/>
                      <w:color w:val="000000" w:themeColor="text1"/>
                      <w:spacing w:val="0"/>
                      <w:kern w:val="0"/>
                      <w:sz w:val="21"/>
                      <w:szCs w:val="21"/>
                      <w:shd w:val="clear" w:color="auto" w:fill="FFFFFF"/>
                      <w:lang w:val="en-US" w:eastAsia="zh-CN" w:bidi="ar-SA"/>
                      <w14:textFill>
                        <w14:solidFill>
                          <w14:schemeClr w14:val="tx1"/>
                        </w14:solidFill>
                      </w14:textFill>
                    </w:rPr>
                    <w:t>4.3 生产车间与库房的墙壁、地面表面应平整光滑，以减少灰尘积聚且便于清洁;对于不经清洁直接接触食品的在制品和最终产品，其生产车间顶棚应易于清洁、消毒，在结构上不利于冷凝水垂直滴下。</w:t>
                  </w:r>
                </w:p>
              </w:tc>
              <w:tc>
                <w:tcPr>
                  <w:tcW w:w="2498" w:type="dxa"/>
                  <w:noWrap w:val="0"/>
                  <w:vAlign w:val="center"/>
                </w:tcPr>
                <w:p w14:paraId="787D837E">
                  <w:pPr>
                    <w:keepNext w:val="0"/>
                    <w:keepLines w:val="0"/>
                    <w:pageBreakBefore w:val="0"/>
                    <w:widowControl w:val="0"/>
                    <w:kinsoku/>
                    <w:wordWrap/>
                    <w:overflowPunct/>
                    <w:topLinePunct w:val="0"/>
                    <w:autoSpaceDE/>
                    <w:autoSpaceDN/>
                    <w:bidi w:val="0"/>
                    <w:adjustRightInd w:val="0"/>
                    <w:snapToGrid/>
                    <w:spacing w:line="240" w:lineRule="auto"/>
                    <w:ind w:firstLine="0"/>
                    <w:jc w:val="both"/>
                    <w:textAlignment w:val="baseline"/>
                    <w:rPr>
                      <w:rFonts w:hint="default" w:ascii="Times New Roman" w:hAnsi="Times New Roman" w:eastAsia="宋体" w:cs="Times New Roman"/>
                      <w:b w:val="0"/>
                      <w:bCs w:val="0"/>
                      <w:color w:val="000000" w:themeColor="text1"/>
                      <w:kern w:val="28"/>
                      <w:sz w:val="21"/>
                      <w:szCs w:val="21"/>
                      <w:highlight w:val="none"/>
                      <w:u w:val="none"/>
                      <w:vertAlign w:val="baseline"/>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28"/>
                      <w:sz w:val="21"/>
                      <w:szCs w:val="21"/>
                      <w:highlight w:val="none"/>
                      <w:u w:val="none"/>
                      <w:vertAlign w:val="baseline"/>
                      <w:lang w:val="en-US" w:eastAsia="zh-CN" w:bidi="ar-SA"/>
                      <w14:textFill>
                        <w14:solidFill>
                          <w14:schemeClr w14:val="tx1"/>
                        </w14:solidFill>
                      </w14:textFill>
                    </w:rPr>
                    <w:t>项目不属于不经清洁直接接触食品的在制品和最终产品。</w:t>
                  </w:r>
                </w:p>
              </w:tc>
              <w:tc>
                <w:tcPr>
                  <w:tcW w:w="947" w:type="dxa"/>
                  <w:noWrap w:val="0"/>
                  <w:vAlign w:val="center"/>
                </w:tcPr>
                <w:p w14:paraId="6A08FB73">
                  <w:pPr>
                    <w:widowControl w:val="0"/>
                    <w:spacing w:before="1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符合</w:t>
                  </w:r>
                </w:p>
              </w:tc>
            </w:tr>
            <w:tr w14:paraId="3DDD6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3759" w:type="dxa"/>
                  <w:noWrap w:val="0"/>
                  <w:vAlign w:val="center"/>
                </w:tcPr>
                <w:p w14:paraId="76A585C9">
                  <w:pPr>
                    <w:keepNext w:val="0"/>
                    <w:keepLines w:val="0"/>
                    <w:pageBreakBefore w:val="0"/>
                    <w:widowControl w:val="0"/>
                    <w:kinsoku/>
                    <w:wordWrap/>
                    <w:overflowPunct/>
                    <w:topLinePunct w:val="0"/>
                    <w:autoSpaceDE/>
                    <w:autoSpaceDN/>
                    <w:bidi w:val="0"/>
                    <w:adjustRightInd/>
                    <w:snapToGrid/>
                    <w:spacing w:before="0"/>
                    <w:ind w:firstLine="0" w:firstLineChars="0"/>
                    <w:jc w:val="both"/>
                    <w:textAlignment w:val="auto"/>
                    <w:rPr>
                      <w:rFonts w:hint="eastAsia" w:ascii="Times New Roman" w:hAnsi="Times New Roman" w:cs="Times New Roman"/>
                      <w:b w:val="0"/>
                      <w:bCs w:val="0"/>
                      <w:i w:val="0"/>
                      <w:iCs w:val="0"/>
                      <w:caps w:val="0"/>
                      <w:color w:val="000000" w:themeColor="text1"/>
                      <w:spacing w:val="0"/>
                      <w:kern w:val="0"/>
                      <w:sz w:val="21"/>
                      <w:szCs w:val="21"/>
                      <w:shd w:val="clear" w:color="auto" w:fill="FFFFFF"/>
                      <w:lang w:val="en-US" w:eastAsia="zh-CN" w:bidi="ar-SA"/>
                      <w14:textFill>
                        <w14:solidFill>
                          <w14:schemeClr w14:val="tx1"/>
                        </w14:solidFill>
                      </w14:textFill>
                    </w:rPr>
                  </w:pPr>
                  <w:r>
                    <w:rPr>
                      <w:rFonts w:hint="eastAsia" w:ascii="Times New Roman" w:hAnsi="Times New Roman" w:cs="Times New Roman"/>
                      <w:b w:val="0"/>
                      <w:bCs w:val="0"/>
                      <w:i w:val="0"/>
                      <w:iCs w:val="0"/>
                      <w:caps w:val="0"/>
                      <w:color w:val="000000" w:themeColor="text1"/>
                      <w:spacing w:val="0"/>
                      <w:kern w:val="0"/>
                      <w:sz w:val="21"/>
                      <w:szCs w:val="21"/>
                      <w:shd w:val="clear" w:color="auto" w:fill="FFFFFF"/>
                      <w:lang w:val="en-US" w:eastAsia="zh-CN" w:bidi="ar-SA"/>
                      <w14:textFill>
                        <w14:solidFill>
                          <w14:schemeClr w14:val="tx1"/>
                        </w14:solidFill>
                      </w14:textFill>
                    </w:rPr>
                    <w:t>4.4 同一生产车间内以及相邻生产车间之间的生产操作不应造成交叉污染。不同卫生要求的产品在同一生产区域内生产时，应保证各产品自身的卫生性能。生产车间内设备与设备间、设备与墙壁间，应有适当的空间，便于相关操作。</w:t>
                  </w:r>
                </w:p>
              </w:tc>
              <w:tc>
                <w:tcPr>
                  <w:tcW w:w="2498" w:type="dxa"/>
                  <w:noWrap w:val="0"/>
                  <w:vAlign w:val="center"/>
                </w:tcPr>
                <w:p w14:paraId="266F2A5E">
                  <w:pPr>
                    <w:keepNext w:val="0"/>
                    <w:keepLines w:val="0"/>
                    <w:pageBreakBefore w:val="0"/>
                    <w:widowControl w:val="0"/>
                    <w:kinsoku/>
                    <w:wordWrap/>
                    <w:overflowPunct/>
                    <w:topLinePunct w:val="0"/>
                    <w:autoSpaceDE/>
                    <w:autoSpaceDN/>
                    <w:bidi w:val="0"/>
                    <w:adjustRightInd w:val="0"/>
                    <w:snapToGrid/>
                    <w:spacing w:line="240" w:lineRule="auto"/>
                    <w:ind w:firstLine="0"/>
                    <w:jc w:val="both"/>
                    <w:textAlignment w:val="baseline"/>
                    <w:rPr>
                      <w:rFonts w:hint="default" w:ascii="Times New Roman" w:hAnsi="Times New Roman" w:eastAsia="宋体" w:cs="Times New Roman"/>
                      <w:b w:val="0"/>
                      <w:bCs w:val="0"/>
                      <w:color w:val="000000" w:themeColor="text1"/>
                      <w:kern w:val="28"/>
                      <w:sz w:val="21"/>
                      <w:szCs w:val="21"/>
                      <w:highlight w:val="none"/>
                      <w:u w:val="none"/>
                      <w:vertAlign w:val="baseline"/>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28"/>
                      <w:sz w:val="21"/>
                      <w:szCs w:val="21"/>
                      <w:highlight w:val="none"/>
                      <w:u w:val="none"/>
                      <w:vertAlign w:val="baseline"/>
                      <w:lang w:val="en-US" w:eastAsia="zh-CN" w:bidi="ar-SA"/>
                      <w14:textFill>
                        <w14:solidFill>
                          <w14:schemeClr w14:val="tx1"/>
                        </w14:solidFill>
                      </w14:textFill>
                    </w:rPr>
                    <w:t>项目通过租赁云南联帆建材科技有限公司内闲置厂房进行建厂，已对生产厂房与相邻厂房使用隔板全封闭，与相邻车间不会产生交叉污染。</w:t>
                  </w:r>
                </w:p>
              </w:tc>
              <w:tc>
                <w:tcPr>
                  <w:tcW w:w="947" w:type="dxa"/>
                  <w:noWrap w:val="0"/>
                  <w:vAlign w:val="center"/>
                </w:tcPr>
                <w:p w14:paraId="6F35FC5B">
                  <w:pPr>
                    <w:widowControl w:val="0"/>
                    <w:spacing w:before="1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符合</w:t>
                  </w:r>
                </w:p>
              </w:tc>
            </w:tr>
          </w:tbl>
          <w:p w14:paraId="6B42AD3D">
            <w:pPr>
              <w:autoSpaceDE w:val="0"/>
              <w:autoSpaceDN w:val="0"/>
              <w:adjustRightInd w:val="0"/>
              <w:snapToGrid w:val="0"/>
              <w:spacing w:line="360" w:lineRule="auto"/>
              <w:ind w:firstLine="480" w:firstLineChars="200"/>
              <w:jc w:val="both"/>
              <w:rPr>
                <w:rFonts w:hint="eastAsia" w:cs="Times New Roman"/>
                <w:b w:val="0"/>
                <w:bCs/>
                <w:color w:val="000000" w:themeColor="text1"/>
                <w:kern w:val="0"/>
                <w:sz w:val="24"/>
                <w:highlight w:val="none"/>
                <w:lang w:val="en-US" w:eastAsia="zh-CN"/>
                <w14:textFill>
                  <w14:solidFill>
                    <w14:schemeClr w14:val="tx1"/>
                  </w14:solidFill>
                </w14:textFill>
              </w:rPr>
            </w:pPr>
            <w:r>
              <w:rPr>
                <w:rFonts w:hint="eastAsia" w:cs="Times New Roman"/>
                <w:b w:val="0"/>
                <w:bCs/>
                <w:color w:val="000000" w:themeColor="text1"/>
                <w:kern w:val="0"/>
                <w:sz w:val="24"/>
                <w:highlight w:val="none"/>
                <w:lang w:val="en-US" w:eastAsia="zh-CN"/>
                <w14:textFill>
                  <w14:solidFill>
                    <w14:schemeClr w14:val="tx1"/>
                  </w14:solidFill>
                </w14:textFill>
              </w:rPr>
              <w:t>综上所述，项目的建设符合《食品安全国家标准 食品接触材料及制品生产通用卫生规范》（GB31603-2015）的相关要求。</w:t>
            </w:r>
          </w:p>
          <w:p w14:paraId="0109F492">
            <w:pPr>
              <w:autoSpaceDE w:val="0"/>
              <w:autoSpaceDN w:val="0"/>
              <w:adjustRightInd w:val="0"/>
              <w:snapToGrid w:val="0"/>
              <w:spacing w:line="360" w:lineRule="auto"/>
              <w:ind w:firstLine="482" w:firstLineChars="200"/>
              <w:jc w:val="both"/>
              <w:rPr>
                <w:rFonts w:ascii="Times New Roman" w:hAnsi="Times New Roman" w:eastAsia="宋体" w:cs="Times New Roman"/>
                <w:b/>
                <w:color w:val="000000" w:themeColor="text1"/>
                <w:kern w:val="0"/>
                <w:sz w:val="24"/>
                <w:highlight w:val="none"/>
                <w14:textFill>
                  <w14:solidFill>
                    <w14:schemeClr w14:val="tx1"/>
                  </w14:solidFill>
                </w14:textFill>
              </w:rPr>
            </w:pPr>
            <w:r>
              <w:rPr>
                <w:rFonts w:hint="eastAsia" w:cs="Times New Roman"/>
                <w:b/>
                <w:color w:val="000000" w:themeColor="text1"/>
                <w:kern w:val="0"/>
                <w:sz w:val="24"/>
                <w:highlight w:val="none"/>
                <w:lang w:val="en-US" w:eastAsia="zh-CN"/>
                <w14:textFill>
                  <w14:solidFill>
                    <w14:schemeClr w14:val="tx1"/>
                  </w14:solidFill>
                </w14:textFill>
              </w:rPr>
              <w:t>17</w:t>
            </w:r>
            <w:r>
              <w:rPr>
                <w:rFonts w:ascii="Times New Roman" w:hAnsi="Times New Roman" w:eastAsia="宋体" w:cs="Times New Roman"/>
                <w:b/>
                <w:color w:val="000000" w:themeColor="text1"/>
                <w:kern w:val="0"/>
                <w:sz w:val="24"/>
                <w:highlight w:val="none"/>
                <w14:textFill>
                  <w14:solidFill>
                    <w14:schemeClr w14:val="tx1"/>
                  </w14:solidFill>
                </w14:textFill>
              </w:rPr>
              <w:t>、项目选址合理性分析</w:t>
            </w:r>
          </w:p>
          <w:p w14:paraId="7079973E">
            <w:pPr>
              <w:autoSpaceDE w:val="0"/>
              <w:autoSpaceDN w:val="0"/>
              <w:adjustRightInd w:val="0"/>
              <w:snapToGrid w:val="0"/>
              <w:spacing w:line="360" w:lineRule="auto"/>
              <w:ind w:firstLine="480" w:firstLineChars="200"/>
              <w:jc w:val="both"/>
              <w:rPr>
                <w:rFonts w:hint="eastAsia" w:ascii="Times New Roman" w:hAnsi="Times New Roman" w:eastAsia="宋体" w:cs="Times New Roman"/>
                <w:color w:val="000000" w:themeColor="text1"/>
                <w:kern w:val="0"/>
                <w:sz w:val="24"/>
                <w:lang w:eastAsia="zh-CN"/>
                <w14:textFill>
                  <w14:solidFill>
                    <w14:schemeClr w14:val="tx1"/>
                  </w14:solidFill>
                </w14:textFill>
              </w:rPr>
            </w:pPr>
            <w:r>
              <w:rPr>
                <w:rFonts w:hint="eastAsia" w:cs="Times New Roman"/>
                <w:color w:val="000000" w:themeColor="text1"/>
                <w:kern w:val="0"/>
                <w:sz w:val="24"/>
                <w:lang w:eastAsia="zh-CN"/>
                <w14:textFill>
                  <w14:solidFill>
                    <w14:schemeClr w14:val="tx1"/>
                  </w14:solidFill>
                </w14:textFill>
              </w:rPr>
              <w:t>（</w:t>
            </w:r>
            <w:r>
              <w:rPr>
                <w:rFonts w:hint="eastAsia" w:cs="Times New Roman"/>
                <w:color w:val="000000" w:themeColor="text1"/>
                <w:kern w:val="0"/>
                <w:sz w:val="24"/>
                <w:lang w:val="en-US" w:eastAsia="zh-CN"/>
                <w14:textFill>
                  <w14:solidFill>
                    <w14:schemeClr w14:val="tx1"/>
                  </w14:solidFill>
                </w14:textFill>
              </w:rPr>
              <w:t>1</w:t>
            </w:r>
            <w:r>
              <w:rPr>
                <w:rFonts w:hint="eastAsia" w:cs="Times New Roman"/>
                <w:color w:val="000000" w:themeColor="text1"/>
                <w:kern w:val="0"/>
                <w:sz w:val="24"/>
                <w:lang w:eastAsia="zh-CN"/>
                <w14:textFill>
                  <w14:solidFill>
                    <w14:schemeClr w14:val="tx1"/>
                  </w14:solidFill>
                </w14:textFill>
              </w:rPr>
              <w:t>）</w:t>
            </w:r>
            <w:r>
              <w:rPr>
                <w:rFonts w:hint="eastAsia" w:cs="Times New Roman"/>
                <w:color w:val="000000" w:themeColor="text1"/>
                <w:kern w:val="0"/>
                <w:sz w:val="24"/>
                <w:lang w:val="en-US" w:eastAsia="zh-CN"/>
                <w14:textFill>
                  <w14:solidFill>
                    <w14:schemeClr w14:val="tx1"/>
                  </w14:solidFill>
                </w14:textFill>
              </w:rPr>
              <w:t>本项目位于云南易门产业园区麦子田片区，用地性质为二类工业用地，符合用地布局要求；本项目生产密胺餐具，并取得入园证明（附件5）。根据“三区三线查询意见”（附件6），项目不在生态保护红线范围内、不占用永久基本农田，在城镇开发边界内，不在饮用水水源保护区范围内，不占用生态公益林、天然林等生态功能重要、生态环境敏感区域。</w:t>
            </w:r>
          </w:p>
          <w:p w14:paraId="74776791">
            <w:pPr>
              <w:autoSpaceDE w:val="0"/>
              <w:autoSpaceDN w:val="0"/>
              <w:adjustRightInd w:val="0"/>
              <w:snapToGrid w:val="0"/>
              <w:spacing w:line="360" w:lineRule="auto"/>
              <w:ind w:firstLine="480" w:firstLineChars="200"/>
              <w:jc w:val="both"/>
              <w:rPr>
                <w:rFonts w:hint="default" w:cs="Times New Roman"/>
                <w:color w:val="000000" w:themeColor="text1"/>
                <w:kern w:val="0"/>
                <w:sz w:val="24"/>
                <w:lang w:val="en-US" w:eastAsia="zh-CN"/>
                <w14:textFill>
                  <w14:solidFill>
                    <w14:schemeClr w14:val="tx1"/>
                  </w14:solidFill>
                </w14:textFill>
              </w:rPr>
            </w:pPr>
            <w:r>
              <w:rPr>
                <w:rFonts w:hint="eastAsia" w:cs="Times New Roman"/>
                <w:color w:val="000000" w:themeColor="text1"/>
                <w:kern w:val="0"/>
                <w:sz w:val="24"/>
                <w:lang w:eastAsia="zh-CN"/>
                <w14:textFill>
                  <w14:solidFill>
                    <w14:schemeClr w14:val="tx1"/>
                  </w14:solidFill>
                </w14:textFill>
              </w:rPr>
              <w:t>（</w:t>
            </w:r>
            <w:r>
              <w:rPr>
                <w:rFonts w:hint="eastAsia" w:cs="Times New Roman"/>
                <w:color w:val="000000" w:themeColor="text1"/>
                <w:kern w:val="0"/>
                <w:sz w:val="24"/>
                <w:lang w:val="en-US" w:eastAsia="zh-CN"/>
                <w14:textFill>
                  <w14:solidFill>
                    <w14:schemeClr w14:val="tx1"/>
                  </w14:solidFill>
                </w14:textFill>
              </w:rPr>
              <w:t>2</w:t>
            </w:r>
            <w:r>
              <w:rPr>
                <w:rFonts w:hint="eastAsia" w:cs="Times New Roman"/>
                <w:color w:val="000000" w:themeColor="text1"/>
                <w:kern w:val="0"/>
                <w:sz w:val="24"/>
                <w:lang w:eastAsia="zh-CN"/>
                <w14:textFill>
                  <w14:solidFill>
                    <w14:schemeClr w14:val="tx1"/>
                  </w14:solidFill>
                </w14:textFill>
              </w:rPr>
              <w:t>）</w:t>
            </w:r>
            <w:r>
              <w:rPr>
                <w:rFonts w:hint="eastAsia" w:cs="Times New Roman"/>
                <w:color w:val="000000" w:themeColor="text1"/>
                <w:kern w:val="0"/>
                <w:sz w:val="24"/>
                <w:lang w:val="en-US" w:eastAsia="zh-CN"/>
                <w14:textFill>
                  <w14:solidFill>
                    <w14:schemeClr w14:val="tx1"/>
                  </w14:solidFill>
                </w14:textFill>
              </w:rPr>
              <w:t>项目废气经处理后达标排放，达标率100%；生活污水处理达标率100%；固体废弃物处置率、危险废物安全处置率、生活垃圾无害化处置率100%。</w:t>
            </w:r>
          </w:p>
          <w:p w14:paraId="2D170CB0">
            <w:pPr>
              <w:autoSpaceDE w:val="0"/>
              <w:autoSpaceDN w:val="0"/>
              <w:adjustRightInd w:val="0"/>
              <w:snapToGrid w:val="0"/>
              <w:spacing w:line="360" w:lineRule="auto"/>
              <w:ind w:firstLine="480" w:firstLineChars="200"/>
              <w:jc w:val="both"/>
              <w:rPr>
                <w:rFonts w:ascii="Times New Roman" w:hAnsi="Times New Roman" w:eastAsia="宋体" w:cs="Times New Roman"/>
                <w:color w:val="000000" w:themeColor="text1"/>
                <w:kern w:val="0"/>
                <w:sz w:val="24"/>
                <w14:textFill>
                  <w14:solidFill>
                    <w14:schemeClr w14:val="tx1"/>
                  </w14:solidFill>
                </w14:textFill>
              </w:rPr>
            </w:pPr>
            <w:r>
              <w:rPr>
                <w:rFonts w:hint="eastAsia" w:cs="Times New Roman"/>
                <w:color w:val="000000" w:themeColor="text1"/>
                <w:kern w:val="0"/>
                <w:sz w:val="24"/>
                <w:lang w:eastAsia="zh-CN"/>
                <w14:textFill>
                  <w14:solidFill>
                    <w14:schemeClr w14:val="tx1"/>
                  </w14:solidFill>
                </w14:textFill>
              </w:rPr>
              <w:t>（</w:t>
            </w:r>
            <w:r>
              <w:rPr>
                <w:rFonts w:hint="eastAsia" w:cs="Times New Roman"/>
                <w:color w:val="000000" w:themeColor="text1"/>
                <w:kern w:val="0"/>
                <w:sz w:val="24"/>
                <w:lang w:val="en-US" w:eastAsia="zh-CN"/>
                <w14:textFill>
                  <w14:solidFill>
                    <w14:schemeClr w14:val="tx1"/>
                  </w14:solidFill>
                </w14:textFill>
              </w:rPr>
              <w:t>3</w:t>
            </w:r>
            <w:r>
              <w:rPr>
                <w:rFonts w:hint="eastAsia" w:cs="Times New Roman"/>
                <w:color w:val="000000" w:themeColor="text1"/>
                <w:kern w:val="0"/>
                <w:sz w:val="24"/>
                <w:lang w:eastAsia="zh-CN"/>
                <w14:textFill>
                  <w14:solidFill>
                    <w14:schemeClr w14:val="tx1"/>
                  </w14:solidFill>
                </w14:textFill>
              </w:rPr>
              <w:t>）</w:t>
            </w:r>
            <w:r>
              <w:rPr>
                <w:rFonts w:hint="eastAsia" w:cs="Times New Roman"/>
                <w:color w:val="000000" w:themeColor="text1"/>
                <w:kern w:val="0"/>
                <w:sz w:val="24"/>
                <w:lang w:val="en-US" w:eastAsia="zh-CN"/>
                <w14:textFill>
                  <w14:solidFill>
                    <w14:schemeClr w14:val="tx1"/>
                  </w14:solidFill>
                </w14:textFill>
              </w:rPr>
              <w:t>项目边长为5km矩形范围</w:t>
            </w:r>
            <w:r>
              <w:rPr>
                <w:rFonts w:hint="eastAsia" w:cs="Times New Roman"/>
                <w:color w:val="000000" w:themeColor="text1"/>
                <w:kern w:val="0"/>
                <w:sz w:val="24"/>
                <w:lang w:eastAsia="zh-CN"/>
                <w14:textFill>
                  <w14:solidFill>
                    <w14:schemeClr w14:val="tx1"/>
                  </w14:solidFill>
                </w14:textFill>
              </w:rPr>
              <w:t>内分布有</w:t>
            </w:r>
            <w:r>
              <w:rPr>
                <w:rFonts w:hint="eastAsia" w:cs="Times New Roman"/>
                <w:color w:val="000000" w:themeColor="text1"/>
                <w:kern w:val="0"/>
                <w:sz w:val="24"/>
                <w:lang w:val="en-US" w:eastAsia="zh-CN"/>
                <w14:textFill>
                  <w14:solidFill>
                    <w14:schemeClr w14:val="tx1"/>
                  </w14:solidFill>
                </w14:textFill>
              </w:rPr>
              <w:t>翠柏自然保护区、麦子田村、马家箐、瓦家箐、杨宝庒村</w:t>
            </w:r>
            <w:r>
              <w:rPr>
                <w:rFonts w:hint="eastAsia" w:cs="Times New Roman"/>
                <w:color w:val="000000" w:themeColor="text1"/>
                <w:kern w:val="0"/>
                <w:sz w:val="24"/>
                <w:lang w:eastAsia="zh-CN"/>
                <w14:textFill>
                  <w14:solidFill>
                    <w14:schemeClr w14:val="tx1"/>
                  </w14:solidFill>
                </w14:textFill>
              </w:rPr>
              <w:t>等大气环境保护目标，</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根据估算结果，DA001排气筒</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TVOC</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最大落地浓度为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83.958</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ug/m</w:t>
            </w:r>
            <w:r>
              <w:rPr>
                <w:rFonts w:hint="default" w:ascii="Times New Roman" w:hAnsi="Times New Roman" w:eastAsia="宋体" w:cs="Times New Roman"/>
                <w:color w:val="000000" w:themeColor="text1"/>
                <w:kern w:val="2"/>
                <w:sz w:val="24"/>
                <w:szCs w:val="24"/>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，占标率为7.0</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。甲醛最大</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落地浓度为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0.372</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ug/m</w:t>
            </w:r>
            <w:r>
              <w:rPr>
                <w:rFonts w:hint="default" w:ascii="Times New Roman" w:hAnsi="Times New Roman" w:eastAsia="宋体" w:cs="Times New Roman"/>
                <w:color w:val="000000" w:themeColor="text1"/>
                <w:kern w:val="2"/>
                <w:sz w:val="24"/>
                <w:szCs w:val="24"/>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，占标率为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0.75</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%；DA002排气筒</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PM</w:t>
            </w:r>
            <w:r>
              <w:rPr>
                <w:rFonts w:hint="eastAsia" w:ascii="Times New Roman" w:hAnsi="Times New Roman" w:eastAsia="宋体" w:cs="Times New Roman"/>
                <w:color w:val="000000" w:themeColor="text1"/>
                <w:kern w:val="2"/>
                <w:sz w:val="24"/>
                <w:szCs w:val="24"/>
                <w:vertAlign w:val="subscript"/>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最大落地浓度为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9.337</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ug/m</w:t>
            </w:r>
            <w:r>
              <w:rPr>
                <w:rFonts w:hint="default" w:ascii="Times New Roman" w:hAnsi="Times New Roman" w:eastAsia="宋体" w:cs="Times New Roman"/>
                <w:color w:val="000000" w:themeColor="text1"/>
                <w:kern w:val="2"/>
                <w:sz w:val="24"/>
                <w:szCs w:val="24"/>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，占标率为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2.07</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%，对应的距离为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98</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m。</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项目区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TVOC</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最大落地浓度为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34.564</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ug/m</w:t>
            </w:r>
            <w:r>
              <w:rPr>
                <w:rFonts w:ascii="Times New Roman" w:hAnsi="Times New Roman" w:eastAsia="宋体" w:cs="Times New Roman"/>
                <w:color w:val="000000" w:themeColor="text1"/>
                <w:kern w:val="0"/>
                <w:sz w:val="24"/>
                <w:szCs w:val="20"/>
                <w:vertAlign w:val="superscript"/>
                <w:lang w:val="en-US" w:eastAsia="zh-CN" w:bidi="ar-SA"/>
                <w14:textFill>
                  <w14:solidFill>
                    <w14:schemeClr w14:val="tx1"/>
                  </w14:solidFill>
                </w14:textFill>
              </w:rPr>
              <w:t>3</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，占标率为</w:t>
            </w:r>
            <w:r>
              <w:rPr>
                <w:rFonts w:hint="eastAsia" w:cs="Times New Roman"/>
                <w:color w:val="000000" w:themeColor="text1"/>
                <w:kern w:val="0"/>
                <w:sz w:val="24"/>
                <w:szCs w:val="20"/>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.88</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%，对应的距离为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40</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m</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项目区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TSP</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最大落地浓度为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22.365</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ug/m</w:t>
            </w:r>
            <w:r>
              <w:rPr>
                <w:rFonts w:ascii="Times New Roman" w:hAnsi="Times New Roman" w:eastAsia="宋体" w:cs="Times New Roman"/>
                <w:color w:val="000000" w:themeColor="text1"/>
                <w:kern w:val="0"/>
                <w:sz w:val="24"/>
                <w:szCs w:val="20"/>
                <w:vertAlign w:val="superscript"/>
                <w:lang w:val="en-US" w:eastAsia="zh-CN" w:bidi="ar-SA"/>
                <w14:textFill>
                  <w14:solidFill>
                    <w14:schemeClr w14:val="tx1"/>
                  </w14:solidFill>
                </w14:textFill>
              </w:rPr>
              <w:t>3</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，占标率为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2.49</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%，对应的距离为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40</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m</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项目区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甲醛</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最大落地浓度为0.</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113</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ug/m</w:t>
            </w:r>
            <w:r>
              <w:rPr>
                <w:rFonts w:ascii="Times New Roman" w:hAnsi="Times New Roman" w:eastAsia="宋体" w:cs="Times New Roman"/>
                <w:color w:val="000000" w:themeColor="text1"/>
                <w:kern w:val="0"/>
                <w:sz w:val="24"/>
                <w:szCs w:val="20"/>
                <w:vertAlign w:val="superscript"/>
                <w:lang w:val="en-US" w:eastAsia="zh-CN" w:bidi="ar-SA"/>
                <w14:textFill>
                  <w14:solidFill>
                    <w14:schemeClr w14:val="tx1"/>
                  </w14:solidFill>
                </w14:textFill>
              </w:rPr>
              <w:t>3</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，占标率为0.</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23</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%，对应的距离为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40</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m</w:t>
            </w:r>
            <w:r>
              <w:rPr>
                <w:rFonts w:hint="eastAsia" w:cs="Times New Roman"/>
                <w:color w:val="000000" w:themeColor="text1"/>
                <w:kern w:val="0"/>
                <w:sz w:val="24"/>
                <w:szCs w:val="20"/>
                <w:lang w:val="en-US" w:eastAsia="zh-CN" w:bidi="ar-SA"/>
                <w14:textFill>
                  <w14:solidFill>
                    <w14:schemeClr w14:val="tx1"/>
                  </w14:solidFill>
                </w14:textFill>
              </w:rPr>
              <w:t>，</w:t>
            </w:r>
            <w:r>
              <w:rPr>
                <w:rFonts w:hint="eastAsia" w:cs="Times New Roman"/>
                <w:color w:val="000000" w:themeColor="text1"/>
                <w:kern w:val="0"/>
                <w:sz w:val="24"/>
                <w:lang w:val="en-US" w:eastAsia="zh-CN"/>
                <w14:textFill>
                  <w14:solidFill>
                    <w14:schemeClr w14:val="tx1"/>
                  </w14:solidFill>
                </w14:textFill>
              </w:rPr>
              <w:t>距离最近大气环境保护目标距离为350m</w:t>
            </w:r>
            <w:r>
              <w:rPr>
                <w:rFonts w:hint="eastAsia" w:cs="Times New Roman"/>
                <w:color w:val="000000" w:themeColor="text1"/>
                <w:kern w:val="0"/>
                <w:sz w:val="24"/>
                <w:lang w:eastAsia="zh-CN"/>
                <w14:textFill>
                  <w14:solidFill>
                    <w14:schemeClr w14:val="tx1"/>
                  </w14:solidFill>
                </w14:textFill>
              </w:rPr>
              <w:t>。</w:t>
            </w:r>
            <w:r>
              <w:rPr>
                <w:rFonts w:ascii="Times New Roman" w:hAnsi="Times New Roman" w:eastAsia="宋体" w:cs="Times New Roman"/>
                <w:color w:val="000000" w:themeColor="text1"/>
                <w:kern w:val="0"/>
                <w:sz w:val="24"/>
                <w14:textFill>
                  <w14:solidFill>
                    <w14:schemeClr w14:val="tx1"/>
                  </w14:solidFill>
                </w14:textFill>
              </w:rPr>
              <w:t>项目周围50m范围内无声环境保护目标，厂界外500米范围内无地下水集中式饮用水水源和热水、矿泉水、温泉等特殊地下水资源。</w:t>
            </w:r>
          </w:p>
          <w:p w14:paraId="2FFC3423">
            <w:pPr>
              <w:autoSpaceDE w:val="0"/>
              <w:autoSpaceDN w:val="0"/>
              <w:adjustRightInd w:val="0"/>
              <w:snapToGrid w:val="0"/>
              <w:spacing w:line="360" w:lineRule="auto"/>
              <w:ind w:firstLine="480" w:firstLineChars="200"/>
              <w:jc w:val="both"/>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eastAsia" w:cs="Times New Roman"/>
                <w:color w:val="000000" w:themeColor="text1"/>
                <w:kern w:val="0"/>
                <w:sz w:val="24"/>
                <w:lang w:eastAsia="zh-CN"/>
                <w14:textFill>
                  <w14:solidFill>
                    <w14:schemeClr w14:val="tx1"/>
                  </w14:solidFill>
                </w14:textFill>
              </w:rPr>
              <w:t>（</w:t>
            </w:r>
            <w:r>
              <w:rPr>
                <w:rFonts w:hint="eastAsia" w:cs="Times New Roman"/>
                <w:color w:val="000000" w:themeColor="text1"/>
                <w:kern w:val="0"/>
                <w:sz w:val="24"/>
                <w:lang w:val="en-US" w:eastAsia="zh-CN"/>
                <w14:textFill>
                  <w14:solidFill>
                    <w14:schemeClr w14:val="tx1"/>
                  </w14:solidFill>
                </w14:textFill>
              </w:rPr>
              <w:t>4</w:t>
            </w:r>
            <w:r>
              <w:rPr>
                <w:rFonts w:hint="eastAsia" w:cs="Times New Roman"/>
                <w:color w:val="000000" w:themeColor="text1"/>
                <w:kern w:val="0"/>
                <w:sz w:val="24"/>
                <w:lang w:eastAsia="zh-CN"/>
                <w14:textFill>
                  <w14:solidFill>
                    <w14:schemeClr w14:val="tx1"/>
                  </w14:solidFill>
                </w14:textFill>
              </w:rPr>
              <w:t>）</w:t>
            </w:r>
            <w:r>
              <w:rPr>
                <w:rFonts w:ascii="Times New Roman" w:hAnsi="Times New Roman" w:eastAsia="宋体" w:cs="Times New Roman"/>
                <w:color w:val="000000" w:themeColor="text1"/>
                <w:kern w:val="0"/>
                <w:sz w:val="24"/>
                <w14:textFill>
                  <w14:solidFill>
                    <w14:schemeClr w14:val="tx1"/>
                  </w14:solidFill>
                </w14:textFill>
              </w:rPr>
              <w:t>项目周边</w:t>
            </w:r>
            <w:r>
              <w:rPr>
                <w:rFonts w:hint="eastAsia" w:cs="Times New Roman"/>
                <w:color w:val="000000" w:themeColor="text1"/>
                <w:kern w:val="0"/>
                <w:sz w:val="24"/>
                <w:lang w:val="en-US" w:eastAsia="zh-CN"/>
                <w14:textFill>
                  <w14:solidFill>
                    <w14:schemeClr w14:val="tx1"/>
                  </w14:solidFill>
                </w14:textFill>
              </w:rPr>
              <w:t>相邻企业及污染物排放种类如下：</w:t>
            </w:r>
          </w:p>
          <w:p w14:paraId="45994D1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lang w:eastAsia="zh-CN"/>
                <w14:textFill>
                  <w14:solidFill>
                    <w14:schemeClr w14:val="tx1"/>
                  </w14:solidFill>
                </w14:textFill>
              </w:rPr>
              <w:t>表</w:t>
            </w: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1</w:t>
            </w:r>
            <w: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t>-1</w:t>
            </w:r>
            <w:r>
              <w:rPr>
                <w:rFonts w:hint="eastAsia" w:cs="Times New Roman"/>
                <w:b/>
                <w:bCs/>
                <w:color w:val="000000" w:themeColor="text1"/>
                <w:kern w:val="0"/>
                <w:sz w:val="21"/>
                <w:szCs w:val="21"/>
                <w:lang w:val="en-US" w:eastAsia="zh-CN"/>
                <w14:textFill>
                  <w14:solidFill>
                    <w14:schemeClr w14:val="tx1"/>
                  </w14:solidFill>
                </w14:textFill>
              </w:rPr>
              <w:t>9</w:t>
            </w:r>
            <w: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t xml:space="preserve">  </w:t>
            </w:r>
            <w:r>
              <w:rPr>
                <w:rFonts w:hint="eastAsia" w:cs="Times New Roman"/>
                <w:b/>
                <w:bCs/>
                <w:color w:val="000000" w:themeColor="text1"/>
                <w:kern w:val="0"/>
                <w:sz w:val="21"/>
                <w:szCs w:val="21"/>
                <w:lang w:val="en-US" w:eastAsia="zh-CN"/>
                <w14:textFill>
                  <w14:solidFill>
                    <w14:schemeClr w14:val="tx1"/>
                  </w14:solidFill>
                </w14:textFill>
              </w:rPr>
              <w:t>相邻企业发布情况</w:t>
            </w:r>
          </w:p>
          <w:tbl>
            <w:tblPr>
              <w:tblStyle w:val="31"/>
              <w:tblW w:w="7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649"/>
              <w:gridCol w:w="3070"/>
              <w:gridCol w:w="3485"/>
            </w:tblGrid>
            <w:tr w14:paraId="0C4C3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0" w:hRule="atLeast"/>
              </w:trPr>
              <w:tc>
                <w:tcPr>
                  <w:tcW w:w="649" w:type="dxa"/>
                  <w:noWrap w:val="0"/>
                  <w:vAlign w:val="center"/>
                </w:tcPr>
                <w:p w14:paraId="63C2CC2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cs="Times New Roman"/>
                      <w:b/>
                      <w:bCs/>
                      <w:color w:val="000000" w:themeColor="text1"/>
                      <w:kern w:val="0"/>
                      <w:sz w:val="21"/>
                      <w:szCs w:val="21"/>
                      <w:lang w:val="en-US" w:eastAsia="zh-CN"/>
                      <w14:textFill>
                        <w14:solidFill>
                          <w14:schemeClr w14:val="tx1"/>
                        </w14:solidFill>
                      </w14:textFill>
                    </w:rPr>
                    <w:t>序号</w:t>
                  </w:r>
                </w:p>
              </w:tc>
              <w:tc>
                <w:tcPr>
                  <w:tcW w:w="3070" w:type="dxa"/>
                  <w:noWrap w:val="0"/>
                  <w:vAlign w:val="center"/>
                </w:tcPr>
                <w:p w14:paraId="771B2A9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cs="Times New Roman"/>
                      <w:b/>
                      <w:bCs/>
                      <w:color w:val="000000" w:themeColor="text1"/>
                      <w:kern w:val="0"/>
                      <w:sz w:val="21"/>
                      <w:szCs w:val="21"/>
                      <w:lang w:val="en-US" w:eastAsia="zh-CN"/>
                      <w14:textFill>
                        <w14:solidFill>
                          <w14:schemeClr w14:val="tx1"/>
                        </w14:solidFill>
                      </w14:textFill>
                    </w:rPr>
                    <w:t>企业名称</w:t>
                  </w:r>
                </w:p>
              </w:tc>
              <w:tc>
                <w:tcPr>
                  <w:tcW w:w="3485" w:type="dxa"/>
                  <w:noWrap w:val="0"/>
                  <w:vAlign w:val="center"/>
                </w:tcPr>
                <w:p w14:paraId="0A1B94A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cs="Times New Roman"/>
                      <w:b/>
                      <w:bCs/>
                      <w:color w:val="000000" w:themeColor="text1"/>
                      <w:kern w:val="0"/>
                      <w:sz w:val="21"/>
                      <w:szCs w:val="21"/>
                      <w:lang w:val="en-US" w:eastAsia="zh-CN"/>
                      <w14:textFill>
                        <w14:solidFill>
                          <w14:schemeClr w14:val="tx1"/>
                        </w14:solidFill>
                      </w14:textFill>
                    </w:rPr>
                    <w:t>排放污染物种类</w:t>
                  </w:r>
                </w:p>
              </w:tc>
            </w:tr>
            <w:tr w14:paraId="20800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0" w:hRule="atLeast"/>
              </w:trPr>
              <w:tc>
                <w:tcPr>
                  <w:tcW w:w="649" w:type="dxa"/>
                  <w:noWrap w:val="0"/>
                  <w:vAlign w:val="center"/>
                </w:tcPr>
                <w:p w14:paraId="205B7A2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0"/>
                      <w:sz w:val="21"/>
                      <w:szCs w:val="21"/>
                      <w:lang w:val="en-US" w:eastAsia="zh-CN"/>
                      <w14:textFill>
                        <w14:solidFill>
                          <w14:schemeClr w14:val="tx1"/>
                        </w14:solidFill>
                      </w14:textFill>
                    </w:rPr>
                    <w:t>1</w:t>
                  </w:r>
                </w:p>
              </w:tc>
              <w:tc>
                <w:tcPr>
                  <w:tcW w:w="3070" w:type="dxa"/>
                  <w:noWrap w:val="0"/>
                  <w:vAlign w:val="center"/>
                </w:tcPr>
                <w:p w14:paraId="11170C6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0"/>
                      <w:sz w:val="21"/>
                      <w:szCs w:val="21"/>
                      <w:lang w:val="en-US" w:eastAsia="zh-CN"/>
                      <w14:textFill>
                        <w14:solidFill>
                          <w14:schemeClr w14:val="tx1"/>
                        </w14:solidFill>
                      </w14:textFill>
                    </w:rPr>
                    <w:t>云南联帆建材有限公司</w:t>
                  </w:r>
                </w:p>
              </w:tc>
              <w:tc>
                <w:tcPr>
                  <w:tcW w:w="3485" w:type="dxa"/>
                  <w:noWrap w:val="0"/>
                  <w:vAlign w:val="center"/>
                </w:tcPr>
                <w:p w14:paraId="15D178C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0"/>
                      <w:sz w:val="21"/>
                      <w:szCs w:val="21"/>
                      <w:lang w:val="en-US" w:eastAsia="zh-CN"/>
                      <w14:textFill>
                        <w14:solidFill>
                          <w14:schemeClr w14:val="tx1"/>
                        </w14:solidFill>
                      </w14:textFill>
                    </w:rPr>
                    <w:t>非甲烷总烃、颗粒物、生活污水、噪声、生产及生活固废</w:t>
                  </w:r>
                </w:p>
              </w:tc>
            </w:tr>
            <w:tr w14:paraId="305D2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0" w:hRule="atLeast"/>
              </w:trPr>
              <w:tc>
                <w:tcPr>
                  <w:tcW w:w="649" w:type="dxa"/>
                  <w:noWrap w:val="0"/>
                  <w:vAlign w:val="center"/>
                </w:tcPr>
                <w:p w14:paraId="4E6A151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0"/>
                      <w:sz w:val="21"/>
                      <w:szCs w:val="21"/>
                      <w:lang w:val="en-US" w:eastAsia="zh-CN"/>
                      <w14:textFill>
                        <w14:solidFill>
                          <w14:schemeClr w14:val="tx1"/>
                        </w14:solidFill>
                      </w14:textFill>
                    </w:rPr>
                    <w:t>2</w:t>
                  </w:r>
                </w:p>
              </w:tc>
              <w:tc>
                <w:tcPr>
                  <w:tcW w:w="3070" w:type="dxa"/>
                  <w:noWrap w:val="0"/>
                  <w:vAlign w:val="center"/>
                </w:tcPr>
                <w:p w14:paraId="42513C3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0"/>
                      <w:sz w:val="21"/>
                      <w:szCs w:val="21"/>
                      <w:lang w:val="en-US" w:eastAsia="zh-CN"/>
                      <w14:textFill>
                        <w14:solidFill>
                          <w14:schemeClr w14:val="tx1"/>
                        </w14:solidFill>
                      </w14:textFill>
                    </w:rPr>
                    <w:t>云南宇航机械制造有限公司</w:t>
                  </w:r>
                </w:p>
              </w:tc>
              <w:tc>
                <w:tcPr>
                  <w:tcW w:w="3485" w:type="dxa"/>
                  <w:noWrap w:val="0"/>
                  <w:vAlign w:val="center"/>
                </w:tcPr>
                <w:p w14:paraId="0379FB8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0"/>
                      <w:sz w:val="21"/>
                      <w:szCs w:val="21"/>
                      <w:lang w:val="en-US" w:eastAsia="zh-CN"/>
                      <w14:textFill>
                        <w14:solidFill>
                          <w14:schemeClr w14:val="tx1"/>
                        </w14:solidFill>
                      </w14:textFill>
                    </w:rPr>
                    <w:t>甲苯、二甲苯、非甲烷总烃、颗粒物、生活污水、噪声、生产及生活固废</w:t>
                  </w:r>
                </w:p>
              </w:tc>
            </w:tr>
            <w:tr w14:paraId="41B6D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0" w:hRule="atLeast"/>
              </w:trPr>
              <w:tc>
                <w:tcPr>
                  <w:tcW w:w="649" w:type="dxa"/>
                  <w:noWrap w:val="0"/>
                  <w:vAlign w:val="center"/>
                </w:tcPr>
                <w:p w14:paraId="48170CB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0"/>
                      <w:sz w:val="21"/>
                      <w:szCs w:val="21"/>
                      <w:lang w:val="en-US" w:eastAsia="zh-CN"/>
                      <w14:textFill>
                        <w14:solidFill>
                          <w14:schemeClr w14:val="tx1"/>
                        </w14:solidFill>
                      </w14:textFill>
                    </w:rPr>
                    <w:t>3</w:t>
                  </w:r>
                </w:p>
              </w:tc>
              <w:tc>
                <w:tcPr>
                  <w:tcW w:w="3070" w:type="dxa"/>
                  <w:noWrap w:val="0"/>
                  <w:vAlign w:val="center"/>
                </w:tcPr>
                <w:p w14:paraId="729FC9B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0"/>
                      <w:sz w:val="21"/>
                      <w:szCs w:val="21"/>
                      <w:lang w:val="en-US" w:eastAsia="zh-CN"/>
                      <w14:textFill>
                        <w14:solidFill>
                          <w14:schemeClr w14:val="tx1"/>
                        </w14:solidFill>
                      </w14:textFill>
                    </w:rPr>
                    <w:t>云南中盛日科管道科技有限公司</w:t>
                  </w:r>
                </w:p>
              </w:tc>
              <w:tc>
                <w:tcPr>
                  <w:tcW w:w="3485" w:type="dxa"/>
                  <w:noWrap w:val="0"/>
                  <w:vAlign w:val="center"/>
                </w:tcPr>
                <w:p w14:paraId="4ABDBB8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0"/>
                      <w:sz w:val="21"/>
                      <w:szCs w:val="21"/>
                      <w:lang w:val="en-US" w:eastAsia="zh-CN"/>
                      <w14:textFill>
                        <w14:solidFill>
                          <w14:schemeClr w14:val="tx1"/>
                        </w14:solidFill>
                      </w14:textFill>
                    </w:rPr>
                    <w:t>颗粒物、SO</w:t>
                  </w:r>
                  <w:r>
                    <w:rPr>
                      <w:rFonts w:hint="eastAsia" w:cs="Times New Roman"/>
                      <w:b w:val="0"/>
                      <w:bCs w:val="0"/>
                      <w:color w:val="000000" w:themeColor="text1"/>
                      <w:kern w:val="0"/>
                      <w:sz w:val="21"/>
                      <w:szCs w:val="21"/>
                      <w:vertAlign w:val="subscript"/>
                      <w:lang w:val="en-US" w:eastAsia="zh-CN"/>
                      <w14:textFill>
                        <w14:solidFill>
                          <w14:schemeClr w14:val="tx1"/>
                        </w14:solidFill>
                      </w14:textFill>
                    </w:rPr>
                    <w:t>2</w:t>
                  </w:r>
                  <w:r>
                    <w:rPr>
                      <w:rFonts w:hint="eastAsia" w:cs="Times New Roman"/>
                      <w:b w:val="0"/>
                      <w:bCs w:val="0"/>
                      <w:color w:val="000000" w:themeColor="text1"/>
                      <w:kern w:val="0"/>
                      <w:sz w:val="21"/>
                      <w:szCs w:val="21"/>
                      <w:lang w:val="en-US" w:eastAsia="zh-CN"/>
                      <w14:textFill>
                        <w14:solidFill>
                          <w14:schemeClr w14:val="tx1"/>
                        </w14:solidFill>
                      </w14:textFill>
                    </w:rPr>
                    <w:t>、NOx、非甲烷总烃、生活污水、噪声、生产及生活固废</w:t>
                  </w:r>
                </w:p>
              </w:tc>
            </w:tr>
            <w:tr w14:paraId="10CF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0" w:hRule="atLeast"/>
              </w:trPr>
              <w:tc>
                <w:tcPr>
                  <w:tcW w:w="649" w:type="dxa"/>
                  <w:noWrap w:val="0"/>
                  <w:vAlign w:val="center"/>
                </w:tcPr>
                <w:p w14:paraId="3D2D6DE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0"/>
                      <w:sz w:val="21"/>
                      <w:szCs w:val="21"/>
                      <w:lang w:val="en-US" w:eastAsia="zh-CN"/>
                      <w14:textFill>
                        <w14:solidFill>
                          <w14:schemeClr w14:val="tx1"/>
                        </w14:solidFill>
                      </w14:textFill>
                    </w:rPr>
                    <w:t>4</w:t>
                  </w:r>
                </w:p>
              </w:tc>
              <w:tc>
                <w:tcPr>
                  <w:tcW w:w="3070" w:type="dxa"/>
                  <w:noWrap w:val="0"/>
                  <w:vAlign w:val="center"/>
                </w:tcPr>
                <w:p w14:paraId="51AEB41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0"/>
                      <w:sz w:val="21"/>
                      <w:szCs w:val="21"/>
                      <w:lang w:val="en-US" w:eastAsia="zh-CN"/>
                      <w14:textFill>
                        <w14:solidFill>
                          <w14:schemeClr w14:val="tx1"/>
                        </w14:solidFill>
                      </w14:textFill>
                    </w:rPr>
                    <w:t>云南明裕达电缆有限公司</w:t>
                  </w:r>
                </w:p>
              </w:tc>
              <w:tc>
                <w:tcPr>
                  <w:tcW w:w="3485" w:type="dxa"/>
                  <w:noWrap w:val="0"/>
                  <w:vAlign w:val="center"/>
                </w:tcPr>
                <w:p w14:paraId="0FC133C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0"/>
                      <w:sz w:val="21"/>
                      <w:szCs w:val="21"/>
                      <w:lang w:val="en-US" w:eastAsia="zh-CN"/>
                      <w14:textFill>
                        <w14:solidFill>
                          <w14:schemeClr w14:val="tx1"/>
                        </w14:solidFill>
                      </w14:textFill>
                    </w:rPr>
                    <w:t>非甲烷总烃、颗粒物、生活污水、噪声、生产及生活固废</w:t>
                  </w:r>
                </w:p>
              </w:tc>
            </w:tr>
            <w:tr w14:paraId="3A7FD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0" w:hRule="atLeast"/>
              </w:trPr>
              <w:tc>
                <w:tcPr>
                  <w:tcW w:w="649" w:type="dxa"/>
                  <w:noWrap w:val="0"/>
                  <w:vAlign w:val="center"/>
                </w:tcPr>
                <w:p w14:paraId="0DD4919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0"/>
                      <w:sz w:val="21"/>
                      <w:szCs w:val="21"/>
                      <w:lang w:val="en-US" w:eastAsia="zh-CN"/>
                      <w14:textFill>
                        <w14:solidFill>
                          <w14:schemeClr w14:val="tx1"/>
                        </w14:solidFill>
                      </w14:textFill>
                    </w:rPr>
                    <w:t>5</w:t>
                  </w:r>
                </w:p>
              </w:tc>
              <w:tc>
                <w:tcPr>
                  <w:tcW w:w="3070" w:type="dxa"/>
                  <w:noWrap w:val="0"/>
                  <w:vAlign w:val="center"/>
                </w:tcPr>
                <w:p w14:paraId="5D74AC0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0"/>
                      <w:sz w:val="21"/>
                      <w:szCs w:val="21"/>
                      <w:lang w:val="en-US" w:eastAsia="zh-CN"/>
                      <w14:textFill>
                        <w14:solidFill>
                          <w14:schemeClr w14:val="tx1"/>
                        </w14:solidFill>
                      </w14:textFill>
                    </w:rPr>
                    <w:t>云南云超交通设施制造有限公司</w:t>
                  </w:r>
                </w:p>
              </w:tc>
              <w:tc>
                <w:tcPr>
                  <w:tcW w:w="3485" w:type="dxa"/>
                  <w:noWrap w:val="0"/>
                  <w:vAlign w:val="center"/>
                </w:tcPr>
                <w:p w14:paraId="2990D91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0"/>
                      <w:sz w:val="21"/>
                      <w:szCs w:val="21"/>
                      <w:lang w:val="en-US" w:eastAsia="zh-CN"/>
                      <w14:textFill>
                        <w14:solidFill>
                          <w14:schemeClr w14:val="tx1"/>
                        </w14:solidFill>
                      </w14:textFill>
                    </w:rPr>
                    <w:t>甲苯、二甲苯、非甲烷总烃、颗粒物、生活污水、噪声、生产及生活固废</w:t>
                  </w:r>
                </w:p>
              </w:tc>
            </w:tr>
            <w:tr w14:paraId="66B2E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0" w:hRule="atLeast"/>
              </w:trPr>
              <w:tc>
                <w:tcPr>
                  <w:tcW w:w="649" w:type="dxa"/>
                  <w:noWrap w:val="0"/>
                  <w:vAlign w:val="center"/>
                </w:tcPr>
                <w:p w14:paraId="0301372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0"/>
                      <w:sz w:val="21"/>
                      <w:szCs w:val="21"/>
                      <w:lang w:val="en-US" w:eastAsia="zh-CN"/>
                      <w14:textFill>
                        <w14:solidFill>
                          <w14:schemeClr w14:val="tx1"/>
                        </w14:solidFill>
                      </w14:textFill>
                    </w:rPr>
                    <w:t>6</w:t>
                  </w:r>
                </w:p>
              </w:tc>
              <w:tc>
                <w:tcPr>
                  <w:tcW w:w="3070" w:type="dxa"/>
                  <w:noWrap w:val="0"/>
                  <w:vAlign w:val="center"/>
                </w:tcPr>
                <w:p w14:paraId="175E44B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0"/>
                      <w:sz w:val="21"/>
                      <w:szCs w:val="21"/>
                      <w:lang w:val="en-US" w:eastAsia="zh-CN"/>
                      <w14:textFill>
                        <w14:solidFill>
                          <w14:schemeClr w14:val="tx1"/>
                        </w14:solidFill>
                      </w14:textFill>
                    </w:rPr>
                    <w:t>云南万利建筑钢品制造有限公司</w:t>
                  </w:r>
                </w:p>
              </w:tc>
              <w:tc>
                <w:tcPr>
                  <w:tcW w:w="3485" w:type="dxa"/>
                  <w:noWrap w:val="0"/>
                  <w:vAlign w:val="center"/>
                </w:tcPr>
                <w:p w14:paraId="3D396E3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0"/>
                      <w:sz w:val="21"/>
                      <w:szCs w:val="21"/>
                      <w:lang w:val="en-US" w:eastAsia="zh-CN"/>
                      <w14:textFill>
                        <w14:solidFill>
                          <w14:schemeClr w14:val="tx1"/>
                        </w14:solidFill>
                      </w14:textFill>
                    </w:rPr>
                    <w:t>甲苯、二甲苯、非甲烷总烃、颗粒物、生活污水、噪声、生产及生活固废</w:t>
                  </w:r>
                </w:p>
              </w:tc>
            </w:tr>
          </w:tbl>
          <w:p w14:paraId="081A46E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eastAsia" w:cs="Times New Roman"/>
                <w:color w:val="000000" w:themeColor="text1"/>
                <w:kern w:val="0"/>
                <w:sz w:val="24"/>
                <w:lang w:val="en-US" w:eastAsia="zh-CN"/>
                <w14:textFill>
                  <w14:solidFill>
                    <w14:schemeClr w14:val="tx1"/>
                  </w14:solidFill>
                </w14:textFill>
              </w:rPr>
              <w:t>根据上表分析，项目所在区域相邻企业以塑料制品制造、金属制品制造等行业为主。对照《有毒有害大气污染物名录（2018年）》，上述企业排放的大气污染物不涉及名录所列有毒有害物质，且各企业均已配套完善的环保治理设施，可实现污染物达标排放。本项目属日用塑料制品制造，其产排污特征与周边环境具有较好的相容性。同时，项目建设内容符合《食品安全国家标准 食品接触材料及制品生产通用卫生规范》的相关要求。项目建成投产后对周边环境影响较小，不存在重大环境制约因素，从环保角度而言，项目选址是合理可行的。</w:t>
            </w:r>
          </w:p>
        </w:tc>
      </w:tr>
    </w:tbl>
    <w:p w14:paraId="6A0E521C">
      <w:pPr>
        <w:spacing w:line="360" w:lineRule="auto"/>
        <w:outlineLvl w:val="0"/>
        <w:rPr>
          <w:rFonts w:hint="default" w:ascii="Times New Roman" w:hAnsi="Times New Roman" w:cs="Times New Roman"/>
          <w:color w:val="000000" w:themeColor="text1"/>
          <w:sz w:val="24"/>
          <w14:textFill>
            <w14:solidFill>
              <w14:schemeClr w14:val="tx1"/>
            </w14:solidFill>
          </w14:textFill>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6A37FB0A">
      <w:pPr>
        <w:pStyle w:val="2"/>
        <w:keepNext/>
        <w:keepLines/>
        <w:pageBreakBefore w:val="0"/>
        <w:widowControl w:val="0"/>
        <w:kinsoku/>
        <w:wordWrap/>
        <w:overflowPunct/>
        <w:topLinePunct w:val="0"/>
        <w:autoSpaceDE/>
        <w:autoSpaceDN/>
        <w:bidi w:val="0"/>
        <w:adjustRightInd w:val="0"/>
        <w:snapToGrid/>
        <w:spacing w:before="0" w:after="0" w:line="240" w:lineRule="auto"/>
        <w:ind w:firstLine="0" w:firstLineChars="0"/>
        <w:jc w:val="center"/>
        <w:textAlignment w:val="baseline"/>
        <w:rPr>
          <w:rFonts w:hint="default"/>
          <w:color w:val="000000" w:themeColor="text1"/>
          <w:sz w:val="24"/>
          <w:szCs w:val="24"/>
          <w14:textFill>
            <w14:solidFill>
              <w14:schemeClr w14:val="tx1"/>
            </w14:solidFill>
          </w14:textFill>
        </w:rPr>
      </w:pPr>
      <w:bookmarkStart w:id="10" w:name="_Toc18262"/>
      <w:bookmarkStart w:id="11" w:name="_Toc25364"/>
      <w:r>
        <w:rPr>
          <w:rFonts w:hint="default"/>
          <w:color w:val="000000" w:themeColor="text1"/>
          <w:sz w:val="24"/>
          <w:szCs w:val="24"/>
          <w14:textFill>
            <w14:solidFill>
              <w14:schemeClr w14:val="tx1"/>
            </w14:solidFill>
          </w14:textFill>
        </w:rPr>
        <w:t>二、建设项目工程分析</w:t>
      </w:r>
      <w:bookmarkEnd w:id="10"/>
      <w:bookmarkEnd w:id="11"/>
    </w:p>
    <w:tbl>
      <w:tblPr>
        <w:tblStyle w:val="31"/>
        <w:tblW w:w="906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15"/>
        <w:gridCol w:w="8447"/>
      </w:tblGrid>
      <w:tr w14:paraId="316FB8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841" w:hRule="atLeast"/>
          <w:jc w:val="center"/>
        </w:trPr>
        <w:tc>
          <w:tcPr>
            <w:tcW w:w="615" w:type="dxa"/>
            <w:vAlign w:val="center"/>
          </w:tcPr>
          <w:p w14:paraId="11B20631">
            <w:pPr>
              <w:pStyle w:val="26"/>
              <w:adjustRightInd w:val="0"/>
              <w:snapToGrid w:val="0"/>
              <w:spacing w:before="0" w:beforeAutospacing="0" w:after="0" w:afterAutospacing="0"/>
              <w:jc w:val="center"/>
              <w:rPr>
                <w:rFonts w:hint="default" w:ascii="Times New Roman" w:hAnsi="Times New Roman" w:cs="Times New Roman"/>
                <w:color w:val="000000" w:themeColor="text1"/>
                <w:szCs w:val="24"/>
                <w14:textFill>
                  <w14:solidFill>
                    <w14:schemeClr w14:val="tx1"/>
                  </w14:solidFill>
                </w14:textFill>
              </w:rPr>
            </w:pPr>
            <w:r>
              <w:rPr>
                <w:rFonts w:hint="default" w:ascii="Times New Roman" w:hAnsi="Times New Roman" w:cs="Times New Roman"/>
                <w:color w:val="000000" w:themeColor="text1"/>
                <w:szCs w:val="24"/>
                <w14:textFill>
                  <w14:solidFill>
                    <w14:schemeClr w14:val="tx1"/>
                  </w14:solidFill>
                </w14:textFill>
              </w:rPr>
              <w:t>建设内容</w:t>
            </w:r>
          </w:p>
        </w:tc>
        <w:tc>
          <w:tcPr>
            <w:tcW w:w="8447" w:type="dxa"/>
          </w:tcPr>
          <w:p w14:paraId="56CA2B88">
            <w:pPr>
              <w:spacing w:line="360" w:lineRule="auto"/>
              <w:ind w:firstLine="482" w:firstLineChars="200"/>
              <w:rPr>
                <w:rFonts w:hint="default" w:cs="Times New Roman"/>
                <w:b/>
                <w:color w:val="000000" w:themeColor="text1"/>
                <w:sz w:val="24"/>
                <w:lang w:val="en-US" w:eastAsia="zh-CN"/>
                <w14:textFill>
                  <w14:solidFill>
                    <w14:schemeClr w14:val="tx1"/>
                  </w14:solidFill>
                </w14:textFill>
              </w:rPr>
            </w:pPr>
            <w:r>
              <w:rPr>
                <w:rFonts w:hint="eastAsia" w:cs="Times New Roman"/>
                <w:b/>
                <w:color w:val="000000" w:themeColor="text1"/>
                <w:sz w:val="24"/>
                <w:lang w:val="en-US" w:eastAsia="zh-CN"/>
                <w14:textFill>
                  <w14:solidFill>
                    <w14:schemeClr w14:val="tx1"/>
                  </w14:solidFill>
                </w14:textFill>
              </w:rPr>
              <w:t>1、项目由来</w:t>
            </w:r>
          </w:p>
          <w:p w14:paraId="7BAEC7BD">
            <w:pPr>
              <w:spacing w:line="360" w:lineRule="auto"/>
              <w:ind w:firstLine="480" w:firstLineChars="200"/>
              <w:rPr>
                <w:rFonts w:hint="eastAsia" w:cs="Times New Roman"/>
                <w:b w:val="0"/>
                <w:bCs/>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云南盛玥密胺制品有限公司通过租赁云南联帆建材科技有限公司内闲置厂房投资建厂，并提出了“密胺餐具智能化生产基地建设项目”（简称：本项目），并于2026年5月27日在云南省投资项目在线监管平台上对《密胺餐具智能化生产基地建设项目》进行了备案，并取得投资项目备案证，代码为2605-530425-04-01-484637（详见附件2）。</w:t>
            </w:r>
          </w:p>
          <w:p w14:paraId="08636630">
            <w:pPr>
              <w:spacing w:line="360" w:lineRule="auto"/>
              <w:ind w:firstLine="480" w:firstLineChars="200"/>
              <w:rPr>
                <w:rFonts w:hint="eastAsia" w:cs="Times New Roman"/>
                <w:b w:val="0"/>
                <w:bCs/>
                <w:color w:val="000000" w:themeColor="text1"/>
                <w:sz w:val="24"/>
                <w:lang w:val="en-US" w:eastAsia="zh-CN"/>
                <w14:textFill>
                  <w14:solidFill>
                    <w14:schemeClr w14:val="tx1"/>
                  </w14:solidFill>
                </w14:textFill>
              </w:rPr>
            </w:pPr>
            <w:r>
              <w:rPr>
                <w:rFonts w:hint="eastAsia" w:cs="Times New Roman"/>
                <w:b w:val="0"/>
                <w:bCs/>
                <w:color w:val="000000" w:themeColor="text1"/>
                <w:sz w:val="24"/>
                <w:shd w:val="clear"/>
                <w:lang w:val="en-US" w:eastAsia="zh-CN"/>
                <w14:textFill>
                  <w14:solidFill>
                    <w14:schemeClr w14:val="tx1"/>
                  </w14:solidFill>
                </w14:textFill>
              </w:rPr>
              <w:t>根据《中华人民共和国环境影响评价法》和《建设项目环境保护管理条例》的规定，本项目应开展环境影响评价工作。经查阅《国民经济行业分类》（GB/T4754-2017）及《建设项目环境影响评价分类管理名录》（2021年版），本项目属于：“二十六、橡胶和塑料制品业 29 53 塑料制品业 292；其他（年用非溶剂型低VOCS含量涂料10吨以下的除外）”类别的建设项目，应当编制环境影响报告表。为此，</w:t>
            </w:r>
            <w:r>
              <w:rPr>
                <w:rFonts w:hint="eastAsia" w:cs="Times New Roman"/>
                <w:color w:val="000000" w:themeColor="text1"/>
                <w:sz w:val="24"/>
                <w:shd w:val="clear"/>
                <w:lang w:val="en-US" w:eastAsia="zh-CN"/>
                <w14:textFill>
                  <w14:solidFill>
                    <w14:schemeClr w14:val="tx1"/>
                  </w14:solidFill>
                </w14:textFill>
              </w:rPr>
              <w:t>云南盛玥密胺制品有限公司</w:t>
            </w:r>
            <w:r>
              <w:rPr>
                <w:rFonts w:hint="eastAsia" w:cs="Times New Roman"/>
                <w:b w:val="0"/>
                <w:bCs/>
                <w:color w:val="000000" w:themeColor="text1"/>
                <w:sz w:val="24"/>
                <w:shd w:val="clear"/>
                <w:lang w:val="en-US" w:eastAsia="zh-CN"/>
                <w14:textFill>
                  <w14:solidFill>
                    <w14:schemeClr w14:val="tx1"/>
                  </w14:solidFill>
                </w14:textFill>
              </w:rPr>
              <w:t>委托云南协同环保工程有限公司（简称“我单位”）承担该项目的环境影响评价工作（委托书详见附件1）。接受委托后，我单位立即开展了现场调查、资料收集工作，在对项目建设区域和周边进行现场踏勘、工程分析和环境影响分析后，按照《建设项目环境影响报告表编制技术指南（污染影响类）》的要求编制了《</w:t>
            </w:r>
            <w:r>
              <w:rPr>
                <w:rFonts w:hint="eastAsia" w:cs="Times New Roman"/>
                <w:color w:val="000000" w:themeColor="text1"/>
                <w:sz w:val="24"/>
                <w:shd w:val="clear"/>
                <w:lang w:val="en-US" w:eastAsia="zh-CN"/>
                <w14:textFill>
                  <w14:solidFill>
                    <w14:schemeClr w14:val="tx1"/>
                  </w14:solidFill>
                </w14:textFill>
              </w:rPr>
              <w:t>密胺餐具智能化生产基地建设项目</w:t>
            </w:r>
            <w:r>
              <w:rPr>
                <w:rFonts w:hint="eastAsia" w:cs="Times New Roman"/>
                <w:b w:val="0"/>
                <w:bCs/>
                <w:color w:val="000000" w:themeColor="text1"/>
                <w:sz w:val="24"/>
                <w:shd w:val="clear"/>
                <w:lang w:val="en-US" w:eastAsia="zh-CN"/>
                <w14:textFill>
                  <w14:solidFill>
                    <w14:schemeClr w14:val="tx1"/>
                  </w14:solidFill>
                </w14:textFill>
              </w:rPr>
              <w:t>环境影响报告表》，供</w:t>
            </w:r>
            <w:r>
              <w:rPr>
                <w:rFonts w:hint="eastAsia" w:cs="Times New Roman"/>
                <w:color w:val="000000" w:themeColor="text1"/>
                <w:sz w:val="24"/>
                <w:shd w:val="clear"/>
                <w:lang w:val="en-US" w:eastAsia="zh-CN"/>
                <w14:textFill>
                  <w14:solidFill>
                    <w14:schemeClr w14:val="tx1"/>
                  </w14:solidFill>
                </w14:textFill>
              </w:rPr>
              <w:t>云南盛玥密胺制品有限公司</w:t>
            </w:r>
            <w:r>
              <w:rPr>
                <w:rFonts w:hint="eastAsia" w:cs="Times New Roman"/>
                <w:b w:val="0"/>
                <w:bCs/>
                <w:color w:val="000000" w:themeColor="text1"/>
                <w:sz w:val="24"/>
                <w:shd w:val="clear"/>
                <w:lang w:val="en-US" w:eastAsia="zh-CN"/>
                <w14:textFill>
                  <w14:solidFill>
                    <w14:schemeClr w14:val="tx1"/>
                  </w14:solidFill>
                </w14:textFill>
              </w:rPr>
              <w:t>上报审批。</w:t>
            </w:r>
          </w:p>
          <w:p w14:paraId="35BA5096">
            <w:pPr>
              <w:spacing w:line="360" w:lineRule="auto"/>
              <w:ind w:firstLine="482" w:firstLineChars="200"/>
              <w:rPr>
                <w:rFonts w:hint="default" w:cs="Times New Roman"/>
                <w:b/>
                <w:color w:val="000000" w:themeColor="text1"/>
                <w:sz w:val="24"/>
                <w:lang w:val="en-US" w:eastAsia="zh-CN"/>
                <w14:textFill>
                  <w14:solidFill>
                    <w14:schemeClr w14:val="tx1"/>
                  </w14:solidFill>
                </w14:textFill>
              </w:rPr>
            </w:pPr>
            <w:r>
              <w:rPr>
                <w:rFonts w:hint="eastAsia" w:cs="Times New Roman"/>
                <w:b/>
                <w:color w:val="000000" w:themeColor="text1"/>
                <w:sz w:val="24"/>
                <w:lang w:val="en-US" w:eastAsia="zh-CN"/>
                <w14:textFill>
                  <w14:solidFill>
                    <w14:schemeClr w14:val="tx1"/>
                  </w14:solidFill>
                </w14:textFill>
              </w:rPr>
              <w:t>2、云南联帆建材科技有限公司基本情况简介</w:t>
            </w:r>
          </w:p>
          <w:p w14:paraId="1E3C3AA7">
            <w:pPr>
              <w:autoSpaceDE w:val="0"/>
              <w:autoSpaceDN w:val="0"/>
              <w:spacing w:line="360" w:lineRule="auto"/>
              <w:ind w:firstLine="480" w:firstLineChars="200"/>
              <w:rPr>
                <w:rFonts w:hint="eastAsia" w:cs="Times New Roman"/>
                <w:b w:val="0"/>
                <w:bCs/>
                <w:color w:val="000000" w:themeColor="text1"/>
                <w:sz w:val="24"/>
                <w:lang w:val="en-US" w:eastAsia="zh-CN"/>
                <w14:textFill>
                  <w14:solidFill>
                    <w14:schemeClr w14:val="tx1"/>
                  </w14:solidFill>
                </w14:textFill>
              </w:rPr>
            </w:pPr>
            <w:r>
              <w:rPr>
                <w:rFonts w:hint="eastAsia" w:cs="Times New Roman"/>
                <w:b w:val="0"/>
                <w:bCs/>
                <w:color w:val="000000" w:themeColor="text1"/>
                <w:sz w:val="24"/>
                <w:lang w:val="en-US" w:eastAsia="zh-CN"/>
                <w14:textFill>
                  <w14:solidFill>
                    <w14:schemeClr w14:val="tx1"/>
                  </w14:solidFill>
                </w14:textFill>
              </w:rPr>
              <w:t>云南联帆建材科技有限公司成立于2019年9月，于2019年11月取得易门县发展和改革局的投资项目备案证（易发改备案〔2019〕195号），于2020年3月编制了《年产4000吨PVC塑料管材生产建设项目环境影响报告表》，并于2020年7月6日取得了《玉溪市生态环境局易门分局关于云南联帆建材科技有限公司年产4000吨PVC塑料管材生产建设项目环境影响报告表的批复》（易环审〔2020〕35号）。联帆科技共建设8条塑料管材生产线，其生产能力为年产4000吨PVC塑料管材，总占地面积为11215m</w:t>
            </w:r>
            <w:r>
              <w:rPr>
                <w:rFonts w:hint="eastAsia" w:cs="Times New Roman"/>
                <w:b w:val="0"/>
                <w:bCs/>
                <w:color w:val="000000" w:themeColor="text1"/>
                <w:sz w:val="24"/>
                <w:vertAlign w:val="superscript"/>
                <w:lang w:val="en-US" w:eastAsia="zh-CN"/>
                <w14:textFill>
                  <w14:solidFill>
                    <w14:schemeClr w14:val="tx1"/>
                  </w14:solidFill>
                </w14:textFill>
              </w:rPr>
              <w:t>2</w:t>
            </w:r>
            <w:r>
              <w:rPr>
                <w:rFonts w:hint="eastAsia" w:cs="Times New Roman"/>
                <w:b w:val="0"/>
                <w:bCs/>
                <w:color w:val="000000" w:themeColor="text1"/>
                <w:sz w:val="24"/>
                <w:lang w:val="en-US" w:eastAsia="zh-CN"/>
                <w14:textFill>
                  <w14:solidFill>
                    <w14:schemeClr w14:val="tx1"/>
                  </w14:solidFill>
                </w14:textFill>
              </w:rPr>
              <w:t>，总建筑面积为7666.6m</w:t>
            </w:r>
            <w:r>
              <w:rPr>
                <w:rFonts w:hint="eastAsia" w:cs="Times New Roman"/>
                <w:b w:val="0"/>
                <w:bCs/>
                <w:color w:val="000000" w:themeColor="text1"/>
                <w:sz w:val="24"/>
                <w:vertAlign w:val="superscript"/>
                <w:lang w:val="en-US" w:eastAsia="zh-CN"/>
                <w14:textFill>
                  <w14:solidFill>
                    <w14:schemeClr w14:val="tx1"/>
                  </w14:solidFill>
                </w14:textFill>
              </w:rPr>
              <w:t>2</w:t>
            </w:r>
            <w:r>
              <w:rPr>
                <w:rFonts w:hint="eastAsia" w:cs="Times New Roman"/>
                <w:b w:val="0"/>
                <w:bCs/>
                <w:color w:val="000000" w:themeColor="text1"/>
                <w:sz w:val="24"/>
                <w:lang w:val="en-US" w:eastAsia="zh-CN"/>
                <w14:textFill>
                  <w14:solidFill>
                    <w14:schemeClr w14:val="tx1"/>
                  </w14:solidFill>
                </w14:textFill>
              </w:rPr>
              <w:t>。于2022年08月25日完成了排污许可证（登记编号：91530425MA6P1KKLXC001X），应急预案编制已完成（备案编号：530425-2022-044-L），并于2023年4月完成了竣工环境保护验收监测表，并取得验意见，期间未发生过投诉或处罚等。</w:t>
            </w:r>
          </w:p>
          <w:p w14:paraId="30913249">
            <w:pPr>
              <w:autoSpaceDE w:val="0"/>
              <w:autoSpaceDN w:val="0"/>
              <w:spacing w:line="360" w:lineRule="auto"/>
              <w:ind w:firstLine="480" w:firstLineChars="200"/>
              <w:rPr>
                <w:rFonts w:hint="eastAsia" w:cs="Times New Roman"/>
                <w:b w:val="0"/>
                <w:bCs/>
                <w:color w:val="000000" w:themeColor="text1"/>
                <w:sz w:val="24"/>
                <w:lang w:val="en-US" w:eastAsia="zh-CN"/>
                <w14:textFill>
                  <w14:solidFill>
                    <w14:schemeClr w14:val="tx1"/>
                  </w14:solidFill>
                </w14:textFill>
              </w:rPr>
            </w:pPr>
            <w:r>
              <w:rPr>
                <w:rFonts w:hint="eastAsia" w:cs="Times New Roman"/>
                <w:b w:val="0"/>
                <w:bCs/>
                <w:color w:val="000000" w:themeColor="text1"/>
                <w:sz w:val="24"/>
                <w:lang w:val="en-US" w:eastAsia="zh-CN"/>
                <w14:textFill>
                  <w14:solidFill>
                    <w14:schemeClr w14:val="tx1"/>
                  </w14:solidFill>
                </w14:textFill>
              </w:rPr>
              <w:t>本项目所租用厂房为云南联帆建材科技有限公司生产车间，生产车间属于钢架结构，建筑面积6565.28m</w:t>
            </w:r>
            <w:r>
              <w:rPr>
                <w:rFonts w:hint="eastAsia" w:cs="Times New Roman"/>
                <w:b w:val="0"/>
                <w:bCs/>
                <w:color w:val="000000" w:themeColor="text1"/>
                <w:sz w:val="24"/>
                <w:vertAlign w:val="superscript"/>
                <w:lang w:val="en-US" w:eastAsia="zh-CN"/>
                <w14:textFill>
                  <w14:solidFill>
                    <w14:schemeClr w14:val="tx1"/>
                  </w14:solidFill>
                </w14:textFill>
              </w:rPr>
              <w:t>2</w:t>
            </w:r>
            <w:r>
              <w:rPr>
                <w:rFonts w:hint="eastAsia" w:cs="Times New Roman"/>
                <w:b w:val="0"/>
                <w:bCs/>
                <w:color w:val="000000" w:themeColor="text1"/>
                <w:sz w:val="24"/>
                <w:lang w:val="en-US" w:eastAsia="zh-CN"/>
                <w14:textFill>
                  <w14:solidFill>
                    <w14:schemeClr w14:val="tx1"/>
                  </w14:solidFill>
                </w14:textFill>
              </w:rPr>
              <w:t>，主要分为PVC原料仓库、生产区、成品仓库、破碎车间、工具间，生产区布设有8条PVC生产线。本项目租用区域已与联帆科技公司其他8条PVC生产线所在的生产车间采用隔板进行全封闭物理隔离，实现了空间上的完全独立。租用区域为成品仓库，不涉及任何生产性污染源，而联帆科技公司的主要产污环节集中于其生产车间，因此，通过上述封闭隔断措施，可有效杜绝双方作业活动的交叉影响。</w:t>
            </w:r>
          </w:p>
          <w:p w14:paraId="6DCDB773">
            <w:pPr>
              <w:spacing w:line="360" w:lineRule="auto"/>
              <w:ind w:firstLine="482" w:firstLineChars="200"/>
              <w:rPr>
                <w:rFonts w:hint="default" w:ascii="Times New Roman" w:hAnsi="Times New Roman" w:cs="Times New Roman"/>
                <w:b/>
                <w:color w:val="000000" w:themeColor="text1"/>
                <w:sz w:val="24"/>
                <w14:textFill>
                  <w14:solidFill>
                    <w14:schemeClr w14:val="tx1"/>
                  </w14:solidFill>
                </w14:textFill>
              </w:rPr>
            </w:pPr>
            <w:r>
              <w:rPr>
                <w:rFonts w:hint="eastAsia" w:cs="Times New Roman"/>
                <w:b/>
                <w:color w:val="000000" w:themeColor="text1"/>
                <w:sz w:val="24"/>
                <w:lang w:val="en-US" w:eastAsia="zh-CN"/>
                <w14:textFill>
                  <w14:solidFill>
                    <w14:schemeClr w14:val="tx1"/>
                  </w14:solidFill>
                </w14:textFill>
              </w:rPr>
              <w:t>3</w:t>
            </w:r>
            <w:r>
              <w:rPr>
                <w:rFonts w:hint="default" w:ascii="Times New Roman" w:hAnsi="Times New Roman" w:cs="Times New Roman"/>
                <w:b/>
                <w:color w:val="000000" w:themeColor="text1"/>
                <w:sz w:val="24"/>
                <w14:textFill>
                  <w14:solidFill>
                    <w14:schemeClr w14:val="tx1"/>
                  </w14:solidFill>
                </w14:textFill>
              </w:rPr>
              <w:t>、项目基本概况</w:t>
            </w:r>
          </w:p>
          <w:p w14:paraId="03FE85FA">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项目名称：</w:t>
            </w:r>
            <w:r>
              <w:rPr>
                <w:rFonts w:hint="eastAsia" w:cs="Times New Roman"/>
                <w:color w:val="000000" w:themeColor="text1"/>
                <w:sz w:val="24"/>
                <w:lang w:val="en-US" w:eastAsia="zh-CN"/>
                <w14:textFill>
                  <w14:solidFill>
                    <w14:schemeClr w14:val="tx1"/>
                  </w14:solidFill>
                </w14:textFill>
              </w:rPr>
              <w:t>密胺餐具智能化生产基地建设项目</w:t>
            </w:r>
            <w:r>
              <w:rPr>
                <w:rFonts w:hint="default" w:ascii="Times New Roman" w:hAnsi="Times New Roman" w:cs="Times New Roman"/>
                <w:color w:val="000000" w:themeColor="text1"/>
                <w:sz w:val="24"/>
                <w14:textFill>
                  <w14:solidFill>
                    <w14:schemeClr w14:val="tx1"/>
                  </w14:solidFill>
                </w14:textFill>
              </w:rPr>
              <w:t>；</w:t>
            </w:r>
          </w:p>
          <w:p w14:paraId="605AE514">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建设单位：</w:t>
            </w:r>
            <w:r>
              <w:rPr>
                <w:rFonts w:hint="eastAsia" w:cs="Times New Roman"/>
                <w:color w:val="000000" w:themeColor="text1"/>
                <w:sz w:val="24"/>
                <w:lang w:val="en-US" w:eastAsia="zh-CN"/>
                <w14:textFill>
                  <w14:solidFill>
                    <w14:schemeClr w14:val="tx1"/>
                  </w14:solidFill>
                </w14:textFill>
              </w:rPr>
              <w:t>云南盛玥密胺制品有限公司</w:t>
            </w:r>
            <w:r>
              <w:rPr>
                <w:rFonts w:hint="default" w:ascii="Times New Roman" w:hAnsi="Times New Roman" w:cs="Times New Roman"/>
                <w:color w:val="000000" w:themeColor="text1"/>
                <w:sz w:val="24"/>
                <w14:textFill>
                  <w14:solidFill>
                    <w14:schemeClr w14:val="tx1"/>
                  </w14:solidFill>
                </w14:textFill>
              </w:rPr>
              <w:t>；</w:t>
            </w:r>
          </w:p>
          <w:p w14:paraId="2DFBBF94">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建设性质：新建；</w:t>
            </w:r>
          </w:p>
          <w:p w14:paraId="6CE9E09D">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建设地点：</w:t>
            </w:r>
            <w:r>
              <w:rPr>
                <w:rFonts w:hint="eastAsia" w:cs="Times New Roman"/>
                <w:color w:val="000000" w:themeColor="text1"/>
                <w:sz w:val="24"/>
                <w:lang w:val="en-US" w:eastAsia="zh-CN"/>
                <w14:textFill>
                  <w14:solidFill>
                    <w14:schemeClr w14:val="tx1"/>
                  </w14:solidFill>
                </w14:textFill>
              </w:rPr>
              <w:t>易门工业园区麦子田片区云南联帆建材科技有限公司厂房</w:t>
            </w:r>
            <w:r>
              <w:rPr>
                <w:rFonts w:hint="default" w:ascii="Times New Roman" w:hAnsi="Times New Roman" w:cs="Times New Roman"/>
                <w:color w:val="000000" w:themeColor="text1"/>
                <w:sz w:val="24"/>
                <w14:textFill>
                  <w14:solidFill>
                    <w14:schemeClr w14:val="tx1"/>
                  </w14:solidFill>
                </w14:textFill>
              </w:rPr>
              <w:t>；</w:t>
            </w:r>
          </w:p>
          <w:p w14:paraId="7C763D4D">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占地面积：</w:t>
            </w:r>
            <w:r>
              <w:rPr>
                <w:rFonts w:hint="eastAsia"/>
                <w:color w:val="000000" w:themeColor="text1"/>
                <w:kern w:val="0"/>
                <w:sz w:val="24"/>
                <w:szCs w:val="24"/>
                <w:highlight w:val="none"/>
                <w:lang w:val="en-US" w:eastAsia="zh-CN"/>
                <w14:textFill>
                  <w14:solidFill>
                    <w14:schemeClr w14:val="tx1"/>
                  </w14:solidFill>
                </w14:textFill>
              </w:rPr>
              <w:t>1400</w:t>
            </w:r>
            <w:r>
              <w:rPr>
                <w:rFonts w:hint="default" w:ascii="Times New Roman" w:hAnsi="Times New Roman" w:cs="Times New Roman"/>
                <w:color w:val="000000" w:themeColor="text1"/>
                <w:sz w:val="24"/>
                <w:highlight w:val="none"/>
                <w14:textFill>
                  <w14:solidFill>
                    <w14:schemeClr w14:val="tx1"/>
                  </w14:solidFill>
                </w14:textFill>
              </w:rPr>
              <w:t>m</w:t>
            </w:r>
            <w:r>
              <w:rPr>
                <w:rFonts w:hint="default" w:ascii="Times New Roman" w:hAnsi="Times New Roman" w:cs="Times New Roman"/>
                <w:color w:val="000000" w:themeColor="text1"/>
                <w:sz w:val="24"/>
                <w:highlight w:val="none"/>
                <w:vertAlign w:val="superscript"/>
                <w14:textFill>
                  <w14:solidFill>
                    <w14:schemeClr w14:val="tx1"/>
                  </w14:solidFill>
                </w14:textFill>
              </w:rPr>
              <w:t>2</w:t>
            </w:r>
            <w:r>
              <w:rPr>
                <w:rFonts w:hint="default" w:ascii="Times New Roman" w:hAnsi="Times New Roman" w:cs="Times New Roman"/>
                <w:color w:val="000000" w:themeColor="text1"/>
                <w:sz w:val="24"/>
                <w:highlight w:val="none"/>
                <w14:textFill>
                  <w14:solidFill>
                    <w14:schemeClr w14:val="tx1"/>
                  </w14:solidFill>
                </w14:textFill>
              </w:rPr>
              <w:t>；</w:t>
            </w:r>
          </w:p>
          <w:p w14:paraId="06198D87">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项目投资：</w:t>
            </w:r>
            <w:r>
              <w:rPr>
                <w:rFonts w:hint="eastAsia" w:cs="Times New Roman"/>
                <w:color w:val="000000" w:themeColor="text1"/>
                <w:sz w:val="24"/>
                <w:lang w:val="en-US" w:eastAsia="zh-CN"/>
                <w14:textFill>
                  <w14:solidFill>
                    <w14:schemeClr w14:val="tx1"/>
                  </w14:solidFill>
                </w14:textFill>
              </w:rPr>
              <w:t>800</w:t>
            </w:r>
            <w:r>
              <w:rPr>
                <w:rFonts w:hint="default" w:ascii="Times New Roman" w:hAnsi="Times New Roman" w:cs="Times New Roman"/>
                <w:color w:val="000000" w:themeColor="text1"/>
                <w:sz w:val="24"/>
                <w14:textFill>
                  <w14:solidFill>
                    <w14:schemeClr w14:val="tx1"/>
                  </w14:solidFill>
                </w14:textFill>
              </w:rPr>
              <w:t>万元；</w:t>
            </w:r>
          </w:p>
          <w:p w14:paraId="5F51BA2C">
            <w:pPr>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生产</w:t>
            </w:r>
            <w:r>
              <w:rPr>
                <w:rFonts w:hint="default" w:ascii="Times New Roman" w:hAnsi="Times New Roman" w:cs="Times New Roman"/>
                <w:color w:val="000000" w:themeColor="text1"/>
                <w:sz w:val="24"/>
                <w14:textFill>
                  <w14:solidFill>
                    <w14:schemeClr w14:val="tx1"/>
                  </w14:solidFill>
                </w14:textFill>
              </w:rPr>
              <w:t>规模：</w:t>
            </w:r>
            <w:r>
              <w:rPr>
                <w:rFonts w:hint="eastAsia" w:cs="Times New Roman"/>
                <w:color w:val="000000" w:themeColor="text1"/>
                <w:sz w:val="24"/>
                <w:lang w:val="en-US" w:eastAsia="zh-CN"/>
                <w14:textFill>
                  <w14:solidFill>
                    <w14:schemeClr w14:val="tx1"/>
                  </w14:solidFill>
                </w14:textFill>
              </w:rPr>
              <w:t>建设15条密胺餐具生产线，年产1000吨密胺餐具。</w:t>
            </w:r>
          </w:p>
          <w:p w14:paraId="203C85AA">
            <w:pPr>
              <w:spacing w:line="360" w:lineRule="auto"/>
              <w:ind w:firstLine="482" w:firstLineChars="200"/>
              <w:rPr>
                <w:rFonts w:hint="default" w:ascii="Times New Roman" w:hAnsi="Times New Roman" w:cs="Times New Roman"/>
                <w:b/>
                <w:color w:val="000000" w:themeColor="text1"/>
                <w:sz w:val="24"/>
                <w14:textFill>
                  <w14:solidFill>
                    <w14:schemeClr w14:val="tx1"/>
                  </w14:solidFill>
                </w14:textFill>
              </w:rPr>
            </w:pPr>
            <w:r>
              <w:rPr>
                <w:rFonts w:hint="eastAsia" w:cs="Times New Roman"/>
                <w:b/>
                <w:color w:val="000000" w:themeColor="text1"/>
                <w:sz w:val="24"/>
                <w:lang w:val="en-US" w:eastAsia="zh-CN"/>
                <w14:textFill>
                  <w14:solidFill>
                    <w14:schemeClr w14:val="tx1"/>
                  </w14:solidFill>
                </w14:textFill>
              </w:rPr>
              <w:t>4</w:t>
            </w:r>
            <w:r>
              <w:rPr>
                <w:rFonts w:hint="default" w:ascii="Times New Roman" w:hAnsi="Times New Roman" w:cs="Times New Roman"/>
                <w:b/>
                <w:color w:val="000000" w:themeColor="text1"/>
                <w:sz w:val="24"/>
                <w14:textFill>
                  <w14:solidFill>
                    <w14:schemeClr w14:val="tx1"/>
                  </w14:solidFill>
                </w14:textFill>
              </w:rPr>
              <w:t>、项目建设内容及项目组成</w:t>
            </w:r>
          </w:p>
          <w:p w14:paraId="5441A83C">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bookmarkStart w:id="12" w:name="OLE_LINK10"/>
            <w:r>
              <w:rPr>
                <w:rFonts w:hint="default" w:ascii="Times New Roman" w:hAnsi="Times New Roman" w:cs="Times New Roman"/>
                <w:color w:val="000000" w:themeColor="text1"/>
                <w:sz w:val="24"/>
                <w14:textFill>
                  <w14:solidFill>
                    <w14:schemeClr w14:val="tx1"/>
                  </w14:solidFill>
                </w14:textFill>
              </w:rPr>
              <w:t>本项目由主体工程、辅助工程、公用工程和环保工程组成。项目组成详情见表2-1。</w:t>
            </w:r>
          </w:p>
          <w:p w14:paraId="09B966F3">
            <w:pPr>
              <w:jc w:val="center"/>
              <w:rPr>
                <w:rFonts w:hint="default" w:ascii="Times New Roman" w:hAnsi="Times New Roman" w:cs="Times New Roman"/>
                <w:b/>
                <w:color w:val="000000" w:themeColor="text1"/>
                <w:szCs w:val="21"/>
                <w:highlight w:val="none"/>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 xml:space="preserve">表2-1  </w:t>
            </w:r>
            <w:r>
              <w:rPr>
                <w:rFonts w:hint="default" w:ascii="Times New Roman" w:hAnsi="Times New Roman" w:cs="Times New Roman"/>
                <w:b/>
                <w:color w:val="000000" w:themeColor="text1"/>
                <w:szCs w:val="21"/>
                <w:highlight w:val="none"/>
                <w14:textFill>
                  <w14:solidFill>
                    <w14:schemeClr w14:val="tx1"/>
                  </w14:solidFill>
                </w14:textFill>
              </w:rPr>
              <w:t>建设项目组成一览表</w:t>
            </w:r>
          </w:p>
          <w:tbl>
            <w:tblPr>
              <w:tblStyle w:val="31"/>
              <w:tblW w:w="49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418"/>
              <w:gridCol w:w="1632"/>
              <w:gridCol w:w="4966"/>
              <w:gridCol w:w="468"/>
            </w:tblGrid>
            <w:tr w14:paraId="63D06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blHeader/>
                <w:jc w:val="center"/>
              </w:trPr>
              <w:tc>
                <w:tcPr>
                  <w:tcW w:w="397" w:type="pct"/>
                  <w:vAlign w:val="center"/>
                </w:tcPr>
                <w:p w14:paraId="5A961C43">
                  <w:pPr>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工程组成</w:t>
                  </w:r>
                </w:p>
              </w:tc>
              <w:tc>
                <w:tcPr>
                  <w:tcW w:w="1260" w:type="pct"/>
                  <w:gridSpan w:val="2"/>
                  <w:vAlign w:val="center"/>
                </w:tcPr>
                <w:p w14:paraId="09768D8D">
                  <w:pPr>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工程名称</w:t>
                  </w:r>
                </w:p>
              </w:tc>
              <w:tc>
                <w:tcPr>
                  <w:tcW w:w="3053" w:type="pct"/>
                  <w:vAlign w:val="center"/>
                </w:tcPr>
                <w:p w14:paraId="6905C644">
                  <w:pPr>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建设内容</w:t>
                  </w:r>
                </w:p>
              </w:tc>
              <w:tc>
                <w:tcPr>
                  <w:tcW w:w="287" w:type="pct"/>
                  <w:vAlign w:val="center"/>
                </w:tcPr>
                <w:p w14:paraId="784DB83C">
                  <w:pPr>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备注</w:t>
                  </w:r>
                </w:p>
              </w:tc>
            </w:tr>
            <w:tr w14:paraId="1B555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13DF2A61">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主体工程</w:t>
                  </w:r>
                </w:p>
              </w:tc>
              <w:tc>
                <w:tcPr>
                  <w:tcW w:w="1260" w:type="pct"/>
                  <w:gridSpan w:val="2"/>
                  <w:vAlign w:val="center"/>
                </w:tcPr>
                <w:p w14:paraId="282F5904">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密胺餐具生产车间</w:t>
                  </w:r>
                </w:p>
              </w:tc>
              <w:tc>
                <w:tcPr>
                  <w:tcW w:w="3053" w:type="pct"/>
                  <w:vAlign w:val="center"/>
                </w:tcPr>
                <w:p w14:paraId="2A3E20B7">
                  <w:pPr>
                    <w:jc w:val="both"/>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1间，总建筑面积约1200m</w:t>
                  </w:r>
                  <w:r>
                    <w:rPr>
                      <w:rFonts w:hint="eastAsia" w:cs="Times New Roman"/>
                      <w:color w:val="000000" w:themeColor="text1"/>
                      <w:szCs w:val="21"/>
                      <w:vertAlign w:val="superscript"/>
                      <w:lang w:val="en-US" w:eastAsia="zh-CN"/>
                      <w14:textFill>
                        <w14:solidFill>
                          <w14:schemeClr w14:val="tx1"/>
                        </w14:solidFill>
                      </w14:textFill>
                    </w:rPr>
                    <w:t>2</w:t>
                  </w:r>
                  <w:r>
                    <w:rPr>
                      <w:rFonts w:hint="eastAsia" w:cs="Times New Roman"/>
                      <w:color w:val="000000" w:themeColor="text1"/>
                      <w:szCs w:val="21"/>
                      <w:lang w:val="en-US" w:eastAsia="zh-CN"/>
                      <w14:textFill>
                        <w14:solidFill>
                          <w14:schemeClr w14:val="tx1"/>
                        </w14:solidFill>
                      </w14:textFill>
                    </w:rPr>
                    <w:t>，租用云南联帆建材科技有限公司生产厂房，内设原料区、生产区、贴纸区以及成品库。设置15条密胺餐具生产线，生产线设备包括液压成型机、预热烘箱、称料机、修边机等。</w:t>
                  </w:r>
                </w:p>
              </w:tc>
              <w:tc>
                <w:tcPr>
                  <w:tcW w:w="287" w:type="pct"/>
                  <w:vAlign w:val="center"/>
                </w:tcPr>
                <w:p w14:paraId="50697B13">
                  <w:pPr>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租赁</w:t>
                  </w:r>
                </w:p>
              </w:tc>
            </w:tr>
            <w:tr w14:paraId="4ED37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397" w:type="pct"/>
                  <w:vMerge w:val="restart"/>
                  <w:vAlign w:val="center"/>
                </w:tcPr>
                <w:p w14:paraId="6B349286">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储运工程</w:t>
                  </w:r>
                </w:p>
              </w:tc>
              <w:tc>
                <w:tcPr>
                  <w:tcW w:w="1260" w:type="pct"/>
                  <w:gridSpan w:val="2"/>
                  <w:vAlign w:val="center"/>
                </w:tcPr>
                <w:p w14:paraId="6DBB6102">
                  <w:pPr>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原料库</w:t>
                  </w:r>
                </w:p>
              </w:tc>
              <w:tc>
                <w:tcPr>
                  <w:tcW w:w="3053" w:type="pct"/>
                  <w:vAlign w:val="center"/>
                </w:tcPr>
                <w:p w14:paraId="24E2D6EB">
                  <w:pPr>
                    <w:jc w:val="both"/>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位于密胺餐具生产车间内，用于原料堆放。</w:t>
                  </w:r>
                </w:p>
              </w:tc>
              <w:tc>
                <w:tcPr>
                  <w:tcW w:w="287" w:type="pct"/>
                  <w:vMerge w:val="restart"/>
                  <w:vAlign w:val="center"/>
                </w:tcPr>
                <w:p w14:paraId="6CB993E1">
                  <w:pPr>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新建</w:t>
                  </w:r>
                </w:p>
              </w:tc>
            </w:tr>
            <w:tr w14:paraId="64339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397" w:type="pct"/>
                  <w:vMerge w:val="continue"/>
                  <w:vAlign w:val="center"/>
                </w:tcPr>
                <w:p w14:paraId="2B1E8C9D">
                  <w:pPr>
                    <w:jc w:val="center"/>
                    <w:rPr>
                      <w:rFonts w:hint="eastAsia"/>
                      <w:color w:val="000000" w:themeColor="text1"/>
                      <w:lang w:val="en-US" w:eastAsia="zh-CN"/>
                      <w14:textFill>
                        <w14:solidFill>
                          <w14:schemeClr w14:val="tx1"/>
                        </w14:solidFill>
                      </w14:textFill>
                    </w:rPr>
                  </w:pPr>
                </w:p>
              </w:tc>
              <w:tc>
                <w:tcPr>
                  <w:tcW w:w="1260" w:type="pct"/>
                  <w:gridSpan w:val="2"/>
                  <w:vAlign w:val="center"/>
                </w:tcPr>
                <w:p w14:paraId="6CE87CD7">
                  <w:pPr>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成品库</w:t>
                  </w:r>
                </w:p>
              </w:tc>
              <w:tc>
                <w:tcPr>
                  <w:tcW w:w="3053" w:type="pct"/>
                  <w:vAlign w:val="center"/>
                </w:tcPr>
                <w:p w14:paraId="61C52B62">
                  <w:pPr>
                    <w:jc w:val="both"/>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位于密胺餐具生产车间内，用于产品存放。</w:t>
                  </w:r>
                </w:p>
              </w:tc>
              <w:tc>
                <w:tcPr>
                  <w:tcW w:w="287" w:type="pct"/>
                  <w:vMerge w:val="continue"/>
                  <w:vAlign w:val="center"/>
                </w:tcPr>
                <w:p w14:paraId="0BDFFBA6">
                  <w:pPr>
                    <w:jc w:val="center"/>
                    <w:rPr>
                      <w:rFonts w:hint="eastAsia" w:cs="Times New Roman"/>
                      <w:color w:val="000000" w:themeColor="text1"/>
                      <w:szCs w:val="21"/>
                      <w:lang w:val="en-US" w:eastAsia="zh-CN"/>
                      <w14:textFill>
                        <w14:solidFill>
                          <w14:schemeClr w14:val="tx1"/>
                        </w14:solidFill>
                      </w14:textFill>
                    </w:rPr>
                  </w:pPr>
                </w:p>
              </w:tc>
            </w:tr>
            <w:tr w14:paraId="720E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7FECD210">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辅助工程</w:t>
                  </w:r>
                </w:p>
              </w:tc>
              <w:tc>
                <w:tcPr>
                  <w:tcW w:w="1260" w:type="pct"/>
                  <w:gridSpan w:val="2"/>
                  <w:vAlign w:val="center"/>
                </w:tcPr>
                <w:p w14:paraId="17CCFC76">
                  <w:pPr>
                    <w:jc w:val="center"/>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办公区</w:t>
                  </w:r>
                </w:p>
              </w:tc>
              <w:tc>
                <w:tcPr>
                  <w:tcW w:w="3053" w:type="pct"/>
                  <w:vAlign w:val="center"/>
                </w:tcPr>
                <w:p w14:paraId="3D675AEC">
                  <w:pPr>
                    <w:jc w:val="both"/>
                    <w:rPr>
                      <w:rFonts w:hint="default" w:cs="Times New Roman"/>
                      <w:color w:val="000000" w:themeColor="text1"/>
                      <w:szCs w:val="21"/>
                      <w:vertAlign w:val="baseline"/>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总建筑面积约200m</w:t>
                  </w:r>
                  <w:r>
                    <w:rPr>
                      <w:rFonts w:hint="eastAsia" w:cs="Times New Roman"/>
                      <w:color w:val="000000" w:themeColor="text1"/>
                      <w:szCs w:val="21"/>
                      <w:vertAlign w:val="superscript"/>
                      <w:lang w:val="en-US" w:eastAsia="zh-CN"/>
                      <w14:textFill>
                        <w14:solidFill>
                          <w14:schemeClr w14:val="tx1"/>
                        </w14:solidFill>
                      </w14:textFill>
                    </w:rPr>
                    <w:t>2</w:t>
                  </w:r>
                  <w:r>
                    <w:rPr>
                      <w:rFonts w:hint="eastAsia" w:cs="Times New Roman"/>
                      <w:color w:val="000000" w:themeColor="text1"/>
                      <w:szCs w:val="21"/>
                      <w:vertAlign w:val="baseline"/>
                      <w:lang w:val="en-US" w:eastAsia="zh-CN"/>
                      <w14:textFill>
                        <w14:solidFill>
                          <w14:schemeClr w14:val="tx1"/>
                        </w14:solidFill>
                      </w14:textFill>
                    </w:rPr>
                    <w:t>，租用</w:t>
                  </w:r>
                  <w:r>
                    <w:rPr>
                      <w:rFonts w:hint="eastAsia" w:cs="Times New Roman"/>
                      <w:color w:val="000000" w:themeColor="text1"/>
                      <w:szCs w:val="21"/>
                      <w:lang w:val="en-US" w:eastAsia="zh-CN"/>
                      <w14:textFill>
                        <w14:solidFill>
                          <w14:schemeClr w14:val="tx1"/>
                        </w14:solidFill>
                      </w14:textFill>
                    </w:rPr>
                    <w:t>云南联帆建材科技有限公司现有办公室办公使用。</w:t>
                  </w:r>
                </w:p>
              </w:tc>
              <w:tc>
                <w:tcPr>
                  <w:tcW w:w="287" w:type="pct"/>
                  <w:vAlign w:val="center"/>
                </w:tcPr>
                <w:p w14:paraId="06C84B77">
                  <w:pPr>
                    <w:jc w:val="center"/>
                    <w:rPr>
                      <w:rFonts w:hint="default" w:ascii="Times New Roman" w:hAnsi="Times New Roman"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依托</w:t>
                  </w:r>
                </w:p>
              </w:tc>
            </w:tr>
            <w:tr w14:paraId="1D24B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Merge w:val="restart"/>
                  <w:vAlign w:val="center"/>
                </w:tcPr>
                <w:p w14:paraId="36C687E6">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公用工程</w:t>
                  </w:r>
                </w:p>
              </w:tc>
              <w:tc>
                <w:tcPr>
                  <w:tcW w:w="1260" w:type="pct"/>
                  <w:gridSpan w:val="2"/>
                  <w:vAlign w:val="center"/>
                </w:tcPr>
                <w:p w14:paraId="337A2505">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供水</w:t>
                  </w:r>
                </w:p>
              </w:tc>
              <w:tc>
                <w:tcPr>
                  <w:tcW w:w="3053" w:type="pct"/>
                  <w:vAlign w:val="center"/>
                </w:tcPr>
                <w:p w14:paraId="4749565B">
                  <w:pPr>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color w:val="000000" w:themeColor="text1"/>
                      <w:kern w:val="0"/>
                      <w14:textFill>
                        <w14:solidFill>
                          <w14:schemeClr w14:val="tx1"/>
                        </w14:solidFill>
                      </w14:textFill>
                    </w:rPr>
                    <w:t>由园区供水管网供给</w:t>
                  </w:r>
                  <w:r>
                    <w:rPr>
                      <w:rFonts w:hint="eastAsia"/>
                      <w:color w:val="000000" w:themeColor="text1"/>
                      <w:kern w:val="0"/>
                      <w:lang w:eastAsia="zh-CN"/>
                      <w14:textFill>
                        <w14:solidFill>
                          <w14:schemeClr w14:val="tx1"/>
                        </w14:solidFill>
                      </w14:textFill>
                    </w:rPr>
                    <w:t>。</w:t>
                  </w:r>
                </w:p>
              </w:tc>
              <w:tc>
                <w:tcPr>
                  <w:tcW w:w="287" w:type="pct"/>
                  <w:vAlign w:val="center"/>
                </w:tcPr>
                <w:p w14:paraId="2D787E2C">
                  <w:pPr>
                    <w:jc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依托</w:t>
                  </w:r>
                </w:p>
              </w:tc>
            </w:tr>
            <w:tr w14:paraId="03393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Merge w:val="continue"/>
                  <w:vAlign w:val="center"/>
                </w:tcPr>
                <w:p w14:paraId="718D3784">
                  <w:pPr>
                    <w:jc w:val="center"/>
                    <w:rPr>
                      <w:rFonts w:hint="default" w:ascii="Times New Roman" w:hAnsi="Times New Roman" w:cs="Times New Roman"/>
                      <w:color w:val="000000" w:themeColor="text1"/>
                      <w:szCs w:val="21"/>
                      <w14:textFill>
                        <w14:solidFill>
                          <w14:schemeClr w14:val="tx1"/>
                        </w14:solidFill>
                      </w14:textFill>
                    </w:rPr>
                  </w:pPr>
                </w:p>
              </w:tc>
              <w:tc>
                <w:tcPr>
                  <w:tcW w:w="1260" w:type="pct"/>
                  <w:gridSpan w:val="2"/>
                  <w:vAlign w:val="center"/>
                </w:tcPr>
                <w:p w14:paraId="67D90659">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排水</w:t>
                  </w:r>
                </w:p>
              </w:tc>
              <w:tc>
                <w:tcPr>
                  <w:tcW w:w="3053" w:type="pct"/>
                  <w:vAlign w:val="center"/>
                </w:tcPr>
                <w:p w14:paraId="5F2B39AF">
                  <w:pPr>
                    <w:jc w:val="left"/>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雨污分流，房顶设雨水管道，雨水通过雨水管道收集后进入园区雨水管网。</w:t>
                  </w:r>
                </w:p>
                <w:p w14:paraId="09CB955A">
                  <w:pPr>
                    <w:jc w:val="left"/>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生活污水依托云南联帆建材科技有限公司</w:t>
                  </w:r>
                  <w:r>
                    <w:rPr>
                      <w:rFonts w:hint="default" w:ascii="Times New Roman" w:hAnsi="Times New Roman" w:cs="Times New Roman"/>
                      <w:color w:val="000000" w:themeColor="text1"/>
                      <w:szCs w:val="21"/>
                      <w:highlight w:val="none"/>
                      <w14:textFill>
                        <w14:solidFill>
                          <w14:schemeClr w14:val="tx1"/>
                        </w14:solidFill>
                      </w14:textFill>
                    </w:rPr>
                    <w:t>现有化粪池</w:t>
                  </w:r>
                  <w:r>
                    <w:rPr>
                      <w:rFonts w:hint="eastAsia" w:cs="Times New Roman"/>
                      <w:color w:val="000000" w:themeColor="text1"/>
                      <w:szCs w:val="21"/>
                      <w:highlight w:val="none"/>
                      <w:lang w:val="en-US" w:eastAsia="zh-CN"/>
                      <w14:textFill>
                        <w14:solidFill>
                          <w14:schemeClr w14:val="tx1"/>
                        </w14:solidFill>
                      </w14:textFill>
                    </w:rPr>
                    <w:t>与污水处理站处理达</w:t>
                  </w:r>
                  <w:r>
                    <w:rPr>
                      <w:rFonts w:hint="default" w:ascii="Times New Roman" w:hAnsi="Times New Roman" w:cs="Times New Roman"/>
                      <w:color w:val="000000" w:themeColor="text1"/>
                      <w:szCs w:val="21"/>
                      <w:highlight w:val="none"/>
                      <w14:textFill>
                        <w14:solidFill>
                          <w14:schemeClr w14:val="tx1"/>
                        </w14:solidFill>
                      </w14:textFill>
                    </w:rPr>
                    <w:t>《城市污水再生利用 城市杂用水水质》（GB/T 18920-2020）表1</w:t>
                  </w:r>
                  <w:r>
                    <w:rPr>
                      <w:rFonts w:hint="default" w:ascii="Times New Roman" w:hAnsi="Times New Roman" w:cs="Times New Roman"/>
                      <w:color w:val="000000" w:themeColor="text1"/>
                      <w:szCs w:val="21"/>
                      <w:highlight w:val="none"/>
                      <w:lang w:val="en-US" w:eastAsia="zh-CN"/>
                      <w14:textFill>
                        <w14:solidFill>
                          <w14:schemeClr w14:val="tx1"/>
                        </w14:solidFill>
                      </w14:textFill>
                    </w:rPr>
                    <w:t>中</w:t>
                  </w:r>
                  <w:r>
                    <w:rPr>
                      <w:rFonts w:hint="default" w:ascii="Times New Roman" w:hAnsi="Times New Roman" w:cs="Times New Roman"/>
                      <w:color w:val="000000" w:themeColor="text1"/>
                      <w:szCs w:val="21"/>
                      <w:highlight w:val="none"/>
                      <w14:textFill>
                        <w14:solidFill>
                          <w14:schemeClr w14:val="tx1"/>
                        </w14:solidFill>
                      </w14:textFill>
                    </w:rPr>
                    <w:t>城市绿化、道路清扫</w:t>
                  </w:r>
                  <w:r>
                    <w:rPr>
                      <w:rFonts w:hint="default" w:ascii="Times New Roman" w:hAnsi="Times New Roman" w:cs="Times New Roman"/>
                      <w:color w:val="000000" w:themeColor="text1"/>
                      <w:szCs w:val="21"/>
                      <w:highlight w:val="none"/>
                      <w:lang w:val="en-US" w:eastAsia="zh-CN"/>
                      <w14:textFill>
                        <w14:solidFill>
                          <w14:schemeClr w14:val="tx1"/>
                        </w14:solidFill>
                      </w14:textFill>
                    </w:rPr>
                    <w:t>标准</w:t>
                  </w:r>
                  <w:r>
                    <w:rPr>
                      <w:rFonts w:hint="eastAsia" w:cs="Times New Roman"/>
                      <w:color w:val="000000" w:themeColor="text1"/>
                      <w:szCs w:val="21"/>
                      <w:highlight w:val="none"/>
                      <w:lang w:val="en-US" w:eastAsia="zh-CN"/>
                      <w14:textFill>
                        <w14:solidFill>
                          <w14:schemeClr w14:val="tx1"/>
                        </w14:solidFill>
                      </w14:textFill>
                    </w:rPr>
                    <w:t>回用于厂区绿化</w:t>
                  </w:r>
                  <w:r>
                    <w:rPr>
                      <w:rFonts w:hint="default" w:ascii="Times New Roman" w:hAnsi="Times New Roman" w:cs="Times New Roman"/>
                      <w:color w:val="000000" w:themeColor="text1"/>
                      <w:szCs w:val="21"/>
                      <w:highlight w:val="none"/>
                      <w14:textFill>
                        <w14:solidFill>
                          <w14:schemeClr w14:val="tx1"/>
                        </w14:solidFill>
                      </w14:textFill>
                    </w:rPr>
                    <w:t>。</w:t>
                  </w:r>
                </w:p>
              </w:tc>
              <w:tc>
                <w:tcPr>
                  <w:tcW w:w="287" w:type="pct"/>
                  <w:vAlign w:val="center"/>
                </w:tcPr>
                <w:p w14:paraId="0C79C06F">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依托</w:t>
                  </w:r>
                </w:p>
              </w:tc>
            </w:tr>
            <w:tr w14:paraId="54D63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Merge w:val="continue"/>
                  <w:vAlign w:val="center"/>
                </w:tcPr>
                <w:p w14:paraId="2A3D9C55">
                  <w:pPr>
                    <w:jc w:val="center"/>
                    <w:rPr>
                      <w:rFonts w:hint="default" w:ascii="Times New Roman" w:hAnsi="Times New Roman" w:cs="Times New Roman"/>
                      <w:color w:val="000000" w:themeColor="text1"/>
                      <w:szCs w:val="21"/>
                      <w14:textFill>
                        <w14:solidFill>
                          <w14:schemeClr w14:val="tx1"/>
                        </w14:solidFill>
                      </w14:textFill>
                    </w:rPr>
                  </w:pPr>
                </w:p>
              </w:tc>
              <w:tc>
                <w:tcPr>
                  <w:tcW w:w="1260" w:type="pct"/>
                  <w:gridSpan w:val="2"/>
                  <w:vAlign w:val="center"/>
                </w:tcPr>
                <w:p w14:paraId="7186F867">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供电</w:t>
                  </w:r>
                </w:p>
              </w:tc>
              <w:tc>
                <w:tcPr>
                  <w:tcW w:w="3053" w:type="pct"/>
                  <w:vAlign w:val="center"/>
                </w:tcPr>
                <w:p w14:paraId="2CC46F82">
                  <w:pPr>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本项目新建变压器一台，建设后不会改动周边用电环境</w:t>
                  </w:r>
                  <w:r>
                    <w:rPr>
                      <w:rFonts w:hint="eastAsia"/>
                      <w:color w:val="000000" w:themeColor="text1"/>
                      <w:lang w:eastAsia="zh-CN"/>
                      <w14:textFill>
                        <w14:solidFill>
                          <w14:schemeClr w14:val="tx1"/>
                        </w14:solidFill>
                      </w14:textFill>
                    </w:rPr>
                    <w:t>。</w:t>
                  </w:r>
                </w:p>
              </w:tc>
              <w:tc>
                <w:tcPr>
                  <w:tcW w:w="287" w:type="pct"/>
                  <w:vAlign w:val="center"/>
                </w:tcPr>
                <w:p w14:paraId="65BE1F7D">
                  <w:pPr>
                    <w:jc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新建</w:t>
                  </w:r>
                </w:p>
              </w:tc>
            </w:tr>
            <w:tr w14:paraId="13293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397" w:type="pct"/>
                  <w:vMerge w:val="restart"/>
                  <w:vAlign w:val="center"/>
                </w:tcPr>
                <w:p w14:paraId="3675C5DF">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环保工程</w:t>
                  </w:r>
                </w:p>
              </w:tc>
              <w:tc>
                <w:tcPr>
                  <w:tcW w:w="257" w:type="pct"/>
                  <w:vMerge w:val="restart"/>
                  <w:vAlign w:val="center"/>
                </w:tcPr>
                <w:p w14:paraId="4F74C917">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废气治理设施</w:t>
                  </w:r>
                </w:p>
              </w:tc>
              <w:tc>
                <w:tcPr>
                  <w:tcW w:w="1003" w:type="pct"/>
                  <w:vAlign w:val="center"/>
                </w:tcPr>
                <w:p w14:paraId="600935B8">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电预热、模压成型、罩光废气</w:t>
                  </w:r>
                </w:p>
              </w:tc>
              <w:tc>
                <w:tcPr>
                  <w:tcW w:w="3053" w:type="pct"/>
                  <w:vAlign w:val="center"/>
                </w:tcPr>
                <w:p w14:paraId="21966319">
                  <w:pPr>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电预热、模压成型、罩光废气产生的非甲烷总烃与甲醛经集气罩收集后通过活性炭吸附/脱附+催化燃烧处理</w:t>
                  </w:r>
                  <w:r>
                    <w:rPr>
                      <w:rFonts w:hint="eastAsia" w:eastAsia="宋体"/>
                      <w:color w:val="000000" w:themeColor="text1"/>
                      <w:lang w:eastAsia="zh-CN"/>
                      <w14:textFill>
                        <w14:solidFill>
                          <w14:schemeClr w14:val="tx1"/>
                        </w14:solidFill>
                      </w14:textFill>
                    </w:rPr>
                    <w:t>后</w:t>
                  </w:r>
                  <w:r>
                    <w:rPr>
                      <w:rFonts w:hint="eastAsia" w:cs="Times New Roman"/>
                      <w:color w:val="000000" w:themeColor="text1"/>
                      <w:szCs w:val="21"/>
                      <w:lang w:val="en-US" w:eastAsia="zh-CN"/>
                      <w14:textFill>
                        <w14:solidFill>
                          <w14:schemeClr w14:val="tx1"/>
                        </w14:solidFill>
                      </w14:textFill>
                    </w:rPr>
                    <w:t>经15m高排气筒（DA001）排放。</w:t>
                  </w:r>
                </w:p>
              </w:tc>
              <w:tc>
                <w:tcPr>
                  <w:tcW w:w="287" w:type="pct"/>
                  <w:vAlign w:val="center"/>
                </w:tcPr>
                <w:p w14:paraId="57735E23">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新建</w:t>
                  </w:r>
                </w:p>
              </w:tc>
            </w:tr>
            <w:tr w14:paraId="7FEA9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397" w:type="pct"/>
                  <w:vMerge w:val="continue"/>
                  <w:vAlign w:val="center"/>
                </w:tcPr>
                <w:p w14:paraId="128A5F50">
                  <w:pPr>
                    <w:jc w:val="center"/>
                    <w:rPr>
                      <w:rFonts w:hint="default" w:ascii="Times New Roman" w:hAnsi="Times New Roman" w:cs="Times New Roman"/>
                      <w:color w:val="000000" w:themeColor="text1"/>
                      <w:szCs w:val="21"/>
                      <w14:textFill>
                        <w14:solidFill>
                          <w14:schemeClr w14:val="tx1"/>
                        </w14:solidFill>
                      </w14:textFill>
                    </w:rPr>
                  </w:pPr>
                </w:p>
              </w:tc>
              <w:tc>
                <w:tcPr>
                  <w:tcW w:w="257" w:type="pct"/>
                  <w:vMerge w:val="continue"/>
                  <w:vAlign w:val="center"/>
                </w:tcPr>
                <w:p w14:paraId="3E556556">
                  <w:pPr>
                    <w:jc w:val="center"/>
                    <w:rPr>
                      <w:rFonts w:hint="eastAsia" w:cs="Times New Roman"/>
                      <w:color w:val="000000" w:themeColor="text1"/>
                      <w:szCs w:val="21"/>
                      <w:lang w:val="en-US" w:eastAsia="zh-CN"/>
                      <w14:textFill>
                        <w14:solidFill>
                          <w14:schemeClr w14:val="tx1"/>
                        </w14:solidFill>
                      </w14:textFill>
                    </w:rPr>
                  </w:pPr>
                </w:p>
              </w:tc>
              <w:tc>
                <w:tcPr>
                  <w:tcW w:w="1003" w:type="pct"/>
                  <w:vAlign w:val="center"/>
                </w:tcPr>
                <w:p w14:paraId="1CD3C35A">
                  <w:pPr>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称量打磨废气</w:t>
                  </w:r>
                </w:p>
              </w:tc>
              <w:tc>
                <w:tcPr>
                  <w:tcW w:w="3053" w:type="pct"/>
                  <w:vAlign w:val="center"/>
                </w:tcPr>
                <w:p w14:paraId="2260ABC2">
                  <w:pPr>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打磨与称量产生的废气通过布袋除尘器处理后经15m高排气筒（DA002）排放。</w:t>
                  </w:r>
                </w:p>
              </w:tc>
              <w:tc>
                <w:tcPr>
                  <w:tcW w:w="287" w:type="pct"/>
                  <w:vAlign w:val="center"/>
                </w:tcPr>
                <w:p w14:paraId="6E7EB40E">
                  <w:pPr>
                    <w:jc w:val="center"/>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新建</w:t>
                  </w:r>
                </w:p>
              </w:tc>
            </w:tr>
            <w:tr w14:paraId="09919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Merge w:val="continue"/>
                  <w:vAlign w:val="center"/>
                </w:tcPr>
                <w:p w14:paraId="608623F4">
                  <w:pPr>
                    <w:jc w:val="center"/>
                    <w:rPr>
                      <w:rFonts w:hint="default" w:ascii="Times New Roman" w:hAnsi="Times New Roman" w:cs="Times New Roman"/>
                      <w:color w:val="000000" w:themeColor="text1"/>
                      <w:szCs w:val="21"/>
                      <w14:textFill>
                        <w14:solidFill>
                          <w14:schemeClr w14:val="tx1"/>
                        </w14:solidFill>
                      </w14:textFill>
                    </w:rPr>
                  </w:pPr>
                </w:p>
              </w:tc>
              <w:tc>
                <w:tcPr>
                  <w:tcW w:w="257" w:type="pct"/>
                  <w:vMerge w:val="restart"/>
                  <w:vAlign w:val="center"/>
                </w:tcPr>
                <w:p w14:paraId="19F5958C">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废水治理设施</w:t>
                  </w:r>
                </w:p>
              </w:tc>
              <w:tc>
                <w:tcPr>
                  <w:tcW w:w="1003" w:type="pct"/>
                  <w:vAlign w:val="center"/>
                </w:tcPr>
                <w:p w14:paraId="70EA8159">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冷却水池</w:t>
                  </w:r>
                </w:p>
              </w:tc>
              <w:tc>
                <w:tcPr>
                  <w:tcW w:w="3053" w:type="pct"/>
                  <w:vAlign w:val="center"/>
                </w:tcPr>
                <w:p w14:paraId="24426B2C">
                  <w:pPr>
                    <w:tabs>
                      <w:tab w:val="left" w:pos="730"/>
                    </w:tabs>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项目</w:t>
                  </w:r>
                  <w:r>
                    <w:rPr>
                      <w:rFonts w:hint="default" w:ascii="Times New Roman" w:hAnsi="Times New Roman" w:cs="Times New Roman"/>
                      <w:color w:val="000000" w:themeColor="text1"/>
                      <w:szCs w:val="21"/>
                      <w14:textFill>
                        <w14:solidFill>
                          <w14:schemeClr w14:val="tx1"/>
                        </w14:solidFill>
                      </w14:textFill>
                    </w:rPr>
                    <w:t>设置1个容积</w:t>
                  </w:r>
                  <w:r>
                    <w:rPr>
                      <w:rFonts w:hint="default" w:ascii="Times New Roman" w:hAnsi="Times New Roman" w:cs="Times New Roman"/>
                      <w:color w:val="000000" w:themeColor="text1"/>
                      <w:szCs w:val="21"/>
                      <w:highlight w:val="none"/>
                      <w14:textFill>
                        <w14:solidFill>
                          <w14:schemeClr w14:val="tx1"/>
                        </w14:solidFill>
                      </w14:textFill>
                    </w:rPr>
                    <w:t>为</w:t>
                  </w:r>
                  <w:r>
                    <w:rPr>
                      <w:rFonts w:hint="eastAsia" w:ascii="Times New Roman" w:hAnsi="Times New Roman" w:cs="Times New Roman"/>
                      <w:color w:val="000000" w:themeColor="text1"/>
                      <w:szCs w:val="21"/>
                      <w:highlight w:val="none"/>
                      <w:lang w:val="en-US" w:eastAsia="zh-CN"/>
                      <w14:textFill>
                        <w14:solidFill>
                          <w14:schemeClr w14:val="tx1"/>
                        </w14:solidFill>
                      </w14:textFill>
                    </w:rPr>
                    <w:t>1</w:t>
                  </w:r>
                  <w:r>
                    <w:rPr>
                      <w:rFonts w:hint="eastAsia" w:cs="Times New Roman"/>
                      <w:color w:val="000000" w:themeColor="text1"/>
                      <w:szCs w:val="21"/>
                      <w:highlight w:val="none"/>
                      <w:lang w:val="en-US" w:eastAsia="zh-CN"/>
                      <w14:textFill>
                        <w14:solidFill>
                          <w14:schemeClr w14:val="tx1"/>
                        </w14:solidFill>
                      </w14:textFill>
                    </w:rPr>
                    <w:t>00</w:t>
                  </w:r>
                  <w:r>
                    <w:rPr>
                      <w:rFonts w:hint="default" w:ascii="Times New Roman" w:hAnsi="Times New Roman" w:cs="Times New Roman"/>
                      <w:color w:val="000000" w:themeColor="text1"/>
                      <w:szCs w:val="21"/>
                      <w:highlight w:val="none"/>
                      <w14:textFill>
                        <w14:solidFill>
                          <w14:schemeClr w14:val="tx1"/>
                        </w14:solidFill>
                      </w14:textFill>
                    </w:rPr>
                    <w:t>m</w:t>
                  </w:r>
                  <w:r>
                    <w:rPr>
                      <w:rFonts w:hint="default" w:ascii="Times New Roman" w:hAnsi="Times New Roman" w:cs="Times New Roman"/>
                      <w:color w:val="000000" w:themeColor="text1"/>
                      <w:szCs w:val="21"/>
                      <w:highlight w:val="none"/>
                      <w:vertAlign w:val="superscript"/>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的冷却水水池</w:t>
                  </w:r>
                  <w:r>
                    <w:rPr>
                      <w:rFonts w:hint="eastAsia" w:cs="Times New Roman"/>
                      <w:color w:val="000000" w:themeColor="text1"/>
                      <w:szCs w:val="21"/>
                      <w:lang w:val="en-US" w:eastAsia="zh-CN"/>
                      <w14:textFill>
                        <w14:solidFill>
                          <w14:schemeClr w14:val="tx1"/>
                        </w14:solidFill>
                      </w14:textFill>
                    </w:rPr>
                    <w:t>及配套设置一座冷却塔</w:t>
                  </w:r>
                  <w:r>
                    <w:rPr>
                      <w:rFonts w:hint="eastAsia" w:cs="Times New Roman"/>
                      <w:color w:val="000000" w:themeColor="text1"/>
                      <w:szCs w:val="21"/>
                      <w:lang w:eastAsia="zh-CN"/>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用于液压设备冷却。</w:t>
                  </w:r>
                </w:p>
              </w:tc>
              <w:tc>
                <w:tcPr>
                  <w:tcW w:w="287" w:type="pct"/>
                  <w:vAlign w:val="center"/>
                </w:tcPr>
                <w:p w14:paraId="2DDB5F3B">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依托</w:t>
                  </w:r>
                </w:p>
              </w:tc>
            </w:tr>
            <w:tr w14:paraId="09952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Merge w:val="continue"/>
                  <w:vAlign w:val="center"/>
                </w:tcPr>
                <w:p w14:paraId="681EF38A">
                  <w:pPr>
                    <w:jc w:val="center"/>
                    <w:rPr>
                      <w:rFonts w:hint="default" w:ascii="Times New Roman" w:hAnsi="Times New Roman" w:cs="Times New Roman"/>
                      <w:color w:val="000000" w:themeColor="text1"/>
                      <w:szCs w:val="21"/>
                      <w14:textFill>
                        <w14:solidFill>
                          <w14:schemeClr w14:val="tx1"/>
                        </w14:solidFill>
                      </w14:textFill>
                    </w:rPr>
                  </w:pPr>
                </w:p>
              </w:tc>
              <w:tc>
                <w:tcPr>
                  <w:tcW w:w="257" w:type="pct"/>
                  <w:vMerge w:val="continue"/>
                  <w:vAlign w:val="center"/>
                </w:tcPr>
                <w:p w14:paraId="0C25E438">
                  <w:pPr>
                    <w:jc w:val="center"/>
                    <w:rPr>
                      <w:rFonts w:hint="eastAsia" w:cs="Times New Roman"/>
                      <w:color w:val="000000" w:themeColor="text1"/>
                      <w:szCs w:val="21"/>
                      <w:lang w:val="en-US" w:eastAsia="zh-CN"/>
                      <w14:textFill>
                        <w14:solidFill>
                          <w14:schemeClr w14:val="tx1"/>
                        </w14:solidFill>
                      </w14:textFill>
                    </w:rPr>
                  </w:pPr>
                </w:p>
              </w:tc>
              <w:tc>
                <w:tcPr>
                  <w:tcW w:w="1003" w:type="pct"/>
                  <w:vAlign w:val="center"/>
                </w:tcPr>
                <w:p w14:paraId="793F6A91">
                  <w:pPr>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化粪池</w:t>
                  </w:r>
                </w:p>
              </w:tc>
              <w:tc>
                <w:tcPr>
                  <w:tcW w:w="3053" w:type="pct"/>
                  <w:vAlign w:val="center"/>
                </w:tcPr>
                <w:p w14:paraId="7BCE1D39">
                  <w:pPr>
                    <w:tabs>
                      <w:tab w:val="left" w:pos="730"/>
                    </w:tabs>
                    <w:jc w:val="left"/>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项目依托云南联帆建材科技有限公司已建成容积为5m</w:t>
                  </w:r>
                  <w:r>
                    <w:rPr>
                      <w:rFonts w:hint="eastAsia" w:cs="Times New Roman"/>
                      <w:color w:val="000000" w:themeColor="text1"/>
                      <w:szCs w:val="21"/>
                      <w:vertAlign w:val="superscript"/>
                      <w:lang w:val="en-US" w:eastAsia="zh-CN"/>
                      <w14:textFill>
                        <w14:solidFill>
                          <w14:schemeClr w14:val="tx1"/>
                        </w14:solidFill>
                      </w14:textFill>
                    </w:rPr>
                    <w:t>3</w:t>
                  </w:r>
                  <w:r>
                    <w:rPr>
                      <w:rFonts w:hint="eastAsia" w:cs="Times New Roman"/>
                      <w:color w:val="000000" w:themeColor="text1"/>
                      <w:szCs w:val="21"/>
                      <w:lang w:val="en-US" w:eastAsia="zh-CN"/>
                      <w14:textFill>
                        <w14:solidFill>
                          <w14:schemeClr w14:val="tx1"/>
                        </w14:solidFill>
                      </w14:textFill>
                    </w:rPr>
                    <w:t>的化粪池用于处理生活污水。</w:t>
                  </w:r>
                </w:p>
              </w:tc>
              <w:tc>
                <w:tcPr>
                  <w:tcW w:w="287" w:type="pct"/>
                  <w:vAlign w:val="center"/>
                </w:tcPr>
                <w:p w14:paraId="342B0A03">
                  <w:pPr>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依托</w:t>
                  </w:r>
                </w:p>
              </w:tc>
            </w:tr>
            <w:tr w14:paraId="62D4D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Merge w:val="continue"/>
                  <w:vAlign w:val="center"/>
                </w:tcPr>
                <w:p w14:paraId="401B5E93">
                  <w:pPr>
                    <w:jc w:val="center"/>
                    <w:rPr>
                      <w:rFonts w:hint="default" w:ascii="Times New Roman" w:hAnsi="Times New Roman" w:cs="Times New Roman"/>
                      <w:color w:val="000000" w:themeColor="text1"/>
                      <w:szCs w:val="21"/>
                      <w14:textFill>
                        <w14:solidFill>
                          <w14:schemeClr w14:val="tx1"/>
                        </w14:solidFill>
                      </w14:textFill>
                    </w:rPr>
                  </w:pPr>
                </w:p>
              </w:tc>
              <w:tc>
                <w:tcPr>
                  <w:tcW w:w="257" w:type="pct"/>
                  <w:vMerge w:val="continue"/>
                  <w:vAlign w:val="center"/>
                </w:tcPr>
                <w:p w14:paraId="70CBD2BB">
                  <w:pPr>
                    <w:jc w:val="center"/>
                    <w:rPr>
                      <w:rFonts w:hint="eastAsia" w:cs="Times New Roman"/>
                      <w:color w:val="000000" w:themeColor="text1"/>
                      <w:szCs w:val="21"/>
                      <w:lang w:val="en-US" w:eastAsia="zh-CN"/>
                      <w14:textFill>
                        <w14:solidFill>
                          <w14:schemeClr w14:val="tx1"/>
                        </w14:solidFill>
                      </w14:textFill>
                    </w:rPr>
                  </w:pPr>
                </w:p>
              </w:tc>
              <w:tc>
                <w:tcPr>
                  <w:tcW w:w="1003" w:type="pct"/>
                  <w:vAlign w:val="center"/>
                </w:tcPr>
                <w:p w14:paraId="29E461BF">
                  <w:pPr>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污水处理站</w:t>
                  </w:r>
                </w:p>
              </w:tc>
              <w:tc>
                <w:tcPr>
                  <w:tcW w:w="3053" w:type="pct"/>
                  <w:vAlign w:val="center"/>
                </w:tcPr>
                <w:p w14:paraId="1032CDDC">
                  <w:pPr>
                    <w:tabs>
                      <w:tab w:val="left" w:pos="730"/>
                    </w:tabs>
                    <w:jc w:val="left"/>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项目依托云南联帆建材科技有限公司已建成处理能力为8m</w:t>
                  </w:r>
                  <w:r>
                    <w:rPr>
                      <w:rFonts w:hint="eastAsia" w:cs="Times New Roman"/>
                      <w:color w:val="000000" w:themeColor="text1"/>
                      <w:szCs w:val="21"/>
                      <w:vertAlign w:val="superscript"/>
                      <w:lang w:val="en-US" w:eastAsia="zh-CN"/>
                      <w14:textFill>
                        <w14:solidFill>
                          <w14:schemeClr w14:val="tx1"/>
                        </w14:solidFill>
                      </w14:textFill>
                    </w:rPr>
                    <w:t>3</w:t>
                  </w:r>
                  <w:r>
                    <w:rPr>
                      <w:rFonts w:hint="eastAsia" w:cs="Times New Roman"/>
                      <w:color w:val="000000" w:themeColor="text1"/>
                      <w:szCs w:val="21"/>
                      <w:lang w:val="en-US" w:eastAsia="zh-CN"/>
                      <w14:textFill>
                        <w14:solidFill>
                          <w14:schemeClr w14:val="tx1"/>
                        </w14:solidFill>
                      </w14:textFill>
                    </w:rPr>
                    <w:t>/d的污水处理站用于处理生活污水。</w:t>
                  </w:r>
                </w:p>
              </w:tc>
              <w:tc>
                <w:tcPr>
                  <w:tcW w:w="287" w:type="pct"/>
                  <w:vAlign w:val="center"/>
                </w:tcPr>
                <w:p w14:paraId="5A30C1D2">
                  <w:pPr>
                    <w:jc w:val="center"/>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依托</w:t>
                  </w:r>
                </w:p>
              </w:tc>
            </w:tr>
            <w:tr w14:paraId="52F6F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Merge w:val="continue"/>
                  <w:vAlign w:val="center"/>
                </w:tcPr>
                <w:p w14:paraId="2863E144">
                  <w:pPr>
                    <w:jc w:val="center"/>
                    <w:rPr>
                      <w:rFonts w:hint="default" w:ascii="Times New Roman" w:hAnsi="Times New Roman" w:cs="Times New Roman"/>
                      <w:color w:val="000000" w:themeColor="text1"/>
                      <w:szCs w:val="21"/>
                      <w14:textFill>
                        <w14:solidFill>
                          <w14:schemeClr w14:val="tx1"/>
                        </w14:solidFill>
                      </w14:textFill>
                    </w:rPr>
                  </w:pPr>
                </w:p>
              </w:tc>
              <w:tc>
                <w:tcPr>
                  <w:tcW w:w="257" w:type="pct"/>
                  <w:vMerge w:val="continue"/>
                  <w:vAlign w:val="center"/>
                </w:tcPr>
                <w:p w14:paraId="74016EE1">
                  <w:pPr>
                    <w:jc w:val="center"/>
                    <w:rPr>
                      <w:rFonts w:hint="eastAsia" w:cs="Times New Roman"/>
                      <w:color w:val="000000" w:themeColor="text1"/>
                      <w:szCs w:val="21"/>
                      <w:lang w:val="en-US" w:eastAsia="zh-CN"/>
                      <w14:textFill>
                        <w14:solidFill>
                          <w14:schemeClr w14:val="tx1"/>
                        </w14:solidFill>
                      </w14:textFill>
                    </w:rPr>
                  </w:pPr>
                </w:p>
              </w:tc>
              <w:tc>
                <w:tcPr>
                  <w:tcW w:w="1003" w:type="pct"/>
                  <w:vAlign w:val="center"/>
                </w:tcPr>
                <w:p w14:paraId="5546BD15">
                  <w:pPr>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回用水池</w:t>
                  </w:r>
                </w:p>
              </w:tc>
              <w:tc>
                <w:tcPr>
                  <w:tcW w:w="3053" w:type="pct"/>
                  <w:vAlign w:val="center"/>
                </w:tcPr>
                <w:p w14:paraId="66730A2C">
                  <w:pPr>
                    <w:tabs>
                      <w:tab w:val="left" w:pos="730"/>
                    </w:tabs>
                    <w:jc w:val="left"/>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项目依托云南联帆建材科技有限公司已建成容积为20m</w:t>
                  </w:r>
                  <w:r>
                    <w:rPr>
                      <w:rFonts w:hint="eastAsia" w:cs="Times New Roman"/>
                      <w:color w:val="000000" w:themeColor="text1"/>
                      <w:szCs w:val="21"/>
                      <w:vertAlign w:val="superscript"/>
                      <w:lang w:val="en-US" w:eastAsia="zh-CN"/>
                      <w14:textFill>
                        <w14:solidFill>
                          <w14:schemeClr w14:val="tx1"/>
                        </w14:solidFill>
                      </w14:textFill>
                    </w:rPr>
                    <w:t>3</w:t>
                  </w:r>
                  <w:r>
                    <w:rPr>
                      <w:rFonts w:hint="eastAsia" w:cs="Times New Roman"/>
                      <w:color w:val="000000" w:themeColor="text1"/>
                      <w:szCs w:val="21"/>
                      <w:lang w:val="en-US" w:eastAsia="zh-CN"/>
                      <w14:textFill>
                        <w14:solidFill>
                          <w14:schemeClr w14:val="tx1"/>
                        </w14:solidFill>
                      </w14:textFill>
                    </w:rPr>
                    <w:t>的回用水池用于暂存处理后的生活污水。</w:t>
                  </w:r>
                </w:p>
              </w:tc>
              <w:tc>
                <w:tcPr>
                  <w:tcW w:w="287" w:type="pct"/>
                  <w:vAlign w:val="center"/>
                </w:tcPr>
                <w:p w14:paraId="2C578CB8">
                  <w:pPr>
                    <w:jc w:val="center"/>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依托</w:t>
                  </w:r>
                </w:p>
              </w:tc>
            </w:tr>
            <w:tr w14:paraId="21126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397" w:type="pct"/>
                  <w:vMerge w:val="continue"/>
                  <w:vAlign w:val="center"/>
                </w:tcPr>
                <w:p w14:paraId="48CF194A">
                  <w:pPr>
                    <w:jc w:val="center"/>
                    <w:rPr>
                      <w:rFonts w:hint="default" w:ascii="Times New Roman" w:hAnsi="Times New Roman" w:cs="Times New Roman"/>
                      <w:color w:val="000000" w:themeColor="text1"/>
                      <w:szCs w:val="21"/>
                      <w14:textFill>
                        <w14:solidFill>
                          <w14:schemeClr w14:val="tx1"/>
                        </w14:solidFill>
                      </w14:textFill>
                    </w:rPr>
                  </w:pPr>
                </w:p>
              </w:tc>
              <w:tc>
                <w:tcPr>
                  <w:tcW w:w="257" w:type="pct"/>
                  <w:vMerge w:val="restart"/>
                  <w:vAlign w:val="center"/>
                </w:tcPr>
                <w:p w14:paraId="6C782580">
                  <w:pPr>
                    <w:jc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固废治理设施</w:t>
                  </w:r>
                </w:p>
              </w:tc>
              <w:tc>
                <w:tcPr>
                  <w:tcW w:w="1003" w:type="pct"/>
                  <w:vAlign w:val="center"/>
                </w:tcPr>
                <w:p w14:paraId="4B50D73E">
                  <w:pPr>
                    <w:jc w:val="center"/>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生活垃圾</w:t>
                  </w:r>
                </w:p>
                <w:p w14:paraId="17A21547">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收集桶</w:t>
                  </w:r>
                </w:p>
              </w:tc>
              <w:tc>
                <w:tcPr>
                  <w:tcW w:w="3053" w:type="pct"/>
                  <w:vAlign w:val="center"/>
                </w:tcPr>
                <w:p w14:paraId="04B00D48">
                  <w:pPr>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设置5个生活垃圾收集桶，位于办公室区域内</w:t>
                  </w:r>
                </w:p>
              </w:tc>
              <w:tc>
                <w:tcPr>
                  <w:tcW w:w="287" w:type="pct"/>
                  <w:vAlign w:val="center"/>
                </w:tcPr>
                <w:p w14:paraId="6F6AA79F">
                  <w:pPr>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新建</w:t>
                  </w:r>
                </w:p>
              </w:tc>
            </w:tr>
            <w:tr w14:paraId="3274B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397" w:type="pct"/>
                  <w:vMerge w:val="continue"/>
                  <w:vAlign w:val="center"/>
                </w:tcPr>
                <w:p w14:paraId="53B72C50">
                  <w:pPr>
                    <w:jc w:val="center"/>
                    <w:rPr>
                      <w:rFonts w:hint="default" w:ascii="Times New Roman" w:hAnsi="Times New Roman" w:cs="Times New Roman"/>
                      <w:color w:val="000000" w:themeColor="text1"/>
                      <w:szCs w:val="21"/>
                      <w14:textFill>
                        <w14:solidFill>
                          <w14:schemeClr w14:val="tx1"/>
                        </w14:solidFill>
                      </w14:textFill>
                    </w:rPr>
                  </w:pPr>
                </w:p>
              </w:tc>
              <w:tc>
                <w:tcPr>
                  <w:tcW w:w="257" w:type="pct"/>
                  <w:vMerge w:val="continue"/>
                  <w:vAlign w:val="center"/>
                </w:tcPr>
                <w:p w14:paraId="2E6E5160">
                  <w:pPr>
                    <w:jc w:val="center"/>
                    <w:rPr>
                      <w:rFonts w:hint="default" w:ascii="Times New Roman" w:hAnsi="Times New Roman" w:cs="Times New Roman"/>
                      <w:color w:val="000000" w:themeColor="text1"/>
                      <w:szCs w:val="21"/>
                      <w14:textFill>
                        <w14:solidFill>
                          <w14:schemeClr w14:val="tx1"/>
                        </w14:solidFill>
                      </w14:textFill>
                    </w:rPr>
                  </w:pPr>
                </w:p>
              </w:tc>
              <w:tc>
                <w:tcPr>
                  <w:tcW w:w="1003" w:type="pct"/>
                  <w:vAlign w:val="center"/>
                </w:tcPr>
                <w:p w14:paraId="285A9172">
                  <w:pPr>
                    <w:jc w:val="center"/>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一般固废</w:t>
                  </w:r>
                </w:p>
                <w:p w14:paraId="1EDD36A2">
                  <w:pPr>
                    <w:jc w:val="center"/>
                    <w:rPr>
                      <w:rFonts w:hint="default" w:ascii="Times New Roman" w:hAnsi="Times New Roman"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暂存点</w:t>
                  </w:r>
                </w:p>
              </w:tc>
              <w:tc>
                <w:tcPr>
                  <w:tcW w:w="3053" w:type="pct"/>
                  <w:vAlign w:val="center"/>
                </w:tcPr>
                <w:p w14:paraId="6DF764CC">
                  <w:pPr>
                    <w:jc w:val="left"/>
                    <w:rPr>
                      <w:rFonts w:hint="default" w:ascii="Times New Roman" w:hAnsi="Times New Roman" w:cs="Times New Roman"/>
                      <w:color w:val="000000" w:themeColor="text1"/>
                      <w:szCs w:val="21"/>
                      <w:highlight w:val="none"/>
                      <w:vertAlign w:val="baseli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设置1个</w:t>
                  </w:r>
                  <w:r>
                    <w:rPr>
                      <w:rFonts w:hint="eastAsia" w:cs="Times New Roman"/>
                      <w:color w:val="000000" w:themeColor="text1"/>
                      <w:szCs w:val="21"/>
                      <w:lang w:val="en-US" w:eastAsia="zh-CN"/>
                      <w14:textFill>
                        <w14:solidFill>
                          <w14:schemeClr w14:val="tx1"/>
                        </w14:solidFill>
                      </w14:textFill>
                    </w:rPr>
                    <w:t>一般固废暂存点</w:t>
                  </w:r>
                  <w:r>
                    <w:rPr>
                      <w:rFonts w:hint="eastAsia" w:cs="Times New Roman"/>
                      <w:color w:val="000000" w:themeColor="text1"/>
                      <w:szCs w:val="21"/>
                      <w:highlight w:val="none"/>
                      <w:lang w:val="en-US" w:eastAsia="zh-CN"/>
                      <w14:textFill>
                        <w14:solidFill>
                          <w14:schemeClr w14:val="tx1"/>
                        </w14:solidFill>
                      </w14:textFill>
                    </w:rPr>
                    <w:t>，位于密胺餐具生产车间内。</w:t>
                  </w:r>
                </w:p>
              </w:tc>
              <w:tc>
                <w:tcPr>
                  <w:tcW w:w="287" w:type="pct"/>
                  <w:vAlign w:val="center"/>
                </w:tcPr>
                <w:p w14:paraId="01E8AD5F">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新建</w:t>
                  </w:r>
                </w:p>
              </w:tc>
            </w:tr>
            <w:tr w14:paraId="12332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397" w:type="pct"/>
                  <w:vMerge w:val="continue"/>
                  <w:vAlign w:val="center"/>
                </w:tcPr>
                <w:p w14:paraId="170FD56A">
                  <w:pPr>
                    <w:jc w:val="center"/>
                    <w:rPr>
                      <w:rFonts w:hint="default" w:ascii="Times New Roman" w:hAnsi="Times New Roman" w:cs="Times New Roman"/>
                      <w:color w:val="000000" w:themeColor="text1"/>
                      <w:szCs w:val="21"/>
                      <w14:textFill>
                        <w14:solidFill>
                          <w14:schemeClr w14:val="tx1"/>
                        </w14:solidFill>
                      </w14:textFill>
                    </w:rPr>
                  </w:pPr>
                </w:p>
              </w:tc>
              <w:tc>
                <w:tcPr>
                  <w:tcW w:w="257" w:type="pct"/>
                  <w:vMerge w:val="continue"/>
                  <w:vAlign w:val="center"/>
                </w:tcPr>
                <w:p w14:paraId="13EB251D">
                  <w:pPr>
                    <w:jc w:val="center"/>
                    <w:rPr>
                      <w:rFonts w:hint="default" w:ascii="Times New Roman" w:hAnsi="Times New Roman" w:cs="Times New Roman"/>
                      <w:color w:val="000000" w:themeColor="text1"/>
                      <w:szCs w:val="21"/>
                      <w14:textFill>
                        <w14:solidFill>
                          <w14:schemeClr w14:val="tx1"/>
                        </w14:solidFill>
                      </w14:textFill>
                    </w:rPr>
                  </w:pPr>
                </w:p>
              </w:tc>
              <w:tc>
                <w:tcPr>
                  <w:tcW w:w="1003" w:type="pct"/>
                  <w:vAlign w:val="center"/>
                </w:tcPr>
                <w:p w14:paraId="1BD19AED">
                  <w:pPr>
                    <w:jc w:val="center"/>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危险废物</w:t>
                  </w:r>
                </w:p>
                <w:p w14:paraId="6C690B3B">
                  <w:pPr>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贮存间</w:t>
                  </w:r>
                </w:p>
              </w:tc>
              <w:tc>
                <w:tcPr>
                  <w:tcW w:w="3053" w:type="pct"/>
                  <w:vAlign w:val="center"/>
                </w:tcPr>
                <w:p w14:paraId="10859C58">
                  <w:pPr>
                    <w:jc w:val="left"/>
                    <w:rPr>
                      <w:rFonts w:hint="default" w:ascii="Times New Roman" w:hAnsi="Times New Roman" w:cs="Times New Roman"/>
                      <w:color w:val="000000" w:themeColor="text1"/>
                      <w:szCs w:val="21"/>
                      <w:highlight w:val="none"/>
                      <w:vertAlign w:val="baseline"/>
                      <w:lang w:val="en-US" w:eastAsia="zh-CN"/>
                      <w14:textFill>
                        <w14:solidFill>
                          <w14:schemeClr w14:val="tx1"/>
                        </w14:solidFill>
                      </w14:textFill>
                    </w:rPr>
                  </w:pPr>
                  <w:r>
                    <w:rPr>
                      <w:rFonts w:hint="eastAsia" w:cs="Times New Roman"/>
                      <w:color w:val="000000" w:themeColor="text1"/>
                      <w:szCs w:val="21"/>
                      <w:highlight w:val="none"/>
                      <w:vertAlign w:val="baseline"/>
                      <w:lang w:val="en-US" w:eastAsia="zh-CN"/>
                      <w14:textFill>
                        <w14:solidFill>
                          <w14:schemeClr w14:val="tx1"/>
                        </w14:solidFill>
                      </w14:textFill>
                    </w:rPr>
                    <w:t>设置1间5m</w:t>
                  </w:r>
                  <w:r>
                    <w:rPr>
                      <w:rFonts w:hint="eastAsia" w:cs="Times New Roman"/>
                      <w:color w:val="000000" w:themeColor="text1"/>
                      <w:szCs w:val="21"/>
                      <w:highlight w:val="none"/>
                      <w:vertAlign w:val="superscript"/>
                      <w:lang w:val="en-US" w:eastAsia="zh-CN"/>
                      <w14:textFill>
                        <w14:solidFill>
                          <w14:schemeClr w14:val="tx1"/>
                        </w14:solidFill>
                      </w14:textFill>
                    </w:rPr>
                    <w:t>2</w:t>
                  </w:r>
                  <w:r>
                    <w:rPr>
                      <w:rFonts w:hint="eastAsia" w:cs="Times New Roman"/>
                      <w:color w:val="000000" w:themeColor="text1"/>
                      <w:szCs w:val="21"/>
                      <w:highlight w:val="none"/>
                      <w:vertAlign w:val="baseline"/>
                      <w:lang w:val="en-US" w:eastAsia="zh-CN"/>
                      <w14:textFill>
                        <w14:solidFill>
                          <w14:schemeClr w14:val="tx1"/>
                        </w14:solidFill>
                      </w14:textFill>
                    </w:rPr>
                    <w:t>危险废物贮存间，位于</w:t>
                  </w:r>
                  <w:r>
                    <w:rPr>
                      <w:rFonts w:hint="eastAsia" w:cs="Times New Roman"/>
                      <w:color w:val="000000" w:themeColor="text1"/>
                      <w:szCs w:val="21"/>
                      <w:highlight w:val="none"/>
                      <w:lang w:val="en-US" w:eastAsia="zh-CN"/>
                      <w14:textFill>
                        <w14:solidFill>
                          <w14:schemeClr w14:val="tx1"/>
                        </w14:solidFill>
                      </w14:textFill>
                    </w:rPr>
                    <w:t>密胺餐具生产车间</w:t>
                  </w:r>
                  <w:r>
                    <w:rPr>
                      <w:rFonts w:hint="eastAsia" w:cs="Times New Roman"/>
                      <w:color w:val="000000" w:themeColor="text1"/>
                      <w:szCs w:val="21"/>
                      <w:highlight w:val="none"/>
                      <w:vertAlign w:val="baseline"/>
                      <w:lang w:val="en-US" w:eastAsia="zh-CN"/>
                      <w14:textFill>
                        <w14:solidFill>
                          <w14:schemeClr w14:val="tx1"/>
                        </w14:solidFill>
                      </w14:textFill>
                    </w:rPr>
                    <w:t>南侧。</w:t>
                  </w:r>
                </w:p>
              </w:tc>
              <w:tc>
                <w:tcPr>
                  <w:tcW w:w="287" w:type="pct"/>
                  <w:vAlign w:val="center"/>
                </w:tcPr>
                <w:p w14:paraId="16D08D8C">
                  <w:pPr>
                    <w:jc w:val="center"/>
                    <w:rPr>
                      <w:rFonts w:hint="default" w:ascii="Times New Roman" w:hAnsi="Times New Roman"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新建</w:t>
                  </w:r>
                </w:p>
              </w:tc>
            </w:tr>
            <w:tr w14:paraId="1B118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397" w:type="pct"/>
                  <w:vMerge w:val="continue"/>
                  <w:vAlign w:val="center"/>
                </w:tcPr>
                <w:p w14:paraId="43DE1BCB">
                  <w:pPr>
                    <w:jc w:val="center"/>
                    <w:rPr>
                      <w:rFonts w:hint="default" w:ascii="Times New Roman" w:hAnsi="Times New Roman" w:cs="Times New Roman"/>
                      <w:color w:val="000000" w:themeColor="text1"/>
                      <w:szCs w:val="21"/>
                      <w14:textFill>
                        <w14:solidFill>
                          <w14:schemeClr w14:val="tx1"/>
                        </w14:solidFill>
                      </w14:textFill>
                    </w:rPr>
                  </w:pPr>
                </w:p>
              </w:tc>
              <w:tc>
                <w:tcPr>
                  <w:tcW w:w="257" w:type="pct"/>
                  <w:vAlign w:val="center"/>
                </w:tcPr>
                <w:p w14:paraId="4E042B05">
                  <w:pPr>
                    <w:jc w:val="center"/>
                    <w:rPr>
                      <w:rFonts w:hint="default" w:ascii="Times New Roman" w:hAnsi="Times New Roman"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噪声治理</w:t>
                  </w:r>
                </w:p>
              </w:tc>
              <w:tc>
                <w:tcPr>
                  <w:tcW w:w="4057" w:type="pct"/>
                  <w:gridSpan w:val="2"/>
                  <w:vAlign w:val="center"/>
                </w:tcPr>
                <w:p w14:paraId="495DD8AF">
                  <w:pPr>
                    <w:jc w:val="left"/>
                    <w:rPr>
                      <w:rFonts w:hint="default" w:ascii="Times New Roman" w:hAnsi="Times New Roman" w:cs="Times New Roman"/>
                      <w:color w:val="000000" w:themeColor="text1"/>
                      <w:szCs w:val="21"/>
                      <w:vertAlign w:val="baseline"/>
                      <w:lang w:val="en-US" w:eastAsia="zh-CN"/>
                      <w14:textFill>
                        <w14:solidFill>
                          <w14:schemeClr w14:val="tx1"/>
                        </w14:solidFill>
                      </w14:textFill>
                    </w:rPr>
                  </w:pPr>
                  <w:r>
                    <w:rPr>
                      <w:color w:val="000000" w:themeColor="text1"/>
                      <w:kern w:val="0"/>
                      <w:szCs w:val="21"/>
                      <w14:textFill>
                        <w14:solidFill>
                          <w14:schemeClr w14:val="tx1"/>
                        </w14:solidFill>
                      </w14:textFill>
                    </w:rPr>
                    <w:t>设备基础减振、厂房隔声等</w:t>
                  </w:r>
                </w:p>
              </w:tc>
              <w:tc>
                <w:tcPr>
                  <w:tcW w:w="287" w:type="pct"/>
                  <w:vAlign w:val="center"/>
                </w:tcPr>
                <w:p w14:paraId="784BD16A">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新建</w:t>
                  </w:r>
                </w:p>
              </w:tc>
            </w:tr>
            <w:tr w14:paraId="3E0E1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jc w:val="center"/>
              </w:trPr>
              <w:tc>
                <w:tcPr>
                  <w:tcW w:w="397" w:type="pct"/>
                  <w:vMerge w:val="continue"/>
                  <w:vAlign w:val="center"/>
                </w:tcPr>
                <w:p w14:paraId="412BC044">
                  <w:pPr>
                    <w:jc w:val="center"/>
                    <w:rPr>
                      <w:rFonts w:hint="default" w:ascii="Times New Roman" w:hAnsi="Times New Roman" w:cs="Times New Roman"/>
                      <w:color w:val="000000" w:themeColor="text1"/>
                      <w:szCs w:val="21"/>
                      <w14:textFill>
                        <w14:solidFill>
                          <w14:schemeClr w14:val="tx1"/>
                        </w14:solidFill>
                      </w14:textFill>
                    </w:rPr>
                  </w:pPr>
                </w:p>
              </w:tc>
              <w:tc>
                <w:tcPr>
                  <w:tcW w:w="257" w:type="pct"/>
                  <w:vMerge w:val="restart"/>
                  <w:vAlign w:val="center"/>
                </w:tcPr>
                <w:p w14:paraId="2A820C61">
                  <w:pPr>
                    <w:jc w:val="center"/>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地下水及土壤防渗要求</w:t>
                  </w:r>
                </w:p>
              </w:tc>
              <w:tc>
                <w:tcPr>
                  <w:tcW w:w="1003" w:type="pct"/>
                  <w:vAlign w:val="center"/>
                </w:tcPr>
                <w:p w14:paraId="41FEF4F8">
                  <w:pPr>
                    <w:jc w:val="center"/>
                    <w:rPr>
                      <w:color w:val="000000" w:themeColor="text1"/>
                      <w:kern w:val="0"/>
                      <w:szCs w:val="21"/>
                      <w14:textFill>
                        <w14:solidFill>
                          <w14:schemeClr w14:val="tx1"/>
                        </w14:solidFill>
                      </w14:textFill>
                    </w:rPr>
                  </w:pPr>
                  <w:r>
                    <w:rPr>
                      <w:rFonts w:hint="default"/>
                      <w:color w:val="000000" w:themeColor="text1"/>
                      <w:kern w:val="0"/>
                      <w:szCs w:val="21"/>
                      <w14:textFill>
                        <w14:solidFill>
                          <w14:schemeClr w14:val="tx1"/>
                        </w14:solidFill>
                      </w14:textFill>
                    </w:rPr>
                    <w:t>重点防渗</w:t>
                  </w:r>
                  <w:r>
                    <w:rPr>
                      <w:rFonts w:hint="default"/>
                      <w:color w:val="000000" w:themeColor="text1"/>
                      <w:kern w:val="0"/>
                      <w:szCs w:val="21"/>
                      <w:lang w:val="en-US" w:eastAsia="zh-CN"/>
                      <w14:textFill>
                        <w14:solidFill>
                          <w14:schemeClr w14:val="tx1"/>
                        </w14:solidFill>
                      </w14:textFill>
                    </w:rPr>
                    <w:t>区</w:t>
                  </w:r>
                </w:p>
              </w:tc>
              <w:tc>
                <w:tcPr>
                  <w:tcW w:w="3053" w:type="pct"/>
                  <w:vAlign w:val="center"/>
                </w:tcPr>
                <w:p w14:paraId="5B982AF3">
                  <w:pPr>
                    <w:jc w:val="left"/>
                    <w:rPr>
                      <w:rFonts w:hint="default"/>
                      <w:color w:val="000000" w:themeColor="text1"/>
                      <w:kern w:val="0"/>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危险废物贮存间</w:t>
                  </w:r>
                  <w:r>
                    <w:rPr>
                      <w:rFonts w:hint="default" w:ascii="Times New Roman" w:hAnsi="Times New Roman" w:eastAsia="宋体" w:cs="Times New Roman"/>
                      <w:color w:val="000000" w:themeColor="text1"/>
                      <w:spacing w:val="8"/>
                      <w:sz w:val="21"/>
                      <w:szCs w:val="21"/>
                      <w14:textFill>
                        <w14:solidFill>
                          <w14:schemeClr w14:val="tx1"/>
                        </w14:solidFill>
                      </w14:textFill>
                    </w:rPr>
                    <w:t>按照《危险废物贮存污染控制标准》</w:t>
                  </w:r>
                  <w:r>
                    <w:rPr>
                      <w:rFonts w:hint="default" w:ascii="Times New Roman" w:hAnsi="Times New Roman" w:eastAsia="宋体" w:cs="Times New Roman"/>
                      <w:color w:val="000000" w:themeColor="text1"/>
                      <w:spacing w:val="9"/>
                      <w:sz w:val="21"/>
                      <w:szCs w:val="21"/>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GB</w:t>
                  </w:r>
                  <w:r>
                    <w:rPr>
                      <w:rFonts w:hint="default" w:ascii="Times New Roman" w:hAnsi="Times New Roman" w:eastAsia="宋体" w:cs="Times New Roman"/>
                      <w:color w:val="000000" w:themeColor="text1"/>
                      <w:spacing w:val="9"/>
                      <w:sz w:val="21"/>
                      <w:szCs w:val="21"/>
                      <w14:textFill>
                        <w14:solidFill>
                          <w14:schemeClr w14:val="tx1"/>
                        </w14:solidFill>
                      </w14:textFill>
                    </w:rPr>
                    <w:t>18597-2023）中</w:t>
                  </w:r>
                  <w:r>
                    <w:rPr>
                      <w:rFonts w:hint="default" w:ascii="Times New Roman" w:hAnsi="Times New Roman" w:eastAsia="宋体" w:cs="Times New Roman"/>
                      <w:color w:val="000000" w:themeColor="text1"/>
                      <w:spacing w:val="9"/>
                      <w:sz w:val="21"/>
                      <w:szCs w:val="21"/>
                      <w:lang w:eastAsia="zh-CN"/>
                      <w14:textFill>
                        <w14:solidFill>
                          <w14:schemeClr w14:val="tx1"/>
                        </w14:solidFill>
                      </w14:textFill>
                    </w:rPr>
                    <w:t>，</w:t>
                  </w:r>
                  <w:r>
                    <w:rPr>
                      <w:rFonts w:hint="default" w:ascii="Times New Roman" w:hAnsi="Times New Roman" w:eastAsia="宋体" w:cs="Times New Roman"/>
                      <w:color w:val="000000" w:themeColor="text1"/>
                      <w:spacing w:val="9"/>
                      <w:sz w:val="21"/>
                      <w:szCs w:val="21"/>
                      <w14:textFill>
                        <w14:solidFill>
                          <w14:schemeClr w14:val="tx1"/>
                        </w14:solidFill>
                      </w14:textFill>
                    </w:rPr>
                    <w:t>防渗层为</w:t>
                  </w:r>
                  <w:r>
                    <w:rPr>
                      <w:rFonts w:hint="default" w:ascii="Times New Roman" w:hAnsi="Times New Roman" w:eastAsia="宋体" w:cs="Times New Roman"/>
                      <w:color w:val="000000" w:themeColor="text1"/>
                      <w:spacing w:val="3"/>
                      <w:sz w:val="21"/>
                      <w:szCs w:val="21"/>
                      <w14:textFill>
                        <w14:solidFill>
                          <w14:schemeClr w14:val="tx1"/>
                        </w14:solidFill>
                      </w14:textFill>
                    </w:rPr>
                    <w:t>至少1m厚粘土层</w:t>
                  </w:r>
                  <w:r>
                    <w:rPr>
                      <w:rFonts w:hint="default" w:ascii="Times New Roman" w:hAnsi="Times New Roman" w:eastAsia="宋体" w:cs="Times New Roman"/>
                      <w:color w:val="000000" w:themeColor="text1"/>
                      <w:spacing w:val="3"/>
                      <w:sz w:val="21"/>
                      <w:szCs w:val="21"/>
                      <w:lang w:eastAsia="zh-CN"/>
                      <w14:textFill>
                        <w14:solidFill>
                          <w14:schemeClr w14:val="tx1"/>
                        </w14:solidFill>
                      </w14:textFill>
                    </w:rPr>
                    <w:t>（</w:t>
                  </w:r>
                  <w:r>
                    <w:rPr>
                      <w:rFonts w:hint="default" w:ascii="Times New Roman" w:hAnsi="Times New Roman" w:eastAsia="宋体" w:cs="Times New Roman"/>
                      <w:color w:val="000000" w:themeColor="text1"/>
                      <w:spacing w:val="3"/>
                      <w:sz w:val="21"/>
                      <w:szCs w:val="21"/>
                      <w14:textFill>
                        <w14:solidFill>
                          <w14:schemeClr w14:val="tx1"/>
                        </w14:solidFill>
                      </w14:textFill>
                    </w:rPr>
                    <w:t>渗透系数≤</w:t>
                  </w:r>
                  <w:r>
                    <w:rPr>
                      <w:rFonts w:hint="default" w:ascii="Times New Roman" w:hAnsi="Times New Roman" w:eastAsia="宋体" w:cs="Times New Roman"/>
                      <w:color w:val="000000" w:themeColor="text1"/>
                      <w:sz w:val="21"/>
                      <w:szCs w:val="21"/>
                      <w:highlight w:val="none"/>
                      <w14:textFill>
                        <w14:solidFill>
                          <w14:schemeClr w14:val="tx1"/>
                        </w14:solidFill>
                      </w14:textFill>
                    </w:rPr>
                    <w:t>10</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-7</w:t>
                  </w:r>
                  <w:r>
                    <w:rPr>
                      <w:rFonts w:hint="default" w:ascii="Times New Roman" w:hAnsi="Times New Roman" w:eastAsia="宋体" w:cs="Times New Roman"/>
                      <w:color w:val="000000" w:themeColor="text1"/>
                      <w:sz w:val="21"/>
                      <w:szCs w:val="21"/>
                      <w:highlight w:val="none"/>
                      <w14:textFill>
                        <w14:solidFill>
                          <w14:schemeClr w14:val="tx1"/>
                        </w14:solidFill>
                      </w14:textFill>
                    </w:rPr>
                    <w:t>c</w:t>
                  </w:r>
                  <w:r>
                    <w:rPr>
                      <w:rFonts w:hint="default" w:ascii="Times New Roman" w:hAnsi="Times New Roman" w:eastAsia="宋体" w:cs="Times New Roman"/>
                      <w:color w:val="000000" w:themeColor="text1"/>
                      <w:sz w:val="21"/>
                      <w:szCs w:val="21"/>
                      <w14:textFill>
                        <w14:solidFill>
                          <w14:schemeClr w14:val="tx1"/>
                        </w14:solidFill>
                      </w14:textFill>
                    </w:rPr>
                    <w:t>m</w:t>
                  </w:r>
                  <w:r>
                    <w:rPr>
                      <w:rFonts w:hint="default" w:ascii="Times New Roman" w:hAnsi="Times New Roman" w:eastAsia="宋体" w:cs="Times New Roman"/>
                      <w:color w:val="000000" w:themeColor="text1"/>
                      <w:spacing w:val="3"/>
                      <w:sz w:val="21"/>
                      <w:szCs w:val="21"/>
                      <w14:textFill>
                        <w14:solidFill>
                          <w14:schemeClr w14:val="tx1"/>
                        </w14:solidFill>
                      </w14:textFill>
                    </w:rPr>
                    <w:t>/s</w:t>
                  </w:r>
                  <w:r>
                    <w:rPr>
                      <w:rFonts w:hint="default" w:ascii="Times New Roman" w:hAnsi="Times New Roman" w:eastAsia="宋体" w:cs="Times New Roman"/>
                      <w:color w:val="000000" w:themeColor="text1"/>
                      <w:spacing w:val="3"/>
                      <w:sz w:val="21"/>
                      <w:szCs w:val="21"/>
                      <w:lang w:eastAsia="zh-CN"/>
                      <w14:textFill>
                        <w14:solidFill>
                          <w14:schemeClr w14:val="tx1"/>
                        </w14:solidFill>
                      </w14:textFill>
                    </w:rPr>
                    <w:t>）</w:t>
                  </w:r>
                  <w:r>
                    <w:rPr>
                      <w:rFonts w:hint="default" w:ascii="Times New Roman" w:hAnsi="Times New Roman" w:eastAsia="宋体" w:cs="Times New Roman"/>
                      <w:color w:val="000000" w:themeColor="text1"/>
                      <w:spacing w:val="3"/>
                      <w:sz w:val="21"/>
                      <w:szCs w:val="21"/>
                      <w14:textFill>
                        <w14:solidFill>
                          <w14:schemeClr w14:val="tx1"/>
                        </w14:solidFill>
                      </w14:textFill>
                    </w:rPr>
                    <w:t>，或2</w:t>
                  </w:r>
                  <w:r>
                    <w:rPr>
                      <w:rFonts w:hint="default" w:ascii="Times New Roman" w:hAnsi="Times New Roman" w:eastAsia="宋体" w:cs="Times New Roman"/>
                      <w:color w:val="000000" w:themeColor="text1"/>
                      <w:sz w:val="21"/>
                      <w:szCs w:val="21"/>
                      <w14:textFill>
                        <w14:solidFill>
                          <w14:schemeClr w14:val="tx1"/>
                        </w14:solidFill>
                      </w14:textFill>
                    </w:rPr>
                    <w:t>mm</w:t>
                  </w:r>
                  <w:r>
                    <w:rPr>
                      <w:rFonts w:hint="default" w:ascii="Times New Roman" w:hAnsi="Times New Roman" w:eastAsia="宋体" w:cs="Times New Roman"/>
                      <w:color w:val="000000" w:themeColor="text1"/>
                      <w:spacing w:val="8"/>
                      <w:sz w:val="21"/>
                      <w:szCs w:val="21"/>
                      <w14:textFill>
                        <w14:solidFill>
                          <w14:schemeClr w14:val="tx1"/>
                        </w14:solidFill>
                      </w14:textFill>
                    </w:rPr>
                    <w:t>厚高密度聚乙烯，或至少2</w:t>
                  </w:r>
                  <w:r>
                    <w:rPr>
                      <w:rFonts w:hint="default" w:ascii="Times New Roman" w:hAnsi="Times New Roman" w:eastAsia="宋体" w:cs="Times New Roman"/>
                      <w:color w:val="000000" w:themeColor="text1"/>
                      <w:sz w:val="21"/>
                      <w:szCs w:val="21"/>
                      <w14:textFill>
                        <w14:solidFill>
                          <w14:schemeClr w14:val="tx1"/>
                        </w14:solidFill>
                      </w14:textFill>
                    </w:rPr>
                    <w:t>mm</w:t>
                  </w:r>
                  <w:r>
                    <w:rPr>
                      <w:rFonts w:hint="default" w:ascii="Times New Roman" w:hAnsi="Times New Roman" w:eastAsia="宋体" w:cs="Times New Roman"/>
                      <w:color w:val="000000" w:themeColor="text1"/>
                      <w:spacing w:val="8"/>
                      <w:sz w:val="21"/>
                      <w:szCs w:val="21"/>
                      <w14:textFill>
                        <w14:solidFill>
                          <w14:schemeClr w14:val="tx1"/>
                        </w14:solidFill>
                      </w14:textFill>
                    </w:rPr>
                    <w:t>厚的其它人工材</w:t>
                  </w:r>
                  <w:r>
                    <w:rPr>
                      <w:rFonts w:hint="default" w:ascii="Times New Roman" w:hAnsi="Times New Roman" w:eastAsia="宋体" w:cs="Times New Roman"/>
                      <w:color w:val="000000" w:themeColor="text1"/>
                      <w:spacing w:val="7"/>
                      <w:sz w:val="21"/>
                      <w:szCs w:val="21"/>
                      <w14:textFill>
                        <w14:solidFill>
                          <w14:schemeClr w14:val="tx1"/>
                        </w14:solidFill>
                      </w14:textFill>
                    </w:rPr>
                    <w:t>料，渗透系数≤1</w:t>
                  </w:r>
                  <w:r>
                    <w:rPr>
                      <w:rFonts w:hint="default" w:ascii="Times New Roman" w:hAnsi="Times New Roman" w:eastAsia="宋体" w:cs="Times New Roman"/>
                      <w:color w:val="000000" w:themeColor="text1"/>
                      <w:sz w:val="21"/>
                      <w:szCs w:val="21"/>
                      <w:highlight w:val="none"/>
                      <w14:textFill>
                        <w14:solidFill>
                          <w14:schemeClr w14:val="tx1"/>
                        </w14:solidFill>
                      </w14:textFill>
                    </w:rPr>
                    <w:t>0</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14:textFill>
                        <w14:solidFill>
                          <w14:schemeClr w14:val="tx1"/>
                        </w14:solidFill>
                      </w14:textFill>
                    </w:rPr>
                    <w:t>cm</w:t>
                  </w:r>
                  <w:r>
                    <w:rPr>
                      <w:rFonts w:hint="default" w:ascii="Times New Roman" w:hAnsi="Times New Roman" w:eastAsia="宋体" w:cs="Times New Roman"/>
                      <w:color w:val="000000" w:themeColor="text1"/>
                      <w:spacing w:val="7"/>
                      <w:sz w:val="21"/>
                      <w:szCs w:val="21"/>
                      <w14:textFill>
                        <w14:solidFill>
                          <w14:schemeClr w14:val="tx1"/>
                        </w14:solidFill>
                      </w14:textFill>
                    </w:rPr>
                    <w:t>/s进行防渗</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原料库按照等效黏土防渗层 Mb ≥6.0m，K≤1×10</w:t>
                  </w:r>
                  <w:r>
                    <w:rPr>
                      <w:rFonts w:hint="eastAsia" w:cs="Times New Roman"/>
                      <w:color w:val="000000" w:themeColor="text1"/>
                      <w:sz w:val="21"/>
                      <w:szCs w:val="21"/>
                      <w:highlight w:val="none"/>
                      <w:vertAlign w:val="superscript"/>
                      <w:lang w:val="en-US" w:eastAsia="zh-CN"/>
                      <w14:textFill>
                        <w14:solidFill>
                          <w14:schemeClr w14:val="tx1"/>
                        </w14:solidFill>
                      </w14:textFill>
                    </w:rPr>
                    <w:t>-7</w:t>
                  </w:r>
                  <w:r>
                    <w:rPr>
                      <w:rFonts w:hint="eastAsia" w:cs="Times New Roman"/>
                      <w:color w:val="000000" w:themeColor="text1"/>
                      <w:sz w:val="21"/>
                      <w:szCs w:val="21"/>
                      <w:highlight w:val="none"/>
                      <w:lang w:val="en-US" w:eastAsia="zh-CN"/>
                      <w14:textFill>
                        <w14:solidFill>
                          <w14:schemeClr w14:val="tx1"/>
                        </w14:solidFill>
                      </w14:textFill>
                    </w:rPr>
                    <w:t>cm/s进行防渗；</w:t>
                  </w:r>
                </w:p>
              </w:tc>
              <w:tc>
                <w:tcPr>
                  <w:tcW w:w="287" w:type="pct"/>
                  <w:vAlign w:val="center"/>
                </w:tcPr>
                <w:p w14:paraId="35512E2E">
                  <w:pPr>
                    <w:jc w:val="center"/>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新建</w:t>
                  </w:r>
                </w:p>
              </w:tc>
            </w:tr>
            <w:tr w14:paraId="47B2B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Merge w:val="continue"/>
                  <w:vAlign w:val="center"/>
                </w:tcPr>
                <w:p w14:paraId="71C23293">
                  <w:pPr>
                    <w:jc w:val="center"/>
                    <w:rPr>
                      <w:color w:val="000000" w:themeColor="text1"/>
                      <w14:textFill>
                        <w14:solidFill>
                          <w14:schemeClr w14:val="tx1"/>
                        </w14:solidFill>
                      </w14:textFill>
                    </w:rPr>
                  </w:pPr>
                </w:p>
              </w:tc>
              <w:tc>
                <w:tcPr>
                  <w:tcW w:w="257" w:type="pct"/>
                  <w:vMerge w:val="continue"/>
                  <w:vAlign w:val="center"/>
                </w:tcPr>
                <w:p w14:paraId="0E81C895">
                  <w:pPr>
                    <w:jc w:val="center"/>
                    <w:rPr>
                      <w:color w:val="000000" w:themeColor="text1"/>
                      <w14:textFill>
                        <w14:solidFill>
                          <w14:schemeClr w14:val="tx1"/>
                        </w14:solidFill>
                      </w14:textFill>
                    </w:rPr>
                  </w:pPr>
                </w:p>
              </w:tc>
              <w:tc>
                <w:tcPr>
                  <w:tcW w:w="1003" w:type="pct"/>
                  <w:vAlign w:val="center"/>
                </w:tcPr>
                <w:p w14:paraId="2B3589C0">
                  <w:pPr>
                    <w:keepNext w:val="0"/>
                    <w:keepLines w:val="0"/>
                    <w:pageBreakBefore w:val="0"/>
                    <w:widowControl w:val="0"/>
                    <w:kinsoku/>
                    <w:wordWrap/>
                    <w:overflowPunct/>
                    <w:topLinePunct w:val="0"/>
                    <w:autoSpaceDE w:val="0"/>
                    <w:autoSpaceDN w:val="0"/>
                    <w:bidi w:val="0"/>
                    <w:adjustRightInd w:val="0"/>
                    <w:spacing w:line="240" w:lineRule="auto"/>
                    <w:ind w:left="0" w:leftChars="0" w:right="0" w:rightChars="0"/>
                    <w:jc w:val="center"/>
                    <w:textAlignment w:val="auto"/>
                    <w:rPr>
                      <w:color w:val="000000" w:themeColor="text1"/>
                      <w:kern w:val="0"/>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简单防渗区</w:t>
                  </w:r>
                </w:p>
              </w:tc>
              <w:tc>
                <w:tcPr>
                  <w:tcW w:w="3053" w:type="pct"/>
                  <w:vAlign w:val="center"/>
                </w:tcPr>
                <w:p w14:paraId="1DF93A6C">
                  <w:pPr>
                    <w:keepNext w:val="0"/>
                    <w:keepLines w:val="0"/>
                    <w:pageBreakBefore w:val="0"/>
                    <w:widowControl w:val="0"/>
                    <w:kinsoku/>
                    <w:wordWrap/>
                    <w:overflowPunct/>
                    <w:topLinePunct w:val="0"/>
                    <w:autoSpaceDE w:val="0"/>
                    <w:autoSpaceDN w:val="0"/>
                    <w:bidi w:val="0"/>
                    <w:adjustRightInd w:val="0"/>
                    <w:spacing w:line="240" w:lineRule="auto"/>
                    <w:ind w:left="0" w:leftChars="0" w:right="0" w:rightChars="0"/>
                    <w:jc w:val="both"/>
                    <w:textAlignment w:val="auto"/>
                    <w:rPr>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生产加工区域、</w:t>
                  </w:r>
                  <w:r>
                    <w:rPr>
                      <w:rFonts w:hint="default" w:ascii="Times New Roman" w:hAnsi="Times New Roman" w:eastAsia="宋体" w:cs="Times New Roman"/>
                      <w:color w:val="000000" w:themeColor="text1"/>
                      <w:spacing w:val="9"/>
                      <w:sz w:val="21"/>
                      <w:szCs w:val="21"/>
                      <w14:textFill>
                        <w14:solidFill>
                          <w14:schemeClr w14:val="tx1"/>
                        </w14:solidFill>
                      </w14:textFill>
                    </w:rPr>
                    <w:t>道路</w:t>
                  </w:r>
                  <w:r>
                    <w:rPr>
                      <w:rFonts w:hint="default" w:ascii="Times New Roman" w:hAnsi="Times New Roman" w:eastAsia="宋体" w:cs="Times New Roman"/>
                      <w:color w:val="000000" w:themeColor="text1"/>
                      <w:spacing w:val="9"/>
                      <w:sz w:val="21"/>
                      <w:szCs w:val="21"/>
                      <w:lang w:val="en-US" w:eastAsia="zh-CN"/>
                      <w14:textFill>
                        <w14:solidFill>
                          <w14:schemeClr w14:val="tx1"/>
                        </w14:solidFill>
                      </w14:textFill>
                    </w:rPr>
                    <w:t>等</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进行一般的地面硬化处理</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287" w:type="pct"/>
                  <w:vAlign w:val="center"/>
                </w:tcPr>
                <w:p w14:paraId="641C979B">
                  <w:pPr>
                    <w:jc w:val="center"/>
                    <w:rPr>
                      <w:color w:val="000000" w:themeColor="text1"/>
                      <w:kern w:val="0"/>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新建</w:t>
                  </w:r>
                </w:p>
              </w:tc>
            </w:tr>
            <w:tr w14:paraId="3E1EC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Merge w:val="continue"/>
                  <w:vAlign w:val="center"/>
                </w:tcPr>
                <w:p w14:paraId="75C6E33D">
                  <w:pPr>
                    <w:jc w:val="center"/>
                    <w:rPr>
                      <w:color w:val="000000" w:themeColor="text1"/>
                      <w14:textFill>
                        <w14:solidFill>
                          <w14:schemeClr w14:val="tx1"/>
                        </w14:solidFill>
                      </w14:textFill>
                    </w:rPr>
                  </w:pPr>
                </w:p>
              </w:tc>
              <w:tc>
                <w:tcPr>
                  <w:tcW w:w="257" w:type="pct"/>
                  <w:vAlign w:val="center"/>
                </w:tcPr>
                <w:p w14:paraId="133AF8B1">
                  <w:pPr>
                    <w:jc w:val="center"/>
                    <w:rPr>
                      <w:rFonts w:hint="eastAsia" w:eastAsia="宋体"/>
                      <w:color w:val="000000" w:themeColor="text1"/>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环境风险</w:t>
                  </w:r>
                </w:p>
              </w:tc>
              <w:tc>
                <w:tcPr>
                  <w:tcW w:w="4057" w:type="pct"/>
                  <w:gridSpan w:val="2"/>
                  <w:vAlign w:val="center"/>
                </w:tcPr>
                <w:p w14:paraId="6F20F0E9">
                  <w:pPr>
                    <w:keepNext w:val="0"/>
                    <w:keepLines w:val="0"/>
                    <w:pageBreakBefore w:val="0"/>
                    <w:widowControl w:val="0"/>
                    <w:kinsoku/>
                    <w:wordWrap/>
                    <w:overflowPunct/>
                    <w:topLinePunct w:val="0"/>
                    <w:autoSpaceDE w:val="0"/>
                    <w:autoSpaceDN w:val="0"/>
                    <w:bidi w:val="0"/>
                    <w:adjustRightInd w:val="0"/>
                    <w:spacing w:line="240" w:lineRule="auto"/>
                    <w:ind w:left="0" w:leftChars="0" w:right="0" w:rightChars="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①润滑油、液压油、废润滑油、废液压油存储在专门的区域，并对所在区域进行防渗处理。</w:t>
                  </w:r>
                </w:p>
                <w:p w14:paraId="4CE49C04">
                  <w:pPr>
                    <w:keepNext w:val="0"/>
                    <w:keepLines w:val="0"/>
                    <w:pageBreakBefore w:val="0"/>
                    <w:widowControl w:val="0"/>
                    <w:kinsoku/>
                    <w:wordWrap/>
                    <w:overflowPunct/>
                    <w:topLinePunct w:val="0"/>
                    <w:autoSpaceDE w:val="0"/>
                    <w:autoSpaceDN w:val="0"/>
                    <w:bidi w:val="0"/>
                    <w:adjustRightInd w:val="0"/>
                    <w:spacing w:line="240" w:lineRule="auto"/>
                    <w:ind w:left="0" w:leftChars="0" w:right="0" w:rightChars="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②危废暂存于危险废物贮存间内，危险废物贮存间按照《危险废物贮存污染控制标准》（GB18597-2023）及本环评提出的要求进行建设，做好防腐蚀、防渗漏、防流失，且委托有资质的危险废物处置单位清运处置。</w:t>
                  </w:r>
                </w:p>
                <w:p w14:paraId="58A7C60A">
                  <w:pPr>
                    <w:keepNext w:val="0"/>
                    <w:keepLines w:val="0"/>
                    <w:pageBreakBefore w:val="0"/>
                    <w:widowControl w:val="0"/>
                    <w:kinsoku/>
                    <w:wordWrap/>
                    <w:overflowPunct/>
                    <w:topLinePunct w:val="0"/>
                    <w:autoSpaceDE w:val="0"/>
                    <w:autoSpaceDN w:val="0"/>
                    <w:bidi w:val="0"/>
                    <w:adjustRightInd w:val="0"/>
                    <w:spacing w:line="240" w:lineRule="auto"/>
                    <w:ind w:left="0" w:leftChars="0" w:right="0" w:rightChars="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③防护措施：自备防护服、防护口罩、堵漏器材；应急物资：灭火器等消防灭火器材；119火警电话、120急救电话及应急通讯装置。</w:t>
                  </w:r>
                </w:p>
              </w:tc>
              <w:tc>
                <w:tcPr>
                  <w:tcW w:w="287" w:type="pct"/>
                  <w:vAlign w:val="center"/>
                </w:tcPr>
                <w:p w14:paraId="591689B3">
                  <w:pPr>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新建</w:t>
                  </w:r>
                </w:p>
              </w:tc>
            </w:tr>
          </w:tbl>
          <w:p w14:paraId="74034A18">
            <w:pPr>
              <w:spacing w:line="360" w:lineRule="auto"/>
              <w:ind w:firstLine="463" w:firstLineChars="192"/>
              <w:rPr>
                <w:rFonts w:hint="eastAsia" w:cs="Times New Roman"/>
                <w:b/>
                <w:bCs/>
                <w:color w:val="000000" w:themeColor="text1"/>
                <w:kern w:val="0"/>
                <w:sz w:val="24"/>
                <w:lang w:val="en-US" w:eastAsia="zh-CN"/>
                <w14:textFill>
                  <w14:solidFill>
                    <w14:schemeClr w14:val="tx1"/>
                  </w14:solidFill>
                </w14:textFill>
              </w:rPr>
            </w:pPr>
          </w:p>
          <w:p w14:paraId="37A5C662">
            <w:pPr>
              <w:spacing w:line="360" w:lineRule="auto"/>
              <w:ind w:firstLine="463" w:firstLineChars="192"/>
              <w:rPr>
                <w:rFonts w:hint="default" w:ascii="Times New Roman" w:hAnsi="Times New Roman" w:eastAsia="宋体" w:cs="Times New Roman"/>
                <w:b/>
                <w:bCs/>
                <w:color w:val="000000" w:themeColor="text1"/>
                <w:kern w:val="0"/>
                <w:sz w:val="24"/>
                <w:lang w:val="en-US" w:eastAsia="zh-CN"/>
                <w14:textFill>
                  <w14:solidFill>
                    <w14:schemeClr w14:val="tx1"/>
                  </w14:solidFill>
                </w14:textFill>
              </w:rPr>
            </w:pPr>
            <w:r>
              <w:rPr>
                <w:rFonts w:hint="eastAsia" w:cs="Times New Roman"/>
                <w:b/>
                <w:bCs/>
                <w:color w:val="000000" w:themeColor="text1"/>
                <w:kern w:val="0"/>
                <w:sz w:val="24"/>
                <w:lang w:val="en-US" w:eastAsia="zh-CN"/>
                <w14:textFill>
                  <w14:solidFill>
                    <w14:schemeClr w14:val="tx1"/>
                  </w14:solidFill>
                </w14:textFill>
              </w:rPr>
              <w:t>5</w:t>
            </w:r>
            <w:r>
              <w:rPr>
                <w:rFonts w:hint="default" w:ascii="Times New Roman" w:hAnsi="Times New Roman" w:cs="Times New Roman"/>
                <w:b/>
                <w:bCs/>
                <w:color w:val="000000" w:themeColor="text1"/>
                <w:kern w:val="0"/>
                <w:sz w:val="24"/>
                <w14:textFill>
                  <w14:solidFill>
                    <w14:schemeClr w14:val="tx1"/>
                  </w14:solidFill>
                </w14:textFill>
              </w:rPr>
              <w:t>、</w:t>
            </w:r>
            <w:r>
              <w:rPr>
                <w:rFonts w:hint="eastAsia" w:cs="Times New Roman"/>
                <w:b/>
                <w:bCs/>
                <w:color w:val="000000" w:themeColor="text1"/>
                <w:kern w:val="0"/>
                <w:sz w:val="24"/>
                <w:lang w:val="en-US" w:eastAsia="zh-CN"/>
                <w14:textFill>
                  <w14:solidFill>
                    <w14:schemeClr w14:val="tx1"/>
                  </w14:solidFill>
                </w14:textFill>
              </w:rPr>
              <w:t>产品方案</w:t>
            </w:r>
          </w:p>
          <w:p w14:paraId="0C13D7D4">
            <w:pPr>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本项目产品方案见下表2-2</w:t>
            </w:r>
            <w:r>
              <w:rPr>
                <w:rFonts w:hint="eastAsia" w:ascii="Times New Roman" w:hAnsi="Times New Roman" w:cs="Times New Roman"/>
                <w:color w:val="000000" w:themeColor="text1"/>
                <w:sz w:val="24"/>
                <w:lang w:eastAsia="zh-CN"/>
                <w14:textFill>
                  <w14:solidFill>
                    <w14:schemeClr w14:val="tx1"/>
                  </w14:solidFill>
                </w14:textFill>
              </w:rPr>
              <w:t>：</w:t>
            </w:r>
          </w:p>
          <w:p w14:paraId="101852F8">
            <w:pPr>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表2-2   项目产品情况表</w:t>
            </w:r>
          </w:p>
          <w:tbl>
            <w:tblPr>
              <w:tblStyle w:val="32"/>
              <w:tblW w:w="498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03"/>
              <w:gridCol w:w="1604"/>
              <w:gridCol w:w="2181"/>
              <w:gridCol w:w="3602"/>
            </w:tblGrid>
            <w:tr w14:paraId="6C60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blHeader/>
              </w:trPr>
              <w:tc>
                <w:tcPr>
                  <w:tcW w:w="490" w:type="pct"/>
                  <w:tcBorders>
                    <w:top w:val="single" w:color="auto" w:sz="4" w:space="0"/>
                    <w:left w:val="single" w:color="auto" w:sz="4" w:space="0"/>
                    <w:bottom w:val="single" w:color="auto" w:sz="4" w:space="0"/>
                    <w:right w:val="single" w:color="auto" w:sz="4" w:space="0"/>
                  </w:tcBorders>
                  <w:shd w:val="clear" w:color="auto" w:fill="auto"/>
                  <w:vAlign w:val="center"/>
                </w:tcPr>
                <w:p w14:paraId="5B00430F">
                  <w:pPr>
                    <w:keepNext w:val="0"/>
                    <w:keepLines w:val="0"/>
                    <w:widowControl w:val="0"/>
                    <w:suppressLineNumbers w:val="0"/>
                    <w:spacing w:before="0" w:beforeAutospacing="0" w:after="0" w:afterAutospacing="0"/>
                    <w:ind w:left="0" w:right="0"/>
                    <w:jc w:val="center"/>
                    <w:rPr>
                      <w:rFonts w:hint="default" w:ascii="Times New Roman" w:hAnsi="Times New Roman" w:cs="Times New Roman"/>
                      <w:b/>
                      <w:bCs/>
                      <w:color w:val="000000" w:themeColor="text1"/>
                      <w:kern w:val="0"/>
                      <w:lang w:val="en-US"/>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序号</w:t>
                  </w:r>
                </w:p>
              </w:tc>
              <w:tc>
                <w:tcPr>
                  <w:tcW w:w="979" w:type="pct"/>
                  <w:tcBorders>
                    <w:top w:val="single" w:color="auto" w:sz="4" w:space="0"/>
                    <w:left w:val="single" w:color="auto" w:sz="4" w:space="0"/>
                    <w:bottom w:val="single" w:color="auto" w:sz="4" w:space="0"/>
                    <w:right w:val="single" w:color="auto" w:sz="4" w:space="0"/>
                  </w:tcBorders>
                  <w:shd w:val="clear" w:color="auto" w:fill="auto"/>
                  <w:vAlign w:val="center"/>
                </w:tcPr>
                <w:p w14:paraId="1E250A64">
                  <w:pPr>
                    <w:keepNext w:val="0"/>
                    <w:keepLines w:val="0"/>
                    <w:widowControl w:val="0"/>
                    <w:suppressLineNumbers w:val="0"/>
                    <w:spacing w:before="0" w:beforeAutospacing="0" w:after="0" w:afterAutospacing="0"/>
                    <w:ind w:left="0" w:right="0"/>
                    <w:jc w:val="center"/>
                    <w:rPr>
                      <w:rFonts w:hint="default" w:ascii="Times New Roman" w:hAnsi="Times New Roman" w:cs="Times New Roman"/>
                      <w:b/>
                      <w:bCs/>
                      <w:color w:val="000000" w:themeColor="text1"/>
                      <w:kern w:val="0"/>
                      <w:lang w:val="en-US"/>
                      <w14:textFill>
                        <w14:solidFill>
                          <w14:schemeClr w14:val="tx1"/>
                        </w14:solidFill>
                      </w14:textFill>
                    </w:rPr>
                  </w:pPr>
                  <w:r>
                    <w:rPr>
                      <w:rFonts w:hint="eastAsia" w:cs="Times New Roman"/>
                      <w:b/>
                      <w:bCs/>
                      <w:color w:val="000000" w:themeColor="text1"/>
                      <w:kern w:val="0"/>
                      <w:sz w:val="21"/>
                      <w:szCs w:val="21"/>
                      <w:lang w:val="en-US" w:eastAsia="zh-CN" w:bidi="ar"/>
                      <w14:textFill>
                        <w14:solidFill>
                          <w14:schemeClr w14:val="tx1"/>
                        </w14:solidFill>
                      </w14:textFill>
                    </w:rPr>
                    <w:t>产品名称</w:t>
                  </w:r>
                </w:p>
              </w:tc>
              <w:tc>
                <w:tcPr>
                  <w:tcW w:w="1331" w:type="pct"/>
                  <w:tcBorders>
                    <w:top w:val="single" w:color="auto" w:sz="4" w:space="0"/>
                    <w:left w:val="single" w:color="auto" w:sz="4" w:space="0"/>
                    <w:bottom w:val="single" w:color="auto" w:sz="4" w:space="0"/>
                    <w:right w:val="single" w:color="auto" w:sz="4" w:space="0"/>
                  </w:tcBorders>
                  <w:shd w:val="clear" w:color="auto" w:fill="auto"/>
                  <w:vAlign w:val="center"/>
                </w:tcPr>
                <w:p w14:paraId="51D507E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pPr>
                  <w:r>
                    <w:rPr>
                      <w:rFonts w:hint="eastAsia" w:cs="Times New Roman"/>
                      <w:b/>
                      <w:bCs/>
                      <w:color w:val="000000" w:themeColor="text1"/>
                      <w:kern w:val="0"/>
                      <w:sz w:val="21"/>
                      <w:szCs w:val="21"/>
                      <w:lang w:val="en-US" w:eastAsia="zh-CN" w:bidi="ar"/>
                      <w14:textFill>
                        <w14:solidFill>
                          <w14:schemeClr w14:val="tx1"/>
                        </w14:solidFill>
                      </w14:textFill>
                    </w:rPr>
                    <w:t>产品产量（t/a）</w:t>
                  </w:r>
                </w:p>
              </w:tc>
              <w:tc>
                <w:tcPr>
                  <w:tcW w:w="2199" w:type="pct"/>
                  <w:tcBorders>
                    <w:top w:val="single" w:color="auto" w:sz="4" w:space="0"/>
                    <w:left w:val="single" w:color="auto" w:sz="4" w:space="0"/>
                    <w:bottom w:val="single" w:color="auto" w:sz="4" w:space="0"/>
                    <w:right w:val="single" w:color="auto" w:sz="4" w:space="0"/>
                  </w:tcBorders>
                  <w:shd w:val="clear" w:color="auto" w:fill="auto"/>
                  <w:vAlign w:val="center"/>
                </w:tcPr>
                <w:p w14:paraId="1753770D">
                  <w:pPr>
                    <w:keepNext w:val="0"/>
                    <w:keepLines w:val="0"/>
                    <w:widowControl w:val="0"/>
                    <w:suppressLineNumbers w:val="0"/>
                    <w:spacing w:before="0" w:beforeAutospacing="0" w:after="0" w:afterAutospacing="0"/>
                    <w:ind w:left="0" w:right="0"/>
                    <w:jc w:val="center"/>
                    <w:rPr>
                      <w:rFonts w:hint="default" w:ascii="Times New Roman" w:hAnsi="Times New Roman"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bCs/>
                      <w:color w:val="000000" w:themeColor="text1"/>
                      <w:kern w:val="0"/>
                      <w:sz w:val="21"/>
                      <w:szCs w:val="21"/>
                      <w:lang w:val="en-US" w:eastAsia="zh-CN" w:bidi="ar"/>
                      <w14:textFill>
                        <w14:solidFill>
                          <w14:schemeClr w14:val="tx1"/>
                        </w14:solidFill>
                      </w14:textFill>
                    </w:rPr>
                    <w:t>备注</w:t>
                  </w:r>
                </w:p>
              </w:tc>
            </w:tr>
            <w:tr w14:paraId="31656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90" w:type="pct"/>
                  <w:tcBorders>
                    <w:top w:val="single" w:color="auto" w:sz="4" w:space="0"/>
                    <w:left w:val="single" w:color="auto" w:sz="4" w:space="0"/>
                    <w:right w:val="single" w:color="auto" w:sz="4" w:space="0"/>
                  </w:tcBorders>
                  <w:shd w:val="clear" w:color="auto" w:fill="auto"/>
                  <w:vAlign w:val="center"/>
                </w:tcPr>
                <w:p w14:paraId="7712A724">
                  <w:pPr>
                    <w:keepNext w:val="0"/>
                    <w:keepLines w:val="0"/>
                    <w:widowControl w:val="0"/>
                    <w:suppressLineNumbers w:val="0"/>
                    <w:spacing w:before="0" w:beforeAutospacing="0" w:after="0" w:afterAutospacing="0"/>
                    <w:ind w:left="0" w:right="0"/>
                    <w:jc w:val="center"/>
                    <w:rPr>
                      <w:rFonts w:hint="default" w:ascii="Times New Roman" w:hAnsi="Times New Roman" w:cs="Times New Roman"/>
                      <w:color w:val="000000" w:themeColor="text1"/>
                      <w:kern w:val="0"/>
                      <w:lang w:val="en-US"/>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p>
              </w:tc>
              <w:tc>
                <w:tcPr>
                  <w:tcW w:w="979" w:type="pct"/>
                  <w:tcBorders>
                    <w:top w:val="single" w:color="auto" w:sz="4" w:space="0"/>
                    <w:left w:val="single" w:color="auto" w:sz="4" w:space="0"/>
                    <w:right w:val="single" w:color="auto" w:sz="4" w:space="0"/>
                  </w:tcBorders>
                  <w:shd w:val="clear" w:color="auto" w:fill="auto"/>
                  <w:vAlign w:val="center"/>
                </w:tcPr>
                <w:p w14:paraId="637458FF">
                  <w:pPr>
                    <w:widowControl/>
                    <w:jc w:val="center"/>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密胺餐具</w:t>
                  </w:r>
                </w:p>
              </w:tc>
              <w:tc>
                <w:tcPr>
                  <w:tcW w:w="1331" w:type="pct"/>
                  <w:tcBorders>
                    <w:top w:val="single" w:color="auto" w:sz="4" w:space="0"/>
                    <w:left w:val="single" w:color="auto" w:sz="4" w:space="0"/>
                    <w:right w:val="single" w:color="auto" w:sz="4" w:space="0"/>
                  </w:tcBorders>
                  <w:shd w:val="clear" w:color="auto" w:fill="auto"/>
                  <w:vAlign w:val="center"/>
                </w:tcPr>
                <w:p w14:paraId="017B5928">
                  <w:pPr>
                    <w:widowControl/>
                    <w:jc w:val="center"/>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1000</w:t>
                  </w:r>
                </w:p>
              </w:tc>
              <w:tc>
                <w:tcPr>
                  <w:tcW w:w="2199" w:type="pct"/>
                  <w:tcBorders>
                    <w:top w:val="single" w:color="auto" w:sz="4" w:space="0"/>
                    <w:left w:val="single" w:color="auto" w:sz="4" w:space="0"/>
                    <w:right w:val="single" w:color="auto" w:sz="4" w:space="0"/>
                  </w:tcBorders>
                  <w:shd w:val="clear" w:color="auto" w:fill="auto"/>
                  <w:vAlign w:val="center"/>
                </w:tcPr>
                <w:p w14:paraId="04486574">
                  <w:pPr>
                    <w:widowControl/>
                    <w:jc w:val="both"/>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质量与性能要求主要依据《食品安全国家标准 食品接触用塑料材料及制品》（GB 4806.7-2023）与《密胺塑料餐饮具》（GB/T 41001-2021）。</w:t>
                  </w:r>
                </w:p>
              </w:tc>
            </w:tr>
            <w:tr w14:paraId="21358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52B74D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合计</w:t>
                  </w:r>
                </w:p>
              </w:tc>
              <w:tc>
                <w:tcPr>
                  <w:tcW w:w="1331" w:type="pct"/>
                  <w:tcBorders>
                    <w:top w:val="single" w:color="auto" w:sz="4" w:space="0"/>
                    <w:left w:val="single" w:color="auto" w:sz="4" w:space="0"/>
                    <w:bottom w:val="single" w:color="auto" w:sz="4" w:space="0"/>
                    <w:right w:val="single" w:color="auto" w:sz="4" w:space="0"/>
                  </w:tcBorders>
                  <w:shd w:val="clear" w:color="auto" w:fill="auto"/>
                  <w:vAlign w:val="center"/>
                </w:tcPr>
                <w:p w14:paraId="47ADBB5C">
                  <w:pPr>
                    <w:keepNext w:val="0"/>
                    <w:keepLines w:val="0"/>
                    <w:widowControl w:val="0"/>
                    <w:suppressLineNumbers w:val="0"/>
                    <w:spacing w:before="0" w:beforeAutospacing="0" w:after="0" w:afterAutospacing="0"/>
                    <w:ind w:left="0" w:right="0"/>
                    <w:jc w:val="center"/>
                    <w:rPr>
                      <w:rFonts w:hint="default" w:ascii="Times New Roman" w:hAnsi="Times New Roman" w:cs="Times New Roman"/>
                      <w:color w:val="000000" w:themeColor="text1"/>
                      <w:kern w:val="0"/>
                      <w:lang w:val="en-US" w:eastAsia="zh-CN"/>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1000</w:t>
                  </w:r>
                </w:p>
              </w:tc>
              <w:tc>
                <w:tcPr>
                  <w:tcW w:w="2199" w:type="pct"/>
                  <w:tcBorders>
                    <w:top w:val="single" w:color="auto" w:sz="4" w:space="0"/>
                    <w:left w:val="single" w:color="auto" w:sz="4" w:space="0"/>
                    <w:bottom w:val="single" w:color="auto" w:sz="4" w:space="0"/>
                    <w:right w:val="single" w:color="auto" w:sz="4" w:space="0"/>
                  </w:tcBorders>
                  <w:shd w:val="clear" w:color="auto" w:fill="auto"/>
                  <w:vAlign w:val="center"/>
                </w:tcPr>
                <w:p w14:paraId="26CDE4A7">
                  <w:pPr>
                    <w:keepNext w:val="0"/>
                    <w:keepLines w:val="0"/>
                    <w:widowControl w:val="0"/>
                    <w:suppressLineNumbers w:val="0"/>
                    <w:spacing w:before="0" w:beforeAutospacing="0" w:after="0" w:afterAutospacing="0"/>
                    <w:ind w:left="0" w:right="0"/>
                    <w:jc w:val="center"/>
                    <w:rPr>
                      <w:rFonts w:hint="default" w:ascii="Times New Roman" w:hAnsi="Times New Roman" w:cs="Times New Roman"/>
                      <w:color w:val="000000" w:themeColor="text1"/>
                      <w:kern w:val="0"/>
                      <w:lang w:val="en-US" w:eastAsia="zh-CN"/>
                      <w14:textFill>
                        <w14:solidFill>
                          <w14:schemeClr w14:val="tx1"/>
                        </w14:solidFill>
                      </w14:textFill>
                    </w:rPr>
                  </w:pPr>
                  <w:r>
                    <w:rPr>
                      <w:rFonts w:hint="eastAsia" w:cs="Times New Roman"/>
                      <w:color w:val="000000" w:themeColor="text1"/>
                      <w:kern w:val="0"/>
                      <w:lang w:val="en-US" w:eastAsia="zh-CN"/>
                      <w14:textFill>
                        <w14:solidFill>
                          <w14:schemeClr w14:val="tx1"/>
                        </w14:solidFill>
                      </w14:textFill>
                    </w:rPr>
                    <w:t>/</w:t>
                  </w:r>
                </w:p>
              </w:tc>
            </w:tr>
          </w:tbl>
          <w:p w14:paraId="0A0EB4B0">
            <w:pPr>
              <w:spacing w:line="360" w:lineRule="auto"/>
              <w:ind w:firstLine="463" w:firstLineChars="192"/>
              <w:rPr>
                <w:rFonts w:hint="default" w:ascii="Times New Roman" w:hAnsi="Times New Roman" w:cs="Times New Roman"/>
                <w:b/>
                <w:bCs/>
                <w:color w:val="000000" w:themeColor="text1"/>
                <w:kern w:val="0"/>
                <w:sz w:val="24"/>
                <w14:textFill>
                  <w14:solidFill>
                    <w14:schemeClr w14:val="tx1"/>
                  </w14:solidFill>
                </w14:textFill>
              </w:rPr>
            </w:pPr>
            <w:r>
              <w:rPr>
                <w:rFonts w:hint="eastAsia" w:cs="Times New Roman"/>
                <w:b/>
                <w:bCs/>
                <w:color w:val="000000" w:themeColor="text1"/>
                <w:kern w:val="0"/>
                <w:sz w:val="24"/>
                <w:lang w:val="en-US" w:eastAsia="zh-CN"/>
                <w14:textFill>
                  <w14:solidFill>
                    <w14:schemeClr w14:val="tx1"/>
                  </w14:solidFill>
                </w14:textFill>
              </w:rPr>
              <w:t>6</w:t>
            </w:r>
            <w:r>
              <w:rPr>
                <w:rFonts w:hint="default" w:ascii="Times New Roman" w:hAnsi="Times New Roman" w:cs="Times New Roman"/>
                <w:b/>
                <w:bCs/>
                <w:color w:val="000000" w:themeColor="text1"/>
                <w:kern w:val="0"/>
                <w:sz w:val="24"/>
                <w14:textFill>
                  <w14:solidFill>
                    <w14:schemeClr w14:val="tx1"/>
                  </w14:solidFill>
                </w14:textFill>
              </w:rPr>
              <w:t>、</w:t>
            </w:r>
            <w:r>
              <w:rPr>
                <w:rFonts w:hint="eastAsia" w:cs="Times New Roman"/>
                <w:b/>
                <w:bCs/>
                <w:color w:val="000000" w:themeColor="text1"/>
                <w:kern w:val="0"/>
                <w:sz w:val="24"/>
                <w:lang w:val="en-US" w:eastAsia="zh-CN"/>
                <w14:textFill>
                  <w14:solidFill>
                    <w14:schemeClr w14:val="tx1"/>
                  </w14:solidFill>
                </w14:textFill>
              </w:rPr>
              <w:t>生产</w:t>
            </w:r>
            <w:r>
              <w:rPr>
                <w:rFonts w:hint="default" w:ascii="Times New Roman" w:hAnsi="Times New Roman" w:cs="Times New Roman"/>
                <w:b/>
                <w:bCs/>
                <w:color w:val="000000" w:themeColor="text1"/>
                <w:kern w:val="0"/>
                <w:sz w:val="24"/>
                <w14:textFill>
                  <w14:solidFill>
                    <w14:schemeClr w14:val="tx1"/>
                  </w14:solidFill>
                </w14:textFill>
              </w:rPr>
              <w:t>设备</w:t>
            </w:r>
          </w:p>
          <w:p w14:paraId="7811213E">
            <w:pPr>
              <w:spacing w:line="360" w:lineRule="auto"/>
              <w:ind w:firstLine="480" w:firstLineChars="200"/>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项目主要</w:t>
            </w:r>
            <w:r>
              <w:rPr>
                <w:rFonts w:hint="eastAsia" w:cs="Times New Roman"/>
                <w:color w:val="000000" w:themeColor="text1"/>
                <w:sz w:val="24"/>
                <w:lang w:val="en-US" w:eastAsia="zh-CN"/>
                <w14:textFill>
                  <w14:solidFill>
                    <w14:schemeClr w14:val="tx1"/>
                  </w14:solidFill>
                </w14:textFill>
              </w:rPr>
              <w:t>生产</w:t>
            </w:r>
            <w:r>
              <w:rPr>
                <w:rFonts w:hint="default" w:ascii="Times New Roman" w:hAnsi="Times New Roman" w:cs="Times New Roman"/>
                <w:color w:val="000000" w:themeColor="text1"/>
                <w:sz w:val="24"/>
                <w14:textFill>
                  <w14:solidFill>
                    <w14:schemeClr w14:val="tx1"/>
                  </w14:solidFill>
                </w14:textFill>
              </w:rPr>
              <w:t>设备见表2-3。</w:t>
            </w:r>
          </w:p>
          <w:p w14:paraId="0ACD591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表2-3  项目</w:t>
            </w:r>
            <w:r>
              <w:rPr>
                <w:rFonts w:hint="eastAsia" w:cs="Times New Roman"/>
                <w:b/>
                <w:color w:val="000000" w:themeColor="text1"/>
                <w:szCs w:val="21"/>
                <w:lang w:val="en-US" w:eastAsia="zh-CN"/>
                <w14:textFill>
                  <w14:solidFill>
                    <w14:schemeClr w14:val="tx1"/>
                  </w14:solidFill>
                </w14:textFill>
              </w:rPr>
              <w:t>生产</w:t>
            </w:r>
            <w:r>
              <w:rPr>
                <w:rFonts w:hint="default" w:ascii="Times New Roman" w:hAnsi="Times New Roman" w:cs="Times New Roman"/>
                <w:b/>
                <w:color w:val="000000" w:themeColor="text1"/>
                <w:szCs w:val="21"/>
                <w14:textFill>
                  <w14:solidFill>
                    <w14:schemeClr w14:val="tx1"/>
                  </w14:solidFill>
                </w14:textFill>
              </w:rPr>
              <w:t>主要设备一览表</w:t>
            </w:r>
          </w:p>
          <w:tbl>
            <w:tblPr>
              <w:tblStyle w:val="3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2583"/>
              <w:gridCol w:w="2943"/>
              <w:gridCol w:w="989"/>
              <w:gridCol w:w="1013"/>
            </w:tblGrid>
            <w:tr w14:paraId="41A73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7" w:type="pct"/>
                  <w:noWrap w:val="0"/>
                  <w:vAlign w:val="center"/>
                </w:tcPr>
                <w:p w14:paraId="272378F7">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序号</w:t>
                  </w:r>
                </w:p>
              </w:tc>
              <w:tc>
                <w:tcPr>
                  <w:tcW w:w="1572" w:type="pct"/>
                  <w:noWrap w:val="0"/>
                  <w:vAlign w:val="center"/>
                </w:tcPr>
                <w:p w14:paraId="7D69905A">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名称</w:t>
                  </w:r>
                </w:p>
              </w:tc>
              <w:tc>
                <w:tcPr>
                  <w:tcW w:w="1791" w:type="pct"/>
                  <w:noWrap w:val="0"/>
                  <w:vAlign w:val="center"/>
                </w:tcPr>
                <w:p w14:paraId="2F40EF67">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型号</w:t>
                  </w:r>
                </w:p>
              </w:tc>
              <w:tc>
                <w:tcPr>
                  <w:tcW w:w="602" w:type="pct"/>
                  <w:noWrap w:val="0"/>
                  <w:vAlign w:val="center"/>
                </w:tcPr>
                <w:p w14:paraId="6155EE56">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数量</w:t>
                  </w:r>
                </w:p>
              </w:tc>
              <w:tc>
                <w:tcPr>
                  <w:tcW w:w="616" w:type="pct"/>
                  <w:noWrap w:val="0"/>
                  <w:vAlign w:val="center"/>
                </w:tcPr>
                <w:p w14:paraId="3D21A9DB">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备注</w:t>
                  </w:r>
                </w:p>
              </w:tc>
            </w:tr>
            <w:tr w14:paraId="0D325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7" w:type="pct"/>
                  <w:noWrap w:val="0"/>
                  <w:vAlign w:val="center"/>
                </w:tcPr>
                <w:p w14:paraId="40FCF9EF">
                  <w:pPr>
                    <w:keepNext w:val="0"/>
                    <w:keepLines w:val="0"/>
                    <w:pageBreakBefore w:val="0"/>
                    <w:kinsoku/>
                    <w:wordWrap/>
                    <w:overflowPunct/>
                    <w:topLinePunct w:val="0"/>
                    <w:autoSpaceDE/>
                    <w:autoSpaceDN/>
                    <w:bidi w:val="0"/>
                    <w:adjustRightInd/>
                    <w:snapToGrid/>
                    <w:ind w:firstLine="0" w:firstLineChars="0"/>
                    <w:jc w:val="cente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w:t>
                  </w:r>
                </w:p>
              </w:tc>
              <w:tc>
                <w:tcPr>
                  <w:tcW w:w="1572" w:type="pct"/>
                  <w:noWrap w:val="0"/>
                  <w:vAlign w:val="center"/>
                </w:tcPr>
                <w:p w14:paraId="147C575B">
                  <w:pPr>
                    <w:jc w:val="center"/>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密胺液压成型机</w:t>
                  </w:r>
                </w:p>
              </w:tc>
              <w:tc>
                <w:tcPr>
                  <w:tcW w:w="1791" w:type="pct"/>
                  <w:noWrap w:val="0"/>
                  <w:vAlign w:val="center"/>
                </w:tcPr>
                <w:p w14:paraId="78B39790">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250T四柱式</w:t>
                  </w:r>
                </w:p>
              </w:tc>
              <w:tc>
                <w:tcPr>
                  <w:tcW w:w="602" w:type="pct"/>
                  <w:noWrap w:val="0"/>
                  <w:vAlign w:val="center"/>
                </w:tcPr>
                <w:p w14:paraId="090008FE">
                  <w:pPr>
                    <w:keepNext w:val="0"/>
                    <w:keepLines w:val="0"/>
                    <w:pageBreakBefore w:val="0"/>
                    <w:kinsoku/>
                    <w:wordWrap/>
                    <w:overflowPunct/>
                    <w:topLinePunct w:val="0"/>
                    <w:autoSpaceDE/>
                    <w:autoSpaceDN/>
                    <w:bidi w:val="0"/>
                    <w:adjustRightInd/>
                    <w:snapToGrid/>
                    <w:ind w:firstLine="0" w:firstLineChars="0"/>
                    <w:jc w:val="cente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4</w:t>
                  </w:r>
                </w:p>
              </w:tc>
              <w:tc>
                <w:tcPr>
                  <w:tcW w:w="616" w:type="pct"/>
                  <w:noWrap w:val="0"/>
                  <w:vAlign w:val="center"/>
                </w:tcPr>
                <w:p w14:paraId="3982BE47">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r>
            <w:tr w14:paraId="3077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7" w:type="pct"/>
                  <w:noWrap w:val="0"/>
                  <w:vAlign w:val="center"/>
                </w:tcPr>
                <w:p w14:paraId="44A3A82E">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w:t>
                  </w:r>
                </w:p>
              </w:tc>
              <w:tc>
                <w:tcPr>
                  <w:tcW w:w="1572" w:type="pct"/>
                  <w:noWrap w:val="0"/>
                  <w:vAlign w:val="center"/>
                </w:tcPr>
                <w:p w14:paraId="68C55A30">
                  <w:pPr>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密胺液压成型机</w:t>
                  </w:r>
                </w:p>
              </w:tc>
              <w:tc>
                <w:tcPr>
                  <w:tcW w:w="1791" w:type="pct"/>
                  <w:noWrap w:val="0"/>
                  <w:vAlign w:val="center"/>
                </w:tcPr>
                <w:p w14:paraId="7CECAACD">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300T四柱式</w:t>
                  </w:r>
                </w:p>
              </w:tc>
              <w:tc>
                <w:tcPr>
                  <w:tcW w:w="602" w:type="pct"/>
                  <w:noWrap w:val="0"/>
                  <w:vAlign w:val="center"/>
                </w:tcPr>
                <w:p w14:paraId="07375B77">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w:t>
                  </w:r>
                </w:p>
              </w:tc>
              <w:tc>
                <w:tcPr>
                  <w:tcW w:w="616" w:type="pct"/>
                  <w:noWrap w:val="0"/>
                  <w:vAlign w:val="center"/>
                </w:tcPr>
                <w:p w14:paraId="0B271E82">
                  <w:pPr>
                    <w:keepNext w:val="0"/>
                    <w:keepLines w:val="0"/>
                    <w:pageBreakBefore w:val="0"/>
                    <w:kinsoku/>
                    <w:wordWrap/>
                    <w:overflowPunct/>
                    <w:topLinePunct w:val="0"/>
                    <w:autoSpaceDE/>
                    <w:autoSpaceDN/>
                    <w:bidi w:val="0"/>
                    <w:adjustRightInd/>
                    <w:snapToGrid/>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7D16F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7" w:type="pct"/>
                  <w:noWrap w:val="0"/>
                  <w:vAlign w:val="center"/>
                </w:tcPr>
                <w:p w14:paraId="4BC36B41">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w:t>
                  </w:r>
                </w:p>
              </w:tc>
              <w:tc>
                <w:tcPr>
                  <w:tcW w:w="1572" w:type="pct"/>
                  <w:noWrap w:val="0"/>
                  <w:vAlign w:val="center"/>
                </w:tcPr>
                <w:p w14:paraId="1A66DBC1">
                  <w:pPr>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密胺液压成型机</w:t>
                  </w:r>
                </w:p>
              </w:tc>
              <w:tc>
                <w:tcPr>
                  <w:tcW w:w="1791" w:type="pct"/>
                  <w:noWrap w:val="0"/>
                  <w:vAlign w:val="center"/>
                </w:tcPr>
                <w:p w14:paraId="190608DF">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双色350T四柱式</w:t>
                  </w:r>
                </w:p>
              </w:tc>
              <w:tc>
                <w:tcPr>
                  <w:tcW w:w="602" w:type="pct"/>
                  <w:noWrap w:val="0"/>
                  <w:vAlign w:val="center"/>
                </w:tcPr>
                <w:p w14:paraId="58142AFB">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w:t>
                  </w:r>
                </w:p>
              </w:tc>
              <w:tc>
                <w:tcPr>
                  <w:tcW w:w="616" w:type="pct"/>
                  <w:noWrap w:val="0"/>
                  <w:vAlign w:val="center"/>
                </w:tcPr>
                <w:p w14:paraId="3CBFE574">
                  <w:pPr>
                    <w:keepNext w:val="0"/>
                    <w:keepLines w:val="0"/>
                    <w:pageBreakBefore w:val="0"/>
                    <w:kinsoku/>
                    <w:wordWrap/>
                    <w:overflowPunct/>
                    <w:topLinePunct w:val="0"/>
                    <w:autoSpaceDE/>
                    <w:autoSpaceDN/>
                    <w:bidi w:val="0"/>
                    <w:adjustRightInd/>
                    <w:snapToGrid/>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5EBD8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7" w:type="pct"/>
                  <w:noWrap w:val="0"/>
                  <w:vAlign w:val="center"/>
                </w:tcPr>
                <w:p w14:paraId="129EBCBF">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w:t>
                  </w:r>
                </w:p>
              </w:tc>
              <w:tc>
                <w:tcPr>
                  <w:tcW w:w="1572" w:type="pct"/>
                  <w:noWrap w:val="0"/>
                  <w:vAlign w:val="center"/>
                </w:tcPr>
                <w:p w14:paraId="5C68F19E">
                  <w:pPr>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原料预热烘箱</w:t>
                  </w:r>
                </w:p>
              </w:tc>
              <w:tc>
                <w:tcPr>
                  <w:tcW w:w="1791" w:type="pct"/>
                  <w:noWrap w:val="0"/>
                  <w:vAlign w:val="center"/>
                </w:tcPr>
                <w:p w14:paraId="200CD13F">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60型恒温型</w:t>
                  </w:r>
                </w:p>
              </w:tc>
              <w:tc>
                <w:tcPr>
                  <w:tcW w:w="602" w:type="pct"/>
                  <w:noWrap w:val="0"/>
                  <w:vAlign w:val="center"/>
                </w:tcPr>
                <w:p w14:paraId="020E7951">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15</w:t>
                  </w:r>
                </w:p>
              </w:tc>
              <w:tc>
                <w:tcPr>
                  <w:tcW w:w="616" w:type="pct"/>
                  <w:noWrap w:val="0"/>
                  <w:vAlign w:val="center"/>
                </w:tcPr>
                <w:p w14:paraId="71499E56">
                  <w:pPr>
                    <w:keepNext w:val="0"/>
                    <w:keepLines w:val="0"/>
                    <w:pageBreakBefore w:val="0"/>
                    <w:kinsoku/>
                    <w:wordWrap/>
                    <w:overflowPunct/>
                    <w:topLinePunct w:val="0"/>
                    <w:autoSpaceDE/>
                    <w:autoSpaceDN/>
                    <w:bidi w:val="0"/>
                    <w:adjustRightInd/>
                    <w:snapToGrid/>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7C947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7" w:type="pct"/>
                  <w:noWrap w:val="0"/>
                  <w:vAlign w:val="center"/>
                </w:tcPr>
                <w:p w14:paraId="64555637">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w:t>
                  </w:r>
                </w:p>
              </w:tc>
              <w:tc>
                <w:tcPr>
                  <w:tcW w:w="1572" w:type="pct"/>
                  <w:noWrap w:val="0"/>
                  <w:vAlign w:val="center"/>
                </w:tcPr>
                <w:p w14:paraId="2337AD1B">
                  <w:pPr>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称料</w:t>
                  </w:r>
                  <w:r>
                    <w:rPr>
                      <w:rFonts w:hint="eastAsia" w:ascii="宋体" w:hAnsi="宋体" w:cs="宋体"/>
                      <w:color w:val="000000" w:themeColor="text1"/>
                      <w:lang w:val="en-US" w:eastAsia="zh-CN"/>
                      <w14:textFill>
                        <w14:solidFill>
                          <w14:schemeClr w14:val="tx1"/>
                        </w14:solidFill>
                      </w14:textFill>
                    </w:rPr>
                    <w:t>平台</w:t>
                  </w:r>
                </w:p>
              </w:tc>
              <w:tc>
                <w:tcPr>
                  <w:tcW w:w="1791" w:type="pct"/>
                  <w:noWrap w:val="0"/>
                  <w:vAlign w:val="center"/>
                </w:tcPr>
                <w:p w14:paraId="58BB8BB2">
                  <w:pPr>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602" w:type="pct"/>
                  <w:noWrap w:val="0"/>
                  <w:vAlign w:val="center"/>
                </w:tcPr>
                <w:p w14:paraId="3B13CEF6">
                  <w:pPr>
                    <w:keepNext w:val="0"/>
                    <w:keepLines w:val="0"/>
                    <w:pageBreakBefore w:val="0"/>
                    <w:kinsoku/>
                    <w:wordWrap/>
                    <w:overflowPunct/>
                    <w:topLinePunct w:val="0"/>
                    <w:autoSpaceDE/>
                    <w:autoSpaceDN/>
                    <w:bidi w:val="0"/>
                    <w:adjustRightInd/>
                    <w:snapToGrid/>
                    <w:ind w:firstLine="0" w:firstLineChars="0"/>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w:t>
                  </w:r>
                </w:p>
              </w:tc>
              <w:tc>
                <w:tcPr>
                  <w:tcW w:w="616" w:type="pct"/>
                  <w:noWrap w:val="0"/>
                  <w:vAlign w:val="center"/>
                </w:tcPr>
                <w:p w14:paraId="390452E0">
                  <w:pPr>
                    <w:keepNext w:val="0"/>
                    <w:keepLines w:val="0"/>
                    <w:pageBreakBefore w:val="0"/>
                    <w:kinsoku/>
                    <w:wordWrap/>
                    <w:overflowPunct/>
                    <w:topLinePunct w:val="0"/>
                    <w:autoSpaceDE/>
                    <w:autoSpaceDN/>
                    <w:bidi w:val="0"/>
                    <w:adjustRightInd/>
                    <w:snapToGrid/>
                    <w:ind w:firstLine="0" w:firstLineChars="0"/>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68111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7" w:type="pct"/>
                  <w:noWrap w:val="0"/>
                  <w:vAlign w:val="center"/>
                </w:tcPr>
                <w:p w14:paraId="008C678E">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w:t>
                  </w:r>
                </w:p>
              </w:tc>
              <w:tc>
                <w:tcPr>
                  <w:tcW w:w="1572" w:type="pct"/>
                  <w:noWrap w:val="0"/>
                  <w:vAlign w:val="center"/>
                </w:tcPr>
                <w:p w14:paraId="609F256E">
                  <w:pPr>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自动修边机</w:t>
                  </w:r>
                </w:p>
              </w:tc>
              <w:tc>
                <w:tcPr>
                  <w:tcW w:w="1791" w:type="pct"/>
                  <w:noWrap w:val="0"/>
                  <w:vAlign w:val="center"/>
                </w:tcPr>
                <w:p w14:paraId="5D42BD1C">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台式通用款</w:t>
                  </w:r>
                </w:p>
              </w:tc>
              <w:tc>
                <w:tcPr>
                  <w:tcW w:w="602" w:type="pct"/>
                  <w:noWrap w:val="0"/>
                  <w:vAlign w:val="center"/>
                </w:tcPr>
                <w:p w14:paraId="4274AF2F">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w:t>
                  </w:r>
                </w:p>
              </w:tc>
              <w:tc>
                <w:tcPr>
                  <w:tcW w:w="616" w:type="pct"/>
                  <w:noWrap w:val="0"/>
                  <w:vAlign w:val="center"/>
                </w:tcPr>
                <w:p w14:paraId="743EE291">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33B5B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7" w:type="pct"/>
                  <w:noWrap w:val="0"/>
                  <w:vAlign w:val="center"/>
                </w:tcPr>
                <w:p w14:paraId="1502FA98">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7</w:t>
                  </w:r>
                </w:p>
              </w:tc>
              <w:tc>
                <w:tcPr>
                  <w:tcW w:w="1572" w:type="pct"/>
                  <w:noWrap w:val="0"/>
                  <w:vAlign w:val="center"/>
                </w:tcPr>
                <w:p w14:paraId="05A39749">
                  <w:pPr>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手动修边机</w:t>
                  </w:r>
                </w:p>
              </w:tc>
              <w:tc>
                <w:tcPr>
                  <w:tcW w:w="1791" w:type="pct"/>
                  <w:noWrap w:val="0"/>
                  <w:vAlign w:val="center"/>
                </w:tcPr>
                <w:p w14:paraId="3A6C7FCB">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双工位除尘款</w:t>
                  </w:r>
                </w:p>
              </w:tc>
              <w:tc>
                <w:tcPr>
                  <w:tcW w:w="602" w:type="pct"/>
                  <w:noWrap w:val="0"/>
                  <w:vAlign w:val="center"/>
                </w:tcPr>
                <w:p w14:paraId="6E1530A6">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w:t>
                  </w:r>
                </w:p>
              </w:tc>
              <w:tc>
                <w:tcPr>
                  <w:tcW w:w="616" w:type="pct"/>
                  <w:noWrap w:val="0"/>
                  <w:vAlign w:val="center"/>
                </w:tcPr>
                <w:p w14:paraId="2A552382">
                  <w:pPr>
                    <w:keepNext w:val="0"/>
                    <w:keepLines w:val="0"/>
                    <w:pageBreakBefore w:val="0"/>
                    <w:kinsoku/>
                    <w:wordWrap/>
                    <w:overflowPunct/>
                    <w:topLinePunct w:val="0"/>
                    <w:autoSpaceDE/>
                    <w:autoSpaceDN/>
                    <w:bidi w:val="0"/>
                    <w:adjustRightInd/>
                    <w:snapToGrid/>
                    <w:ind w:firstLine="0" w:firstLineChars="0"/>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6345D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7" w:type="pct"/>
                  <w:noWrap w:val="0"/>
                  <w:vAlign w:val="center"/>
                </w:tcPr>
                <w:p w14:paraId="1CFC930E">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w:t>
                  </w:r>
                </w:p>
              </w:tc>
              <w:tc>
                <w:tcPr>
                  <w:tcW w:w="1572" w:type="pct"/>
                  <w:noWrap w:val="0"/>
                  <w:vAlign w:val="center"/>
                </w:tcPr>
                <w:p w14:paraId="6A5B9DD8">
                  <w:pPr>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质量操作台</w:t>
                  </w:r>
                </w:p>
              </w:tc>
              <w:tc>
                <w:tcPr>
                  <w:tcW w:w="1791" w:type="pct"/>
                  <w:noWrap w:val="0"/>
                  <w:vAlign w:val="center"/>
                </w:tcPr>
                <w:p w14:paraId="3D951B53">
                  <w:pPr>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602" w:type="pct"/>
                  <w:noWrap w:val="0"/>
                  <w:vAlign w:val="center"/>
                </w:tcPr>
                <w:p w14:paraId="5F8FAA3E">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w:t>
                  </w:r>
                </w:p>
              </w:tc>
              <w:tc>
                <w:tcPr>
                  <w:tcW w:w="616" w:type="pct"/>
                  <w:noWrap w:val="0"/>
                  <w:vAlign w:val="center"/>
                </w:tcPr>
                <w:p w14:paraId="47280454">
                  <w:pPr>
                    <w:keepNext w:val="0"/>
                    <w:keepLines w:val="0"/>
                    <w:pageBreakBefore w:val="0"/>
                    <w:kinsoku/>
                    <w:wordWrap/>
                    <w:overflowPunct/>
                    <w:topLinePunct w:val="0"/>
                    <w:autoSpaceDE/>
                    <w:autoSpaceDN/>
                    <w:bidi w:val="0"/>
                    <w:adjustRightInd/>
                    <w:snapToGrid/>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bl>
          <w:p w14:paraId="2E8FC749">
            <w:pPr>
              <w:spacing w:line="360" w:lineRule="auto"/>
              <w:ind w:firstLine="482" w:firstLineChars="200"/>
              <w:rPr>
                <w:rFonts w:hint="default" w:ascii="Times New Roman" w:hAnsi="Times New Roman" w:cs="Times New Roman"/>
                <w:b/>
                <w:color w:val="000000" w:themeColor="text1"/>
                <w:sz w:val="24"/>
                <w14:textFill>
                  <w14:solidFill>
                    <w14:schemeClr w14:val="tx1"/>
                  </w14:solidFill>
                </w14:textFill>
              </w:rPr>
            </w:pPr>
            <w:r>
              <w:rPr>
                <w:rFonts w:hint="eastAsia" w:cs="Times New Roman"/>
                <w:b/>
                <w:color w:val="000000" w:themeColor="text1"/>
                <w:sz w:val="24"/>
                <w:lang w:val="en-US" w:eastAsia="zh-CN"/>
                <w14:textFill>
                  <w14:solidFill>
                    <w14:schemeClr w14:val="tx1"/>
                  </w14:solidFill>
                </w14:textFill>
              </w:rPr>
              <w:t>7</w:t>
            </w:r>
            <w:r>
              <w:rPr>
                <w:rFonts w:hint="default" w:ascii="Times New Roman" w:hAnsi="Times New Roman" w:cs="Times New Roman"/>
                <w:b/>
                <w:color w:val="000000" w:themeColor="text1"/>
                <w:sz w:val="24"/>
                <w14:textFill>
                  <w14:solidFill>
                    <w14:schemeClr w14:val="tx1"/>
                  </w14:solidFill>
                </w14:textFill>
              </w:rPr>
              <w:t>、原辅材料消耗情况</w:t>
            </w:r>
          </w:p>
          <w:p w14:paraId="4300AA4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表2-</w:t>
            </w:r>
            <w:r>
              <w:rPr>
                <w:rFonts w:hint="eastAsia" w:cs="Times New Roman"/>
                <w:b/>
                <w:color w:val="000000" w:themeColor="text1"/>
                <w:szCs w:val="21"/>
                <w:lang w:val="en-US" w:eastAsia="zh-CN"/>
                <w14:textFill>
                  <w14:solidFill>
                    <w14:schemeClr w14:val="tx1"/>
                  </w14:solidFill>
                </w14:textFill>
              </w:rPr>
              <w:t>4</w:t>
            </w:r>
            <w:r>
              <w:rPr>
                <w:rFonts w:hint="default" w:ascii="Times New Roman" w:hAnsi="Times New Roman" w:cs="Times New Roman"/>
                <w:b/>
                <w:color w:val="000000" w:themeColor="text1"/>
                <w:szCs w:val="21"/>
                <w14:textFill>
                  <w14:solidFill>
                    <w14:schemeClr w14:val="tx1"/>
                  </w14:solidFill>
                </w14:textFill>
              </w:rPr>
              <w:t xml:space="preserve">   项目</w:t>
            </w:r>
            <w:r>
              <w:rPr>
                <w:rFonts w:hint="eastAsia" w:cs="Times New Roman"/>
                <w:b/>
                <w:color w:val="000000" w:themeColor="text1"/>
                <w:szCs w:val="21"/>
                <w:lang w:val="en-US" w:eastAsia="zh-CN"/>
                <w14:textFill>
                  <w14:solidFill>
                    <w14:schemeClr w14:val="tx1"/>
                  </w14:solidFill>
                </w14:textFill>
              </w:rPr>
              <w:t>生产原辅材料及能源</w:t>
            </w:r>
            <w:r>
              <w:rPr>
                <w:rFonts w:hint="default" w:ascii="Times New Roman" w:hAnsi="Times New Roman" w:cs="Times New Roman"/>
                <w:b/>
                <w:color w:val="000000" w:themeColor="text1"/>
                <w:szCs w:val="21"/>
                <w14:textFill>
                  <w14:solidFill>
                    <w14:schemeClr w14:val="tx1"/>
                  </w14:solidFill>
                </w14:textFill>
              </w:rPr>
              <w:t>消耗情况一览表</w:t>
            </w:r>
          </w:p>
          <w:tbl>
            <w:tblPr>
              <w:tblStyle w:val="32"/>
              <w:tblW w:w="498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52"/>
              <w:gridCol w:w="1362"/>
              <w:gridCol w:w="1050"/>
              <w:gridCol w:w="1362"/>
              <w:gridCol w:w="2442"/>
              <w:gridCol w:w="1322"/>
            </w:tblGrid>
            <w:tr w14:paraId="036C4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398" w:type="pct"/>
                  <w:tcBorders>
                    <w:top w:val="single" w:color="auto" w:sz="4" w:space="0"/>
                    <w:left w:val="single" w:color="auto" w:sz="4" w:space="0"/>
                    <w:bottom w:val="single" w:color="auto" w:sz="4" w:space="0"/>
                    <w:right w:val="single" w:color="auto" w:sz="4" w:space="0"/>
                  </w:tcBorders>
                  <w:shd w:val="clear" w:color="auto" w:fill="auto"/>
                  <w:vAlign w:val="center"/>
                </w:tcPr>
                <w:p w14:paraId="5DE8AE1F">
                  <w:pPr>
                    <w:keepNext w:val="0"/>
                    <w:keepLines w:val="0"/>
                    <w:widowControl w:val="0"/>
                    <w:suppressLineNumbers w:val="0"/>
                    <w:spacing w:before="0" w:beforeAutospacing="0" w:after="0" w:afterAutospacing="0"/>
                    <w:ind w:left="0" w:right="0"/>
                    <w:jc w:val="center"/>
                    <w:rPr>
                      <w:rFonts w:hint="default" w:ascii="Times New Roman" w:hAnsi="Times New Roman" w:cs="Times New Roman"/>
                      <w:b/>
                      <w:bCs/>
                      <w:color w:val="000000" w:themeColor="text1"/>
                      <w:kern w:val="0"/>
                      <w:sz w:val="21"/>
                      <w:szCs w:val="21"/>
                      <w:lang w:val="en-US"/>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序号</w:t>
                  </w:r>
                </w:p>
              </w:tc>
              <w:tc>
                <w:tcPr>
                  <w:tcW w:w="831" w:type="pct"/>
                  <w:tcBorders>
                    <w:top w:val="single" w:color="auto" w:sz="4" w:space="0"/>
                    <w:left w:val="single" w:color="auto" w:sz="4" w:space="0"/>
                    <w:bottom w:val="single" w:color="auto" w:sz="4" w:space="0"/>
                    <w:right w:val="single" w:color="auto" w:sz="4" w:space="0"/>
                  </w:tcBorders>
                  <w:shd w:val="clear" w:color="auto" w:fill="auto"/>
                  <w:vAlign w:val="center"/>
                </w:tcPr>
                <w:p w14:paraId="25CDA329">
                  <w:pPr>
                    <w:keepNext w:val="0"/>
                    <w:keepLines w:val="0"/>
                    <w:widowControl w:val="0"/>
                    <w:suppressLineNumbers w:val="0"/>
                    <w:spacing w:before="0" w:beforeAutospacing="0" w:after="0" w:afterAutospacing="0"/>
                    <w:ind w:left="0" w:right="0"/>
                    <w:jc w:val="center"/>
                    <w:rPr>
                      <w:rFonts w:hint="default" w:ascii="Times New Roman" w:hAnsi="Times New Roman" w:cs="Times New Roman"/>
                      <w:b/>
                      <w:bCs/>
                      <w:color w:val="000000" w:themeColor="text1"/>
                      <w:kern w:val="0"/>
                      <w:sz w:val="21"/>
                      <w:szCs w:val="21"/>
                      <w:lang w:val="en-US"/>
                      <w14:textFill>
                        <w14:solidFill>
                          <w14:schemeClr w14:val="tx1"/>
                        </w14:solidFill>
                      </w14:textFill>
                    </w:rPr>
                  </w:pPr>
                  <w:r>
                    <w:rPr>
                      <w:rFonts w:hint="eastAsia" w:cs="Times New Roman"/>
                      <w:b/>
                      <w:bCs/>
                      <w:color w:val="000000" w:themeColor="text1"/>
                      <w:kern w:val="0"/>
                      <w:sz w:val="21"/>
                      <w:szCs w:val="21"/>
                      <w:lang w:val="en-US" w:eastAsia="zh-CN" w:bidi="ar"/>
                      <w14:textFill>
                        <w14:solidFill>
                          <w14:schemeClr w14:val="tx1"/>
                        </w14:solidFill>
                      </w14:textFill>
                    </w:rPr>
                    <w:t>原辅料</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名称</w:t>
                  </w:r>
                </w:p>
              </w:tc>
              <w:tc>
                <w:tcPr>
                  <w:tcW w:w="641" w:type="pct"/>
                  <w:tcBorders>
                    <w:top w:val="single" w:color="auto" w:sz="4" w:space="0"/>
                    <w:left w:val="single" w:color="auto" w:sz="4" w:space="0"/>
                    <w:bottom w:val="single" w:color="auto" w:sz="4" w:space="0"/>
                    <w:right w:val="single" w:color="auto" w:sz="4" w:space="0"/>
                  </w:tcBorders>
                  <w:shd w:val="clear" w:color="auto" w:fill="auto"/>
                  <w:vAlign w:val="center"/>
                </w:tcPr>
                <w:p w14:paraId="5818F126">
                  <w:pPr>
                    <w:keepNext w:val="0"/>
                    <w:keepLines w:val="0"/>
                    <w:widowControl w:val="0"/>
                    <w:suppressLineNumbers w:val="0"/>
                    <w:spacing w:before="0" w:beforeAutospacing="0" w:after="0" w:afterAutospacing="0"/>
                    <w:ind w:left="0" w:right="0"/>
                    <w:jc w:val="center"/>
                    <w:rPr>
                      <w:rFonts w:hint="default" w:ascii="Times New Roman" w:hAnsi="Times New Roman" w:cs="Times New Roman"/>
                      <w:b/>
                      <w:bCs/>
                      <w:color w:val="000000" w:themeColor="text1"/>
                      <w:kern w:val="0"/>
                      <w:sz w:val="21"/>
                      <w:szCs w:val="21"/>
                      <w:lang w:val="en-US"/>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规格</w:t>
                  </w:r>
                </w:p>
              </w:tc>
              <w:tc>
                <w:tcPr>
                  <w:tcW w:w="831" w:type="pct"/>
                  <w:tcBorders>
                    <w:top w:val="single" w:color="auto" w:sz="4" w:space="0"/>
                    <w:left w:val="single" w:color="auto" w:sz="4" w:space="0"/>
                    <w:bottom w:val="single" w:color="auto" w:sz="4" w:space="0"/>
                    <w:right w:val="single" w:color="auto" w:sz="4" w:space="0"/>
                  </w:tcBorders>
                  <w:shd w:val="clear" w:color="auto" w:fill="auto"/>
                  <w:vAlign w:val="center"/>
                </w:tcPr>
                <w:p w14:paraId="3D1CC09F">
                  <w:pPr>
                    <w:keepNext w:val="0"/>
                    <w:keepLines w:val="0"/>
                    <w:widowControl w:val="0"/>
                    <w:suppressLineNumbers w:val="0"/>
                    <w:spacing w:before="0" w:beforeAutospacing="0" w:after="0" w:afterAutospacing="0"/>
                    <w:ind w:left="0" w:right="0"/>
                    <w:jc w:val="center"/>
                    <w:rPr>
                      <w:rFonts w:hint="default" w:ascii="Times New Roman" w:hAnsi="Times New Roman" w:cs="Times New Roman"/>
                      <w:b/>
                      <w:bCs/>
                      <w:color w:val="000000" w:themeColor="text1"/>
                      <w:kern w:val="0"/>
                      <w:sz w:val="21"/>
                      <w:szCs w:val="21"/>
                      <w:lang w:val="en-US"/>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年消耗量</w:t>
                  </w:r>
                </w:p>
              </w:tc>
              <w:tc>
                <w:tcPr>
                  <w:tcW w:w="1490" w:type="pct"/>
                  <w:tcBorders>
                    <w:top w:val="single" w:color="auto" w:sz="4" w:space="0"/>
                    <w:left w:val="single" w:color="auto" w:sz="4" w:space="0"/>
                    <w:bottom w:val="single" w:color="auto" w:sz="4" w:space="0"/>
                    <w:right w:val="single" w:color="auto" w:sz="4" w:space="0"/>
                  </w:tcBorders>
                  <w:shd w:val="clear" w:color="auto" w:fill="auto"/>
                  <w:vAlign w:val="center"/>
                </w:tcPr>
                <w:p w14:paraId="192ACF7E">
                  <w:pPr>
                    <w:keepNext w:val="0"/>
                    <w:keepLines w:val="0"/>
                    <w:widowControl w:val="0"/>
                    <w:suppressLineNumbers w:val="0"/>
                    <w:spacing w:before="0" w:beforeAutospacing="0" w:after="0" w:afterAutospacing="0"/>
                    <w:ind w:left="0" w:right="0"/>
                    <w:jc w:val="center"/>
                    <w:rPr>
                      <w:rFonts w:hint="default" w:ascii="Times New Roman" w:hAnsi="Times New Roman" w:cs="Times New Roman"/>
                      <w:b/>
                      <w:bCs/>
                      <w:color w:val="000000" w:themeColor="text1"/>
                      <w:kern w:val="0"/>
                      <w:sz w:val="21"/>
                      <w:szCs w:val="21"/>
                      <w:lang w:val="en-US"/>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在项目区内最大储存量</w:t>
                  </w:r>
                </w:p>
              </w:tc>
              <w:tc>
                <w:tcPr>
                  <w:tcW w:w="807" w:type="pct"/>
                  <w:tcBorders>
                    <w:top w:val="single" w:color="auto" w:sz="4" w:space="0"/>
                    <w:left w:val="single" w:color="auto" w:sz="4" w:space="0"/>
                    <w:bottom w:val="single" w:color="auto" w:sz="4" w:space="0"/>
                    <w:right w:val="single" w:color="auto" w:sz="4" w:space="0"/>
                  </w:tcBorders>
                  <w:shd w:val="clear" w:color="auto" w:fill="auto"/>
                  <w:vAlign w:val="center"/>
                </w:tcPr>
                <w:p w14:paraId="6B189D5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pPr>
                  <w:r>
                    <w:rPr>
                      <w:rFonts w:hint="eastAsia" w:cs="Times New Roman"/>
                      <w:b/>
                      <w:bCs/>
                      <w:color w:val="000000" w:themeColor="text1"/>
                      <w:kern w:val="0"/>
                      <w:sz w:val="21"/>
                      <w:szCs w:val="21"/>
                      <w:lang w:val="en-US" w:eastAsia="zh-CN" w:bidi="ar"/>
                      <w14:textFill>
                        <w14:solidFill>
                          <w14:schemeClr w14:val="tx1"/>
                        </w14:solidFill>
                      </w14:textFill>
                    </w:rPr>
                    <w:t>备注</w:t>
                  </w:r>
                </w:p>
              </w:tc>
            </w:tr>
            <w:tr w14:paraId="4C104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8" w:type="pct"/>
                  <w:tcBorders>
                    <w:top w:val="single" w:color="auto" w:sz="4" w:space="0"/>
                    <w:left w:val="single" w:color="auto" w:sz="4" w:space="0"/>
                    <w:bottom w:val="single" w:color="auto" w:sz="4" w:space="0"/>
                    <w:right w:val="single" w:color="auto" w:sz="4" w:space="0"/>
                  </w:tcBorders>
                  <w:shd w:val="clear" w:color="auto" w:fill="auto"/>
                  <w:vAlign w:val="center"/>
                </w:tcPr>
                <w:p w14:paraId="7C6BA1D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p>
              </w:tc>
              <w:tc>
                <w:tcPr>
                  <w:tcW w:w="831" w:type="pct"/>
                  <w:tcBorders>
                    <w:top w:val="single" w:color="auto" w:sz="4" w:space="0"/>
                    <w:left w:val="single" w:color="auto" w:sz="4" w:space="0"/>
                    <w:bottom w:val="single" w:color="auto" w:sz="4" w:space="0"/>
                    <w:right w:val="single" w:color="auto" w:sz="4" w:space="0"/>
                  </w:tcBorders>
                  <w:shd w:val="clear" w:color="auto" w:fill="auto"/>
                  <w:vAlign w:val="center"/>
                </w:tcPr>
                <w:p w14:paraId="2C1F5A34">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heme="majorEastAsia" w:hAnsiTheme="majorEastAsia" w:eastAsiaTheme="majorEastAsia"/>
                      <w:color w:val="000000" w:themeColor="text1"/>
                      <w:sz w:val="21"/>
                      <w:szCs w:val="21"/>
                      <w14:textFill>
                        <w14:solidFill>
                          <w14:schemeClr w14:val="tx1"/>
                        </w14:solidFill>
                      </w14:textFill>
                    </w:rPr>
                    <w:t>密胺粉</w:t>
                  </w:r>
                </w:p>
              </w:tc>
              <w:tc>
                <w:tcPr>
                  <w:tcW w:w="641" w:type="pct"/>
                  <w:tcBorders>
                    <w:top w:val="single" w:color="auto" w:sz="4" w:space="0"/>
                    <w:left w:val="single" w:color="auto" w:sz="4" w:space="0"/>
                    <w:bottom w:val="single" w:color="auto" w:sz="4" w:space="0"/>
                    <w:right w:val="single" w:color="auto" w:sz="4" w:space="0"/>
                  </w:tcBorders>
                  <w:shd w:val="clear" w:color="auto" w:fill="auto"/>
                  <w:vAlign w:val="center"/>
                </w:tcPr>
                <w:p w14:paraId="79CB6D7B">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w:t>
                  </w:r>
                </w:p>
              </w:tc>
              <w:tc>
                <w:tcPr>
                  <w:tcW w:w="831" w:type="pct"/>
                  <w:tcBorders>
                    <w:top w:val="single" w:color="auto" w:sz="4" w:space="0"/>
                    <w:left w:val="single" w:color="auto" w:sz="4" w:space="0"/>
                    <w:bottom w:val="single" w:color="auto" w:sz="4" w:space="0"/>
                    <w:right w:val="single" w:color="auto" w:sz="4" w:space="0"/>
                  </w:tcBorders>
                  <w:shd w:val="clear" w:color="auto" w:fill="auto"/>
                  <w:vAlign w:val="center"/>
                </w:tcPr>
                <w:p w14:paraId="3EE02537">
                  <w:pPr>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ajorEastAsia"/>
                      <w:color w:val="000000" w:themeColor="text1"/>
                      <w:sz w:val="21"/>
                      <w:szCs w:val="21"/>
                      <w14:textFill>
                        <w14:solidFill>
                          <w14:schemeClr w14:val="tx1"/>
                        </w14:solidFill>
                      </w14:textFill>
                    </w:rPr>
                    <w:t xml:space="preserve">976.67 </w:t>
                  </w:r>
                  <w:r>
                    <w:rPr>
                      <w:rFonts w:hint="eastAsia" w:ascii="Times New Roman" w:hAnsi="Times New Roman" w:cs="Times New Roman" w:eastAsiaTheme="majorEastAsia"/>
                      <w:color w:val="000000" w:themeColor="text1"/>
                      <w:sz w:val="21"/>
                      <w:szCs w:val="21"/>
                      <w:lang w:val="en-US" w:eastAsia="zh-CN"/>
                      <w14:textFill>
                        <w14:solidFill>
                          <w14:schemeClr w14:val="tx1"/>
                        </w14:solidFill>
                      </w14:textFill>
                    </w:rPr>
                    <w:t>t/a</w:t>
                  </w:r>
                </w:p>
              </w:tc>
              <w:tc>
                <w:tcPr>
                  <w:tcW w:w="1490" w:type="pct"/>
                  <w:tcBorders>
                    <w:top w:val="single" w:color="auto" w:sz="4" w:space="0"/>
                    <w:left w:val="single" w:color="auto" w:sz="4" w:space="0"/>
                    <w:bottom w:val="single" w:color="auto" w:sz="4" w:space="0"/>
                    <w:right w:val="single" w:color="auto" w:sz="4" w:space="0"/>
                  </w:tcBorders>
                  <w:shd w:val="clear" w:color="auto" w:fill="auto"/>
                  <w:vAlign w:val="center"/>
                </w:tcPr>
                <w:p w14:paraId="5AE1D3B4">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10t</w:t>
                  </w:r>
                </w:p>
              </w:tc>
              <w:tc>
                <w:tcPr>
                  <w:tcW w:w="807" w:type="pct"/>
                  <w:tcBorders>
                    <w:top w:val="single" w:color="auto" w:sz="4" w:space="0"/>
                    <w:left w:val="single" w:color="auto" w:sz="4" w:space="0"/>
                    <w:right w:val="single" w:color="auto" w:sz="4" w:space="0"/>
                  </w:tcBorders>
                  <w:shd w:val="clear" w:color="auto" w:fill="auto"/>
                  <w:vAlign w:val="center"/>
                </w:tcPr>
                <w:p w14:paraId="67ED4C0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原料</w:t>
                  </w:r>
                </w:p>
              </w:tc>
            </w:tr>
            <w:tr w14:paraId="72134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41" w:hRule="atLeast"/>
              </w:trPr>
              <w:tc>
                <w:tcPr>
                  <w:tcW w:w="398" w:type="pct"/>
                  <w:tcBorders>
                    <w:top w:val="single" w:color="auto" w:sz="4" w:space="0"/>
                    <w:left w:val="single" w:color="auto" w:sz="4" w:space="0"/>
                    <w:bottom w:val="single" w:color="auto" w:sz="4" w:space="0"/>
                    <w:right w:val="single" w:color="auto" w:sz="4" w:space="0"/>
                  </w:tcBorders>
                  <w:shd w:val="clear" w:color="auto" w:fill="auto"/>
                  <w:vAlign w:val="center"/>
                </w:tcPr>
                <w:p w14:paraId="30E4387D">
                  <w:pPr>
                    <w:keepNext w:val="0"/>
                    <w:keepLines w:val="0"/>
                    <w:widowControl w:val="0"/>
                    <w:suppressLineNumbers w:val="0"/>
                    <w:spacing w:before="0" w:beforeAutospacing="0" w:after="0" w:afterAutospacing="0"/>
                    <w:ind w:left="0" w:right="0"/>
                    <w:jc w:val="center"/>
                    <w:rPr>
                      <w:rFonts w:hint="default"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2</w:t>
                  </w:r>
                </w:p>
              </w:tc>
              <w:tc>
                <w:tcPr>
                  <w:tcW w:w="831" w:type="pct"/>
                  <w:tcBorders>
                    <w:top w:val="single" w:color="auto" w:sz="4" w:space="0"/>
                    <w:left w:val="single" w:color="auto" w:sz="4" w:space="0"/>
                    <w:bottom w:val="single" w:color="auto" w:sz="4" w:space="0"/>
                    <w:right w:val="single" w:color="auto" w:sz="4" w:space="0"/>
                  </w:tcBorders>
                  <w:shd w:val="clear" w:color="auto" w:fill="auto"/>
                  <w:vAlign w:val="center"/>
                </w:tcPr>
                <w:p w14:paraId="35B9D1A9">
                  <w:pPr>
                    <w:jc w:val="center"/>
                    <w:rPr>
                      <w:rFonts w:hint="default"/>
                      <w:color w:val="000000" w:themeColor="text1"/>
                      <w:szCs w:val="21"/>
                      <w:highlight w:val="none"/>
                      <w:lang w:val="en-US" w:eastAsia="zh-CN"/>
                      <w14:textFill>
                        <w14:solidFill>
                          <w14:schemeClr w14:val="tx1"/>
                        </w14:solidFill>
                      </w14:textFill>
                    </w:rPr>
                  </w:pPr>
                  <w:r>
                    <w:rPr>
                      <w:rFonts w:hint="eastAsia" w:asciiTheme="majorEastAsia" w:hAnsiTheme="majorEastAsia" w:eastAsiaTheme="majorEastAsia"/>
                      <w:color w:val="000000" w:themeColor="text1"/>
                      <w:sz w:val="21"/>
                      <w:szCs w:val="21"/>
                      <w14:textFill>
                        <w14:solidFill>
                          <w14:schemeClr w14:val="tx1"/>
                        </w14:solidFill>
                      </w14:textFill>
                    </w:rPr>
                    <w:t>罩光粉</w:t>
                  </w:r>
                </w:p>
              </w:tc>
              <w:tc>
                <w:tcPr>
                  <w:tcW w:w="641" w:type="pct"/>
                  <w:tcBorders>
                    <w:top w:val="single" w:color="auto" w:sz="4" w:space="0"/>
                    <w:left w:val="single" w:color="auto" w:sz="4" w:space="0"/>
                    <w:bottom w:val="single" w:color="auto" w:sz="4" w:space="0"/>
                    <w:right w:val="single" w:color="auto" w:sz="4" w:space="0"/>
                  </w:tcBorders>
                  <w:shd w:val="clear" w:color="auto" w:fill="auto"/>
                  <w:vAlign w:val="center"/>
                </w:tcPr>
                <w:p w14:paraId="5D41D278">
                  <w:pPr>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w:t>
                  </w:r>
                </w:p>
              </w:tc>
              <w:tc>
                <w:tcPr>
                  <w:tcW w:w="831" w:type="pct"/>
                  <w:tcBorders>
                    <w:top w:val="single" w:color="auto" w:sz="4" w:space="0"/>
                    <w:left w:val="single" w:color="auto" w:sz="4" w:space="0"/>
                    <w:bottom w:val="single" w:color="auto" w:sz="4" w:space="0"/>
                    <w:right w:val="single" w:color="auto" w:sz="4" w:space="0"/>
                  </w:tcBorders>
                  <w:shd w:val="clear" w:color="auto" w:fill="auto"/>
                  <w:vAlign w:val="center"/>
                </w:tcPr>
                <w:p w14:paraId="43B16DA2">
                  <w:pPr>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z w:val="21"/>
                      <w:szCs w:val="21"/>
                      <w14:textFill>
                        <w14:solidFill>
                          <w14:schemeClr w14:val="tx1"/>
                        </w14:solidFill>
                      </w14:textFill>
                    </w:rPr>
                    <w:t>30.00</w:t>
                  </w:r>
                  <w:r>
                    <w:rPr>
                      <w:rFonts w:hint="default" w:ascii="Times New Roman" w:hAnsi="Times New Roman" w:cs="Times New Roman" w:eastAsiaTheme="majorEastAsia"/>
                      <w:color w:val="000000" w:themeColor="text1"/>
                      <w:sz w:val="21"/>
                      <w:szCs w:val="21"/>
                      <w:lang w:val="en-US" w:eastAsia="zh-CN"/>
                      <w14:textFill>
                        <w14:solidFill>
                          <w14:schemeClr w14:val="tx1"/>
                        </w14:solidFill>
                      </w14:textFill>
                    </w:rPr>
                    <w:t>t/a</w:t>
                  </w:r>
                </w:p>
              </w:tc>
              <w:tc>
                <w:tcPr>
                  <w:tcW w:w="1490" w:type="pct"/>
                  <w:tcBorders>
                    <w:top w:val="single" w:color="auto" w:sz="4" w:space="0"/>
                    <w:left w:val="single" w:color="auto" w:sz="4" w:space="0"/>
                    <w:bottom w:val="single" w:color="auto" w:sz="4" w:space="0"/>
                    <w:right w:val="single" w:color="auto" w:sz="4" w:space="0"/>
                  </w:tcBorders>
                  <w:shd w:val="clear" w:color="auto" w:fill="auto"/>
                  <w:vAlign w:val="center"/>
                </w:tcPr>
                <w:p w14:paraId="31717441">
                  <w:pPr>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0.5t</w:t>
                  </w:r>
                </w:p>
              </w:tc>
              <w:tc>
                <w:tcPr>
                  <w:tcW w:w="807" w:type="pct"/>
                  <w:tcBorders>
                    <w:left w:val="single" w:color="auto" w:sz="4" w:space="0"/>
                    <w:right w:val="single" w:color="auto" w:sz="4" w:space="0"/>
                  </w:tcBorders>
                  <w:shd w:val="clear" w:color="auto" w:fill="auto"/>
                  <w:vAlign w:val="center"/>
                </w:tcPr>
                <w:p w14:paraId="115B301D">
                  <w:pPr>
                    <w:keepNext w:val="0"/>
                    <w:keepLines w:val="0"/>
                    <w:widowControl w:val="0"/>
                    <w:suppressLineNumbers w:val="0"/>
                    <w:spacing w:before="0" w:beforeAutospacing="0" w:after="0" w:afterAutospacing="0"/>
                    <w:ind w:left="0" w:right="0"/>
                    <w:jc w:val="center"/>
                    <w:rPr>
                      <w:rFonts w:hint="default"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原料</w:t>
                  </w:r>
                </w:p>
              </w:tc>
            </w:tr>
            <w:tr w14:paraId="764A9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398" w:type="pct"/>
                  <w:tcBorders>
                    <w:top w:val="single" w:color="auto" w:sz="4" w:space="0"/>
                    <w:left w:val="single" w:color="auto" w:sz="4" w:space="0"/>
                    <w:bottom w:val="single" w:color="auto" w:sz="4" w:space="0"/>
                    <w:right w:val="single" w:color="auto" w:sz="4" w:space="0"/>
                  </w:tcBorders>
                  <w:shd w:val="clear" w:color="auto" w:fill="auto"/>
                  <w:vAlign w:val="center"/>
                </w:tcPr>
                <w:p w14:paraId="5863ED06">
                  <w:pPr>
                    <w:keepNext w:val="0"/>
                    <w:keepLines w:val="0"/>
                    <w:widowControl w:val="0"/>
                    <w:suppressLineNumbers w:val="0"/>
                    <w:spacing w:before="0" w:beforeAutospacing="0" w:after="0" w:afterAutospacing="0"/>
                    <w:ind w:left="0" w:right="0"/>
                    <w:jc w:val="center"/>
                    <w:rPr>
                      <w:rFonts w:hint="default"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3</w:t>
                  </w:r>
                </w:p>
              </w:tc>
              <w:tc>
                <w:tcPr>
                  <w:tcW w:w="831" w:type="pct"/>
                  <w:tcBorders>
                    <w:top w:val="single" w:color="auto" w:sz="4" w:space="0"/>
                    <w:left w:val="single" w:color="auto" w:sz="4" w:space="0"/>
                    <w:bottom w:val="single" w:color="auto" w:sz="4" w:space="0"/>
                    <w:right w:val="single" w:color="auto" w:sz="4" w:space="0"/>
                  </w:tcBorders>
                  <w:shd w:val="clear" w:color="auto" w:fill="auto"/>
                  <w:vAlign w:val="center"/>
                </w:tcPr>
                <w:p w14:paraId="668756B9">
                  <w:pPr>
                    <w:jc w:val="center"/>
                    <w:rPr>
                      <w:rFonts w:hint="default"/>
                      <w:color w:val="000000" w:themeColor="text1"/>
                      <w:szCs w:val="21"/>
                      <w:highlight w:val="none"/>
                      <w:lang w:val="en-US" w:eastAsia="zh-CN"/>
                      <w14:textFill>
                        <w14:solidFill>
                          <w14:schemeClr w14:val="tx1"/>
                        </w14:solidFill>
                      </w14:textFill>
                    </w:rPr>
                  </w:pPr>
                  <w:r>
                    <w:rPr>
                      <w:rFonts w:hint="eastAsia" w:asciiTheme="majorEastAsia" w:hAnsiTheme="majorEastAsia" w:eastAsiaTheme="majorEastAsia"/>
                      <w:color w:val="000000" w:themeColor="text1"/>
                      <w:sz w:val="21"/>
                      <w:szCs w:val="21"/>
                      <w14:textFill>
                        <w14:solidFill>
                          <w14:schemeClr w14:val="tx1"/>
                        </w14:solidFill>
                      </w14:textFill>
                    </w:rPr>
                    <w:t>花纸</w:t>
                  </w:r>
                </w:p>
              </w:tc>
              <w:tc>
                <w:tcPr>
                  <w:tcW w:w="641" w:type="pct"/>
                  <w:tcBorders>
                    <w:top w:val="single" w:color="auto" w:sz="4" w:space="0"/>
                    <w:left w:val="single" w:color="auto" w:sz="4" w:space="0"/>
                    <w:bottom w:val="single" w:color="auto" w:sz="4" w:space="0"/>
                    <w:right w:val="single" w:color="auto" w:sz="4" w:space="0"/>
                  </w:tcBorders>
                  <w:shd w:val="clear" w:color="auto" w:fill="auto"/>
                  <w:vAlign w:val="center"/>
                </w:tcPr>
                <w:p w14:paraId="014E299D">
                  <w:pPr>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w:t>
                  </w:r>
                </w:p>
              </w:tc>
              <w:tc>
                <w:tcPr>
                  <w:tcW w:w="831" w:type="pct"/>
                  <w:tcBorders>
                    <w:top w:val="single" w:color="auto" w:sz="4" w:space="0"/>
                    <w:left w:val="single" w:color="auto" w:sz="4" w:space="0"/>
                    <w:bottom w:val="single" w:color="auto" w:sz="4" w:space="0"/>
                    <w:right w:val="single" w:color="auto" w:sz="4" w:space="0"/>
                  </w:tcBorders>
                  <w:shd w:val="clear" w:color="auto" w:fill="auto"/>
                  <w:vAlign w:val="center"/>
                </w:tcPr>
                <w:p w14:paraId="15DB81C2">
                  <w:pPr>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z w:val="21"/>
                      <w:szCs w:val="21"/>
                      <w14:textFill>
                        <w14:solidFill>
                          <w14:schemeClr w14:val="tx1"/>
                        </w14:solidFill>
                      </w14:textFill>
                    </w:rPr>
                    <w:t xml:space="preserve">0.83 </w:t>
                  </w:r>
                  <w:r>
                    <w:rPr>
                      <w:rFonts w:hint="default" w:ascii="Times New Roman" w:hAnsi="Times New Roman" w:cs="Times New Roman" w:eastAsiaTheme="majorEastAsia"/>
                      <w:color w:val="000000" w:themeColor="text1"/>
                      <w:sz w:val="21"/>
                      <w:szCs w:val="21"/>
                      <w:lang w:val="en-US" w:eastAsia="zh-CN"/>
                      <w14:textFill>
                        <w14:solidFill>
                          <w14:schemeClr w14:val="tx1"/>
                        </w14:solidFill>
                      </w14:textFill>
                    </w:rPr>
                    <w:t>t/a</w:t>
                  </w:r>
                </w:p>
              </w:tc>
              <w:tc>
                <w:tcPr>
                  <w:tcW w:w="1490" w:type="pct"/>
                  <w:tcBorders>
                    <w:top w:val="single" w:color="auto" w:sz="4" w:space="0"/>
                    <w:left w:val="single" w:color="auto" w:sz="4" w:space="0"/>
                    <w:bottom w:val="single" w:color="auto" w:sz="4" w:space="0"/>
                    <w:right w:val="single" w:color="auto" w:sz="4" w:space="0"/>
                  </w:tcBorders>
                  <w:shd w:val="clear" w:color="auto" w:fill="auto"/>
                  <w:vAlign w:val="center"/>
                </w:tcPr>
                <w:p w14:paraId="5B255299">
                  <w:pPr>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0.4t</w:t>
                  </w:r>
                </w:p>
              </w:tc>
              <w:tc>
                <w:tcPr>
                  <w:tcW w:w="807" w:type="pct"/>
                  <w:tcBorders>
                    <w:left w:val="single" w:color="auto" w:sz="4" w:space="0"/>
                    <w:right w:val="single" w:color="auto" w:sz="4" w:space="0"/>
                  </w:tcBorders>
                  <w:shd w:val="clear" w:color="auto" w:fill="auto"/>
                  <w:vAlign w:val="center"/>
                </w:tcPr>
                <w:p w14:paraId="4D65D510">
                  <w:pPr>
                    <w:keepNext w:val="0"/>
                    <w:keepLines w:val="0"/>
                    <w:widowControl w:val="0"/>
                    <w:suppressLineNumbers w:val="0"/>
                    <w:spacing w:before="0" w:beforeAutospacing="0" w:after="0" w:afterAutospacing="0"/>
                    <w:ind w:left="0" w:right="0"/>
                    <w:jc w:val="center"/>
                    <w:rPr>
                      <w:rFonts w:hint="default"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原料</w:t>
                  </w:r>
                </w:p>
              </w:tc>
            </w:tr>
            <w:tr w14:paraId="3455D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41" w:hRule="atLeast"/>
              </w:trPr>
              <w:tc>
                <w:tcPr>
                  <w:tcW w:w="398" w:type="pct"/>
                  <w:tcBorders>
                    <w:top w:val="single" w:color="auto" w:sz="4" w:space="0"/>
                    <w:left w:val="single" w:color="auto" w:sz="4" w:space="0"/>
                    <w:bottom w:val="single" w:color="auto" w:sz="4" w:space="0"/>
                    <w:right w:val="single" w:color="auto" w:sz="4" w:space="0"/>
                  </w:tcBorders>
                  <w:shd w:val="clear" w:color="auto" w:fill="auto"/>
                  <w:vAlign w:val="center"/>
                </w:tcPr>
                <w:p w14:paraId="279FE300">
                  <w:pPr>
                    <w:keepNext w:val="0"/>
                    <w:keepLines w:val="0"/>
                    <w:widowControl w:val="0"/>
                    <w:suppressLineNumbers w:val="0"/>
                    <w:spacing w:before="0" w:beforeAutospacing="0" w:after="0" w:afterAutospacing="0"/>
                    <w:ind w:left="0" w:right="0"/>
                    <w:jc w:val="center"/>
                    <w:rPr>
                      <w:rFonts w:hint="default"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4</w:t>
                  </w:r>
                </w:p>
              </w:tc>
              <w:tc>
                <w:tcPr>
                  <w:tcW w:w="831" w:type="pct"/>
                  <w:tcBorders>
                    <w:top w:val="single" w:color="auto" w:sz="4" w:space="0"/>
                    <w:left w:val="single" w:color="auto" w:sz="4" w:space="0"/>
                    <w:bottom w:val="single" w:color="auto" w:sz="4" w:space="0"/>
                    <w:right w:val="single" w:color="auto" w:sz="4" w:space="0"/>
                  </w:tcBorders>
                  <w:shd w:val="clear" w:color="auto" w:fill="auto"/>
                  <w:vAlign w:val="center"/>
                </w:tcPr>
                <w:p w14:paraId="3AA9F53E">
                  <w:pPr>
                    <w:jc w:val="center"/>
                    <w:rPr>
                      <w:rFonts w:hint="default"/>
                      <w:color w:val="000000" w:themeColor="text1"/>
                      <w:szCs w:val="21"/>
                      <w:highlight w:val="none"/>
                      <w:lang w:val="en-US" w:eastAsia="zh-CN"/>
                      <w14:textFill>
                        <w14:solidFill>
                          <w14:schemeClr w14:val="tx1"/>
                        </w14:solidFill>
                      </w14:textFill>
                    </w:rPr>
                  </w:pPr>
                  <w:r>
                    <w:rPr>
                      <w:rFonts w:hint="eastAsia" w:asciiTheme="majorEastAsia" w:hAnsiTheme="majorEastAsia" w:eastAsiaTheme="majorEastAsia"/>
                      <w:color w:val="000000" w:themeColor="text1"/>
                      <w:sz w:val="21"/>
                      <w:szCs w:val="21"/>
                      <w14:textFill>
                        <w14:solidFill>
                          <w14:schemeClr w14:val="tx1"/>
                        </w14:solidFill>
                      </w14:textFill>
                    </w:rPr>
                    <w:t>润滑油</w:t>
                  </w:r>
                </w:p>
              </w:tc>
              <w:tc>
                <w:tcPr>
                  <w:tcW w:w="641" w:type="pct"/>
                  <w:tcBorders>
                    <w:top w:val="single" w:color="auto" w:sz="4" w:space="0"/>
                    <w:left w:val="single" w:color="auto" w:sz="4" w:space="0"/>
                    <w:bottom w:val="single" w:color="auto" w:sz="4" w:space="0"/>
                    <w:right w:val="single" w:color="auto" w:sz="4" w:space="0"/>
                  </w:tcBorders>
                  <w:shd w:val="clear" w:color="auto" w:fill="auto"/>
                  <w:vAlign w:val="center"/>
                </w:tcPr>
                <w:p w14:paraId="5AC5B828">
                  <w:pPr>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w:t>
                  </w:r>
                </w:p>
              </w:tc>
              <w:tc>
                <w:tcPr>
                  <w:tcW w:w="831" w:type="pct"/>
                  <w:tcBorders>
                    <w:top w:val="single" w:color="auto" w:sz="4" w:space="0"/>
                    <w:left w:val="single" w:color="auto" w:sz="4" w:space="0"/>
                    <w:bottom w:val="single" w:color="auto" w:sz="4" w:space="0"/>
                    <w:right w:val="single" w:color="auto" w:sz="4" w:space="0"/>
                  </w:tcBorders>
                  <w:shd w:val="clear" w:color="auto" w:fill="auto"/>
                  <w:vAlign w:val="center"/>
                </w:tcPr>
                <w:p w14:paraId="4EAE6E06">
                  <w:pPr>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z w:val="21"/>
                      <w:szCs w:val="21"/>
                      <w14:textFill>
                        <w14:solidFill>
                          <w14:schemeClr w14:val="tx1"/>
                        </w14:solidFill>
                      </w14:textFill>
                    </w:rPr>
                    <w:t>0.</w:t>
                  </w:r>
                  <w:r>
                    <w:rPr>
                      <w:rFonts w:hint="eastAsia" w:cs="Times New Roman" w:eastAsiaTheme="majorEastAsia"/>
                      <w:color w:val="000000" w:themeColor="text1"/>
                      <w:sz w:val="21"/>
                      <w:szCs w:val="21"/>
                      <w:lang w:val="en-US" w:eastAsia="zh-CN"/>
                      <w14:textFill>
                        <w14:solidFill>
                          <w14:schemeClr w14:val="tx1"/>
                        </w14:solidFill>
                      </w14:textFill>
                    </w:rPr>
                    <w:t>20</w:t>
                  </w:r>
                  <w:r>
                    <w:rPr>
                      <w:rFonts w:hint="default" w:ascii="Times New Roman" w:hAnsi="Times New Roman" w:cs="Times New Roman" w:eastAsiaTheme="majorEastAsia"/>
                      <w:color w:val="000000" w:themeColor="text1"/>
                      <w:sz w:val="21"/>
                      <w:szCs w:val="21"/>
                      <w14:textFill>
                        <w14:solidFill>
                          <w14:schemeClr w14:val="tx1"/>
                        </w14:solidFill>
                      </w14:textFill>
                    </w:rPr>
                    <w:t xml:space="preserve"> </w:t>
                  </w:r>
                  <w:r>
                    <w:rPr>
                      <w:rFonts w:hint="default" w:ascii="Times New Roman" w:hAnsi="Times New Roman" w:cs="Times New Roman" w:eastAsiaTheme="majorEastAsia"/>
                      <w:color w:val="000000" w:themeColor="text1"/>
                      <w:sz w:val="21"/>
                      <w:szCs w:val="21"/>
                      <w:lang w:val="en-US" w:eastAsia="zh-CN"/>
                      <w14:textFill>
                        <w14:solidFill>
                          <w14:schemeClr w14:val="tx1"/>
                        </w14:solidFill>
                      </w14:textFill>
                    </w:rPr>
                    <w:t>t/a</w:t>
                  </w:r>
                </w:p>
              </w:tc>
              <w:tc>
                <w:tcPr>
                  <w:tcW w:w="1490" w:type="pct"/>
                  <w:tcBorders>
                    <w:top w:val="single" w:color="auto" w:sz="4" w:space="0"/>
                    <w:left w:val="single" w:color="auto" w:sz="4" w:space="0"/>
                    <w:bottom w:val="single" w:color="auto" w:sz="4" w:space="0"/>
                    <w:right w:val="single" w:color="auto" w:sz="4" w:space="0"/>
                  </w:tcBorders>
                  <w:shd w:val="clear" w:color="auto" w:fill="auto"/>
                  <w:vAlign w:val="center"/>
                </w:tcPr>
                <w:p w14:paraId="2AB5D499">
                  <w:pPr>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0.2t</w:t>
                  </w:r>
                </w:p>
              </w:tc>
              <w:tc>
                <w:tcPr>
                  <w:tcW w:w="807" w:type="pct"/>
                  <w:tcBorders>
                    <w:left w:val="single" w:color="auto" w:sz="4" w:space="0"/>
                    <w:right w:val="single" w:color="auto" w:sz="4" w:space="0"/>
                  </w:tcBorders>
                  <w:shd w:val="clear" w:color="auto" w:fill="auto"/>
                  <w:vAlign w:val="center"/>
                </w:tcPr>
                <w:p w14:paraId="40F6BF39">
                  <w:pPr>
                    <w:keepNext w:val="0"/>
                    <w:keepLines w:val="0"/>
                    <w:widowControl w:val="0"/>
                    <w:suppressLineNumbers w:val="0"/>
                    <w:spacing w:before="0" w:beforeAutospacing="0" w:after="0" w:afterAutospacing="0"/>
                    <w:ind w:left="0" w:leftChars="0" w:right="0" w:rightChars="0"/>
                    <w:jc w:val="center"/>
                    <w:rPr>
                      <w:rFonts w:hint="default"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液压机润滑</w:t>
                  </w:r>
                </w:p>
              </w:tc>
            </w:tr>
            <w:tr w14:paraId="73EF7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398" w:type="pct"/>
                  <w:tcBorders>
                    <w:top w:val="single" w:color="auto" w:sz="4" w:space="0"/>
                    <w:left w:val="single" w:color="auto" w:sz="4" w:space="0"/>
                    <w:right w:val="single" w:color="auto" w:sz="4" w:space="0"/>
                  </w:tcBorders>
                  <w:shd w:val="clear" w:color="auto" w:fill="auto"/>
                  <w:vAlign w:val="center"/>
                </w:tcPr>
                <w:p w14:paraId="0ACD6639">
                  <w:pPr>
                    <w:keepNext w:val="0"/>
                    <w:keepLines w:val="0"/>
                    <w:widowControl w:val="0"/>
                    <w:suppressLineNumbers w:val="0"/>
                    <w:spacing w:before="0" w:beforeAutospacing="0" w:after="0" w:afterAutospacing="0"/>
                    <w:ind w:left="0" w:right="0"/>
                    <w:jc w:val="center"/>
                    <w:rPr>
                      <w:rFonts w:hint="default"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5</w:t>
                  </w:r>
                </w:p>
              </w:tc>
              <w:tc>
                <w:tcPr>
                  <w:tcW w:w="831" w:type="pct"/>
                  <w:tcBorders>
                    <w:top w:val="single" w:color="auto" w:sz="4" w:space="0"/>
                    <w:left w:val="single" w:color="auto" w:sz="4" w:space="0"/>
                    <w:right w:val="single" w:color="auto" w:sz="4" w:space="0"/>
                  </w:tcBorders>
                  <w:shd w:val="clear" w:color="auto" w:fill="auto"/>
                  <w:vAlign w:val="center"/>
                </w:tcPr>
                <w:p w14:paraId="44D63C60">
                  <w:pPr>
                    <w:jc w:val="center"/>
                    <w:rPr>
                      <w:rFonts w:hint="eastAsia" w:asciiTheme="majorEastAsia" w:hAnsiTheme="majorEastAsia" w:eastAsiaTheme="majorEastAsia"/>
                      <w:color w:val="000000" w:themeColor="text1"/>
                      <w:sz w:val="21"/>
                      <w:szCs w:val="21"/>
                      <w:lang w:val="en-US" w:eastAsia="zh-CN"/>
                      <w14:textFill>
                        <w14:solidFill>
                          <w14:schemeClr w14:val="tx1"/>
                        </w14:solidFill>
                      </w14:textFill>
                    </w:rPr>
                  </w:pPr>
                  <w:r>
                    <w:rPr>
                      <w:rFonts w:hint="eastAsia" w:asciiTheme="majorEastAsia" w:hAnsiTheme="majorEastAsia" w:eastAsiaTheme="majorEastAsia"/>
                      <w:color w:val="000000" w:themeColor="text1"/>
                      <w:sz w:val="21"/>
                      <w:szCs w:val="21"/>
                      <w:lang w:val="en-US" w:eastAsia="zh-CN"/>
                      <w14:textFill>
                        <w14:solidFill>
                          <w14:schemeClr w14:val="tx1"/>
                        </w14:solidFill>
                      </w14:textFill>
                    </w:rPr>
                    <w:t>液压油</w:t>
                  </w:r>
                </w:p>
              </w:tc>
              <w:tc>
                <w:tcPr>
                  <w:tcW w:w="641" w:type="pct"/>
                  <w:tcBorders>
                    <w:top w:val="single" w:color="auto" w:sz="4" w:space="0"/>
                    <w:left w:val="single" w:color="auto" w:sz="4" w:space="0"/>
                    <w:right w:val="single" w:color="auto" w:sz="4" w:space="0"/>
                  </w:tcBorders>
                  <w:shd w:val="clear" w:color="auto" w:fill="auto"/>
                  <w:vAlign w:val="center"/>
                </w:tcPr>
                <w:p w14:paraId="15ECDF2A">
                  <w:pPr>
                    <w:jc w:val="center"/>
                    <w:rPr>
                      <w:rFonts w:hint="eastAsia" w:cs="Times New Roman"/>
                      <w:color w:val="000000" w:themeColor="text1"/>
                      <w:kern w:val="2"/>
                      <w:sz w:val="21"/>
                      <w:szCs w:val="21"/>
                      <w:highlight w:val="none"/>
                      <w:lang w:val="en-US" w:eastAsia="zh-CN" w:bidi="ar-SA"/>
                      <w14:textFill>
                        <w14:solidFill>
                          <w14:schemeClr w14:val="tx1"/>
                        </w14:solidFill>
                      </w14:textFill>
                    </w:rPr>
                  </w:pPr>
                </w:p>
              </w:tc>
              <w:tc>
                <w:tcPr>
                  <w:tcW w:w="831" w:type="pct"/>
                  <w:tcBorders>
                    <w:top w:val="single" w:color="auto" w:sz="4" w:space="0"/>
                    <w:left w:val="single" w:color="auto" w:sz="4" w:space="0"/>
                    <w:right w:val="single" w:color="auto" w:sz="4" w:space="0"/>
                  </w:tcBorders>
                  <w:shd w:val="clear" w:color="auto" w:fill="auto"/>
                  <w:vAlign w:val="center"/>
                </w:tcPr>
                <w:p w14:paraId="43E58F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0.25 t/a</w:t>
                  </w:r>
                </w:p>
              </w:tc>
              <w:tc>
                <w:tcPr>
                  <w:tcW w:w="1490" w:type="pct"/>
                  <w:tcBorders>
                    <w:top w:val="single" w:color="auto" w:sz="4" w:space="0"/>
                    <w:left w:val="single" w:color="auto" w:sz="4" w:space="0"/>
                    <w:bottom w:val="single" w:color="auto" w:sz="4" w:space="0"/>
                    <w:right w:val="single" w:color="auto" w:sz="4" w:space="0"/>
                  </w:tcBorders>
                  <w:shd w:val="clear" w:color="auto" w:fill="auto"/>
                  <w:vAlign w:val="center"/>
                </w:tcPr>
                <w:p w14:paraId="03D4EDEF">
                  <w:pPr>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0.2t</w:t>
                  </w:r>
                </w:p>
              </w:tc>
              <w:tc>
                <w:tcPr>
                  <w:tcW w:w="807" w:type="pct"/>
                  <w:tcBorders>
                    <w:left w:val="single" w:color="auto" w:sz="4" w:space="0"/>
                    <w:right w:val="single" w:color="auto" w:sz="4" w:space="0"/>
                  </w:tcBorders>
                  <w:shd w:val="clear" w:color="auto" w:fill="auto"/>
                  <w:vAlign w:val="center"/>
                </w:tcPr>
                <w:p w14:paraId="17455749">
                  <w:pPr>
                    <w:keepNext w:val="0"/>
                    <w:keepLines w:val="0"/>
                    <w:widowControl w:val="0"/>
                    <w:suppressLineNumbers w:val="0"/>
                    <w:spacing w:before="0" w:beforeAutospacing="0" w:after="0" w:afterAutospacing="0"/>
                    <w:ind w:left="0" w:leftChars="0" w:right="0" w:rightChars="0"/>
                    <w:jc w:val="center"/>
                    <w:rPr>
                      <w:rFonts w:hint="default"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液压机冷却</w:t>
                  </w:r>
                </w:p>
              </w:tc>
            </w:tr>
          </w:tbl>
          <w:p w14:paraId="69D2544B">
            <w:pPr>
              <w:adjustRightInd w:val="0"/>
              <w:snapToGrid w:val="0"/>
              <w:spacing w:before="120" w:beforeLines="5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表2-</w:t>
            </w:r>
            <w:r>
              <w:rPr>
                <w:rFonts w:hint="eastAsia"/>
                <w:b/>
                <w:color w:val="000000" w:themeColor="text1"/>
                <w:szCs w:val="21"/>
                <w:lang w:val="en-US" w:eastAsia="zh-CN"/>
                <w14:textFill>
                  <w14:solidFill>
                    <w14:schemeClr w14:val="tx1"/>
                  </w14:solidFill>
                </w14:textFill>
              </w:rPr>
              <w:t>5</w:t>
            </w:r>
            <w:r>
              <w:rPr>
                <w:b/>
                <w:color w:val="000000" w:themeColor="text1"/>
                <w:szCs w:val="21"/>
                <w14:textFill>
                  <w14:solidFill>
                    <w14:schemeClr w14:val="tx1"/>
                  </w14:solidFill>
                </w14:textFill>
              </w:rPr>
              <w:t xml:space="preserve">   项目</w:t>
            </w:r>
            <w:r>
              <w:rPr>
                <w:rFonts w:hint="eastAsia"/>
                <w:b/>
                <w:color w:val="000000" w:themeColor="text1"/>
                <w:szCs w:val="21"/>
                <w14:textFill>
                  <w14:solidFill>
                    <w14:schemeClr w14:val="tx1"/>
                  </w14:solidFill>
                </w14:textFill>
              </w:rPr>
              <w:t>使用</w:t>
            </w:r>
            <w:r>
              <w:rPr>
                <w:rFonts w:hint="eastAsia"/>
                <w:b/>
                <w:color w:val="000000" w:themeColor="text1"/>
                <w:szCs w:val="21"/>
                <w:lang w:val="en-US" w:eastAsia="zh-CN"/>
                <w14:textFill>
                  <w14:solidFill>
                    <w14:schemeClr w14:val="tx1"/>
                  </w14:solidFill>
                </w14:textFill>
              </w:rPr>
              <w:t>原辅料</w:t>
            </w:r>
            <w:r>
              <w:rPr>
                <w:b/>
                <w:color w:val="000000" w:themeColor="text1"/>
                <w:szCs w:val="21"/>
                <w14:textFill>
                  <w14:solidFill>
                    <w14:schemeClr w14:val="tx1"/>
                  </w14:solidFill>
                </w14:textFill>
              </w:rPr>
              <w:t>理化性质一览表</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1111"/>
              <w:gridCol w:w="6454"/>
            </w:tblGrid>
            <w:tr w14:paraId="76F3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blHeader/>
                <w:jc w:val="center"/>
              </w:trPr>
              <w:tc>
                <w:tcPr>
                  <w:tcW w:w="397" w:type="pct"/>
                  <w:vAlign w:val="center"/>
                </w:tcPr>
                <w:p w14:paraId="61C231B1">
                  <w:pPr>
                    <w:keepNext w:val="0"/>
                    <w:keepLines w:val="0"/>
                    <w:pageBreakBefore w:val="0"/>
                    <w:widowControl w:val="0"/>
                    <w:kinsoku/>
                    <w:wordWrap/>
                    <w:overflowPunct/>
                    <w:topLinePunct w:val="0"/>
                    <w:autoSpaceDE/>
                    <w:autoSpaceDN/>
                    <w:bidi w:val="0"/>
                    <w:adjustRightInd/>
                    <w:snapToGrid/>
                    <w:ind w:right="0" w:rightChars="0" w:firstLine="0"/>
                    <w:jc w:val="center"/>
                    <w:textAlignment w:val="auto"/>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序号</w:t>
                  </w:r>
                </w:p>
              </w:tc>
              <w:tc>
                <w:tcPr>
                  <w:tcW w:w="676" w:type="pct"/>
                  <w:vAlign w:val="center"/>
                </w:tcPr>
                <w:p w14:paraId="06F68276">
                  <w:pPr>
                    <w:keepNext w:val="0"/>
                    <w:keepLines w:val="0"/>
                    <w:pageBreakBefore w:val="0"/>
                    <w:widowControl w:val="0"/>
                    <w:kinsoku/>
                    <w:wordWrap/>
                    <w:overflowPunct/>
                    <w:topLinePunct w:val="0"/>
                    <w:autoSpaceDE/>
                    <w:autoSpaceDN/>
                    <w:bidi w:val="0"/>
                    <w:adjustRightInd/>
                    <w:snapToGrid/>
                    <w:ind w:right="0" w:rightChars="0" w:firstLine="0"/>
                    <w:jc w:val="center"/>
                    <w:textAlignment w:val="auto"/>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名称</w:t>
                  </w:r>
                </w:p>
              </w:tc>
              <w:tc>
                <w:tcPr>
                  <w:tcW w:w="3925" w:type="pct"/>
                  <w:vAlign w:val="center"/>
                </w:tcPr>
                <w:p w14:paraId="483AF65F">
                  <w:pPr>
                    <w:keepNext w:val="0"/>
                    <w:keepLines w:val="0"/>
                    <w:pageBreakBefore w:val="0"/>
                    <w:widowControl w:val="0"/>
                    <w:kinsoku/>
                    <w:wordWrap/>
                    <w:overflowPunct/>
                    <w:topLinePunct w:val="0"/>
                    <w:autoSpaceDE/>
                    <w:autoSpaceDN/>
                    <w:bidi w:val="0"/>
                    <w:adjustRightInd/>
                    <w:snapToGrid/>
                    <w:ind w:right="0" w:rightChars="0" w:firstLine="0"/>
                    <w:jc w:val="center"/>
                    <w:textAlignment w:val="auto"/>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理化性质</w:t>
                  </w:r>
                </w:p>
              </w:tc>
            </w:tr>
            <w:tr w14:paraId="302C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397" w:type="pct"/>
                  <w:vAlign w:val="center"/>
                </w:tcPr>
                <w:p w14:paraId="5EC22BD1">
                  <w:pPr>
                    <w:keepNext w:val="0"/>
                    <w:keepLines w:val="0"/>
                    <w:pageBreakBefore w:val="0"/>
                    <w:widowControl w:val="0"/>
                    <w:kinsoku/>
                    <w:wordWrap/>
                    <w:overflowPunct/>
                    <w:topLinePunct w:val="0"/>
                    <w:autoSpaceDE/>
                    <w:autoSpaceDN/>
                    <w:bidi w:val="0"/>
                    <w:adjustRightInd/>
                    <w:snapToGrid/>
                    <w:ind w:right="0" w:rightChars="0" w:firstLine="0"/>
                    <w:jc w:val="center"/>
                    <w:textAlignment w:val="auto"/>
                    <w:rPr>
                      <w:rFonts w:hint="eastAsia" w:eastAsia="宋体"/>
                      <w:bCs/>
                      <w:color w:val="000000" w:themeColor="text1"/>
                      <w:kern w:val="0"/>
                      <w:szCs w:val="21"/>
                      <w:lang w:eastAsia="zh-CN"/>
                      <w14:textFill>
                        <w14:solidFill>
                          <w14:schemeClr w14:val="tx1"/>
                        </w14:solidFill>
                      </w14:textFill>
                    </w:rPr>
                  </w:pPr>
                  <w:r>
                    <w:rPr>
                      <w:rFonts w:hint="eastAsia"/>
                      <w:bCs/>
                      <w:color w:val="000000" w:themeColor="text1"/>
                      <w:kern w:val="0"/>
                      <w:szCs w:val="21"/>
                      <w:lang w:val="en-US" w:eastAsia="zh-CN"/>
                      <w14:textFill>
                        <w14:solidFill>
                          <w14:schemeClr w14:val="tx1"/>
                        </w14:solidFill>
                      </w14:textFill>
                    </w:rPr>
                    <w:t>1</w:t>
                  </w:r>
                </w:p>
              </w:tc>
              <w:tc>
                <w:tcPr>
                  <w:tcW w:w="676" w:type="pct"/>
                  <w:vAlign w:val="center"/>
                </w:tcPr>
                <w:p w14:paraId="4CEA5821">
                  <w:pPr>
                    <w:keepNext w:val="0"/>
                    <w:keepLines w:val="0"/>
                    <w:pageBreakBefore w:val="0"/>
                    <w:widowControl w:val="0"/>
                    <w:kinsoku/>
                    <w:wordWrap/>
                    <w:overflowPunct/>
                    <w:topLinePunct w:val="0"/>
                    <w:autoSpaceDE/>
                    <w:autoSpaceDN/>
                    <w:bidi w:val="0"/>
                    <w:adjustRightInd/>
                    <w:snapToGrid/>
                    <w:ind w:right="0" w:rightChars="0" w:firstLine="0"/>
                    <w:jc w:val="center"/>
                    <w:textAlignment w:val="auto"/>
                    <w:rPr>
                      <w:rFonts w:hint="eastAsia" w:eastAsia="宋体"/>
                      <w:bCs/>
                      <w:color w:val="000000" w:themeColor="text1"/>
                      <w:kern w:val="0"/>
                      <w:szCs w:val="21"/>
                      <w:lang w:eastAsia="zh-CN"/>
                      <w14:textFill>
                        <w14:solidFill>
                          <w14:schemeClr w14:val="tx1"/>
                        </w14:solidFill>
                      </w14:textFill>
                    </w:rPr>
                  </w:pPr>
                  <w:r>
                    <w:rPr>
                      <w:rFonts w:hint="eastAsia"/>
                      <w:bCs/>
                      <w:color w:val="000000" w:themeColor="text1"/>
                      <w:kern w:val="0"/>
                      <w:szCs w:val="21"/>
                      <w:lang w:val="en-US" w:eastAsia="zh-CN"/>
                      <w14:textFill>
                        <w14:solidFill>
                          <w14:schemeClr w14:val="tx1"/>
                        </w14:solidFill>
                      </w14:textFill>
                    </w:rPr>
                    <w:t>密胺粉</w:t>
                  </w:r>
                </w:p>
              </w:tc>
              <w:tc>
                <w:tcPr>
                  <w:tcW w:w="3925" w:type="pct"/>
                  <w:vAlign w:val="center"/>
                </w:tcPr>
                <w:p w14:paraId="1A77E07B">
                  <w:pPr>
                    <w:keepNext w:val="0"/>
                    <w:keepLines w:val="0"/>
                    <w:pageBreakBefore w:val="0"/>
                    <w:widowControl w:val="0"/>
                    <w:kinsoku/>
                    <w:wordWrap/>
                    <w:overflowPunct/>
                    <w:topLinePunct w:val="0"/>
                    <w:autoSpaceDE/>
                    <w:autoSpaceDN/>
                    <w:bidi w:val="0"/>
                    <w:adjustRightInd/>
                    <w:snapToGrid/>
                    <w:ind w:right="0" w:rightChars="0" w:firstLine="0"/>
                    <w:jc w:val="left"/>
                    <w:textAlignment w:val="auto"/>
                    <w:rPr>
                      <w:rFonts w:hint="default"/>
                      <w:color w:val="000000" w:themeColor="text1"/>
                      <w:sz w:val="21"/>
                      <w:szCs w:val="21"/>
                      <w:lang w:val="en-US"/>
                      <w14:textFill>
                        <w14:solidFill>
                          <w14:schemeClr w14:val="tx1"/>
                        </w14:solidFill>
                      </w14:textFill>
                    </w:rPr>
                  </w:pPr>
                  <w:r>
                    <w:rPr>
                      <w:rFonts w:hint="eastAsia"/>
                      <w:color w:val="000000" w:themeColor="text1"/>
                      <w:szCs w:val="21"/>
                      <w:lang w:val="en-US" w:eastAsia="zh-CN"/>
                      <w14:textFill>
                        <w14:solidFill>
                          <w14:schemeClr w14:val="tx1"/>
                        </w14:solidFill>
                      </w14:textFill>
                    </w:rPr>
                    <w:t>本项目所使用原料均采购袋装成品，为混合物，呈粉末状，化工合成热固性材料之一，是以三聚氰胺和甲醛在一定条件下反应为高分子聚合物，然后加入适量的木浆纤维素填料以及着色剂等辅助材料而制成。其主要成分为三聚氰胺甲醛树脂和木浆纤维素，三聚氰胺甲醛树脂含量约为60%，木浆纤维素中无有毒有害成分。《合成树脂及塑料手册》中注明三聚氰胺甲醛模塑料的物化性质为：无臭、无味、无毒、色泽鲜艳，比脲醛压塑料具有更优良的耐热水性及电气性能，热变型温度达180℃，连续使用温度在100℃以上，分解温度在354℃。密胺材料具有优异的电绝缘性能，即使在潮湿或高温条件下，其电气性能依然保持稳定，绝缘电阻：可达到10</w:t>
                  </w:r>
                  <w:r>
                    <w:rPr>
                      <w:rFonts w:hint="eastAsia"/>
                      <w:color w:val="000000" w:themeColor="text1"/>
                      <w:szCs w:val="21"/>
                      <w:vertAlign w:val="superscript"/>
                      <w:lang w:val="en-US" w:eastAsia="zh-CN"/>
                      <w14:textFill>
                        <w14:solidFill>
                          <w14:schemeClr w14:val="tx1"/>
                        </w14:solidFill>
                      </w14:textFill>
                    </w:rPr>
                    <w:t>5</w:t>
                  </w:r>
                  <w:r>
                    <w:rPr>
                      <w:rFonts w:hint="eastAsia"/>
                      <w:color w:val="000000" w:themeColor="text1"/>
                      <w:szCs w:val="21"/>
                      <w:lang w:val="en-US" w:eastAsia="zh-CN"/>
                      <w14:textFill>
                        <w14:solidFill>
                          <w14:schemeClr w14:val="tx1"/>
                        </w14:solidFill>
                      </w14:textFill>
                    </w:rPr>
                    <w:t>MΩ以上</w:t>
                  </w:r>
                  <w:r>
                    <w:rPr>
                      <w:rFonts w:hint="eastAsia"/>
                      <w:color w:val="000000" w:themeColor="text1"/>
                      <w:szCs w:val="21"/>
                      <w:lang w:val="en-US" w:eastAsia="zh-CN"/>
                      <w14:textFill>
                        <w14:solidFill>
                          <w14:schemeClr w14:val="tx1"/>
                        </w14:solidFill>
                      </w14:textFill>
                    </w:rPr>
                    <w:fldChar w:fldCharType="begin"/>
                  </w:r>
                  <w:r>
                    <w:rPr>
                      <w:rFonts w:hint="eastAsia"/>
                      <w:color w:val="000000" w:themeColor="text1"/>
                      <w:szCs w:val="21"/>
                      <w:lang w:val="en-US" w:eastAsia="zh-CN"/>
                      <w14:textFill>
                        <w14:solidFill>
                          <w14:schemeClr w14:val="tx1"/>
                        </w14:solidFill>
                      </w14:textFill>
                    </w:rPr>
                    <w:instrText xml:space="preserve"> HYPERLINK "http://www.yuchengtrade.com/index.php/Home/Index/product_detail/id/29.html" \t "https://chat.deepseek.com/a/chat/s/_blank" </w:instrText>
                  </w:r>
                  <w:r>
                    <w:rPr>
                      <w:rFonts w:hint="eastAsia"/>
                      <w:color w:val="000000" w:themeColor="text1"/>
                      <w:szCs w:val="21"/>
                      <w:lang w:val="en-US" w:eastAsia="zh-CN"/>
                      <w14:textFill>
                        <w14:solidFill>
                          <w14:schemeClr w14:val="tx1"/>
                        </w14:solidFill>
                      </w14:textFill>
                    </w:rPr>
                    <w:fldChar w:fldCharType="separate"/>
                  </w:r>
                  <w:r>
                    <w:rPr>
                      <w:rFonts w:hint="eastAsia"/>
                      <w:color w:val="000000" w:themeColor="text1"/>
                      <w:szCs w:val="21"/>
                      <w:lang w:val="en-US" w:eastAsia="zh-CN"/>
                      <w14:textFill>
                        <w14:solidFill>
                          <w14:schemeClr w14:val="tx1"/>
                        </w14:solidFill>
                      </w14:textFill>
                    </w:rPr>
                    <w:fldChar w:fldCharType="end"/>
                  </w:r>
                  <w:r>
                    <w:rPr>
                      <w:rFonts w:hint="eastAsia"/>
                      <w:color w:val="000000" w:themeColor="text1"/>
                      <w:szCs w:val="21"/>
                      <w:lang w:val="en-US" w:eastAsia="zh-CN"/>
                      <w14:textFill>
                        <w14:solidFill>
                          <w14:schemeClr w14:val="tx1"/>
                        </w14:solidFill>
                      </w14:textFill>
                    </w:rPr>
                    <w:t>。绝缘强度（击穿电压）：通常在9.0MV/m以上</w:t>
                  </w:r>
                  <w:r>
                    <w:rPr>
                      <w:rFonts w:hint="eastAsia"/>
                      <w:color w:val="000000" w:themeColor="text1"/>
                      <w:szCs w:val="21"/>
                      <w:lang w:val="en-US" w:eastAsia="zh-CN"/>
                      <w14:textFill>
                        <w14:solidFill>
                          <w14:schemeClr w14:val="tx1"/>
                        </w14:solidFill>
                      </w14:textFill>
                    </w:rPr>
                    <w:fldChar w:fldCharType="begin"/>
                  </w:r>
                  <w:r>
                    <w:rPr>
                      <w:rFonts w:hint="eastAsia"/>
                      <w:color w:val="000000" w:themeColor="text1"/>
                      <w:szCs w:val="21"/>
                      <w:lang w:val="en-US" w:eastAsia="zh-CN"/>
                      <w14:textFill>
                        <w14:solidFill>
                          <w14:schemeClr w14:val="tx1"/>
                        </w14:solidFill>
                      </w14:textFill>
                    </w:rPr>
                    <w:instrText xml:space="preserve"> HYPERLINK "http://www.yuchengtrade.com/index.php/Home/Index/product_detail/id/29.html" \t "https://chat.deepseek.com/a/chat/s/_blank" </w:instrText>
                  </w:r>
                  <w:r>
                    <w:rPr>
                      <w:rFonts w:hint="eastAsia"/>
                      <w:color w:val="000000" w:themeColor="text1"/>
                      <w:szCs w:val="21"/>
                      <w:lang w:val="en-US" w:eastAsia="zh-CN"/>
                      <w14:textFill>
                        <w14:solidFill>
                          <w14:schemeClr w14:val="tx1"/>
                        </w14:solidFill>
                      </w14:textFill>
                    </w:rPr>
                    <w:fldChar w:fldCharType="separate"/>
                  </w:r>
                  <w:r>
                    <w:rPr>
                      <w:rFonts w:hint="eastAsia"/>
                      <w:color w:val="000000" w:themeColor="text1"/>
                      <w:szCs w:val="21"/>
                      <w:lang w:val="en-US" w:eastAsia="zh-CN"/>
                      <w14:textFill>
                        <w14:solidFill>
                          <w14:schemeClr w14:val="tx1"/>
                        </w14:solidFill>
                      </w14:textFill>
                    </w:rPr>
                    <w:fldChar w:fldCharType="end"/>
                  </w:r>
                  <w:r>
                    <w:rPr>
                      <w:rFonts w:hint="eastAsia"/>
                      <w:color w:val="000000" w:themeColor="text1"/>
                      <w:szCs w:val="21"/>
                      <w:lang w:val="en-US"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fldChar w:fldCharType="begin"/>
                  </w:r>
                  <w:r>
                    <w:rPr>
                      <w:rFonts w:hint="eastAsia"/>
                      <w:color w:val="000000" w:themeColor="text1"/>
                      <w:szCs w:val="21"/>
                      <w:lang w:val="en-US" w:eastAsia="zh-CN"/>
                      <w14:textFill>
                        <w14:solidFill>
                          <w14:schemeClr w14:val="tx1"/>
                        </w14:solidFill>
                      </w14:textFill>
                    </w:rPr>
                    <w:instrText xml:space="preserve"> HYPERLINK "https://m.zjtcn.com/news/3579697.html" \t "https://chat.deepseek.com/a/chat/s/_blank" </w:instrText>
                  </w:r>
                  <w:r>
                    <w:rPr>
                      <w:rFonts w:hint="eastAsia"/>
                      <w:color w:val="000000" w:themeColor="text1"/>
                      <w:szCs w:val="21"/>
                      <w:lang w:val="en-US" w:eastAsia="zh-CN"/>
                      <w14:textFill>
                        <w14:solidFill>
                          <w14:schemeClr w14:val="tx1"/>
                        </w14:solidFill>
                      </w14:textFill>
                    </w:rPr>
                    <w:fldChar w:fldCharType="separate"/>
                  </w:r>
                  <w:r>
                    <w:rPr>
                      <w:rFonts w:hint="eastAsia"/>
                      <w:color w:val="000000" w:themeColor="text1"/>
                      <w:szCs w:val="21"/>
                      <w:lang w:val="en-US" w:eastAsia="zh-CN"/>
                      <w14:textFill>
                        <w14:solidFill>
                          <w14:schemeClr w14:val="tx1"/>
                        </w14:solidFill>
                      </w14:textFill>
                    </w:rPr>
                    <w:fldChar w:fldCharType="end"/>
                  </w:r>
                  <w:r>
                    <w:rPr>
                      <w:rFonts w:hint="eastAsia"/>
                      <w:color w:val="000000" w:themeColor="text1"/>
                      <w:szCs w:val="21"/>
                      <w:lang w:val="en-US" w:eastAsia="zh-CN"/>
                      <w14:textFill>
                        <w14:solidFill>
                          <w14:schemeClr w14:val="tx1"/>
                        </w14:solidFill>
                      </w14:textFill>
                    </w:rPr>
                    <w:fldChar w:fldCharType="begin"/>
                  </w:r>
                  <w:r>
                    <w:rPr>
                      <w:rFonts w:hint="eastAsia"/>
                      <w:color w:val="000000" w:themeColor="text1"/>
                      <w:szCs w:val="21"/>
                      <w:lang w:val="en-US" w:eastAsia="zh-CN"/>
                      <w14:textFill>
                        <w14:solidFill>
                          <w14:schemeClr w14:val="tx1"/>
                        </w14:solidFill>
                      </w14:textFill>
                    </w:rPr>
                    <w:instrText xml:space="preserve"> HYPERLINK "https://www.zjtcn.com/baike/ajslma" \l "1" \t "https://chat.deepseek.com/a/chat/s/_blank" </w:instrText>
                  </w:r>
                  <w:r>
                    <w:rPr>
                      <w:rFonts w:hint="eastAsia"/>
                      <w:color w:val="000000" w:themeColor="text1"/>
                      <w:szCs w:val="21"/>
                      <w:lang w:val="en-US" w:eastAsia="zh-CN"/>
                      <w14:textFill>
                        <w14:solidFill>
                          <w14:schemeClr w14:val="tx1"/>
                        </w14:solidFill>
                      </w14:textFill>
                    </w:rPr>
                    <w:fldChar w:fldCharType="separate"/>
                  </w:r>
                  <w:r>
                    <w:rPr>
                      <w:rFonts w:hint="eastAsia"/>
                      <w:color w:val="000000" w:themeColor="text1"/>
                      <w:szCs w:val="21"/>
                      <w:lang w:val="en-US" w:eastAsia="zh-CN"/>
                      <w14:textFill>
                        <w14:solidFill>
                          <w14:schemeClr w14:val="tx1"/>
                        </w14:solidFill>
                      </w14:textFill>
                    </w:rPr>
                    <w:fldChar w:fldCharType="end"/>
                  </w:r>
                  <w:r>
                    <w:rPr>
                      <w:rFonts w:hint="eastAsia"/>
                      <w:color w:val="000000" w:themeColor="text1"/>
                      <w:szCs w:val="21"/>
                      <w:lang w:val="en-US" w:eastAsia="zh-CN"/>
                      <w14:textFill>
                        <w14:solidFill>
                          <w14:schemeClr w14:val="tx1"/>
                        </w14:solidFill>
                      </w14:textFill>
                    </w:rPr>
                    <w:t>体积电阻率：约为10</w:t>
                  </w:r>
                  <w:r>
                    <w:rPr>
                      <w:rFonts w:hint="eastAsia"/>
                      <w:color w:val="000000" w:themeColor="text1"/>
                      <w:szCs w:val="21"/>
                      <w:vertAlign w:val="superscript"/>
                      <w:lang w:val="en-US" w:eastAsia="zh-CN"/>
                      <w14:textFill>
                        <w14:solidFill>
                          <w14:schemeClr w14:val="tx1"/>
                        </w14:solidFill>
                      </w14:textFill>
                    </w:rPr>
                    <w:t>12</w:t>
                  </w:r>
                  <w:r>
                    <w:rPr>
                      <w:rFonts w:hint="eastAsia"/>
                      <w:color w:val="000000" w:themeColor="text1"/>
                      <w:szCs w:val="21"/>
                      <w:lang w:val="en-US" w:eastAsia="zh-CN"/>
                      <w14:textFill>
                        <w14:solidFill>
                          <w14:schemeClr w14:val="tx1"/>
                        </w14:solidFill>
                      </w14:textFill>
                    </w:rPr>
                    <w:t>Ω·cm</w:t>
                  </w:r>
                  <w:r>
                    <w:rPr>
                      <w:rFonts w:hint="eastAsia"/>
                      <w:color w:val="000000" w:themeColor="text1"/>
                      <w:szCs w:val="21"/>
                      <w:lang w:val="en-US" w:eastAsia="zh-CN"/>
                      <w14:textFill>
                        <w14:solidFill>
                          <w14:schemeClr w14:val="tx1"/>
                        </w14:solidFill>
                      </w14:textFill>
                    </w:rPr>
                    <w:fldChar w:fldCharType="begin"/>
                  </w:r>
                  <w:r>
                    <w:rPr>
                      <w:rFonts w:hint="eastAsia"/>
                      <w:color w:val="000000" w:themeColor="text1"/>
                      <w:szCs w:val="21"/>
                      <w:lang w:val="en-US" w:eastAsia="zh-CN"/>
                      <w14:textFill>
                        <w14:solidFill>
                          <w14:schemeClr w14:val="tx1"/>
                        </w14:solidFill>
                      </w14:textFill>
                    </w:rPr>
                    <w:instrText xml:space="preserve"> HYPERLINK "https://m.zjtcn.com/news/3579697.html" \t "https://chat.deepseek.com/a/chat/s/_blank" </w:instrText>
                  </w:r>
                  <w:r>
                    <w:rPr>
                      <w:rFonts w:hint="eastAsia"/>
                      <w:color w:val="000000" w:themeColor="text1"/>
                      <w:szCs w:val="21"/>
                      <w:lang w:val="en-US" w:eastAsia="zh-CN"/>
                      <w14:textFill>
                        <w14:solidFill>
                          <w14:schemeClr w14:val="tx1"/>
                        </w14:solidFill>
                      </w14:textFill>
                    </w:rPr>
                    <w:fldChar w:fldCharType="separate"/>
                  </w:r>
                  <w:r>
                    <w:rPr>
                      <w:rFonts w:hint="eastAsia"/>
                      <w:color w:val="000000" w:themeColor="text1"/>
                      <w:szCs w:val="21"/>
                      <w:lang w:val="en-US" w:eastAsia="zh-CN"/>
                      <w14:textFill>
                        <w14:solidFill>
                          <w14:schemeClr w14:val="tx1"/>
                        </w14:solidFill>
                      </w14:textFill>
                    </w:rPr>
                    <w:fldChar w:fldCharType="end"/>
                  </w:r>
                  <w:r>
                    <w:rPr>
                      <w:rFonts w:hint="eastAsia"/>
                      <w:color w:val="000000" w:themeColor="text1"/>
                      <w:szCs w:val="21"/>
                      <w:lang w:val="en-US" w:eastAsia="zh-CN"/>
                      <w14:textFill>
                        <w14:solidFill>
                          <w14:schemeClr w14:val="tx1"/>
                        </w14:solidFill>
                      </w14:textFill>
                    </w:rPr>
                    <w:fldChar w:fldCharType="begin"/>
                  </w:r>
                  <w:r>
                    <w:rPr>
                      <w:rFonts w:hint="eastAsia"/>
                      <w:color w:val="000000" w:themeColor="text1"/>
                      <w:szCs w:val="21"/>
                      <w:lang w:val="en-US" w:eastAsia="zh-CN"/>
                      <w14:textFill>
                        <w14:solidFill>
                          <w14:schemeClr w14:val="tx1"/>
                        </w14:solidFill>
                      </w14:textFill>
                    </w:rPr>
                    <w:instrText xml:space="preserve"> HYPERLINK "https://www.zjtcn.com/baike/ajslma" \l "1" \t "https://chat.deepseek.com/a/chat/s/_blank" </w:instrText>
                  </w:r>
                  <w:r>
                    <w:rPr>
                      <w:rFonts w:hint="eastAsia"/>
                      <w:color w:val="000000" w:themeColor="text1"/>
                      <w:szCs w:val="21"/>
                      <w:lang w:val="en-US" w:eastAsia="zh-CN"/>
                      <w14:textFill>
                        <w14:solidFill>
                          <w14:schemeClr w14:val="tx1"/>
                        </w14:solidFill>
                      </w14:textFill>
                    </w:rPr>
                    <w:fldChar w:fldCharType="separate"/>
                  </w:r>
                  <w:r>
                    <w:rPr>
                      <w:rFonts w:hint="eastAsia"/>
                      <w:color w:val="000000" w:themeColor="text1"/>
                      <w:szCs w:val="21"/>
                      <w:lang w:val="en-US" w:eastAsia="zh-CN"/>
                      <w14:textFill>
                        <w14:solidFill>
                          <w14:schemeClr w14:val="tx1"/>
                        </w14:solidFill>
                      </w14:textFill>
                    </w:rPr>
                    <w:fldChar w:fldCharType="end"/>
                  </w:r>
                  <w:r>
                    <w:rPr>
                      <w:rFonts w:hint="eastAsia"/>
                      <w:color w:val="000000" w:themeColor="text1"/>
                      <w:szCs w:val="21"/>
                      <w:lang w:val="en-US" w:eastAsia="zh-CN"/>
                      <w14:textFill>
                        <w14:solidFill>
                          <w14:schemeClr w14:val="tx1"/>
                        </w14:solidFill>
                      </w14:textFill>
                    </w:rPr>
                    <w:t>。耐电弧性：表现良好，可达110~140秒</w:t>
                  </w:r>
                  <w:r>
                    <w:rPr>
                      <w:rFonts w:hint="eastAsia"/>
                      <w:color w:val="000000" w:themeColor="text1"/>
                      <w:szCs w:val="21"/>
                      <w:lang w:val="en-US" w:eastAsia="zh-CN"/>
                      <w14:textFill>
                        <w14:solidFill>
                          <w14:schemeClr w14:val="tx1"/>
                        </w14:solidFill>
                      </w14:textFill>
                    </w:rPr>
                    <w:fldChar w:fldCharType="begin"/>
                  </w:r>
                  <w:r>
                    <w:rPr>
                      <w:rFonts w:hint="eastAsia"/>
                      <w:color w:val="000000" w:themeColor="text1"/>
                      <w:szCs w:val="21"/>
                      <w:lang w:val="en-US" w:eastAsia="zh-CN"/>
                      <w14:textFill>
                        <w14:solidFill>
                          <w14:schemeClr w14:val="tx1"/>
                        </w14:solidFill>
                      </w14:textFill>
                    </w:rPr>
                    <w:instrText xml:space="preserve"> HYPERLINK "https://m.zjtcn.com/news/3579697.html" \t "https://chat.deepseek.com/a/chat/s/_blank" </w:instrText>
                  </w:r>
                  <w:r>
                    <w:rPr>
                      <w:rFonts w:hint="eastAsia"/>
                      <w:color w:val="000000" w:themeColor="text1"/>
                      <w:szCs w:val="21"/>
                      <w:lang w:val="en-US" w:eastAsia="zh-CN"/>
                      <w14:textFill>
                        <w14:solidFill>
                          <w14:schemeClr w14:val="tx1"/>
                        </w14:solidFill>
                      </w14:textFill>
                    </w:rPr>
                    <w:fldChar w:fldCharType="separate"/>
                  </w:r>
                  <w:r>
                    <w:rPr>
                      <w:rFonts w:hint="eastAsia"/>
                      <w:color w:val="000000" w:themeColor="text1"/>
                      <w:szCs w:val="21"/>
                      <w:lang w:val="en-US" w:eastAsia="zh-CN"/>
                      <w14:textFill>
                        <w14:solidFill>
                          <w14:schemeClr w14:val="tx1"/>
                        </w14:solidFill>
                      </w14:textFill>
                    </w:rPr>
                    <w:fldChar w:fldCharType="end"/>
                  </w:r>
                  <w:r>
                    <w:rPr>
                      <w:rFonts w:hint="eastAsia"/>
                      <w:color w:val="000000" w:themeColor="text1"/>
                      <w:szCs w:val="21"/>
                      <w:lang w:val="en-US" w:eastAsia="zh-CN"/>
                      <w14:textFill>
                        <w14:solidFill>
                          <w14:schemeClr w14:val="tx1"/>
                        </w14:solidFill>
                      </w14:textFill>
                    </w:rPr>
                    <w:fldChar w:fldCharType="begin"/>
                  </w:r>
                  <w:r>
                    <w:rPr>
                      <w:rFonts w:hint="eastAsia"/>
                      <w:color w:val="000000" w:themeColor="text1"/>
                      <w:szCs w:val="21"/>
                      <w:lang w:val="en-US" w:eastAsia="zh-CN"/>
                      <w14:textFill>
                        <w14:solidFill>
                          <w14:schemeClr w14:val="tx1"/>
                        </w14:solidFill>
                      </w14:textFill>
                    </w:rPr>
                    <w:instrText xml:space="preserve"> HYPERLINK "https://www.zjtcn.com/baike/ajslma" \l "1" \t "https://chat.deepseek.com/a/chat/s/_blank" </w:instrText>
                  </w:r>
                  <w:r>
                    <w:rPr>
                      <w:rFonts w:hint="eastAsia"/>
                      <w:color w:val="000000" w:themeColor="text1"/>
                      <w:szCs w:val="21"/>
                      <w:lang w:val="en-US" w:eastAsia="zh-CN"/>
                      <w14:textFill>
                        <w14:solidFill>
                          <w14:schemeClr w14:val="tx1"/>
                        </w14:solidFill>
                      </w14:textFill>
                    </w:rPr>
                    <w:fldChar w:fldCharType="separate"/>
                  </w:r>
                  <w:r>
                    <w:rPr>
                      <w:rFonts w:hint="eastAsia"/>
                      <w:color w:val="000000" w:themeColor="text1"/>
                      <w:szCs w:val="21"/>
                      <w:lang w:val="en-US" w:eastAsia="zh-CN"/>
                      <w14:textFill>
                        <w14:solidFill>
                          <w14:schemeClr w14:val="tx1"/>
                        </w14:solidFill>
                      </w14:textFill>
                    </w:rPr>
                    <w:fldChar w:fldCharType="end"/>
                  </w:r>
                  <w:r>
                    <w:rPr>
                      <w:rFonts w:hint="eastAsia"/>
                      <w:color w:val="000000" w:themeColor="text1"/>
                      <w:szCs w:val="21"/>
                      <w:lang w:val="en-US" w:eastAsia="zh-CN"/>
                      <w14:textFill>
                        <w14:solidFill>
                          <w14:schemeClr w14:val="tx1"/>
                        </w14:solidFill>
                      </w14:textFill>
                    </w:rPr>
                    <w:t>，使其适用于制造防爆电器配件、电动工具绝缘部件等；且密胺粉本身具有自熄性，即离开火源后能自行熄灭，不易燃烧</w:t>
                  </w:r>
                  <w:r>
                    <w:rPr>
                      <w:rFonts w:hint="eastAsia"/>
                      <w:color w:val="000000" w:themeColor="text1"/>
                      <w:szCs w:val="21"/>
                      <w:lang w:val="en-US" w:eastAsia="zh-CN"/>
                      <w14:textFill>
                        <w14:solidFill>
                          <w14:schemeClr w14:val="tx1"/>
                        </w14:solidFill>
                      </w14:textFill>
                    </w:rPr>
                    <w:fldChar w:fldCharType="begin"/>
                  </w:r>
                  <w:r>
                    <w:rPr>
                      <w:rFonts w:hint="eastAsia"/>
                      <w:color w:val="000000" w:themeColor="text1"/>
                      <w:szCs w:val="21"/>
                      <w:lang w:val="en-US" w:eastAsia="zh-CN"/>
                      <w14:textFill>
                        <w14:solidFill>
                          <w14:schemeClr w14:val="tx1"/>
                        </w14:solidFill>
                      </w14:textFill>
                    </w:rPr>
                    <w:instrText xml:space="preserve"> HYPERLINK "http://www.basechem.org/chemical/46268" \t "https://chat.deepseek.com/a/chat/s/_blank" </w:instrText>
                  </w:r>
                  <w:r>
                    <w:rPr>
                      <w:rFonts w:hint="eastAsia"/>
                      <w:color w:val="000000" w:themeColor="text1"/>
                      <w:szCs w:val="21"/>
                      <w:lang w:val="en-US" w:eastAsia="zh-CN"/>
                      <w14:textFill>
                        <w14:solidFill>
                          <w14:schemeClr w14:val="tx1"/>
                        </w14:solidFill>
                      </w14:textFill>
                    </w:rPr>
                    <w:fldChar w:fldCharType="separate"/>
                  </w:r>
                  <w:r>
                    <w:rPr>
                      <w:rFonts w:hint="eastAsia"/>
                      <w:color w:val="000000" w:themeColor="text1"/>
                      <w:szCs w:val="21"/>
                      <w:lang w:val="en-US" w:eastAsia="zh-CN"/>
                      <w14:textFill>
                        <w14:solidFill>
                          <w14:schemeClr w14:val="tx1"/>
                        </w14:solidFill>
                      </w14:textFill>
                    </w:rPr>
                    <w:fldChar w:fldCharType="end"/>
                  </w:r>
                  <w:r>
                    <w:rPr>
                      <w:rFonts w:hint="eastAsia"/>
                      <w:color w:val="000000" w:themeColor="text1"/>
                      <w:szCs w:val="21"/>
                      <w:lang w:val="en-US" w:eastAsia="zh-CN"/>
                      <w14:textFill>
                        <w14:solidFill>
                          <w14:schemeClr w14:val="tx1"/>
                        </w14:solidFill>
                      </w14:textFill>
                    </w:rPr>
                    <w:fldChar w:fldCharType="begin"/>
                  </w:r>
                  <w:r>
                    <w:rPr>
                      <w:rFonts w:hint="eastAsia"/>
                      <w:color w:val="000000" w:themeColor="text1"/>
                      <w:szCs w:val="21"/>
                      <w:lang w:val="en-US" w:eastAsia="zh-CN"/>
                      <w14:textFill>
                        <w14:solidFill>
                          <w14:schemeClr w14:val="tx1"/>
                        </w14:solidFill>
                      </w14:textFill>
                    </w:rPr>
                    <w:instrText xml:space="preserve"> HYPERLINK "https://baike.baidu.com/item/%E4%B8%89%E8%81%9A%E6%B0%B0%E8%83%BA%E7%94%B2%E9%86%9B%E6%A0%91%E8%84%82%E5%A4%8F%E5%90%88%E6%9D%90%E6%96%99" \l "1" \t "https://chat.deepseek.com/a/chat/s/_blank" </w:instrText>
                  </w:r>
                  <w:r>
                    <w:rPr>
                      <w:rFonts w:hint="eastAsia"/>
                      <w:color w:val="000000" w:themeColor="text1"/>
                      <w:szCs w:val="21"/>
                      <w:lang w:val="en-US" w:eastAsia="zh-CN"/>
                      <w14:textFill>
                        <w14:solidFill>
                          <w14:schemeClr w14:val="tx1"/>
                        </w14:solidFill>
                      </w14:textFill>
                    </w:rPr>
                    <w:fldChar w:fldCharType="separate"/>
                  </w:r>
                  <w:r>
                    <w:rPr>
                      <w:rFonts w:hint="eastAsia"/>
                      <w:color w:val="000000" w:themeColor="text1"/>
                      <w:szCs w:val="21"/>
                      <w:lang w:val="en-US" w:eastAsia="zh-CN"/>
                      <w14:textFill>
                        <w14:solidFill>
                          <w14:schemeClr w14:val="tx1"/>
                        </w14:solidFill>
                      </w14:textFill>
                    </w:rPr>
                    <w:fldChar w:fldCharType="end"/>
                  </w:r>
                  <w:r>
                    <w:rPr>
                      <w:rFonts w:hint="eastAsia"/>
                      <w:color w:val="000000" w:themeColor="text1"/>
                      <w:szCs w:val="21"/>
                      <w:lang w:val="en-US" w:eastAsia="zh-CN"/>
                      <w14:textFill>
                        <w14:solidFill>
                          <w14:schemeClr w14:val="tx1"/>
                        </w14:solidFill>
                      </w14:textFill>
                    </w:rPr>
                    <w:t>。有良好的阻燃性与耐热性。</w:t>
                  </w:r>
                </w:p>
              </w:tc>
            </w:tr>
            <w:tr w14:paraId="1C7D0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397" w:type="pct"/>
                  <w:vAlign w:val="center"/>
                </w:tcPr>
                <w:p w14:paraId="3C13FD91">
                  <w:pPr>
                    <w:keepNext w:val="0"/>
                    <w:keepLines w:val="0"/>
                    <w:pageBreakBefore w:val="0"/>
                    <w:widowControl w:val="0"/>
                    <w:kinsoku/>
                    <w:wordWrap/>
                    <w:overflowPunct/>
                    <w:topLinePunct w:val="0"/>
                    <w:autoSpaceDE/>
                    <w:autoSpaceDN/>
                    <w:bidi w:val="0"/>
                    <w:adjustRightInd/>
                    <w:snapToGrid/>
                    <w:ind w:right="0" w:rightChars="0" w:firstLine="0"/>
                    <w:jc w:val="center"/>
                    <w:textAlignment w:val="auto"/>
                    <w:rPr>
                      <w:rFonts w:hint="default"/>
                      <w:bCs/>
                      <w:color w:val="000000" w:themeColor="text1"/>
                      <w:kern w:val="0"/>
                      <w:szCs w:val="21"/>
                      <w:lang w:val="en-US" w:eastAsia="zh-CN"/>
                      <w14:textFill>
                        <w14:solidFill>
                          <w14:schemeClr w14:val="tx1"/>
                        </w14:solidFill>
                      </w14:textFill>
                    </w:rPr>
                  </w:pPr>
                  <w:r>
                    <w:rPr>
                      <w:rFonts w:hint="eastAsia"/>
                      <w:bCs/>
                      <w:color w:val="000000" w:themeColor="text1"/>
                      <w:kern w:val="0"/>
                      <w:szCs w:val="21"/>
                      <w:lang w:val="en-US" w:eastAsia="zh-CN"/>
                      <w14:textFill>
                        <w14:solidFill>
                          <w14:schemeClr w14:val="tx1"/>
                        </w14:solidFill>
                      </w14:textFill>
                    </w:rPr>
                    <w:t>2</w:t>
                  </w:r>
                </w:p>
              </w:tc>
              <w:tc>
                <w:tcPr>
                  <w:tcW w:w="676" w:type="pct"/>
                  <w:vAlign w:val="center"/>
                </w:tcPr>
                <w:p w14:paraId="708E5864">
                  <w:pPr>
                    <w:keepNext w:val="0"/>
                    <w:keepLines w:val="0"/>
                    <w:pageBreakBefore w:val="0"/>
                    <w:widowControl w:val="0"/>
                    <w:kinsoku/>
                    <w:wordWrap/>
                    <w:overflowPunct/>
                    <w:topLinePunct w:val="0"/>
                    <w:autoSpaceDE/>
                    <w:autoSpaceDN/>
                    <w:bidi w:val="0"/>
                    <w:adjustRightInd/>
                    <w:snapToGrid/>
                    <w:ind w:right="0" w:rightChars="0" w:firstLine="0"/>
                    <w:jc w:val="center"/>
                    <w:textAlignment w:val="auto"/>
                    <w:rPr>
                      <w:rFonts w:hint="eastAsia"/>
                      <w:bCs/>
                      <w:color w:val="000000" w:themeColor="text1"/>
                      <w:kern w:val="0"/>
                      <w:szCs w:val="21"/>
                      <w:lang w:val="en-US" w:eastAsia="zh-CN"/>
                      <w14:textFill>
                        <w14:solidFill>
                          <w14:schemeClr w14:val="tx1"/>
                        </w14:solidFill>
                      </w14:textFill>
                    </w:rPr>
                  </w:pPr>
                  <w:r>
                    <w:rPr>
                      <w:rFonts w:hint="eastAsia"/>
                      <w:bCs/>
                      <w:color w:val="000000" w:themeColor="text1"/>
                      <w:kern w:val="0"/>
                      <w:szCs w:val="21"/>
                      <w:lang w:val="en-US" w:eastAsia="zh-CN"/>
                      <w14:textFill>
                        <w14:solidFill>
                          <w14:schemeClr w14:val="tx1"/>
                        </w14:solidFill>
                      </w14:textFill>
                    </w:rPr>
                    <w:t>罩光粉</w:t>
                  </w:r>
                </w:p>
              </w:tc>
              <w:tc>
                <w:tcPr>
                  <w:tcW w:w="3925" w:type="pct"/>
                  <w:vAlign w:val="center"/>
                </w:tcPr>
                <w:p w14:paraId="673AA7F9">
                  <w:pPr>
                    <w:keepNext w:val="0"/>
                    <w:keepLines w:val="0"/>
                    <w:pageBreakBefore w:val="0"/>
                    <w:widowControl w:val="0"/>
                    <w:kinsoku/>
                    <w:wordWrap/>
                    <w:overflowPunct/>
                    <w:topLinePunct w:val="0"/>
                    <w:autoSpaceDE/>
                    <w:autoSpaceDN/>
                    <w:bidi w:val="0"/>
                    <w:adjustRightInd/>
                    <w:snapToGrid/>
                    <w:ind w:right="0" w:rightChars="0" w:firstLine="0"/>
                    <w:jc w:val="left"/>
                    <w:textAlignment w:val="auto"/>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密胺罩光树脂，白色粉末状。它是甲醛和三聚氰胺反应成树脂，烘干球磨成的粉，因为不加纸浆，俗称“精粉”，用在压制餐具增加表面亮洁度，热变型温度180℃，连续使用温度在100℃以上，分解温度在354℃。</w:t>
                  </w:r>
                </w:p>
              </w:tc>
            </w:tr>
            <w:tr w14:paraId="4279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397" w:type="pct"/>
                  <w:vAlign w:val="center"/>
                </w:tcPr>
                <w:p w14:paraId="595DDB0E">
                  <w:pPr>
                    <w:keepNext w:val="0"/>
                    <w:keepLines w:val="0"/>
                    <w:pageBreakBefore w:val="0"/>
                    <w:widowControl w:val="0"/>
                    <w:kinsoku/>
                    <w:wordWrap/>
                    <w:overflowPunct/>
                    <w:topLinePunct w:val="0"/>
                    <w:autoSpaceDE/>
                    <w:autoSpaceDN/>
                    <w:bidi w:val="0"/>
                    <w:adjustRightInd/>
                    <w:snapToGrid/>
                    <w:ind w:right="0" w:rightChars="0" w:firstLine="0"/>
                    <w:jc w:val="center"/>
                    <w:textAlignment w:val="auto"/>
                    <w:rPr>
                      <w:rFonts w:hint="default"/>
                      <w:bCs/>
                      <w:color w:val="000000" w:themeColor="text1"/>
                      <w:kern w:val="0"/>
                      <w:szCs w:val="21"/>
                      <w:lang w:val="en-US" w:eastAsia="zh-CN"/>
                      <w14:textFill>
                        <w14:solidFill>
                          <w14:schemeClr w14:val="tx1"/>
                        </w14:solidFill>
                      </w14:textFill>
                    </w:rPr>
                  </w:pPr>
                  <w:r>
                    <w:rPr>
                      <w:rFonts w:hint="eastAsia"/>
                      <w:bCs/>
                      <w:color w:val="000000" w:themeColor="text1"/>
                      <w:kern w:val="0"/>
                      <w:szCs w:val="21"/>
                      <w:lang w:val="en-US" w:eastAsia="zh-CN"/>
                      <w14:textFill>
                        <w14:solidFill>
                          <w14:schemeClr w14:val="tx1"/>
                        </w14:solidFill>
                      </w14:textFill>
                    </w:rPr>
                    <w:t>3</w:t>
                  </w:r>
                </w:p>
              </w:tc>
              <w:tc>
                <w:tcPr>
                  <w:tcW w:w="676" w:type="pct"/>
                  <w:vAlign w:val="center"/>
                </w:tcPr>
                <w:p w14:paraId="7AD1549B">
                  <w:pPr>
                    <w:keepNext w:val="0"/>
                    <w:keepLines w:val="0"/>
                    <w:pageBreakBefore w:val="0"/>
                    <w:widowControl w:val="0"/>
                    <w:kinsoku/>
                    <w:wordWrap/>
                    <w:overflowPunct/>
                    <w:topLinePunct w:val="0"/>
                    <w:autoSpaceDE/>
                    <w:autoSpaceDN/>
                    <w:bidi w:val="0"/>
                    <w:adjustRightInd/>
                    <w:snapToGrid/>
                    <w:ind w:right="0" w:rightChars="0" w:firstLine="0"/>
                    <w:jc w:val="center"/>
                    <w:textAlignment w:val="auto"/>
                    <w:rPr>
                      <w:rFonts w:hint="eastAsia"/>
                      <w:bCs/>
                      <w:color w:val="000000" w:themeColor="text1"/>
                      <w:kern w:val="0"/>
                      <w:szCs w:val="21"/>
                      <w:lang w:val="en-US" w:eastAsia="zh-CN"/>
                      <w14:textFill>
                        <w14:solidFill>
                          <w14:schemeClr w14:val="tx1"/>
                        </w14:solidFill>
                      </w14:textFill>
                    </w:rPr>
                  </w:pPr>
                  <w:r>
                    <w:rPr>
                      <w:rFonts w:hint="eastAsia"/>
                      <w:bCs/>
                      <w:color w:val="000000" w:themeColor="text1"/>
                      <w:kern w:val="0"/>
                      <w:szCs w:val="21"/>
                      <w:lang w:val="en-US" w:eastAsia="zh-CN"/>
                      <w14:textFill>
                        <w14:solidFill>
                          <w14:schemeClr w14:val="tx1"/>
                        </w14:solidFill>
                      </w14:textFill>
                    </w:rPr>
                    <w:t>花纸</w:t>
                  </w:r>
                </w:p>
              </w:tc>
              <w:tc>
                <w:tcPr>
                  <w:tcW w:w="3925" w:type="pct"/>
                  <w:vAlign w:val="center"/>
                </w:tcPr>
                <w:p w14:paraId="13A48BEE">
                  <w:pPr>
                    <w:keepNext w:val="0"/>
                    <w:keepLines w:val="0"/>
                    <w:pageBreakBefore w:val="0"/>
                    <w:widowControl w:val="0"/>
                    <w:kinsoku/>
                    <w:wordWrap/>
                    <w:overflowPunct/>
                    <w:topLinePunct w:val="0"/>
                    <w:autoSpaceDE/>
                    <w:autoSpaceDN/>
                    <w:bidi w:val="0"/>
                    <w:adjustRightInd/>
                    <w:snapToGrid/>
                    <w:ind w:right="0" w:rightChars="0" w:firstLine="0"/>
                    <w:jc w:val="left"/>
                    <w:textAlignment w:val="auto"/>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密胺花纸，主要用于密胺、美耐皿、仿瓷餐具，花纸按照客户需求表面印有各色图案。</w:t>
                  </w:r>
                </w:p>
              </w:tc>
            </w:tr>
            <w:tr w14:paraId="5E9E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397" w:type="pct"/>
                  <w:vAlign w:val="center"/>
                </w:tcPr>
                <w:p w14:paraId="38405D29">
                  <w:pPr>
                    <w:keepNext w:val="0"/>
                    <w:keepLines w:val="0"/>
                    <w:pageBreakBefore w:val="0"/>
                    <w:widowControl w:val="0"/>
                    <w:kinsoku/>
                    <w:wordWrap/>
                    <w:overflowPunct/>
                    <w:topLinePunct w:val="0"/>
                    <w:autoSpaceDE/>
                    <w:autoSpaceDN/>
                    <w:bidi w:val="0"/>
                    <w:adjustRightInd/>
                    <w:snapToGrid/>
                    <w:ind w:right="0" w:rightChars="0" w:firstLine="0"/>
                    <w:jc w:val="center"/>
                    <w:textAlignment w:val="auto"/>
                    <w:rPr>
                      <w:rFonts w:hint="default"/>
                      <w:bCs/>
                      <w:color w:val="000000" w:themeColor="text1"/>
                      <w:kern w:val="0"/>
                      <w:szCs w:val="21"/>
                      <w:lang w:val="en-US" w:eastAsia="zh-CN"/>
                      <w14:textFill>
                        <w14:solidFill>
                          <w14:schemeClr w14:val="tx1"/>
                        </w14:solidFill>
                      </w14:textFill>
                    </w:rPr>
                  </w:pPr>
                  <w:r>
                    <w:rPr>
                      <w:rFonts w:hint="eastAsia"/>
                      <w:bCs/>
                      <w:color w:val="000000" w:themeColor="text1"/>
                      <w:kern w:val="0"/>
                      <w:szCs w:val="21"/>
                      <w:lang w:val="en-US" w:eastAsia="zh-CN"/>
                      <w14:textFill>
                        <w14:solidFill>
                          <w14:schemeClr w14:val="tx1"/>
                        </w14:solidFill>
                      </w14:textFill>
                    </w:rPr>
                    <w:t>4</w:t>
                  </w:r>
                </w:p>
              </w:tc>
              <w:tc>
                <w:tcPr>
                  <w:tcW w:w="676" w:type="pct"/>
                  <w:vAlign w:val="center"/>
                </w:tcPr>
                <w:p w14:paraId="12115CBA">
                  <w:pPr>
                    <w:keepNext w:val="0"/>
                    <w:keepLines w:val="0"/>
                    <w:pageBreakBefore w:val="0"/>
                    <w:widowControl w:val="0"/>
                    <w:kinsoku/>
                    <w:wordWrap/>
                    <w:overflowPunct/>
                    <w:topLinePunct w:val="0"/>
                    <w:autoSpaceDE/>
                    <w:autoSpaceDN/>
                    <w:bidi w:val="0"/>
                    <w:adjustRightInd/>
                    <w:snapToGrid/>
                    <w:ind w:right="0" w:rightChars="0" w:firstLine="0"/>
                    <w:jc w:val="center"/>
                    <w:textAlignment w:val="auto"/>
                    <w:rPr>
                      <w:rFonts w:hint="default"/>
                      <w:bCs/>
                      <w:color w:val="000000" w:themeColor="text1"/>
                      <w:kern w:val="0"/>
                      <w:szCs w:val="21"/>
                      <w:lang w:val="en-US" w:eastAsia="zh-CN"/>
                      <w14:textFill>
                        <w14:solidFill>
                          <w14:schemeClr w14:val="tx1"/>
                        </w14:solidFill>
                      </w14:textFill>
                    </w:rPr>
                  </w:pPr>
                  <w:r>
                    <w:rPr>
                      <w:rFonts w:hint="eastAsia"/>
                      <w:bCs/>
                      <w:color w:val="000000" w:themeColor="text1"/>
                      <w:kern w:val="0"/>
                      <w:szCs w:val="21"/>
                      <w:lang w:val="en-US" w:eastAsia="zh-CN"/>
                      <w14:textFill>
                        <w14:solidFill>
                          <w14:schemeClr w14:val="tx1"/>
                        </w14:solidFill>
                      </w14:textFill>
                    </w:rPr>
                    <w:t>液压油</w:t>
                  </w:r>
                </w:p>
              </w:tc>
              <w:tc>
                <w:tcPr>
                  <w:tcW w:w="3925" w:type="pct"/>
                  <w:vAlign w:val="center"/>
                </w:tcPr>
                <w:p w14:paraId="7A4B49B6">
                  <w:pPr>
                    <w:keepNext w:val="0"/>
                    <w:keepLines w:val="0"/>
                    <w:pageBreakBefore w:val="0"/>
                    <w:widowControl w:val="0"/>
                    <w:kinsoku/>
                    <w:wordWrap/>
                    <w:overflowPunct/>
                    <w:topLinePunct w:val="0"/>
                    <w:autoSpaceDE/>
                    <w:autoSpaceDN/>
                    <w:bidi w:val="0"/>
                    <w:adjustRightInd/>
                    <w:snapToGrid/>
                    <w:ind w:right="0" w:rightChars="0" w:firstLine="0"/>
                    <w:jc w:val="left"/>
                    <w:textAlignment w:val="auto"/>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从石油中提取，主要成分为烃类有机物。液压油就是利用液体压力能的液压系统使用的液压介质，在液压系统中起着能量传递、抗磨、系统润滑、防腐、防锈、冷却等作用。</w:t>
                  </w:r>
                </w:p>
              </w:tc>
            </w:tr>
          </w:tbl>
          <w:p w14:paraId="4EAE9B1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cs="Times New Roman"/>
                <w:b/>
                <w:bCs/>
                <w:color w:val="000000" w:themeColor="text1"/>
                <w:kern w:val="0"/>
                <w:sz w:val="24"/>
                <w:highlight w:val="none"/>
                <w:lang w:val="en-US" w:eastAsia="zh-CN"/>
                <w14:textFill>
                  <w14:solidFill>
                    <w14:schemeClr w14:val="tx1"/>
                  </w14:solidFill>
                </w14:textFill>
              </w:rPr>
            </w:pPr>
            <w:r>
              <w:rPr>
                <w:rFonts w:hint="eastAsia" w:cs="Times New Roman"/>
                <w:b/>
                <w:bCs/>
                <w:color w:val="000000" w:themeColor="text1"/>
                <w:kern w:val="0"/>
                <w:sz w:val="24"/>
                <w:highlight w:val="none"/>
                <w:lang w:val="en-US" w:eastAsia="zh-CN"/>
                <w14:textFill>
                  <w14:solidFill>
                    <w14:schemeClr w14:val="tx1"/>
                  </w14:solidFill>
                </w14:textFill>
              </w:rPr>
              <w:t>8、物料平衡</w:t>
            </w:r>
          </w:p>
          <w:p w14:paraId="15429C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本项目主要使用原料密胺粉、罩光粉与花纸为1007.5t/a，产品密胺餐具产量为1000t/a，项目物料平衡详见下表：</w:t>
            </w:r>
          </w:p>
          <w:p w14:paraId="0E7E26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pPr>
            <w:r>
              <w:rPr>
                <w:rFonts w:ascii="Times New Roman" w:hAnsi="Times New Roman" w:eastAsia="宋体" w:cs="Times New Roman"/>
                <w:b/>
                <w:color w:val="000000" w:themeColor="text1"/>
                <w:szCs w:val="21"/>
                <w:highlight w:val="none"/>
                <w14:textFill>
                  <w14:solidFill>
                    <w14:schemeClr w14:val="tx1"/>
                  </w14:solidFill>
                </w14:textFill>
              </w:rPr>
              <w:t>表2-</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6</w:t>
            </w:r>
            <w:r>
              <w:rPr>
                <w:rFonts w:ascii="Times New Roman" w:hAnsi="Times New Roman" w:eastAsia="宋体" w:cs="Times New Roman"/>
                <w:b/>
                <w:color w:val="000000" w:themeColor="text1"/>
                <w:szCs w:val="21"/>
                <w:highlight w:val="none"/>
                <w14:textFill>
                  <w14:solidFill>
                    <w14:schemeClr w14:val="tx1"/>
                  </w14:solidFill>
                </w14:textFill>
              </w:rPr>
              <w:t xml:space="preserve">   项目</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生产线物料平衡</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3"/>
              <w:gridCol w:w="1385"/>
              <w:gridCol w:w="1126"/>
              <w:gridCol w:w="2999"/>
              <w:gridCol w:w="1406"/>
            </w:tblGrid>
            <w:tr w14:paraId="6FCD2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Align w:val="center"/>
                </w:tcPr>
                <w:p w14:paraId="083700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vertAlign w:val="baseline"/>
                      <w:lang w:val="en-US" w:eastAsia="zh-CN"/>
                      <w14:textFill>
                        <w14:solidFill>
                          <w14:schemeClr w14:val="tx1"/>
                        </w14:solidFill>
                      </w14:textFill>
                    </w:rPr>
                    <w:t>产品名称</w:t>
                  </w:r>
                </w:p>
              </w:tc>
              <w:tc>
                <w:tcPr>
                  <w:tcW w:w="1527" w:type="pct"/>
                  <w:gridSpan w:val="2"/>
                  <w:vAlign w:val="center"/>
                </w:tcPr>
                <w:p w14:paraId="3FA214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vertAlign w:val="baseline"/>
                      <w:lang w:val="en-US" w:eastAsia="zh-CN"/>
                      <w14:textFill>
                        <w14:solidFill>
                          <w14:schemeClr w14:val="tx1"/>
                        </w14:solidFill>
                      </w14:textFill>
                    </w:rPr>
                    <w:t>投入（t/a）</w:t>
                  </w:r>
                </w:p>
              </w:tc>
              <w:tc>
                <w:tcPr>
                  <w:tcW w:w="2679" w:type="pct"/>
                  <w:gridSpan w:val="2"/>
                  <w:vAlign w:val="center"/>
                </w:tcPr>
                <w:p w14:paraId="4970A6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vertAlign w:val="baseline"/>
                      <w:lang w:val="en-US" w:eastAsia="zh-CN"/>
                      <w14:textFill>
                        <w14:solidFill>
                          <w14:schemeClr w14:val="tx1"/>
                        </w14:solidFill>
                      </w14:textFill>
                    </w:rPr>
                    <w:t>产出（t/a）</w:t>
                  </w:r>
                </w:p>
              </w:tc>
            </w:tr>
            <w:tr w14:paraId="48F7B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restart"/>
                  <w:vAlign w:val="center"/>
                </w:tcPr>
                <w:p w14:paraId="47039D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密胺餐具</w:t>
                  </w:r>
                </w:p>
              </w:tc>
              <w:tc>
                <w:tcPr>
                  <w:tcW w:w="842" w:type="pct"/>
                  <w:vAlign w:val="center"/>
                </w:tcPr>
                <w:p w14:paraId="1B953A7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密胺粉</w:t>
                  </w:r>
                </w:p>
              </w:tc>
              <w:tc>
                <w:tcPr>
                  <w:tcW w:w="684" w:type="pct"/>
                  <w:vAlign w:val="center"/>
                </w:tcPr>
                <w:p w14:paraId="354FE36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976.67</w:t>
                  </w:r>
                </w:p>
              </w:tc>
              <w:tc>
                <w:tcPr>
                  <w:tcW w:w="1824" w:type="pct"/>
                  <w:vAlign w:val="center"/>
                </w:tcPr>
                <w:p w14:paraId="63F053E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密胺餐具</w:t>
                  </w:r>
                  <w:r>
                    <w:rPr>
                      <w:rFonts w:hint="eastAsia" w:ascii="宋体" w:hAnsi="宋体" w:cs="宋体"/>
                      <w:i w:val="0"/>
                      <w:iCs w:val="0"/>
                      <w:color w:val="000000" w:themeColor="text1"/>
                      <w:kern w:val="0"/>
                      <w:sz w:val="21"/>
                      <w:szCs w:val="21"/>
                      <w:u w:val="none"/>
                      <w:lang w:val="en-US" w:eastAsia="zh-CN" w:bidi="ar"/>
                      <w14:textFill>
                        <w14:solidFill>
                          <w14:schemeClr w14:val="tx1"/>
                        </w14:solidFill>
                      </w14:textFill>
                    </w:rPr>
                    <w:t>（产品）</w:t>
                  </w:r>
                </w:p>
              </w:tc>
              <w:tc>
                <w:tcPr>
                  <w:tcW w:w="855" w:type="pct"/>
                  <w:vAlign w:val="center"/>
                </w:tcPr>
                <w:p w14:paraId="76F51CD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w:t>
                  </w:r>
                </w:p>
              </w:tc>
            </w:tr>
            <w:tr w14:paraId="1F93E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vAlign w:val="center"/>
                </w:tcPr>
                <w:p w14:paraId="585A07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842" w:type="pct"/>
                  <w:vAlign w:val="center"/>
                </w:tcPr>
                <w:p w14:paraId="5DF67225">
                  <w:pPr>
                    <w:keepNext w:val="0"/>
                    <w:keepLines w:val="0"/>
                    <w:widowControl/>
                    <w:suppressLineNumbers w:val="0"/>
                    <w:jc w:val="center"/>
                    <w:textAlignment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罩光粉</w:t>
                  </w:r>
                </w:p>
              </w:tc>
              <w:tc>
                <w:tcPr>
                  <w:tcW w:w="684" w:type="pct"/>
                  <w:vAlign w:val="center"/>
                </w:tcPr>
                <w:p w14:paraId="307245B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c>
                <w:tcPr>
                  <w:tcW w:w="1824" w:type="pct"/>
                  <w:vAlign w:val="center"/>
                </w:tcPr>
                <w:p w14:paraId="11ED663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电预热、模压成型、罩光废气</w:t>
                  </w:r>
                </w:p>
              </w:tc>
              <w:tc>
                <w:tcPr>
                  <w:tcW w:w="855" w:type="pct"/>
                  <w:vAlign w:val="center"/>
                </w:tcPr>
                <w:p w14:paraId="46EC610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0.362</w:t>
                  </w:r>
                </w:p>
              </w:tc>
            </w:tr>
            <w:tr w14:paraId="09CD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vAlign w:val="center"/>
                </w:tcPr>
                <w:p w14:paraId="416323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842" w:type="pct"/>
                  <w:shd w:val="clear" w:color="auto" w:fill="auto"/>
                  <w:vAlign w:val="center"/>
                </w:tcPr>
                <w:p w14:paraId="16C6F7F1">
                  <w:pPr>
                    <w:keepNext w:val="0"/>
                    <w:keepLines w:val="0"/>
                    <w:widowControl/>
                    <w:suppressLineNumbers w:val="0"/>
                    <w:jc w:val="center"/>
                    <w:textAlignment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花纸</w:t>
                  </w:r>
                </w:p>
              </w:tc>
              <w:tc>
                <w:tcPr>
                  <w:tcW w:w="684" w:type="pct"/>
                  <w:shd w:val="clear" w:color="auto" w:fill="auto"/>
                  <w:vAlign w:val="center"/>
                </w:tcPr>
                <w:p w14:paraId="1E27DB61">
                  <w:pPr>
                    <w:keepNext w:val="0"/>
                    <w:keepLines w:val="0"/>
                    <w:widowControl/>
                    <w:suppressLineNumbers w:val="0"/>
                    <w:jc w:val="center"/>
                    <w:textAlignment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0.83</w:t>
                  </w:r>
                </w:p>
              </w:tc>
              <w:tc>
                <w:tcPr>
                  <w:tcW w:w="1824" w:type="pct"/>
                  <w:vAlign w:val="center"/>
                </w:tcPr>
                <w:p w14:paraId="2176800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称量</w:t>
                  </w:r>
                  <w:r>
                    <w:rPr>
                      <w:rFonts w:hint="eastAsia" w:ascii="宋体" w:hAnsi="宋体" w:cs="宋体"/>
                      <w:i w:val="0"/>
                      <w:iCs w:val="0"/>
                      <w:color w:val="000000" w:themeColor="text1"/>
                      <w:kern w:val="0"/>
                      <w:sz w:val="21"/>
                      <w:szCs w:val="21"/>
                      <w:u w:val="none"/>
                      <w:lang w:val="en-US" w:eastAsia="zh-CN" w:bidi="ar"/>
                      <w14:textFill>
                        <w14:solidFill>
                          <w14:schemeClr w14:val="tx1"/>
                        </w14:solidFill>
                      </w14:textFill>
                    </w:rPr>
                    <w:t>打磨</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废气</w:t>
                  </w:r>
                </w:p>
              </w:tc>
              <w:tc>
                <w:tcPr>
                  <w:tcW w:w="855" w:type="pct"/>
                  <w:vAlign w:val="center"/>
                </w:tcPr>
                <w:p w14:paraId="0BB6984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w:t>
                  </w:r>
                </w:p>
              </w:tc>
            </w:tr>
            <w:tr w14:paraId="2F9A4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vAlign w:val="center"/>
                </w:tcPr>
                <w:p w14:paraId="777153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842" w:type="pct"/>
                  <w:shd w:val="clear" w:color="auto" w:fill="auto"/>
                  <w:vAlign w:val="center"/>
                </w:tcPr>
                <w:p w14:paraId="5BBBA933">
                  <w:pPr>
                    <w:keepNext w:val="0"/>
                    <w:keepLines w:val="0"/>
                    <w:widowControl/>
                    <w:suppressLineNumbers w:val="0"/>
                    <w:jc w:val="center"/>
                    <w:textAlignment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p>
              </w:tc>
              <w:tc>
                <w:tcPr>
                  <w:tcW w:w="684" w:type="pct"/>
                  <w:shd w:val="clear" w:color="auto" w:fill="auto"/>
                  <w:vAlign w:val="center"/>
                </w:tcPr>
                <w:p w14:paraId="73B592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p>
              </w:tc>
              <w:tc>
                <w:tcPr>
                  <w:tcW w:w="1824" w:type="pct"/>
                  <w:shd w:val="clear" w:color="auto" w:fill="auto"/>
                  <w:vAlign w:val="center"/>
                </w:tcPr>
                <w:p w14:paraId="52B93E2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无组织废气</w:t>
                  </w:r>
                </w:p>
              </w:tc>
              <w:tc>
                <w:tcPr>
                  <w:tcW w:w="855" w:type="pct"/>
                  <w:shd w:val="clear" w:color="auto" w:fill="auto"/>
                  <w:vAlign w:val="center"/>
                </w:tcPr>
                <w:p w14:paraId="4224AD7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0.451</w:t>
                  </w:r>
                </w:p>
              </w:tc>
            </w:tr>
            <w:tr w14:paraId="3F2FC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vAlign w:val="center"/>
                </w:tcPr>
                <w:p w14:paraId="6282EF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842" w:type="pct"/>
                  <w:shd w:val="clear" w:color="auto" w:fill="auto"/>
                  <w:vAlign w:val="center"/>
                </w:tcPr>
                <w:p w14:paraId="0B9E1FD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p>
              </w:tc>
              <w:tc>
                <w:tcPr>
                  <w:tcW w:w="684" w:type="pct"/>
                  <w:shd w:val="clear" w:color="auto" w:fill="auto"/>
                  <w:vAlign w:val="center"/>
                </w:tcPr>
                <w:p w14:paraId="45C503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p>
              </w:tc>
              <w:tc>
                <w:tcPr>
                  <w:tcW w:w="1824" w:type="pct"/>
                  <w:vAlign w:val="center"/>
                </w:tcPr>
                <w:p w14:paraId="4CD4991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称量打磨废气收尘灰</w:t>
                  </w:r>
                </w:p>
              </w:tc>
              <w:tc>
                <w:tcPr>
                  <w:tcW w:w="855" w:type="pct"/>
                  <w:vAlign w:val="center"/>
                </w:tcPr>
                <w:p w14:paraId="1A23058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2.53</w:t>
                  </w:r>
                </w:p>
              </w:tc>
            </w:tr>
            <w:tr w14:paraId="2A97F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vAlign w:val="center"/>
                </w:tcPr>
                <w:p w14:paraId="0B5707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842" w:type="pct"/>
                  <w:vAlign w:val="center"/>
                </w:tcPr>
                <w:p w14:paraId="761F28DD">
                  <w:pPr>
                    <w:keepNext w:val="0"/>
                    <w:keepLines w:val="0"/>
                    <w:widowControl/>
                    <w:suppressLineNumbers w:val="0"/>
                    <w:jc w:val="center"/>
                    <w:textAlignment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684" w:type="pct"/>
                  <w:vAlign w:val="center"/>
                </w:tcPr>
                <w:p w14:paraId="53FFBE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1824" w:type="pct"/>
                  <w:vAlign w:val="center"/>
                </w:tcPr>
                <w:p w14:paraId="395E118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车间沉降</w:t>
                  </w:r>
                  <w:r>
                    <w:rPr>
                      <w:rFonts w:hint="eastAsia" w:ascii="宋体" w:hAnsi="宋体" w:cs="宋体"/>
                      <w:i w:val="0"/>
                      <w:iCs w:val="0"/>
                      <w:color w:val="000000" w:themeColor="text1"/>
                      <w:kern w:val="0"/>
                      <w:sz w:val="21"/>
                      <w:szCs w:val="21"/>
                      <w:u w:val="none"/>
                      <w:lang w:val="en-US" w:eastAsia="zh-CN" w:bidi="ar"/>
                      <w14:textFill>
                        <w14:solidFill>
                          <w14:schemeClr w14:val="tx1"/>
                        </w14:solidFill>
                      </w14:textFill>
                    </w:rPr>
                    <w:t>粉尘</w:t>
                  </w:r>
                </w:p>
              </w:tc>
              <w:tc>
                <w:tcPr>
                  <w:tcW w:w="855" w:type="pct"/>
                  <w:shd w:val="clear" w:color="auto" w:fill="auto"/>
                  <w:vAlign w:val="center"/>
                </w:tcPr>
                <w:p w14:paraId="5012353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0.27</w:t>
                  </w:r>
                </w:p>
              </w:tc>
            </w:tr>
            <w:tr w14:paraId="3A5C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vAlign w:val="center"/>
                </w:tcPr>
                <w:p w14:paraId="59655E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842" w:type="pct"/>
                  <w:vAlign w:val="center"/>
                </w:tcPr>
                <w:p w14:paraId="42F9C2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684" w:type="pct"/>
                  <w:vAlign w:val="center"/>
                </w:tcPr>
                <w:p w14:paraId="586460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1824" w:type="pct"/>
                  <w:vAlign w:val="center"/>
                </w:tcPr>
                <w:p w14:paraId="3598503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边角料</w:t>
                  </w:r>
                  <w:r>
                    <w:rPr>
                      <w:rFonts w:hint="eastAsia" w:ascii="宋体" w:hAnsi="宋体" w:cs="宋体"/>
                      <w:i w:val="0"/>
                      <w:iCs w:val="0"/>
                      <w:color w:val="000000" w:themeColor="text1"/>
                      <w:kern w:val="0"/>
                      <w:sz w:val="21"/>
                      <w:szCs w:val="21"/>
                      <w:u w:val="none"/>
                      <w:lang w:val="en-US" w:eastAsia="zh-CN" w:bidi="ar"/>
                      <w14:textFill>
                        <w14:solidFill>
                          <w14:schemeClr w14:val="tx1"/>
                        </w14:solidFill>
                      </w14:textFill>
                    </w:rPr>
                    <w:t>与不合格品</w:t>
                  </w:r>
                </w:p>
              </w:tc>
              <w:tc>
                <w:tcPr>
                  <w:tcW w:w="855" w:type="pct"/>
                  <w:vAlign w:val="center"/>
                </w:tcPr>
                <w:p w14:paraId="4B13BC9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w:t>
                  </w:r>
                </w:p>
              </w:tc>
            </w:tr>
            <w:tr w14:paraId="7B384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vAlign w:val="center"/>
                </w:tcPr>
                <w:p w14:paraId="6F403E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842" w:type="pct"/>
                  <w:vAlign w:val="center"/>
                </w:tcPr>
                <w:p w14:paraId="204248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684" w:type="pct"/>
                  <w:vAlign w:val="center"/>
                </w:tcPr>
                <w:p w14:paraId="5E3330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1824" w:type="pct"/>
                  <w:vAlign w:val="center"/>
                </w:tcPr>
                <w:p w14:paraId="0FBF39B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其他损耗</w:t>
                  </w:r>
                </w:p>
              </w:tc>
              <w:tc>
                <w:tcPr>
                  <w:tcW w:w="855" w:type="pct"/>
                  <w:vAlign w:val="center"/>
                </w:tcPr>
                <w:p w14:paraId="33F9B08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w:t>
                  </w:r>
                  <w:r>
                    <w:rPr>
                      <w:rFonts w:hint="eastAsia" w:cs="Times New Roman"/>
                      <w:i w:val="0"/>
                      <w:iCs w:val="0"/>
                      <w:color w:val="000000" w:themeColor="text1"/>
                      <w:kern w:val="0"/>
                      <w:sz w:val="21"/>
                      <w:szCs w:val="21"/>
                      <w:u w:val="none"/>
                      <w:lang w:val="en-US" w:eastAsia="zh-CN" w:bidi="ar"/>
                      <w14:textFill>
                        <w14:solidFill>
                          <w14:schemeClr w14:val="tx1"/>
                        </w14:solidFill>
                      </w14:textFill>
                    </w:rPr>
                    <w:t>57</w:t>
                  </w:r>
                </w:p>
              </w:tc>
            </w:tr>
            <w:tr w14:paraId="29498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Align w:val="center"/>
                </w:tcPr>
                <w:p w14:paraId="4E26EF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t>合计</w:t>
                  </w:r>
                </w:p>
              </w:tc>
              <w:tc>
                <w:tcPr>
                  <w:tcW w:w="842" w:type="pct"/>
                  <w:vAlign w:val="center"/>
                </w:tcPr>
                <w:p w14:paraId="796BE7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t>/</w:t>
                  </w:r>
                </w:p>
              </w:tc>
              <w:tc>
                <w:tcPr>
                  <w:tcW w:w="684" w:type="pct"/>
                  <w:vAlign w:val="center"/>
                </w:tcPr>
                <w:p w14:paraId="3E9BDA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1007.5</w:t>
                  </w:r>
                </w:p>
              </w:tc>
              <w:tc>
                <w:tcPr>
                  <w:tcW w:w="1824" w:type="pct"/>
                  <w:vAlign w:val="center"/>
                </w:tcPr>
                <w:p w14:paraId="31BD45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t>/</w:t>
                  </w:r>
                </w:p>
              </w:tc>
              <w:tc>
                <w:tcPr>
                  <w:tcW w:w="855" w:type="pct"/>
                  <w:vAlign w:val="center"/>
                </w:tcPr>
                <w:p w14:paraId="2D8413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t>1007.5</w:t>
                  </w:r>
                </w:p>
              </w:tc>
            </w:tr>
          </w:tbl>
          <w:p w14:paraId="3BD3BC7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000000" w:themeColor="text1"/>
                <w:kern w:val="0"/>
                <w:sz w:val="24"/>
                <w:highlight w:val="none"/>
                <w14:textFill>
                  <w14:solidFill>
                    <w14:schemeClr w14:val="tx1"/>
                  </w14:solidFill>
                </w14:textFill>
              </w:rPr>
            </w:pPr>
            <w:r>
              <w:rPr>
                <w:rFonts w:hint="eastAsia" w:cs="Times New Roman"/>
                <w:b/>
                <w:bCs/>
                <w:color w:val="000000" w:themeColor="text1"/>
                <w:kern w:val="0"/>
                <w:sz w:val="24"/>
                <w:highlight w:val="none"/>
                <w:lang w:val="en-US" w:eastAsia="zh-CN"/>
                <w14:textFill>
                  <w14:solidFill>
                    <w14:schemeClr w14:val="tx1"/>
                  </w14:solidFill>
                </w14:textFill>
              </w:rPr>
              <w:t>9</w:t>
            </w:r>
            <w:r>
              <w:rPr>
                <w:rFonts w:hint="default" w:ascii="Times New Roman" w:hAnsi="Times New Roman" w:cs="Times New Roman"/>
                <w:b/>
                <w:bCs/>
                <w:color w:val="000000" w:themeColor="text1"/>
                <w:kern w:val="0"/>
                <w:sz w:val="24"/>
                <w:highlight w:val="none"/>
                <w14:textFill>
                  <w14:solidFill>
                    <w14:schemeClr w14:val="tx1"/>
                  </w14:solidFill>
                </w14:textFill>
              </w:rPr>
              <w:t>、水量平衡分析</w:t>
            </w:r>
          </w:p>
          <w:p w14:paraId="76B7A051">
            <w:pPr>
              <w:spacing w:line="360" w:lineRule="auto"/>
              <w:ind w:firstLine="482" w:firstLineChars="200"/>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（1）用排水情况</w:t>
            </w:r>
          </w:p>
          <w:p w14:paraId="0B1136AD">
            <w:pPr>
              <w:tabs>
                <w:tab w:val="center" w:pos="7710"/>
              </w:tabs>
              <w:spacing w:line="360" w:lineRule="auto"/>
              <w:ind w:firstLine="480" w:firstLineChars="200"/>
              <w:rPr>
                <w:rFonts w:hint="default" w:ascii="Times New Roman" w:hAnsi="Times New Roman"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本项目不产生生产废水，加金用水通过液压机高温压制后蒸发损耗，无废水产生，冷却水循环使用不外排。员工均不在项目内食宿，生活污水主要为员工盥洗废水。</w:t>
            </w:r>
          </w:p>
          <w:p w14:paraId="1090E659">
            <w:pPr>
              <w:spacing w:line="360" w:lineRule="auto"/>
              <w:ind w:firstLine="482" w:firstLineChars="200"/>
              <w:rPr>
                <w:rFonts w:hint="default" w:ascii="Times New Roman" w:hAnsi="Times New Roman" w:cs="Times New Roman"/>
                <w:b/>
                <w:bCs/>
                <w:color w:val="000000" w:themeColor="text1"/>
                <w:sz w:val="24"/>
                <w:lang w:val="en-US" w:eastAsia="zh-CN"/>
                <w14:textFill>
                  <w14:solidFill>
                    <w14:schemeClr w14:val="tx1"/>
                  </w14:solidFill>
                </w14:textFill>
              </w:rPr>
            </w:pPr>
            <w:r>
              <w:rPr>
                <w:rFonts w:hint="default" w:ascii="Times New Roman" w:hAnsi="Times New Roman" w:cs="Times New Roman"/>
                <w:b/>
                <w:bCs/>
                <w:color w:val="000000" w:themeColor="text1"/>
                <w:sz w:val="24"/>
                <w:lang w:val="en-US" w:eastAsia="zh-CN"/>
                <w14:textFill>
                  <w14:solidFill>
                    <w14:schemeClr w14:val="tx1"/>
                  </w14:solidFill>
                </w14:textFill>
              </w:rPr>
              <w:t>1）</w:t>
            </w:r>
            <w:r>
              <w:rPr>
                <w:rFonts w:hint="eastAsia" w:cs="Times New Roman"/>
                <w:b/>
                <w:bCs/>
                <w:color w:val="000000" w:themeColor="text1"/>
                <w:sz w:val="24"/>
                <w:lang w:val="en-US" w:eastAsia="zh-CN"/>
                <w14:textFill>
                  <w14:solidFill>
                    <w14:schemeClr w14:val="tx1"/>
                  </w14:solidFill>
                </w14:textFill>
              </w:rPr>
              <w:t>生产用水</w:t>
            </w:r>
          </w:p>
          <w:p w14:paraId="29C27E80">
            <w:pPr>
              <w:spacing w:line="360" w:lineRule="auto"/>
              <w:ind w:firstLine="482" w:firstLineChars="200"/>
              <w:rPr>
                <w:rFonts w:hint="default" w:ascii="Times New Roman" w:hAnsi="Times New Roman" w:cs="Times New Roman"/>
                <w:b/>
                <w:bCs/>
                <w:color w:val="000000" w:themeColor="text1"/>
                <w:sz w:val="24"/>
                <w:lang w:val="en-US" w:eastAsia="zh-CN"/>
                <w14:textFill>
                  <w14:solidFill>
                    <w14:schemeClr w14:val="tx1"/>
                  </w14:solidFill>
                </w14:textFill>
              </w:rPr>
            </w:pPr>
            <w:r>
              <w:rPr>
                <w:rFonts w:hint="default" w:ascii="Times New Roman" w:hAnsi="Times New Roman" w:cs="Times New Roman"/>
                <w:b/>
                <w:bCs/>
                <w:color w:val="000000" w:themeColor="text1"/>
                <w:sz w:val="24"/>
                <w:lang w:val="en-US" w:eastAsia="zh-CN"/>
                <w14:textFill>
                  <w14:solidFill>
                    <w14:schemeClr w14:val="tx1"/>
                  </w14:solidFill>
                </w14:textFill>
              </w:rPr>
              <w:t>①</w:t>
            </w:r>
            <w:r>
              <w:rPr>
                <w:rFonts w:hint="eastAsia" w:cs="Times New Roman"/>
                <w:b/>
                <w:bCs/>
                <w:color w:val="000000" w:themeColor="text1"/>
                <w:sz w:val="24"/>
                <w:lang w:val="en-US" w:eastAsia="zh-CN"/>
                <w14:textFill>
                  <w14:solidFill>
                    <w14:schemeClr w14:val="tx1"/>
                  </w14:solidFill>
                </w14:textFill>
              </w:rPr>
              <w:t>冷却循环用水</w:t>
            </w:r>
          </w:p>
          <w:p w14:paraId="60C283CB">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w:t>
            </w:r>
            <w:r>
              <w:rPr>
                <w:rFonts w:hint="eastAsia" w:cs="Times New Roman"/>
                <w:color w:val="000000" w:themeColor="text1"/>
                <w:sz w:val="24"/>
                <w:szCs w:val="24"/>
                <w:highlight w:val="none"/>
                <w:lang w:val="en-US" w:eastAsia="zh-CN"/>
                <w14:textFill>
                  <w14:solidFill>
                    <w14:schemeClr w14:val="tx1"/>
                  </w14:solidFill>
                </w14:textFill>
              </w:rPr>
              <w:t>对密胺餐具使用液压机进行压制，需对液压机</w:t>
            </w:r>
            <w:r>
              <w:rPr>
                <w:rFonts w:hint="default" w:ascii="Times New Roman" w:hAnsi="Times New Roman" w:cs="Times New Roman"/>
                <w:color w:val="000000" w:themeColor="text1"/>
                <w:sz w:val="24"/>
                <w:szCs w:val="24"/>
                <w:highlight w:val="none"/>
                <w:lang w:bidi="ar"/>
                <w14:textFill>
                  <w14:solidFill>
                    <w14:schemeClr w14:val="tx1"/>
                  </w14:solidFill>
                </w14:textFill>
              </w:rPr>
              <w:t>进行冷却降温，</w:t>
            </w:r>
            <w:r>
              <w:rPr>
                <w:rFonts w:hint="default" w:ascii="Times New Roman" w:hAnsi="Times New Roman" w:cs="Times New Roman"/>
                <w:bCs/>
                <w:color w:val="000000" w:themeColor="text1"/>
                <w:sz w:val="24"/>
                <w:szCs w:val="24"/>
                <w:highlight w:val="none"/>
                <w14:textFill>
                  <w14:solidFill>
                    <w14:schemeClr w14:val="tx1"/>
                  </w14:solidFill>
                </w14:textFill>
              </w:rPr>
              <w:t>冷却水循环使用，通过管道流入</w:t>
            </w:r>
            <w:r>
              <w:rPr>
                <w:rFonts w:hint="default" w:ascii="Times New Roman" w:hAnsi="Times New Roman" w:cs="Times New Roman"/>
                <w:color w:val="000000" w:themeColor="text1"/>
                <w:sz w:val="24"/>
                <w:szCs w:val="24"/>
                <w:highlight w:val="none"/>
                <w14:textFill>
                  <w14:solidFill>
                    <w14:schemeClr w14:val="tx1"/>
                  </w14:solidFill>
                </w14:textFill>
              </w:rPr>
              <w:t>冷却循环水池。</w:t>
            </w:r>
          </w:p>
          <w:p w14:paraId="23572595">
            <w:pPr>
              <w:pStyle w:val="3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b/>
                <w:bCs/>
                <w:color w:val="000000" w:themeColor="text1"/>
                <w:sz w:val="24"/>
                <w:lang w:val="en-US" w:eastAsia="zh-CN"/>
                <w14:textFill>
                  <w14:solidFill>
                    <w14:schemeClr w14:val="tx1"/>
                  </w14:solidFill>
                </w14:textFill>
              </w:rPr>
            </w:pPr>
            <w:r>
              <w:rPr>
                <w:rFonts w:ascii="Times New Roman" w:hAnsi="Times New Roman"/>
                <w:caps w:val="0"/>
                <w:smallCaps w:val="0"/>
                <w:color w:val="000000" w:themeColor="text1"/>
                <w:sz w:val="24"/>
                <w:szCs w:val="24"/>
                <w:highlight w:val="none"/>
                <w:lang w:bidi="ar"/>
                <w14:textFill>
                  <w14:solidFill>
                    <w14:schemeClr w14:val="tx1"/>
                  </w14:solidFill>
                </w14:textFill>
              </w:rPr>
              <w:t>项目</w:t>
            </w:r>
            <w:r>
              <w:rPr>
                <w:rFonts w:hint="eastAsia"/>
                <w:caps w:val="0"/>
                <w:smallCaps w:val="0"/>
                <w:color w:val="000000" w:themeColor="text1"/>
                <w:sz w:val="24"/>
                <w:szCs w:val="24"/>
                <w:highlight w:val="none"/>
                <w:lang w:val="en-US" w:eastAsia="zh-CN" w:bidi="ar"/>
                <w14:textFill>
                  <w14:solidFill>
                    <w14:schemeClr w14:val="tx1"/>
                  </w14:solidFill>
                </w14:textFill>
              </w:rPr>
              <w:t>区内已</w:t>
            </w:r>
            <w:r>
              <w:rPr>
                <w:rFonts w:ascii="Times New Roman" w:hAnsi="Times New Roman"/>
                <w:caps w:val="0"/>
                <w:smallCaps w:val="0"/>
                <w:color w:val="000000" w:themeColor="text1"/>
                <w:sz w:val="24"/>
                <w:szCs w:val="24"/>
                <w:highlight w:val="none"/>
                <w:lang w:bidi="ar"/>
                <w14:textFill>
                  <w14:solidFill>
                    <w14:schemeClr w14:val="tx1"/>
                  </w14:solidFill>
                </w14:textFill>
              </w:rPr>
              <w:t>设置</w:t>
            </w:r>
            <w:r>
              <w:rPr>
                <w:rFonts w:hint="eastAsia" w:ascii="Times New Roman" w:hAnsi="Times New Roman"/>
                <w:caps w:val="0"/>
                <w:smallCaps w:val="0"/>
                <w:color w:val="000000" w:themeColor="text1"/>
                <w:sz w:val="24"/>
                <w:szCs w:val="24"/>
                <w:highlight w:val="none"/>
                <w:lang w:val="en-US" w:eastAsia="zh-CN" w:bidi="ar"/>
                <w14:textFill>
                  <w14:solidFill>
                    <w14:schemeClr w14:val="tx1"/>
                  </w14:solidFill>
                </w14:textFill>
              </w:rPr>
              <w:t>1座循环水池</w:t>
            </w:r>
            <w:r>
              <w:rPr>
                <w:rFonts w:ascii="Times New Roman" w:hAnsi="Times New Roman"/>
                <w:caps w:val="0"/>
                <w:smallCaps w:val="0"/>
                <w:color w:val="000000" w:themeColor="text1"/>
                <w:sz w:val="24"/>
                <w:szCs w:val="24"/>
                <w:highlight w:val="none"/>
                <w14:textFill>
                  <w14:solidFill>
                    <w14:schemeClr w14:val="tx1"/>
                  </w14:solidFill>
                </w14:textFill>
              </w:rPr>
              <w:t>，</w:t>
            </w:r>
            <w:r>
              <w:rPr>
                <w:rFonts w:ascii="Times New Roman" w:hAnsi="Times New Roman"/>
                <w:bCs/>
                <w:caps w:val="0"/>
                <w:smallCaps w:val="0"/>
                <w:color w:val="000000" w:themeColor="text1"/>
                <w:sz w:val="24"/>
                <w:szCs w:val="24"/>
                <w:highlight w:val="none"/>
                <w14:textFill>
                  <w14:solidFill>
                    <w14:schemeClr w14:val="tx1"/>
                  </w14:solidFill>
                </w14:textFill>
              </w:rPr>
              <w:t>冷却</w:t>
            </w:r>
            <w:r>
              <w:rPr>
                <w:rFonts w:hint="eastAsia" w:ascii="Times New Roman" w:hAnsi="Times New Roman"/>
                <w:bCs/>
                <w:caps w:val="0"/>
                <w:smallCaps w:val="0"/>
                <w:color w:val="000000" w:themeColor="text1"/>
                <w:sz w:val="24"/>
                <w:szCs w:val="24"/>
                <w:highlight w:val="none"/>
                <w:lang w:val="en-US" w:eastAsia="zh-CN"/>
                <w14:textFill>
                  <w14:solidFill>
                    <w14:schemeClr w14:val="tx1"/>
                  </w14:solidFill>
                </w14:textFill>
              </w:rPr>
              <w:t>水</w:t>
            </w:r>
            <w:r>
              <w:rPr>
                <w:rFonts w:ascii="Times New Roman" w:hAnsi="Times New Roman"/>
                <w:bCs/>
                <w:caps w:val="0"/>
                <w:smallCaps w:val="0"/>
                <w:color w:val="000000" w:themeColor="text1"/>
                <w:sz w:val="24"/>
                <w:szCs w:val="24"/>
                <w:highlight w:val="none"/>
                <w14:textFill>
                  <w14:solidFill>
                    <w14:schemeClr w14:val="tx1"/>
                  </w14:solidFill>
                </w14:textFill>
              </w:rPr>
              <w:t>循环使用，循环水量为</w:t>
            </w:r>
            <w:r>
              <w:rPr>
                <w:rFonts w:hint="eastAsia" w:ascii="Times New Roman" w:hAnsi="Times New Roman"/>
                <w:bCs/>
                <w:caps w:val="0"/>
                <w:smallCaps w:val="0"/>
                <w:color w:val="000000" w:themeColor="text1"/>
                <w:sz w:val="24"/>
                <w:szCs w:val="24"/>
                <w:highlight w:val="none"/>
                <w:lang w:val="en-US" w:eastAsia="zh-CN"/>
                <w14:textFill>
                  <w14:solidFill>
                    <w14:schemeClr w14:val="tx1"/>
                  </w14:solidFill>
                </w14:textFill>
              </w:rPr>
              <w:t>10</w:t>
            </w:r>
            <w:r>
              <w:rPr>
                <w:rFonts w:ascii="Times New Roman" w:hAnsi="Times New Roman"/>
                <w:bCs/>
                <w:caps w:val="0"/>
                <w:smallCaps w:val="0"/>
                <w:color w:val="000000" w:themeColor="text1"/>
                <w:sz w:val="24"/>
                <w:szCs w:val="24"/>
                <w:highlight w:val="none"/>
                <w14:textFill>
                  <w14:solidFill>
                    <w14:schemeClr w14:val="tx1"/>
                  </w14:solidFill>
                </w14:textFill>
              </w:rPr>
              <w:t>m</w:t>
            </w:r>
            <w:r>
              <w:rPr>
                <w:rFonts w:ascii="Times New Roman" w:hAnsi="Times New Roman"/>
                <w:bCs/>
                <w:caps w:val="0"/>
                <w:smallCaps w:val="0"/>
                <w:color w:val="000000" w:themeColor="text1"/>
                <w:sz w:val="24"/>
                <w:szCs w:val="24"/>
                <w:highlight w:val="none"/>
                <w:vertAlign w:val="superscript"/>
                <w14:textFill>
                  <w14:solidFill>
                    <w14:schemeClr w14:val="tx1"/>
                  </w14:solidFill>
                </w14:textFill>
              </w:rPr>
              <w:t>3</w:t>
            </w:r>
            <w:r>
              <w:rPr>
                <w:rFonts w:ascii="Times New Roman" w:hAnsi="Times New Roman"/>
                <w:bCs/>
                <w:caps w:val="0"/>
                <w:smallCaps w:val="0"/>
                <w:color w:val="000000" w:themeColor="text1"/>
                <w:sz w:val="24"/>
                <w:szCs w:val="24"/>
                <w:highlight w:val="none"/>
                <w14:textFill>
                  <w14:solidFill>
                    <w14:schemeClr w14:val="tx1"/>
                  </w14:solidFill>
                </w14:textFill>
              </w:rPr>
              <w:t>/d</w:t>
            </w:r>
            <w:r>
              <w:rPr>
                <w:rFonts w:hint="eastAsia" w:ascii="Times New Roman" w:hAnsi="Times New Roman"/>
                <w:bCs/>
                <w:caps w:val="0"/>
                <w:smallCaps w:val="0"/>
                <w:color w:val="000000" w:themeColor="text1"/>
                <w:sz w:val="24"/>
                <w:szCs w:val="24"/>
                <w:highlight w:val="none"/>
                <w:lang w:eastAsia="zh-CN"/>
                <w14:textFill>
                  <w14:solidFill>
                    <w14:schemeClr w14:val="tx1"/>
                  </w14:solidFill>
                </w14:textFill>
              </w:rPr>
              <w:t>（</w:t>
            </w:r>
            <w:r>
              <w:rPr>
                <w:rFonts w:hint="eastAsia"/>
                <w:bCs/>
                <w:caps w:val="0"/>
                <w:smallCaps w:val="0"/>
                <w:color w:val="000000" w:themeColor="text1"/>
                <w:sz w:val="24"/>
                <w:szCs w:val="24"/>
                <w:highlight w:val="none"/>
                <w:lang w:val="en-US" w:eastAsia="zh-CN"/>
                <w14:textFill>
                  <w14:solidFill>
                    <w14:schemeClr w14:val="tx1"/>
                  </w14:solidFill>
                </w14:textFill>
              </w:rPr>
              <w:t>2600</w:t>
            </w:r>
            <w:r>
              <w:rPr>
                <w:rFonts w:ascii="Times New Roman" w:hAnsi="Times New Roman"/>
                <w:bCs/>
                <w:caps w:val="0"/>
                <w:smallCaps w:val="0"/>
                <w:color w:val="000000" w:themeColor="text1"/>
                <w:sz w:val="24"/>
                <w:szCs w:val="24"/>
                <w:highlight w:val="none"/>
                <w14:textFill>
                  <w14:solidFill>
                    <w14:schemeClr w14:val="tx1"/>
                  </w14:solidFill>
                </w14:textFill>
              </w:rPr>
              <w:t>m</w:t>
            </w:r>
            <w:r>
              <w:rPr>
                <w:rFonts w:ascii="Times New Roman" w:hAnsi="Times New Roman"/>
                <w:bCs/>
                <w:caps w:val="0"/>
                <w:smallCaps w:val="0"/>
                <w:color w:val="000000" w:themeColor="text1"/>
                <w:sz w:val="24"/>
                <w:szCs w:val="24"/>
                <w:highlight w:val="none"/>
                <w:vertAlign w:val="superscript"/>
                <w14:textFill>
                  <w14:solidFill>
                    <w14:schemeClr w14:val="tx1"/>
                  </w14:solidFill>
                </w14:textFill>
              </w:rPr>
              <w:t>3</w:t>
            </w:r>
            <w:r>
              <w:rPr>
                <w:rFonts w:ascii="Times New Roman" w:hAnsi="Times New Roman"/>
                <w:bCs/>
                <w:caps w:val="0"/>
                <w:smallCaps w:val="0"/>
                <w:color w:val="000000" w:themeColor="text1"/>
                <w:sz w:val="24"/>
                <w:szCs w:val="24"/>
                <w:highlight w:val="none"/>
                <w14:textFill>
                  <w14:solidFill>
                    <w14:schemeClr w14:val="tx1"/>
                  </w14:solidFill>
                </w14:textFill>
              </w:rPr>
              <w:t>/</w:t>
            </w:r>
            <w:r>
              <w:rPr>
                <w:rFonts w:hint="eastAsia" w:ascii="Times New Roman" w:hAnsi="Times New Roman"/>
                <w:bCs/>
                <w:caps w:val="0"/>
                <w:smallCaps w:val="0"/>
                <w:color w:val="000000" w:themeColor="text1"/>
                <w:sz w:val="24"/>
                <w:szCs w:val="24"/>
                <w:highlight w:val="none"/>
                <w:lang w:val="en-US" w:eastAsia="zh-CN"/>
                <w14:textFill>
                  <w14:solidFill>
                    <w14:schemeClr w14:val="tx1"/>
                  </w14:solidFill>
                </w14:textFill>
              </w:rPr>
              <w:t>a</w:t>
            </w:r>
            <w:r>
              <w:rPr>
                <w:rFonts w:hint="eastAsia" w:ascii="Times New Roman" w:hAnsi="Times New Roman"/>
                <w:bCs/>
                <w:caps w:val="0"/>
                <w:smallCaps w:val="0"/>
                <w:color w:val="000000" w:themeColor="text1"/>
                <w:sz w:val="24"/>
                <w:szCs w:val="24"/>
                <w:highlight w:val="none"/>
                <w:lang w:eastAsia="zh-CN"/>
                <w14:textFill>
                  <w14:solidFill>
                    <w14:schemeClr w14:val="tx1"/>
                  </w14:solidFill>
                </w14:textFill>
              </w:rPr>
              <w:t>）</w:t>
            </w:r>
            <w:r>
              <w:rPr>
                <w:rFonts w:ascii="Times New Roman" w:hAnsi="Times New Roman"/>
                <w:bCs/>
                <w:caps w:val="0"/>
                <w:smallCaps w:val="0"/>
                <w:color w:val="000000" w:themeColor="text1"/>
                <w:sz w:val="24"/>
                <w:szCs w:val="24"/>
                <w:highlight w:val="none"/>
                <w14:textFill>
                  <w14:solidFill>
                    <w14:schemeClr w14:val="tx1"/>
                  </w14:solidFill>
                </w14:textFill>
              </w:rPr>
              <w:t>。</w:t>
            </w:r>
            <w:r>
              <w:rPr>
                <w:rFonts w:hint="eastAsia" w:ascii="Times New Roman" w:hAnsi="Times New Roman"/>
                <w:bCs/>
                <w:caps w:val="0"/>
                <w:smallCaps w:val="0"/>
                <w:color w:val="000000" w:themeColor="text1"/>
                <w:sz w:val="24"/>
                <w:szCs w:val="24"/>
                <w:highlight w:val="none"/>
                <w:lang w:val="en-US" w:eastAsia="zh-CN"/>
                <w14:textFill>
                  <w14:solidFill>
                    <w14:schemeClr w14:val="tx1"/>
                  </w14:solidFill>
                </w14:textFill>
              </w:rPr>
              <w:t>循环过程中有蒸发损耗</w:t>
            </w:r>
            <w:r>
              <w:rPr>
                <w:rFonts w:ascii="Times New Roman" w:hAnsi="Times New Roman"/>
                <w:bCs/>
                <w:caps w:val="0"/>
                <w:smallCaps w:val="0"/>
                <w:color w:val="000000" w:themeColor="text1"/>
                <w:sz w:val="24"/>
                <w:szCs w:val="24"/>
                <w:highlight w:val="none"/>
                <w14:textFill>
                  <w14:solidFill>
                    <w14:schemeClr w14:val="tx1"/>
                  </w14:solidFill>
                </w14:textFill>
              </w:rPr>
              <w:t>，</w:t>
            </w:r>
            <w:r>
              <w:rPr>
                <w:rFonts w:hint="eastAsia" w:ascii="Times New Roman" w:hAnsi="Times New Roman"/>
                <w:bCs/>
                <w:caps w:val="0"/>
                <w:smallCaps w:val="0"/>
                <w:color w:val="000000" w:themeColor="text1"/>
                <w:sz w:val="24"/>
                <w:szCs w:val="24"/>
                <w:highlight w:val="none"/>
                <w:lang w:val="en-US" w:eastAsia="zh-CN"/>
                <w14:textFill>
                  <w14:solidFill>
                    <w14:schemeClr w14:val="tx1"/>
                  </w14:solidFill>
                </w14:textFill>
              </w:rPr>
              <w:t>蒸发损耗量</w:t>
            </w:r>
            <w:r>
              <w:rPr>
                <w:rFonts w:hint="eastAsia" w:ascii="Times New Roman" w:hAnsi="Times New Roman"/>
                <w:bCs/>
                <w:caps w:val="0"/>
                <w:smallCaps w:val="0"/>
                <w:color w:val="000000" w:themeColor="text1"/>
                <w:sz w:val="24"/>
                <w:szCs w:val="24"/>
                <w:highlight w:val="none"/>
                <w14:textFill>
                  <w14:solidFill>
                    <w14:schemeClr w14:val="tx1"/>
                  </w14:solidFill>
                </w14:textFill>
              </w:rPr>
              <w:t>按循环水量的</w:t>
            </w:r>
            <w:r>
              <w:rPr>
                <w:rFonts w:hint="eastAsia" w:ascii="Times New Roman" w:hAnsi="Times New Roman"/>
                <w:bCs/>
                <w:caps w:val="0"/>
                <w:smallCaps w:val="0"/>
                <w:color w:val="000000" w:themeColor="text1"/>
                <w:sz w:val="24"/>
                <w:szCs w:val="24"/>
                <w:highlight w:val="none"/>
                <w:lang w:val="en-US" w:eastAsia="zh-CN"/>
                <w14:textFill>
                  <w14:solidFill>
                    <w14:schemeClr w14:val="tx1"/>
                  </w14:solidFill>
                </w14:textFill>
              </w:rPr>
              <w:t>1</w:t>
            </w:r>
            <w:r>
              <w:rPr>
                <w:rFonts w:hint="eastAsia" w:ascii="Times New Roman" w:hAnsi="Times New Roman"/>
                <w:bCs/>
                <w:caps w:val="0"/>
                <w:smallCaps w:val="0"/>
                <w:color w:val="000000" w:themeColor="text1"/>
                <w:sz w:val="24"/>
                <w:szCs w:val="24"/>
                <w:highlight w:val="none"/>
                <w14:textFill>
                  <w14:solidFill>
                    <w14:schemeClr w14:val="tx1"/>
                  </w14:solidFill>
                </w14:textFill>
              </w:rPr>
              <w:t>%计算</w:t>
            </w:r>
            <w:r>
              <w:rPr>
                <w:rFonts w:hint="eastAsia" w:ascii="Times New Roman" w:hAnsi="Times New Roman"/>
                <w:bCs/>
                <w:caps w:val="0"/>
                <w:smallCaps w:val="0"/>
                <w:color w:val="000000" w:themeColor="text1"/>
                <w:sz w:val="24"/>
                <w:szCs w:val="24"/>
                <w:highlight w:val="none"/>
                <w:lang w:eastAsia="zh-CN"/>
                <w14:textFill>
                  <w14:solidFill>
                    <w14:schemeClr w14:val="tx1"/>
                  </w14:solidFill>
                </w14:textFill>
              </w:rPr>
              <w:t>，</w:t>
            </w:r>
            <w:r>
              <w:rPr>
                <w:rFonts w:hint="eastAsia" w:ascii="Times New Roman" w:hAnsi="Times New Roman"/>
                <w:bCs/>
                <w:caps w:val="0"/>
                <w:smallCaps w:val="0"/>
                <w:color w:val="000000" w:themeColor="text1"/>
                <w:sz w:val="24"/>
                <w:szCs w:val="24"/>
                <w:highlight w:val="none"/>
                <w:lang w:val="en-US" w:eastAsia="zh-CN"/>
                <w14:textFill>
                  <w14:solidFill>
                    <w14:schemeClr w14:val="tx1"/>
                  </w14:solidFill>
                </w14:textFill>
              </w:rPr>
              <w:t>则冷却循环系统</w:t>
            </w:r>
            <w:r>
              <w:rPr>
                <w:rFonts w:ascii="Times New Roman" w:hAnsi="Times New Roman"/>
                <w:bCs/>
                <w:caps w:val="0"/>
                <w:smallCaps w:val="0"/>
                <w:color w:val="000000" w:themeColor="text1"/>
                <w:sz w:val="24"/>
                <w:szCs w:val="24"/>
                <w:highlight w:val="none"/>
                <w14:textFill>
                  <w14:solidFill>
                    <w14:schemeClr w14:val="tx1"/>
                  </w14:solidFill>
                </w14:textFill>
              </w:rPr>
              <w:t>补充水</w:t>
            </w:r>
            <w:r>
              <w:rPr>
                <w:rFonts w:hint="eastAsia" w:ascii="Times New Roman" w:hAnsi="Times New Roman"/>
                <w:bCs/>
                <w:caps w:val="0"/>
                <w:smallCaps w:val="0"/>
                <w:color w:val="000000" w:themeColor="text1"/>
                <w:sz w:val="24"/>
                <w:szCs w:val="24"/>
                <w:highlight w:val="none"/>
                <w:lang w:val="en-US" w:eastAsia="zh-CN"/>
                <w14:textFill>
                  <w14:solidFill>
                    <w14:schemeClr w14:val="tx1"/>
                  </w14:solidFill>
                </w14:textFill>
              </w:rPr>
              <w:t>量为0.1</w:t>
            </w:r>
            <w:r>
              <w:rPr>
                <w:rFonts w:ascii="Times New Roman" w:hAnsi="Times New Roman"/>
                <w:bCs/>
                <w:caps w:val="0"/>
                <w:smallCaps w:val="0"/>
                <w:color w:val="000000" w:themeColor="text1"/>
                <w:sz w:val="24"/>
                <w:szCs w:val="24"/>
                <w:highlight w:val="none"/>
                <w14:textFill>
                  <w14:solidFill>
                    <w14:schemeClr w14:val="tx1"/>
                  </w14:solidFill>
                </w14:textFill>
              </w:rPr>
              <w:t>m</w:t>
            </w:r>
            <w:r>
              <w:rPr>
                <w:rFonts w:ascii="Times New Roman" w:hAnsi="Times New Roman"/>
                <w:bCs/>
                <w:caps w:val="0"/>
                <w:smallCaps w:val="0"/>
                <w:color w:val="000000" w:themeColor="text1"/>
                <w:sz w:val="24"/>
                <w:szCs w:val="24"/>
                <w:highlight w:val="none"/>
                <w:vertAlign w:val="superscript"/>
                <w14:textFill>
                  <w14:solidFill>
                    <w14:schemeClr w14:val="tx1"/>
                  </w14:solidFill>
                </w14:textFill>
              </w:rPr>
              <w:t>3</w:t>
            </w:r>
            <w:r>
              <w:rPr>
                <w:rFonts w:ascii="Times New Roman" w:hAnsi="Times New Roman"/>
                <w:bCs/>
                <w:caps w:val="0"/>
                <w:smallCaps w:val="0"/>
                <w:color w:val="000000" w:themeColor="text1"/>
                <w:sz w:val="24"/>
                <w:szCs w:val="24"/>
                <w:highlight w:val="none"/>
                <w14:textFill>
                  <w14:solidFill>
                    <w14:schemeClr w14:val="tx1"/>
                  </w14:solidFill>
                </w14:textFill>
              </w:rPr>
              <w:t>/d</w:t>
            </w:r>
            <w:r>
              <w:rPr>
                <w:rFonts w:hint="eastAsia" w:ascii="Times New Roman" w:hAnsi="Times New Roman"/>
                <w:bCs/>
                <w:caps w:val="0"/>
                <w:smallCaps w:val="0"/>
                <w:color w:val="000000" w:themeColor="text1"/>
                <w:sz w:val="24"/>
                <w:szCs w:val="24"/>
                <w:highlight w:val="none"/>
                <w:vertAlign w:val="baseline"/>
                <w:lang w:eastAsia="zh-CN"/>
                <w14:textFill>
                  <w14:solidFill>
                    <w14:schemeClr w14:val="tx1"/>
                  </w14:solidFill>
                </w14:textFill>
              </w:rPr>
              <w:t>（</w:t>
            </w:r>
            <w:r>
              <w:rPr>
                <w:rFonts w:hint="eastAsia"/>
                <w:bCs/>
                <w:caps w:val="0"/>
                <w:smallCaps w:val="0"/>
                <w:color w:val="000000" w:themeColor="text1"/>
                <w:sz w:val="24"/>
                <w:szCs w:val="24"/>
                <w:highlight w:val="none"/>
                <w:vertAlign w:val="baseline"/>
                <w:lang w:val="en-US" w:eastAsia="zh-CN"/>
                <w14:textFill>
                  <w14:solidFill>
                    <w14:schemeClr w14:val="tx1"/>
                  </w14:solidFill>
                </w14:textFill>
              </w:rPr>
              <w:t>26</w:t>
            </w:r>
            <w:r>
              <w:rPr>
                <w:rFonts w:ascii="Times New Roman" w:hAnsi="Times New Roman"/>
                <w:bCs/>
                <w:caps w:val="0"/>
                <w:smallCaps w:val="0"/>
                <w:color w:val="000000" w:themeColor="text1"/>
                <w:sz w:val="24"/>
                <w:szCs w:val="24"/>
                <w:highlight w:val="none"/>
                <w14:textFill>
                  <w14:solidFill>
                    <w14:schemeClr w14:val="tx1"/>
                  </w14:solidFill>
                </w14:textFill>
              </w:rPr>
              <w:t>m</w:t>
            </w:r>
            <w:r>
              <w:rPr>
                <w:rFonts w:ascii="Times New Roman" w:hAnsi="Times New Roman"/>
                <w:bCs/>
                <w:caps w:val="0"/>
                <w:smallCaps w:val="0"/>
                <w:color w:val="000000" w:themeColor="text1"/>
                <w:sz w:val="24"/>
                <w:szCs w:val="24"/>
                <w:highlight w:val="none"/>
                <w:vertAlign w:val="superscript"/>
                <w14:textFill>
                  <w14:solidFill>
                    <w14:schemeClr w14:val="tx1"/>
                  </w14:solidFill>
                </w14:textFill>
              </w:rPr>
              <w:t>3</w:t>
            </w:r>
            <w:r>
              <w:rPr>
                <w:rFonts w:ascii="Times New Roman" w:hAnsi="Times New Roman"/>
                <w:bCs/>
                <w:caps w:val="0"/>
                <w:smallCaps w:val="0"/>
                <w:color w:val="000000" w:themeColor="text1"/>
                <w:sz w:val="24"/>
                <w:szCs w:val="24"/>
                <w:highlight w:val="none"/>
                <w14:textFill>
                  <w14:solidFill>
                    <w14:schemeClr w14:val="tx1"/>
                  </w14:solidFill>
                </w14:textFill>
              </w:rPr>
              <w:t>/</w:t>
            </w:r>
            <w:r>
              <w:rPr>
                <w:rFonts w:hint="eastAsia" w:ascii="Times New Roman" w:hAnsi="Times New Roman"/>
                <w:bCs/>
                <w:caps w:val="0"/>
                <w:smallCaps w:val="0"/>
                <w:color w:val="000000" w:themeColor="text1"/>
                <w:sz w:val="24"/>
                <w:szCs w:val="24"/>
                <w:highlight w:val="none"/>
                <w:lang w:val="en-US" w:eastAsia="zh-CN"/>
                <w14:textFill>
                  <w14:solidFill>
                    <w14:schemeClr w14:val="tx1"/>
                  </w14:solidFill>
                </w14:textFill>
              </w:rPr>
              <w:t>a</w:t>
            </w:r>
            <w:r>
              <w:rPr>
                <w:rFonts w:hint="eastAsia" w:ascii="Times New Roman" w:hAnsi="Times New Roman"/>
                <w:bCs/>
                <w:caps w:val="0"/>
                <w:smallCaps w:val="0"/>
                <w:color w:val="000000" w:themeColor="text1"/>
                <w:sz w:val="24"/>
                <w:szCs w:val="24"/>
                <w:highlight w:val="none"/>
                <w:vertAlign w:val="baseline"/>
                <w:lang w:eastAsia="zh-CN"/>
                <w14:textFill>
                  <w14:solidFill>
                    <w14:schemeClr w14:val="tx1"/>
                  </w14:solidFill>
                </w14:textFill>
              </w:rPr>
              <w:t>）</w:t>
            </w:r>
            <w:r>
              <w:rPr>
                <w:rFonts w:ascii="Times New Roman" w:hAnsi="Times New Roman"/>
                <w:bCs/>
                <w:caps w:val="0"/>
                <w:smallCaps w:val="0"/>
                <w:color w:val="000000" w:themeColor="text1"/>
                <w:sz w:val="24"/>
                <w:szCs w:val="24"/>
                <w:highlight w:val="none"/>
                <w14:textFill>
                  <w14:solidFill>
                    <w14:schemeClr w14:val="tx1"/>
                  </w14:solidFill>
                </w14:textFill>
              </w:rPr>
              <w:t>。</w:t>
            </w:r>
          </w:p>
          <w:p w14:paraId="2788783D">
            <w:pPr>
              <w:tabs>
                <w:tab w:val="left" w:pos="2373"/>
              </w:tabs>
              <w:spacing w:line="360" w:lineRule="auto"/>
              <w:ind w:firstLine="482" w:firstLineChars="200"/>
              <w:rPr>
                <w:rFonts w:hint="default" w:ascii="Times New Roman" w:hAnsi="Times New Roman" w:cs="Times New Roman"/>
                <w:b/>
                <w:bCs/>
                <w:color w:val="000000" w:themeColor="text1"/>
                <w:sz w:val="24"/>
                <w:lang w:val="en-US" w:eastAsia="zh-CN"/>
                <w14:textFill>
                  <w14:solidFill>
                    <w14:schemeClr w14:val="tx1"/>
                  </w14:solidFill>
                </w14:textFill>
              </w:rPr>
            </w:pPr>
            <w:r>
              <w:rPr>
                <w:rFonts w:hint="eastAsia" w:cs="Times New Roman"/>
                <w:b/>
                <w:bCs/>
                <w:color w:val="000000" w:themeColor="text1"/>
                <w:sz w:val="24"/>
                <w:lang w:val="en-US" w:eastAsia="zh-CN"/>
                <w14:textFill>
                  <w14:solidFill>
                    <w14:schemeClr w14:val="tx1"/>
                  </w14:solidFill>
                </w14:textFill>
              </w:rPr>
              <w:t>②加金用水</w:t>
            </w:r>
          </w:p>
          <w:p w14:paraId="28DD9A57">
            <w:pPr>
              <w:tabs>
                <w:tab w:val="left" w:pos="2373"/>
              </w:tabs>
              <w:spacing w:line="360" w:lineRule="auto"/>
              <w:ind w:firstLine="480" w:firstLineChars="200"/>
              <w:rPr>
                <w:rFonts w:hint="eastAsia" w:ascii="Times New Roman" w:hAnsi="Times New Roman" w:eastAsia="宋体" w:cs="Times New Roman"/>
                <w:b/>
                <w:bCs/>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本</w:t>
            </w:r>
            <w:r>
              <w:rPr>
                <w:rFonts w:hint="eastAsia" w:ascii="Times New Roman" w:hAnsi="Times New Roman" w:cs="Times New Roman"/>
                <w:color w:val="000000" w:themeColor="text1"/>
                <w:sz w:val="24"/>
                <w:szCs w:val="24"/>
                <w:lang w:val="en-US" w:eastAsia="zh-CN"/>
                <w14:textFill>
                  <w14:solidFill>
                    <w14:schemeClr w14:val="tx1"/>
                  </w14:solidFill>
                </w14:textFill>
              </w:rPr>
              <w:t>项目</w:t>
            </w:r>
            <w:r>
              <w:rPr>
                <w:rFonts w:hint="eastAsia" w:cs="Times New Roman"/>
                <w:color w:val="000000" w:themeColor="text1"/>
                <w:sz w:val="24"/>
                <w:szCs w:val="24"/>
                <w:lang w:val="en-US" w:eastAsia="zh-CN"/>
                <w14:textFill>
                  <w14:solidFill>
                    <w14:schemeClr w14:val="tx1"/>
                  </w14:solidFill>
                </w14:textFill>
              </w:rPr>
              <w:t>贴花后的素盘需要加金（加罩光粉），以增加产品的亮光度。罩光粉和水按照1:1比例进行调配，人工刷涂在产品表面，再放入液压机加压加热，加热温度为180℃，加金用水通过液压机高温压制后蒸发损耗，无废水产生。项目罩光粉年使用量为30t/a，则加金用水量为0.11m</w:t>
            </w:r>
            <w:r>
              <w:rPr>
                <w:rFonts w:hint="eastAsia" w:cs="Times New Roman"/>
                <w:color w:val="000000" w:themeColor="text1"/>
                <w:sz w:val="24"/>
                <w:szCs w:val="24"/>
                <w:vertAlign w:val="superscript"/>
                <w:lang w:val="en-US" w:eastAsia="zh-CN"/>
                <w14:textFill>
                  <w14:solidFill>
                    <w14:schemeClr w14:val="tx1"/>
                  </w14:solidFill>
                </w14:textFill>
              </w:rPr>
              <w:t>3</w:t>
            </w:r>
            <w:r>
              <w:rPr>
                <w:rFonts w:hint="eastAsia" w:cs="Times New Roman"/>
                <w:color w:val="000000" w:themeColor="text1"/>
                <w:sz w:val="24"/>
                <w:szCs w:val="24"/>
                <w:lang w:val="en-US" w:eastAsia="zh-CN"/>
                <w14:textFill>
                  <w14:solidFill>
                    <w14:schemeClr w14:val="tx1"/>
                  </w14:solidFill>
                </w14:textFill>
              </w:rPr>
              <w:t>/d（30m</w:t>
            </w:r>
            <w:r>
              <w:rPr>
                <w:rFonts w:hint="eastAsia" w:cs="Times New Roman"/>
                <w:color w:val="000000" w:themeColor="text1"/>
                <w:sz w:val="24"/>
                <w:szCs w:val="24"/>
                <w:vertAlign w:val="superscript"/>
                <w:lang w:val="en-US" w:eastAsia="zh-CN"/>
                <w14:textFill>
                  <w14:solidFill>
                    <w14:schemeClr w14:val="tx1"/>
                  </w14:solidFill>
                </w14:textFill>
              </w:rPr>
              <w:t>3</w:t>
            </w:r>
            <w:r>
              <w:rPr>
                <w:rFonts w:hint="eastAsia" w:cs="Times New Roman"/>
                <w:color w:val="000000" w:themeColor="text1"/>
                <w:sz w:val="24"/>
                <w:szCs w:val="24"/>
                <w:lang w:val="en-US" w:eastAsia="zh-CN"/>
                <w14:textFill>
                  <w14:solidFill>
                    <w14:schemeClr w14:val="tx1"/>
                  </w14:solidFill>
                </w14:textFill>
              </w:rPr>
              <w:t>/a）。</w:t>
            </w:r>
          </w:p>
          <w:p w14:paraId="3A848D34">
            <w:pPr>
              <w:tabs>
                <w:tab w:val="left" w:pos="2373"/>
              </w:tabs>
              <w:spacing w:line="360" w:lineRule="auto"/>
              <w:ind w:firstLine="482" w:firstLineChars="200"/>
              <w:rPr>
                <w:rFonts w:hint="default" w:ascii="Times New Roman" w:hAnsi="Times New Roman" w:eastAsia="宋体" w:cs="Times New Roman"/>
                <w:b/>
                <w:bCs/>
                <w:color w:val="000000" w:themeColor="text1"/>
                <w:sz w:val="24"/>
                <w:lang w:val="en-US" w:eastAsia="zh-CN"/>
                <w14:textFill>
                  <w14:solidFill>
                    <w14:schemeClr w14:val="tx1"/>
                  </w14:solidFill>
                </w14:textFill>
              </w:rPr>
            </w:pPr>
            <w:r>
              <w:rPr>
                <w:rFonts w:hint="default" w:ascii="Times New Roman" w:hAnsi="Times New Roman" w:cs="Times New Roman"/>
                <w:b/>
                <w:bCs/>
                <w:color w:val="000000" w:themeColor="text1"/>
                <w:sz w:val="24"/>
                <w:lang w:val="en-US" w:eastAsia="zh-CN"/>
                <w14:textFill>
                  <w14:solidFill>
                    <w14:schemeClr w14:val="tx1"/>
                  </w14:solidFill>
                </w14:textFill>
              </w:rPr>
              <w:t>2</w:t>
            </w:r>
            <w:r>
              <w:rPr>
                <w:rFonts w:hint="default" w:ascii="Times New Roman" w:hAnsi="Times New Roman" w:cs="Times New Roman"/>
                <w:b/>
                <w:bCs/>
                <w:color w:val="000000" w:themeColor="text1"/>
                <w:sz w:val="24"/>
                <w14:textFill>
                  <w14:solidFill>
                    <w14:schemeClr w14:val="tx1"/>
                  </w14:solidFill>
                </w14:textFill>
              </w:rPr>
              <w:t>）</w:t>
            </w:r>
            <w:r>
              <w:rPr>
                <w:rFonts w:hint="default" w:ascii="Times New Roman" w:hAnsi="Times New Roman" w:cs="Times New Roman"/>
                <w:b/>
                <w:bCs/>
                <w:color w:val="000000" w:themeColor="text1"/>
                <w:sz w:val="24"/>
                <w:lang w:val="en-US" w:eastAsia="zh-CN"/>
                <w14:textFill>
                  <w14:solidFill>
                    <w14:schemeClr w14:val="tx1"/>
                  </w14:solidFill>
                </w14:textFill>
              </w:rPr>
              <w:t>生活用水</w:t>
            </w:r>
          </w:p>
          <w:p w14:paraId="75CD6BB5">
            <w:pPr>
              <w:pStyle w:val="11"/>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项目运营期工作人员为</w:t>
            </w:r>
            <w:r>
              <w:rPr>
                <w:rFonts w:hint="eastAsia" w:cs="Times New Roman"/>
                <w:b w:val="0"/>
                <w:bCs/>
                <w:color w:val="000000" w:themeColor="text1"/>
                <w:sz w:val="24"/>
                <w:szCs w:val="24"/>
                <w:highlight w:val="none"/>
                <w:lang w:val="en-US" w:eastAsia="zh-CN"/>
                <w14:textFill>
                  <w14:solidFill>
                    <w14:schemeClr w14:val="tx1"/>
                  </w14:solidFill>
                </w14:textFill>
              </w:rPr>
              <w:t>10人</w:t>
            </w:r>
            <w:r>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厂区内不设宿舍和食堂，人员中午用餐采用外送配餐。按照《云南用水定额标准》（DB53/T168-</w:t>
            </w:r>
            <w:r>
              <w:rPr>
                <w:rFonts w:hint="eastAsia" w:cs="Times New Roman"/>
                <w:color w:val="000000" w:themeColor="text1"/>
                <w:sz w:val="24"/>
                <w:szCs w:val="24"/>
                <w:lang w:val="en-US" w:eastAsia="zh-CN"/>
                <w14:textFill>
                  <w14:solidFill>
                    <w14:schemeClr w14:val="tx1"/>
                  </w14:solidFill>
                </w14:textFill>
              </w:rPr>
              <w:t>2026</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color w:val="000000" w:themeColor="text1"/>
                <w:sz w:val="24"/>
                <w:szCs w:val="24"/>
                <w14:textFill>
                  <w14:solidFill>
                    <w14:schemeClr w14:val="tx1"/>
                  </w14:solidFill>
                </w14:textFill>
              </w:rPr>
              <w:t>非住宿</w:t>
            </w:r>
            <w:r>
              <w:rPr>
                <w:color w:val="000000" w:themeColor="text1"/>
                <w:sz w:val="24"/>
                <w:szCs w:val="24"/>
                <w14:textFill>
                  <w14:solidFill>
                    <w14:schemeClr w14:val="tx1"/>
                  </w14:solidFill>
                </w14:textFill>
              </w:rPr>
              <w:t>员工用水量按照40L/（人·d）</w:t>
            </w:r>
            <w:r>
              <w:rPr>
                <w:rFonts w:hint="eastAsia"/>
                <w:color w:val="000000" w:themeColor="text1"/>
                <w:sz w:val="24"/>
                <w:szCs w:val="24"/>
                <w:lang w:val="en-US" w:eastAsia="zh-CN"/>
                <w14:textFill>
                  <w14:solidFill>
                    <w14:schemeClr w14:val="tx1"/>
                  </w14:solidFill>
                </w14:textFill>
              </w:rPr>
              <w:t>计</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，则</w:t>
            </w:r>
            <w:r>
              <w:rPr>
                <w:rFonts w:hint="eastAsia" w:cs="Times New Roman"/>
                <w:color w:val="000000" w:themeColor="text1"/>
                <w:sz w:val="24"/>
                <w:szCs w:val="24"/>
                <w:lang w:val="en-US" w:eastAsia="zh-CN"/>
                <w14:textFill>
                  <w14:solidFill>
                    <w14:schemeClr w14:val="tx1"/>
                  </w14:solidFill>
                </w14:textFill>
              </w:rPr>
              <w:t>生活</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用水量为0.</w:t>
            </w:r>
            <w:r>
              <w:rPr>
                <w:rFonts w:hint="eastAsia" w:cs="Times New Roman"/>
                <w:color w:val="000000" w:themeColor="text1"/>
                <w:sz w:val="24"/>
                <w:szCs w:val="24"/>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/d</w:t>
            </w:r>
            <w:r>
              <w:rPr>
                <w:rFonts w:hint="eastAsia" w:cs="Times New Roman"/>
                <w:color w:val="000000" w:themeColor="text1"/>
                <w:sz w:val="24"/>
                <w:szCs w:val="24"/>
                <w:lang w:val="en-US" w:eastAsia="zh-CN"/>
                <w14:textFill>
                  <w14:solidFill>
                    <w14:schemeClr w14:val="tx1"/>
                  </w14:solidFill>
                </w14:textFill>
              </w:rPr>
              <w:t>、108</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t>/a</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产污系数为80%，故</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污水产生量为0.</w:t>
            </w:r>
            <w:r>
              <w:rPr>
                <w:rFonts w:hint="eastAsia" w:cs="Times New Roman"/>
                <w:color w:val="000000" w:themeColor="text1"/>
                <w:sz w:val="24"/>
                <w:szCs w:val="24"/>
                <w:lang w:val="en-US" w:eastAsia="zh-CN"/>
                <w14:textFill>
                  <w14:solidFill>
                    <w14:schemeClr w14:val="tx1"/>
                  </w14:solidFill>
                </w14:textFill>
              </w:rPr>
              <w:t>32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/d、</w:t>
            </w:r>
            <w:r>
              <w:rPr>
                <w:rFonts w:hint="eastAsia" w:cs="Times New Roman"/>
                <w:color w:val="000000" w:themeColor="text1"/>
                <w:sz w:val="24"/>
                <w:szCs w:val="24"/>
                <w:lang w:val="en-US" w:eastAsia="zh-CN"/>
                <w14:textFill>
                  <w14:solidFill>
                    <w14:schemeClr w14:val="tx1"/>
                  </w14:solidFill>
                </w14:textFill>
              </w:rPr>
              <w:t>115.2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t>/a，</w:t>
            </w:r>
            <w:r>
              <w:rPr>
                <w:rFonts w:hint="eastAsia" w:cs="Times New Roman"/>
                <w:color w:val="000000" w:themeColor="text1"/>
                <w:sz w:val="24"/>
                <w:szCs w:val="24"/>
                <w:vertAlign w:val="baseline"/>
                <w:lang w:val="en-US" w:eastAsia="zh-CN"/>
                <w14:textFill>
                  <w14:solidFill>
                    <w14:schemeClr w14:val="tx1"/>
                  </w14:solidFill>
                </w14:textFill>
              </w:rPr>
              <w:t>生活污水依托云南联帆建材科技有限公司已建成容积为5m</w:t>
            </w:r>
            <w:r>
              <w:rPr>
                <w:rFonts w:hint="eastAsia" w:cs="Times New Roman"/>
                <w:color w:val="000000" w:themeColor="text1"/>
                <w:sz w:val="24"/>
                <w:szCs w:val="24"/>
                <w:vertAlign w:val="superscript"/>
                <w:lang w:val="en-US" w:eastAsia="zh-CN"/>
                <w14:textFill>
                  <w14:solidFill>
                    <w14:schemeClr w14:val="tx1"/>
                  </w14:solidFill>
                </w14:textFill>
              </w:rPr>
              <w:t>3</w:t>
            </w:r>
            <w:r>
              <w:rPr>
                <w:rFonts w:hint="eastAsia" w:cs="Times New Roman"/>
                <w:color w:val="000000" w:themeColor="text1"/>
                <w:sz w:val="24"/>
                <w:szCs w:val="24"/>
                <w:vertAlign w:val="baseline"/>
                <w:lang w:val="en-US" w:eastAsia="zh-CN"/>
                <w14:textFill>
                  <w14:solidFill>
                    <w14:schemeClr w14:val="tx1"/>
                  </w14:solidFill>
                </w14:textFill>
              </w:rPr>
              <w:t>的化粪池预处理后排入云南联帆建材科技有限公司已建成处理能力为8m</w:t>
            </w:r>
            <w:r>
              <w:rPr>
                <w:rFonts w:hint="eastAsia" w:cs="Times New Roman"/>
                <w:color w:val="000000" w:themeColor="text1"/>
                <w:sz w:val="24"/>
                <w:szCs w:val="24"/>
                <w:vertAlign w:val="superscript"/>
                <w:lang w:val="en-US" w:eastAsia="zh-CN"/>
                <w14:textFill>
                  <w14:solidFill>
                    <w14:schemeClr w14:val="tx1"/>
                  </w14:solidFill>
                </w14:textFill>
              </w:rPr>
              <w:t>3</w:t>
            </w:r>
            <w:r>
              <w:rPr>
                <w:rFonts w:hint="eastAsia" w:cs="Times New Roman"/>
                <w:color w:val="000000" w:themeColor="text1"/>
                <w:sz w:val="24"/>
                <w:szCs w:val="24"/>
                <w:vertAlign w:val="baseline"/>
                <w:lang w:val="en-US" w:eastAsia="zh-CN"/>
                <w14:textFill>
                  <w14:solidFill>
                    <w14:schemeClr w14:val="tx1"/>
                  </w14:solidFill>
                </w14:textFill>
              </w:rPr>
              <w:t>/d的污水处理站处理，处理达标后回用于联帆公司厂区绿化</w:t>
            </w:r>
            <w:r>
              <w:rPr>
                <w:rFonts w:hint="default" w:ascii="Times New Roman" w:hAnsi="Times New Roman" w:cs="Times New Roman"/>
                <w:color w:val="000000" w:themeColor="text1"/>
                <w:lang w:val="en-US" w:eastAsia="zh-CN"/>
                <w14:textFill>
                  <w14:solidFill>
                    <w14:schemeClr w14:val="tx1"/>
                  </w14:solidFill>
                </w14:textFill>
              </w:rPr>
              <w:t>。</w:t>
            </w:r>
          </w:p>
          <w:p w14:paraId="487CD67F">
            <w:pPr>
              <w:autoSpaceDE w:val="0"/>
              <w:autoSpaceDN w:val="0"/>
              <w:spacing w:line="360" w:lineRule="auto"/>
              <w:ind w:firstLine="482" w:firstLineChars="200"/>
              <w:jc w:val="left"/>
              <w:rPr>
                <w:rFonts w:hint="default" w:ascii="Times New Roman" w:hAnsi="Times New Roman" w:cs="Times New Roman"/>
                <w:b/>
                <w:bCs/>
                <w:color w:val="000000" w:themeColor="text1"/>
                <w:sz w:val="24"/>
                <w:highlight w:val="none"/>
                <w14:textFill>
                  <w14:solidFill>
                    <w14:schemeClr w14:val="tx1"/>
                  </w14:solidFill>
                </w14:textFill>
              </w:rPr>
            </w:pPr>
            <w:r>
              <w:rPr>
                <w:rFonts w:hint="default" w:ascii="Times New Roman" w:hAnsi="Times New Roman" w:cs="Times New Roman"/>
                <w:b/>
                <w:bCs/>
                <w:color w:val="000000" w:themeColor="text1"/>
                <w:sz w:val="24"/>
                <w:highlight w:val="none"/>
                <w14:textFill>
                  <w14:solidFill>
                    <w14:schemeClr w14:val="tx1"/>
                  </w14:solidFill>
                </w14:textFill>
              </w:rPr>
              <w:t>（2）水量平衡</w:t>
            </w:r>
          </w:p>
          <w:p w14:paraId="76CD19AE">
            <w:pPr>
              <w:autoSpaceDE w:val="0"/>
              <w:autoSpaceDN w:val="0"/>
              <w:spacing w:line="360" w:lineRule="auto"/>
              <w:ind w:firstLine="480" w:firstLineChars="200"/>
              <w:jc w:val="both"/>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项目给排水情况见</w:t>
            </w:r>
            <w:r>
              <w:rPr>
                <w:rFonts w:hint="default" w:ascii="Times New Roman" w:hAnsi="Times New Roman" w:cs="Times New Roman"/>
                <w:color w:val="000000" w:themeColor="text1"/>
                <w:sz w:val="24"/>
                <w:lang w:val="en-US" w:eastAsia="zh-CN"/>
                <w14:textFill>
                  <w14:solidFill>
                    <w14:schemeClr w14:val="tx1"/>
                  </w14:solidFill>
                </w14:textFill>
              </w:rPr>
              <w:t>表</w:t>
            </w:r>
            <w:r>
              <w:rPr>
                <w:rFonts w:hint="default" w:ascii="Times New Roman" w:hAnsi="Times New Roman" w:cs="Times New Roman"/>
                <w:color w:val="000000" w:themeColor="text1"/>
                <w:sz w:val="24"/>
                <w14:textFill>
                  <w14:solidFill>
                    <w14:schemeClr w14:val="tx1"/>
                  </w14:solidFill>
                </w14:textFill>
              </w:rPr>
              <w:t>2-</w:t>
            </w:r>
            <w:r>
              <w:rPr>
                <w:rFonts w:hint="eastAsia" w:cs="Times New Roman"/>
                <w:color w:val="000000" w:themeColor="text1"/>
                <w:sz w:val="24"/>
                <w:lang w:val="en-US" w:eastAsia="zh-CN"/>
                <w14:textFill>
                  <w14:solidFill>
                    <w14:schemeClr w14:val="tx1"/>
                  </w14:solidFill>
                </w14:textFill>
              </w:rPr>
              <w:t>7</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项目水平衡图如图2-1所示。</w:t>
            </w:r>
          </w:p>
          <w:bookmarkEnd w:id="12"/>
          <w:p w14:paraId="09E21900">
            <w:pPr>
              <w:pStyle w:val="11"/>
              <w:keepNext w:val="0"/>
              <w:keepLines w:val="0"/>
              <w:pageBreakBefore w:val="0"/>
              <w:widowControl w:val="0"/>
              <w:kinsoku/>
              <w:wordWrap/>
              <w:overflowPunct/>
              <w:topLinePunct w:val="0"/>
              <w:autoSpaceDE/>
              <w:autoSpaceDN/>
              <w:bidi w:val="0"/>
              <w:adjustRightInd w:val="0"/>
              <w:snapToGrid w:val="0"/>
              <w:spacing w:before="0" w:after="0"/>
              <w:textAlignment w:val="auto"/>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表2-</w:t>
            </w:r>
            <w:r>
              <w:rPr>
                <w:rFonts w:hint="eastAsia" w:cs="Times New Roman"/>
                <w:b/>
                <w:color w:val="000000" w:themeColor="text1"/>
                <w:sz w:val="21"/>
                <w:szCs w:val="21"/>
                <w:lang w:val="en-US" w:eastAsia="zh-CN"/>
                <w14:textFill>
                  <w14:solidFill>
                    <w14:schemeClr w14:val="tx1"/>
                  </w14:solidFill>
                </w14:textFill>
              </w:rPr>
              <w:t>7</w:t>
            </w:r>
            <w:r>
              <w:rPr>
                <w:rFonts w:hint="default" w:ascii="Times New Roman" w:hAnsi="Times New Roman" w:cs="Times New Roman"/>
                <w:b/>
                <w:color w:val="000000" w:themeColor="text1"/>
                <w:sz w:val="21"/>
                <w:szCs w:val="21"/>
                <w14:textFill>
                  <w14:solidFill>
                    <w14:schemeClr w14:val="tx1"/>
                  </w14:solidFill>
                </w14:textFill>
              </w:rPr>
              <w:t xml:space="preserve">   项目给排水情况一览表</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816"/>
              <w:gridCol w:w="1721"/>
              <w:gridCol w:w="875"/>
              <w:gridCol w:w="1143"/>
              <w:gridCol w:w="924"/>
              <w:gridCol w:w="1980"/>
            </w:tblGrid>
            <w:tr w14:paraId="574AC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restart"/>
                  <w:vAlign w:val="center"/>
                </w:tcPr>
                <w:p w14:paraId="57C4FE80">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用水类别</w:t>
                  </w:r>
                </w:p>
              </w:tc>
              <w:tc>
                <w:tcPr>
                  <w:tcW w:w="496" w:type="pct"/>
                  <w:vMerge w:val="restart"/>
                  <w:vAlign w:val="center"/>
                </w:tcPr>
                <w:p w14:paraId="6D478658">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用水单元</w:t>
                  </w:r>
                </w:p>
              </w:tc>
              <w:tc>
                <w:tcPr>
                  <w:tcW w:w="1579" w:type="pct"/>
                  <w:gridSpan w:val="2"/>
                  <w:vAlign w:val="center"/>
                </w:tcPr>
                <w:p w14:paraId="6E8BA801">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用水量</w:t>
                  </w:r>
                </w:p>
              </w:tc>
              <w:tc>
                <w:tcPr>
                  <w:tcW w:w="1257" w:type="pct"/>
                  <w:gridSpan w:val="2"/>
                  <w:vAlign w:val="center"/>
                </w:tcPr>
                <w:p w14:paraId="5146FBD2">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废水</w:t>
                  </w:r>
                  <w:r>
                    <w:rPr>
                      <w:rFonts w:hint="eastAsia" w:cs="Times New Roman"/>
                      <w:b/>
                      <w:bCs/>
                      <w:color w:val="000000" w:themeColor="text1"/>
                      <w:sz w:val="21"/>
                      <w:szCs w:val="21"/>
                      <w:highlight w:val="none"/>
                      <w:lang w:val="en-US" w:eastAsia="zh-CN"/>
                      <w14:textFill>
                        <w14:solidFill>
                          <w14:schemeClr w14:val="tx1"/>
                        </w14:solidFill>
                      </w14:textFill>
                    </w:rPr>
                    <w:t>产生</w:t>
                  </w:r>
                  <w:r>
                    <w:rPr>
                      <w:rFonts w:hint="default" w:ascii="Times New Roman" w:hAnsi="Times New Roman" w:cs="Times New Roman"/>
                      <w:b/>
                      <w:bCs/>
                      <w:color w:val="000000" w:themeColor="text1"/>
                      <w:sz w:val="21"/>
                      <w:szCs w:val="21"/>
                      <w:highlight w:val="none"/>
                      <w14:textFill>
                        <w14:solidFill>
                          <w14:schemeClr w14:val="tx1"/>
                        </w14:solidFill>
                      </w14:textFill>
                    </w:rPr>
                    <w:t>量</w:t>
                  </w:r>
                </w:p>
              </w:tc>
              <w:tc>
                <w:tcPr>
                  <w:tcW w:w="1204" w:type="pct"/>
                  <w:vMerge w:val="restart"/>
                  <w:vAlign w:val="center"/>
                </w:tcPr>
                <w:p w14:paraId="21782215">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排放情况</w:t>
                  </w:r>
                </w:p>
              </w:tc>
            </w:tr>
            <w:tr w14:paraId="35A2E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vAlign w:val="center"/>
                </w:tcPr>
                <w:p w14:paraId="070017EA">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496" w:type="pct"/>
                  <w:vMerge w:val="continue"/>
                  <w:vAlign w:val="center"/>
                </w:tcPr>
                <w:p w14:paraId="1A44A017">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1047" w:type="pct"/>
                  <w:vAlign w:val="center"/>
                </w:tcPr>
                <w:p w14:paraId="50B1215A">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m</w:t>
                  </w:r>
                  <w:r>
                    <w:rPr>
                      <w:rFonts w:hint="default" w:ascii="Times New Roman" w:hAnsi="Times New Roman"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
                      <w:bCs/>
                      <w:color w:val="000000" w:themeColor="text1"/>
                      <w:sz w:val="21"/>
                      <w:szCs w:val="21"/>
                      <w:highlight w:val="none"/>
                      <w14:textFill>
                        <w14:solidFill>
                          <w14:schemeClr w14:val="tx1"/>
                        </w14:solidFill>
                      </w14:textFill>
                    </w:rPr>
                    <w:t>/d</w:t>
                  </w:r>
                </w:p>
              </w:tc>
              <w:tc>
                <w:tcPr>
                  <w:tcW w:w="532" w:type="pct"/>
                  <w:vAlign w:val="center"/>
                </w:tcPr>
                <w:p w14:paraId="2C35EFCC">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m</w:t>
                  </w:r>
                  <w:r>
                    <w:rPr>
                      <w:rFonts w:hint="default" w:ascii="Times New Roman" w:hAnsi="Times New Roman"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
                      <w:bCs/>
                      <w:color w:val="000000" w:themeColor="text1"/>
                      <w:sz w:val="21"/>
                      <w:szCs w:val="21"/>
                      <w:highlight w:val="none"/>
                      <w14:textFill>
                        <w14:solidFill>
                          <w14:schemeClr w14:val="tx1"/>
                        </w14:solidFill>
                      </w14:textFill>
                    </w:rPr>
                    <w:t>/a</w:t>
                  </w:r>
                </w:p>
              </w:tc>
              <w:tc>
                <w:tcPr>
                  <w:tcW w:w="695" w:type="pct"/>
                  <w:vAlign w:val="center"/>
                </w:tcPr>
                <w:p w14:paraId="01040A96">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m</w:t>
                  </w:r>
                  <w:r>
                    <w:rPr>
                      <w:rFonts w:hint="default" w:ascii="Times New Roman" w:hAnsi="Times New Roman"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
                      <w:bCs/>
                      <w:color w:val="000000" w:themeColor="text1"/>
                      <w:sz w:val="21"/>
                      <w:szCs w:val="21"/>
                      <w:highlight w:val="none"/>
                      <w14:textFill>
                        <w14:solidFill>
                          <w14:schemeClr w14:val="tx1"/>
                        </w14:solidFill>
                      </w14:textFill>
                    </w:rPr>
                    <w:t>/d</w:t>
                  </w:r>
                </w:p>
              </w:tc>
              <w:tc>
                <w:tcPr>
                  <w:tcW w:w="562" w:type="pct"/>
                  <w:vAlign w:val="center"/>
                </w:tcPr>
                <w:p w14:paraId="018D7551">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m</w:t>
                  </w:r>
                  <w:r>
                    <w:rPr>
                      <w:rFonts w:hint="default" w:ascii="Times New Roman" w:hAnsi="Times New Roman"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
                      <w:bCs/>
                      <w:color w:val="000000" w:themeColor="text1"/>
                      <w:sz w:val="21"/>
                      <w:szCs w:val="21"/>
                      <w:highlight w:val="none"/>
                      <w14:textFill>
                        <w14:solidFill>
                          <w14:schemeClr w14:val="tx1"/>
                        </w14:solidFill>
                      </w14:textFill>
                    </w:rPr>
                    <w:t>/a</w:t>
                  </w:r>
                </w:p>
              </w:tc>
              <w:tc>
                <w:tcPr>
                  <w:tcW w:w="1204" w:type="pct"/>
                  <w:vMerge w:val="continue"/>
                  <w:vAlign w:val="center"/>
                </w:tcPr>
                <w:p w14:paraId="1CB008FA">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r>
            <w:tr w14:paraId="0B19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462" w:type="pct"/>
                  <w:vMerge w:val="restart"/>
                  <w:vAlign w:val="center"/>
                </w:tcPr>
                <w:p w14:paraId="31121C66">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生产</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用水</w:t>
                  </w:r>
                </w:p>
              </w:tc>
              <w:tc>
                <w:tcPr>
                  <w:tcW w:w="496" w:type="pct"/>
                  <w:vAlign w:val="center"/>
                </w:tcPr>
                <w:p w14:paraId="52876273">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冷却</w:t>
                  </w:r>
                </w:p>
              </w:tc>
              <w:tc>
                <w:tcPr>
                  <w:tcW w:w="1047" w:type="pct"/>
                  <w:vAlign w:val="center"/>
                </w:tcPr>
                <w:p w14:paraId="49538206">
                  <w:pPr>
                    <w:keepNext w:val="0"/>
                    <w:keepLines w:val="0"/>
                    <w:pageBreakBefore w:val="0"/>
                    <w:kinsoku/>
                    <w:wordWrap/>
                    <w:overflowPunct/>
                    <w:topLinePunct w:val="0"/>
                    <w:autoSpaceDE/>
                    <w:autoSpaceDN/>
                    <w:bidi w:val="0"/>
                    <w:adjustRightInd w:val="0"/>
                    <w:snapToGrid w:val="0"/>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0.1</w:t>
                  </w:r>
                </w:p>
              </w:tc>
              <w:tc>
                <w:tcPr>
                  <w:tcW w:w="532" w:type="pct"/>
                  <w:vAlign w:val="center"/>
                </w:tcPr>
                <w:p w14:paraId="3F224297">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26</w:t>
                  </w:r>
                </w:p>
              </w:tc>
              <w:tc>
                <w:tcPr>
                  <w:tcW w:w="695" w:type="pct"/>
                  <w:vAlign w:val="center"/>
                </w:tcPr>
                <w:p w14:paraId="65AC7D36">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562" w:type="pct"/>
                  <w:vAlign w:val="center"/>
                </w:tcPr>
                <w:p w14:paraId="6873A006">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204" w:type="pct"/>
                  <w:vAlign w:val="center"/>
                </w:tcPr>
                <w:p w14:paraId="6505F1E8">
                  <w:pPr>
                    <w:pStyle w:val="30"/>
                    <w:keepNext w:val="0"/>
                    <w:keepLines w:val="0"/>
                    <w:pageBreakBefore w:val="0"/>
                    <w:kinsoku/>
                    <w:wordWrap/>
                    <w:overflowPunct/>
                    <w:topLinePunct w:val="0"/>
                    <w:autoSpaceDE/>
                    <w:autoSpaceDN/>
                    <w:bidi w:val="0"/>
                    <w:spacing w:after="0"/>
                    <w:ind w:left="0" w:leftChars="0" w:firstLine="0" w:firstLineChars="0"/>
                    <w:jc w:val="left"/>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循环使用不外排。</w:t>
                  </w:r>
                </w:p>
              </w:tc>
            </w:tr>
            <w:tr w14:paraId="3C693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462" w:type="pct"/>
                  <w:vMerge w:val="continue"/>
                  <w:vAlign w:val="center"/>
                </w:tcPr>
                <w:p w14:paraId="027B0D4E">
                  <w:pPr>
                    <w:keepNext w:val="0"/>
                    <w:keepLines w:val="0"/>
                    <w:pageBreakBefore w:val="0"/>
                    <w:kinsoku/>
                    <w:wordWrap/>
                    <w:overflowPunct/>
                    <w:topLinePunct w:val="0"/>
                    <w:autoSpaceDE/>
                    <w:autoSpaceDN/>
                    <w:bidi w:val="0"/>
                    <w:adjustRightInd w:val="0"/>
                    <w:snapToGrid w:val="0"/>
                    <w:jc w:val="center"/>
                    <w:textAlignment w:val="auto"/>
                    <w:rPr>
                      <w:rFonts w:hint="eastAsia" w:cs="Times New Roman"/>
                      <w:color w:val="000000" w:themeColor="text1"/>
                      <w:sz w:val="21"/>
                      <w:szCs w:val="21"/>
                      <w:highlight w:val="none"/>
                      <w:lang w:val="en-US" w:eastAsia="zh-CN"/>
                      <w14:textFill>
                        <w14:solidFill>
                          <w14:schemeClr w14:val="tx1"/>
                        </w14:solidFill>
                      </w14:textFill>
                    </w:rPr>
                  </w:pPr>
                </w:p>
              </w:tc>
              <w:tc>
                <w:tcPr>
                  <w:tcW w:w="496" w:type="pct"/>
                  <w:vAlign w:val="center"/>
                </w:tcPr>
                <w:p w14:paraId="0D416547">
                  <w:pPr>
                    <w:keepNext w:val="0"/>
                    <w:keepLines w:val="0"/>
                    <w:pageBreakBefore w:val="0"/>
                    <w:kinsoku/>
                    <w:wordWrap/>
                    <w:overflowPunct/>
                    <w:topLinePunct w:val="0"/>
                    <w:autoSpaceDE/>
                    <w:autoSpaceDN/>
                    <w:bidi w:val="0"/>
                    <w:adjustRightInd w:val="0"/>
                    <w:snapToGrid w:val="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加金</w:t>
                  </w:r>
                </w:p>
              </w:tc>
              <w:tc>
                <w:tcPr>
                  <w:tcW w:w="1047" w:type="pct"/>
                  <w:vAlign w:val="center"/>
                </w:tcPr>
                <w:p w14:paraId="692CEB01">
                  <w:pPr>
                    <w:keepNext w:val="0"/>
                    <w:keepLines w:val="0"/>
                    <w:pageBreakBefore w:val="0"/>
                    <w:kinsoku/>
                    <w:wordWrap/>
                    <w:overflowPunct/>
                    <w:topLinePunct w:val="0"/>
                    <w:autoSpaceDE/>
                    <w:autoSpaceDN/>
                    <w:bidi w:val="0"/>
                    <w:adjustRightInd w:val="0"/>
                    <w:snapToGrid w:val="0"/>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0.11</w:t>
                  </w:r>
                </w:p>
              </w:tc>
              <w:tc>
                <w:tcPr>
                  <w:tcW w:w="532" w:type="pct"/>
                  <w:vAlign w:val="center"/>
                </w:tcPr>
                <w:p w14:paraId="65CC5F44">
                  <w:pPr>
                    <w:keepNext w:val="0"/>
                    <w:keepLines w:val="0"/>
                    <w:pageBreakBefore w:val="0"/>
                    <w:kinsoku/>
                    <w:wordWrap/>
                    <w:overflowPunct/>
                    <w:topLinePunct w:val="0"/>
                    <w:autoSpaceDE/>
                    <w:autoSpaceDN/>
                    <w:bidi w:val="0"/>
                    <w:adjustRightInd w:val="0"/>
                    <w:snapToGrid w:val="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w:t>
                  </w:r>
                </w:p>
              </w:tc>
              <w:tc>
                <w:tcPr>
                  <w:tcW w:w="695" w:type="pct"/>
                  <w:vAlign w:val="center"/>
                </w:tcPr>
                <w:p w14:paraId="0D28AC64">
                  <w:pPr>
                    <w:keepNext w:val="0"/>
                    <w:keepLines w:val="0"/>
                    <w:pageBreakBefore w:val="0"/>
                    <w:kinsoku/>
                    <w:wordWrap/>
                    <w:overflowPunct/>
                    <w:topLinePunct w:val="0"/>
                    <w:autoSpaceDE/>
                    <w:autoSpaceDN/>
                    <w:bidi w:val="0"/>
                    <w:adjustRightInd w:val="0"/>
                    <w:snapToGrid w:val="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562" w:type="pct"/>
                  <w:vAlign w:val="center"/>
                </w:tcPr>
                <w:p w14:paraId="1E33E2C4">
                  <w:pPr>
                    <w:keepNext w:val="0"/>
                    <w:keepLines w:val="0"/>
                    <w:pageBreakBefore w:val="0"/>
                    <w:kinsoku/>
                    <w:wordWrap/>
                    <w:overflowPunct/>
                    <w:topLinePunct w:val="0"/>
                    <w:autoSpaceDE/>
                    <w:autoSpaceDN/>
                    <w:bidi w:val="0"/>
                    <w:adjustRightInd w:val="0"/>
                    <w:snapToGrid w:val="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204" w:type="pct"/>
                  <w:vAlign w:val="center"/>
                </w:tcPr>
                <w:p w14:paraId="507A3546">
                  <w:pPr>
                    <w:pStyle w:val="30"/>
                    <w:keepNext w:val="0"/>
                    <w:keepLines w:val="0"/>
                    <w:pageBreakBefore w:val="0"/>
                    <w:kinsoku/>
                    <w:wordWrap/>
                    <w:overflowPunct/>
                    <w:topLinePunct w:val="0"/>
                    <w:autoSpaceDE/>
                    <w:autoSpaceDN/>
                    <w:bidi w:val="0"/>
                    <w:spacing w:after="0"/>
                    <w:ind w:left="0" w:leftChars="0" w:firstLine="0" w:firstLineChars="0"/>
                    <w:jc w:val="left"/>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蒸发损耗</w:t>
                  </w:r>
                </w:p>
              </w:tc>
            </w:tr>
            <w:tr w14:paraId="29E40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trPr>
              <w:tc>
                <w:tcPr>
                  <w:tcW w:w="462" w:type="pct"/>
                  <w:vAlign w:val="center"/>
                </w:tcPr>
                <w:p w14:paraId="56DD8212">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生活用水</w:t>
                  </w:r>
                </w:p>
              </w:tc>
              <w:tc>
                <w:tcPr>
                  <w:tcW w:w="496" w:type="pct"/>
                  <w:vAlign w:val="center"/>
                </w:tcPr>
                <w:p w14:paraId="6ED1A5F9">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办公区</w:t>
                  </w:r>
                </w:p>
              </w:tc>
              <w:tc>
                <w:tcPr>
                  <w:tcW w:w="1047" w:type="pct"/>
                  <w:vAlign w:val="center"/>
                </w:tcPr>
                <w:p w14:paraId="50133E17">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0.4</w:t>
                  </w:r>
                </w:p>
              </w:tc>
              <w:tc>
                <w:tcPr>
                  <w:tcW w:w="532" w:type="pct"/>
                  <w:vAlign w:val="center"/>
                </w:tcPr>
                <w:p w14:paraId="58F30CAA">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108</w:t>
                  </w:r>
                </w:p>
              </w:tc>
              <w:tc>
                <w:tcPr>
                  <w:tcW w:w="695" w:type="pct"/>
                  <w:vAlign w:val="center"/>
                </w:tcPr>
                <w:p w14:paraId="7256E084">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0.32</w:t>
                  </w:r>
                </w:p>
              </w:tc>
              <w:tc>
                <w:tcPr>
                  <w:tcW w:w="562" w:type="pct"/>
                  <w:vAlign w:val="center"/>
                </w:tcPr>
                <w:p w14:paraId="6146A58E">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115.2</w:t>
                  </w:r>
                </w:p>
              </w:tc>
              <w:tc>
                <w:tcPr>
                  <w:tcW w:w="1204" w:type="pct"/>
                  <w:vAlign w:val="center"/>
                </w:tcPr>
                <w:p w14:paraId="502A96DB">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依托云南联帆建材科技有限公司已建成</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化粪池</w:t>
                  </w:r>
                  <w:r>
                    <w:rPr>
                      <w:rFonts w:hint="eastAsia" w:cs="Times New Roman"/>
                      <w:color w:val="000000" w:themeColor="text1"/>
                      <w:sz w:val="21"/>
                      <w:szCs w:val="21"/>
                      <w:highlight w:val="none"/>
                      <w:lang w:val="en-US" w:eastAsia="zh-CN"/>
                      <w14:textFill>
                        <w14:solidFill>
                          <w14:schemeClr w14:val="tx1"/>
                        </w14:solidFill>
                      </w14:textFill>
                    </w:rPr>
                    <w:t>与污水处理站，处理达标后回用于厂区绿化。</w:t>
                  </w:r>
                </w:p>
              </w:tc>
            </w:tr>
            <w:tr w14:paraId="2DBFD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2" w:type="pct"/>
                  <w:vAlign w:val="center"/>
                </w:tcPr>
                <w:p w14:paraId="3D699759">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合计</w:t>
                  </w:r>
                </w:p>
              </w:tc>
              <w:tc>
                <w:tcPr>
                  <w:tcW w:w="496" w:type="pct"/>
                  <w:vAlign w:val="center"/>
                </w:tcPr>
                <w:p w14:paraId="25723E6D">
                  <w:pPr>
                    <w:keepNext w:val="0"/>
                    <w:keepLines w:val="0"/>
                    <w:pageBreakBefore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047" w:type="pct"/>
                  <w:vAlign w:val="center"/>
                </w:tcPr>
                <w:p w14:paraId="201E9D60">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0.61</w:t>
                  </w:r>
                </w:p>
              </w:tc>
              <w:tc>
                <w:tcPr>
                  <w:tcW w:w="532" w:type="pct"/>
                  <w:vAlign w:val="center"/>
                </w:tcPr>
                <w:p w14:paraId="2AA2A6D0">
                  <w:pPr>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164.7</w:t>
                  </w:r>
                </w:p>
              </w:tc>
              <w:tc>
                <w:tcPr>
                  <w:tcW w:w="695" w:type="pct"/>
                  <w:vAlign w:val="center"/>
                </w:tcPr>
                <w:p w14:paraId="0CA47346">
                  <w:pPr>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562" w:type="pct"/>
                  <w:vAlign w:val="center"/>
                </w:tcPr>
                <w:p w14:paraId="3D78830B">
                  <w:pPr>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204" w:type="pct"/>
                  <w:vAlign w:val="center"/>
                </w:tcPr>
                <w:p w14:paraId="6A98DB59">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w:t>
                  </w:r>
                </w:p>
              </w:tc>
            </w:tr>
          </w:tbl>
          <w:p w14:paraId="54813F0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color w:val="000000" w:themeColor="text1"/>
                <w:kern w:val="0"/>
                <w:szCs w:val="21"/>
                <w:lang w:val="zh-CN"/>
                <w14:textFill>
                  <w14:solidFill>
                    <w14:schemeClr w14:val="tx1"/>
                  </w14:solidFill>
                </w14:textFill>
              </w:rPr>
            </w:pPr>
            <w:r>
              <w:rPr>
                <w:rFonts w:hint="default" w:ascii="Times New Roman" w:hAnsi="Times New Roman" w:cs="Times New Roman"/>
                <w:b/>
                <w:color w:val="000000" w:themeColor="text1"/>
                <w:kern w:val="0"/>
                <w:szCs w:val="21"/>
                <w:lang w:val="zh-CN"/>
                <w14:textFill>
                  <w14:solidFill>
                    <w14:schemeClr w14:val="tx1"/>
                  </w14:solidFill>
                </w14:textFill>
              </w:rPr>
              <w:object>
                <v:shape id="_x0000_i1025" o:spt="75" type="#_x0000_t75" style="height:205.05pt;width:372.55pt;" o:ole="t" filled="f" o:preferrelative="t" stroked="f" coordsize="21600,21600">
                  <v:path/>
                  <v:fill on="f" focussize="0,0"/>
                  <v:stroke on="f"/>
                  <v:imagedata r:id="rId13" o:title=""/>
                  <o:lock v:ext="edit" aspectratio="f"/>
                  <w10:wrap type="none"/>
                  <w10:anchorlock/>
                </v:shape>
                <o:OLEObject Type="Embed" ProgID="Visio.Drawing.15" ShapeID="_x0000_i1025" DrawAspect="Content" ObjectID="_1468075725" r:id="rId12">
                  <o:LockedField>false</o:LockedField>
                </o:OLEObject>
              </w:object>
            </w:r>
          </w:p>
          <w:p w14:paraId="090F9FC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color w:val="000000" w:themeColor="text1"/>
                <w:kern w:val="0"/>
                <w:sz w:val="24"/>
                <w:highlight w:val="none"/>
                <w:lang w:val="zh-CN"/>
                <w14:textFill>
                  <w14:solidFill>
                    <w14:schemeClr w14:val="tx1"/>
                  </w14:solidFill>
                </w14:textFill>
              </w:rPr>
            </w:pPr>
            <w:r>
              <w:rPr>
                <w:rFonts w:hint="default" w:ascii="Times New Roman" w:hAnsi="Times New Roman" w:cs="Times New Roman"/>
                <w:b/>
                <w:color w:val="000000" w:themeColor="text1"/>
                <w:kern w:val="0"/>
                <w:szCs w:val="21"/>
                <w:highlight w:val="none"/>
                <w:lang w:val="zh-CN"/>
                <w14:textFill>
                  <w14:solidFill>
                    <w14:schemeClr w14:val="tx1"/>
                  </w14:solidFill>
                </w14:textFill>
              </w:rPr>
              <w:t>图2-1  项目区水量平衡图  单位：m</w:t>
            </w:r>
            <w:r>
              <w:rPr>
                <w:rFonts w:hint="default" w:ascii="Times New Roman" w:hAnsi="Times New Roman" w:cs="Times New Roman"/>
                <w:b/>
                <w:color w:val="000000" w:themeColor="text1"/>
                <w:kern w:val="0"/>
                <w:szCs w:val="21"/>
                <w:highlight w:val="none"/>
                <w:vertAlign w:val="superscript"/>
                <w:lang w:val="zh-CN"/>
                <w14:textFill>
                  <w14:solidFill>
                    <w14:schemeClr w14:val="tx1"/>
                  </w14:solidFill>
                </w14:textFill>
              </w:rPr>
              <w:t>3</w:t>
            </w:r>
            <w:r>
              <w:rPr>
                <w:rFonts w:hint="default" w:ascii="Times New Roman" w:hAnsi="Times New Roman" w:cs="Times New Roman"/>
                <w:b/>
                <w:color w:val="000000" w:themeColor="text1"/>
                <w:kern w:val="0"/>
                <w:szCs w:val="21"/>
                <w:highlight w:val="none"/>
                <w:lang w:val="zh-CN"/>
                <w14:textFill>
                  <w14:solidFill>
                    <w14:schemeClr w14:val="tx1"/>
                  </w14:solidFill>
                </w14:textFill>
              </w:rPr>
              <w:t>/d</w:t>
            </w:r>
          </w:p>
          <w:p w14:paraId="7C31FBD9">
            <w:pPr>
              <w:spacing w:line="360" w:lineRule="auto"/>
              <w:ind w:firstLine="463" w:firstLineChars="192"/>
              <w:rPr>
                <w:rFonts w:hint="default" w:ascii="Times New Roman" w:hAnsi="Times New Roman" w:cs="Times New Roman"/>
                <w:b/>
                <w:bCs/>
                <w:color w:val="000000" w:themeColor="text1"/>
                <w:kern w:val="0"/>
                <w:sz w:val="24"/>
                <w14:textFill>
                  <w14:solidFill>
                    <w14:schemeClr w14:val="tx1"/>
                  </w14:solidFill>
                </w14:textFill>
              </w:rPr>
            </w:pPr>
            <w:r>
              <w:rPr>
                <w:rFonts w:hint="eastAsia" w:cs="Times New Roman"/>
                <w:b/>
                <w:bCs/>
                <w:color w:val="000000" w:themeColor="text1"/>
                <w:kern w:val="0"/>
                <w:sz w:val="24"/>
                <w:lang w:val="en-US" w:eastAsia="zh-CN"/>
                <w14:textFill>
                  <w14:solidFill>
                    <w14:schemeClr w14:val="tx1"/>
                  </w14:solidFill>
                </w14:textFill>
              </w:rPr>
              <w:t>10</w:t>
            </w:r>
            <w:r>
              <w:rPr>
                <w:rFonts w:hint="default" w:ascii="Times New Roman" w:hAnsi="Times New Roman" w:cs="Times New Roman"/>
                <w:b/>
                <w:bCs/>
                <w:color w:val="000000" w:themeColor="text1"/>
                <w:kern w:val="0"/>
                <w:sz w:val="24"/>
                <w14:textFill>
                  <w14:solidFill>
                    <w14:schemeClr w14:val="tx1"/>
                  </w14:solidFill>
                </w14:textFill>
              </w:rPr>
              <w:t>、工作制度及劳动定员</w:t>
            </w:r>
          </w:p>
          <w:p w14:paraId="473B643B">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工作制度：项目年生产</w:t>
            </w:r>
            <w:r>
              <w:rPr>
                <w:rFonts w:hint="eastAsia" w:cs="Times New Roman"/>
                <w:color w:val="000000" w:themeColor="text1"/>
                <w:sz w:val="24"/>
                <w:lang w:val="en-US" w:eastAsia="zh-CN"/>
                <w14:textFill>
                  <w14:solidFill>
                    <w14:schemeClr w14:val="tx1"/>
                  </w14:solidFill>
                </w14:textFill>
              </w:rPr>
              <w:t>260</w:t>
            </w:r>
            <w:r>
              <w:rPr>
                <w:rFonts w:hint="default" w:ascii="Times New Roman" w:hAnsi="Times New Roman" w:cs="Times New Roman"/>
                <w:color w:val="000000" w:themeColor="text1"/>
                <w:sz w:val="24"/>
                <w14:textFill>
                  <w14:solidFill>
                    <w14:schemeClr w14:val="tx1"/>
                  </w14:solidFill>
                </w14:textFill>
              </w:rPr>
              <w:t>天，</w:t>
            </w:r>
            <w:r>
              <w:rPr>
                <w:rFonts w:hint="default" w:ascii="Times New Roman" w:hAnsi="Times New Roman" w:cs="Times New Roman"/>
                <w:color w:val="000000" w:themeColor="text1"/>
                <w:sz w:val="24"/>
                <w:lang w:val="en-US" w:eastAsia="zh-CN"/>
                <w14:textFill>
                  <w14:solidFill>
                    <w14:schemeClr w14:val="tx1"/>
                  </w14:solidFill>
                </w14:textFill>
              </w:rPr>
              <w:t>每天两班，每班8小时。</w:t>
            </w:r>
          </w:p>
          <w:p w14:paraId="196B5FB8">
            <w:pPr>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劳动定员：员工人数</w:t>
            </w:r>
            <w:r>
              <w:rPr>
                <w:rFonts w:hint="eastAsia" w:cs="Times New Roman"/>
                <w:color w:val="000000" w:themeColor="text1"/>
                <w:sz w:val="24"/>
                <w:lang w:val="en-US" w:eastAsia="zh-CN"/>
                <w14:textFill>
                  <w14:solidFill>
                    <w14:schemeClr w14:val="tx1"/>
                  </w14:solidFill>
                </w14:textFill>
              </w:rPr>
              <w:t>10</w:t>
            </w:r>
            <w:r>
              <w:rPr>
                <w:rFonts w:hint="default" w:ascii="Times New Roman" w:hAnsi="Times New Roman" w:cs="Times New Roman"/>
                <w:color w:val="000000" w:themeColor="text1"/>
                <w:sz w:val="24"/>
                <w14:textFill>
                  <w14:solidFill>
                    <w14:schemeClr w14:val="tx1"/>
                  </w14:solidFill>
                </w14:textFill>
              </w:rPr>
              <w:t>人，厂区内</w:t>
            </w:r>
            <w:r>
              <w:rPr>
                <w:rFonts w:hint="eastAsia" w:cs="Times New Roman"/>
                <w:color w:val="000000" w:themeColor="text1"/>
                <w:sz w:val="24"/>
                <w:lang w:val="en-US" w:eastAsia="zh-CN"/>
                <w14:textFill>
                  <w14:solidFill>
                    <w14:schemeClr w14:val="tx1"/>
                  </w14:solidFill>
                </w14:textFill>
              </w:rPr>
              <w:t>不</w:t>
            </w:r>
            <w:r>
              <w:rPr>
                <w:rFonts w:hint="default" w:ascii="Times New Roman" w:hAnsi="Times New Roman" w:cs="Times New Roman"/>
                <w:color w:val="000000" w:themeColor="text1"/>
                <w:sz w:val="24"/>
                <w14:textFill>
                  <w14:solidFill>
                    <w14:schemeClr w14:val="tx1"/>
                  </w14:solidFill>
                </w14:textFill>
              </w:rPr>
              <w:t>设宿舍和食堂</w:t>
            </w:r>
            <w:r>
              <w:rPr>
                <w:rFonts w:hint="eastAsia" w:cs="Times New Roman"/>
                <w:color w:val="000000" w:themeColor="text1"/>
                <w:sz w:val="24"/>
                <w:lang w:val="en-US" w:eastAsia="zh-CN"/>
                <w14:textFill>
                  <w14:solidFill>
                    <w14:schemeClr w14:val="tx1"/>
                  </w14:solidFill>
                </w14:textFill>
              </w:rPr>
              <w:t>。</w:t>
            </w:r>
          </w:p>
          <w:p w14:paraId="3FB6C9C3">
            <w:pPr>
              <w:spacing w:line="360" w:lineRule="auto"/>
              <w:ind w:firstLine="463" w:firstLineChars="192"/>
              <w:rPr>
                <w:b/>
                <w:bCs/>
                <w:color w:val="000000" w:themeColor="text1"/>
                <w:kern w:val="0"/>
                <w:sz w:val="24"/>
                <w:highlight w:val="none"/>
                <w14:textFill>
                  <w14:solidFill>
                    <w14:schemeClr w14:val="tx1"/>
                  </w14:solidFill>
                </w14:textFill>
              </w:rPr>
            </w:pPr>
            <w:r>
              <w:rPr>
                <w:rFonts w:hint="eastAsia"/>
                <w:b/>
                <w:bCs/>
                <w:color w:val="000000" w:themeColor="text1"/>
                <w:kern w:val="0"/>
                <w:sz w:val="24"/>
                <w:highlight w:val="none"/>
                <w:lang w:val="en-US" w:eastAsia="zh-CN"/>
                <w14:textFill>
                  <w14:solidFill>
                    <w14:schemeClr w14:val="tx1"/>
                  </w14:solidFill>
                </w14:textFill>
              </w:rPr>
              <w:t>11</w:t>
            </w:r>
            <w:r>
              <w:rPr>
                <w:b/>
                <w:bCs/>
                <w:color w:val="000000" w:themeColor="text1"/>
                <w:kern w:val="0"/>
                <w:sz w:val="24"/>
                <w:highlight w:val="none"/>
                <w14:textFill>
                  <w14:solidFill>
                    <w14:schemeClr w14:val="tx1"/>
                  </w14:solidFill>
                </w14:textFill>
              </w:rPr>
              <w:t>、平面布置</w:t>
            </w:r>
          </w:p>
          <w:p w14:paraId="392B3889">
            <w:pPr>
              <w:spacing w:line="360" w:lineRule="auto"/>
              <w:ind w:firstLine="460" w:firstLineChars="192"/>
              <w:rPr>
                <w:rFonts w:hint="default" w:ascii="Times New Roman" w:hAnsi="Times New Roman" w:eastAsia="宋体" w:cs="Times New Roman"/>
                <w:color w:val="000000" w:themeColor="text1"/>
                <w:sz w:val="24"/>
                <w:lang w:val="en-US" w:eastAsia="zh-CN"/>
                <w14:textFill>
                  <w14:solidFill>
                    <w14:schemeClr w14:val="tx1"/>
                  </w14:solidFill>
                </w14:textFill>
              </w:rPr>
            </w:pPr>
            <w:r>
              <w:rPr>
                <w:color w:val="000000" w:themeColor="text1"/>
                <w:sz w:val="24"/>
                <w14:textFill>
                  <w14:solidFill>
                    <w14:schemeClr w14:val="tx1"/>
                  </w14:solidFill>
                </w14:textFill>
              </w:rPr>
              <w:t>根据项目平面布置图可以看出，项目整体呈矩形，本工程</w:t>
            </w:r>
            <w:r>
              <w:rPr>
                <w:rFonts w:hint="eastAsia"/>
                <w:color w:val="000000" w:themeColor="text1"/>
                <w:sz w:val="24"/>
                <w14:textFill>
                  <w14:solidFill>
                    <w14:schemeClr w14:val="tx1"/>
                  </w14:solidFill>
                </w14:textFill>
              </w:rPr>
              <w:t>租用</w:t>
            </w:r>
            <w:r>
              <w:rPr>
                <w:rFonts w:hint="eastAsia" w:cs="Times New Roman"/>
                <w:b w:val="0"/>
                <w:bCs/>
                <w:color w:val="000000" w:themeColor="text1"/>
                <w:sz w:val="24"/>
                <w:lang w:val="en-US" w:eastAsia="zh-CN"/>
                <w14:textFill>
                  <w14:solidFill>
                    <w14:schemeClr w14:val="tx1"/>
                  </w14:solidFill>
                </w14:textFill>
              </w:rPr>
              <w:t>云南联帆建材科技有限公司内生产厂房进行生产密胺餐具，</w:t>
            </w:r>
            <w:r>
              <w:rPr>
                <w:rFonts w:hint="eastAsia" w:cs="Times New Roman"/>
                <w:color w:val="000000" w:themeColor="text1"/>
                <w:sz w:val="24"/>
                <w:lang w:val="en-US" w:eastAsia="zh-CN"/>
                <w14:textFill>
                  <w14:solidFill>
                    <w14:schemeClr w14:val="tx1"/>
                  </w14:solidFill>
                </w14:textFill>
              </w:rPr>
              <w:t>液压成型机、称料机和修边机等生产设备位于生产车间东侧，生产车间西侧为成品库，一般固废暂存点与危险废物贮存间位于生产车间，项目租用办公区位于生产区北侧，</w:t>
            </w:r>
            <w:r>
              <w:rPr>
                <w:color w:val="000000" w:themeColor="text1"/>
                <w:sz w:val="24"/>
                <w14:textFill>
                  <w14:solidFill>
                    <w14:schemeClr w14:val="tx1"/>
                  </w14:solidFill>
                </w14:textFill>
              </w:rPr>
              <w:t>生产区按照生产工艺流程进行布置，有合理的功能区分</w:t>
            </w:r>
            <w:r>
              <w:rPr>
                <w:rFonts w:hint="eastAsia" w:eastAsia="宋体"/>
                <w:color w:val="000000" w:themeColor="text1"/>
                <w:sz w:val="24"/>
                <w:lang w:eastAsia="zh-CN"/>
                <w14:textFill>
                  <w14:solidFill>
                    <w14:schemeClr w14:val="tx1"/>
                  </w14:solidFill>
                </w14:textFill>
              </w:rPr>
              <w:t>，</w:t>
            </w:r>
            <w:r>
              <w:rPr>
                <w:rFonts w:hint="eastAsia" w:ascii="Times New Roman" w:eastAsia="宋体"/>
                <w:color w:val="000000" w:themeColor="text1"/>
                <w:sz w:val="24"/>
                <w:lang w:val="en-US" w:eastAsia="zh-CN"/>
                <w14:textFill>
                  <w14:solidFill>
                    <w14:schemeClr w14:val="tx1"/>
                  </w14:solidFill>
                </w14:textFill>
              </w:rPr>
              <w:t>最大程度地减少占地、降低能耗</w:t>
            </w:r>
            <w:r>
              <w:rPr>
                <w:rFonts w:hint="eastAsia" w:cs="Times New Roman"/>
                <w:color w:val="000000" w:themeColor="text1"/>
                <w:sz w:val="24"/>
                <w:lang w:val="en-US" w:eastAsia="zh-CN"/>
                <w14:textFill>
                  <w14:solidFill>
                    <w14:schemeClr w14:val="tx1"/>
                  </w14:solidFill>
                </w14:textFill>
              </w:rPr>
              <w:t>。项目废气处理设施</w:t>
            </w:r>
            <w:r>
              <w:rPr>
                <w:rFonts w:hint="eastAsia" w:eastAsia="宋体"/>
                <w:color w:val="000000" w:themeColor="text1"/>
                <w:sz w:val="24"/>
                <w:lang w:eastAsia="zh-CN"/>
                <w14:textFill>
                  <w14:solidFill>
                    <w14:schemeClr w14:val="tx1"/>
                  </w14:solidFill>
                </w14:textFill>
              </w:rPr>
              <w:t>就</w:t>
            </w:r>
            <w:r>
              <w:rPr>
                <w:rFonts w:hint="eastAsia" w:ascii="Times New Roman" w:eastAsia="宋体"/>
                <w:color w:val="000000" w:themeColor="text1"/>
                <w:sz w:val="24"/>
                <w:lang w:val="en-US" w:eastAsia="zh-CN"/>
                <w14:textFill>
                  <w14:solidFill>
                    <w14:schemeClr w14:val="tx1"/>
                  </w14:solidFill>
                </w14:textFill>
              </w:rPr>
              <w:t>近</w:t>
            </w:r>
            <w:r>
              <w:rPr>
                <w:color w:val="000000" w:themeColor="text1"/>
                <w:sz w:val="24"/>
                <w14:textFill>
                  <w14:solidFill>
                    <w14:schemeClr w14:val="tx1"/>
                  </w14:solidFill>
                </w14:textFill>
              </w:rPr>
              <w:t>布置在污染源产生处</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该项目各设施布置合理，项目出口紧邻道路，交通便利。</w:t>
            </w:r>
          </w:p>
        </w:tc>
      </w:tr>
      <w:tr w14:paraId="7F3ED2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5" w:type="dxa"/>
            <w:vAlign w:val="center"/>
          </w:tcPr>
          <w:p w14:paraId="6B022B2C">
            <w:pPr>
              <w:pStyle w:val="26"/>
              <w:adjustRightInd w:val="0"/>
              <w:snapToGrid w:val="0"/>
              <w:spacing w:before="0" w:beforeAutospacing="0" w:after="0" w:afterAutospacing="0"/>
              <w:jc w:val="center"/>
              <w:rPr>
                <w:rFonts w:hint="default" w:ascii="Times New Roman" w:hAnsi="Times New Roman" w:cs="Times New Roman"/>
                <w:color w:val="000000" w:themeColor="text1"/>
                <w:szCs w:val="24"/>
                <w14:textFill>
                  <w14:solidFill>
                    <w14:schemeClr w14:val="tx1"/>
                  </w14:solidFill>
                </w14:textFill>
              </w:rPr>
            </w:pPr>
            <w:r>
              <w:rPr>
                <w:rFonts w:hint="default" w:ascii="Times New Roman" w:hAnsi="Times New Roman" w:cs="Times New Roman"/>
                <w:color w:val="000000" w:themeColor="text1"/>
                <w:szCs w:val="24"/>
                <w14:textFill>
                  <w14:solidFill>
                    <w14:schemeClr w14:val="tx1"/>
                  </w14:solidFill>
                </w14:textFill>
              </w:rPr>
              <w:t>工艺流程和产排污环节</w:t>
            </w:r>
          </w:p>
        </w:tc>
        <w:tc>
          <w:tcPr>
            <w:tcW w:w="8447" w:type="dxa"/>
          </w:tcPr>
          <w:p w14:paraId="42DA9F70">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firstLine="482" w:firstLineChars="200"/>
              <w:textAlignment w:val="auto"/>
              <w:rPr>
                <w:rFonts w:hint="default"/>
                <w:b/>
                <w:bCs/>
                <w:color w:val="000000" w:themeColor="text1"/>
                <w:sz w:val="24"/>
                <w:szCs w:val="24"/>
                <w14:textFill>
                  <w14:solidFill>
                    <w14:schemeClr w14:val="tx1"/>
                  </w14:solidFill>
                </w14:textFill>
              </w:rPr>
            </w:pPr>
            <w:r>
              <w:rPr>
                <w:rFonts w:hint="default"/>
                <w:b/>
                <w:bCs/>
                <w:color w:val="000000" w:themeColor="text1"/>
                <w:sz w:val="24"/>
                <w:szCs w:val="24"/>
                <w14:textFill>
                  <w14:solidFill>
                    <w14:schemeClr w14:val="tx1"/>
                  </w14:solidFill>
                </w14:textFill>
              </w:rPr>
              <w:t>施工期</w:t>
            </w:r>
          </w:p>
          <w:p w14:paraId="370589E3">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default"/>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本项目</w:t>
            </w:r>
            <w:r>
              <w:rPr>
                <w:rFonts w:hint="eastAsia"/>
                <w:color w:val="000000" w:themeColor="text1"/>
                <w:sz w:val="24"/>
                <w:szCs w:val="24"/>
                <w:lang w:val="en-US" w:eastAsia="zh-CN"/>
                <w14:textFill>
                  <w14:solidFill>
                    <w14:schemeClr w14:val="tx1"/>
                  </w14:solidFill>
                </w14:textFill>
              </w:rPr>
              <w:t>租用</w:t>
            </w:r>
            <w:r>
              <w:rPr>
                <w:rFonts w:hint="eastAsia" w:cs="Times New Roman"/>
                <w:b w:val="0"/>
                <w:bCs/>
                <w:color w:val="000000" w:themeColor="text1"/>
                <w:sz w:val="24"/>
                <w:lang w:val="en-US" w:eastAsia="zh-CN"/>
                <w14:textFill>
                  <w14:solidFill>
                    <w14:schemeClr w14:val="tx1"/>
                  </w14:solidFill>
                </w14:textFill>
              </w:rPr>
              <w:t>云南联帆建材科技有限公司内闲置厂房及闲置空地</w:t>
            </w:r>
            <w:r>
              <w:rPr>
                <w:rFonts w:hint="eastAsia"/>
                <w:color w:val="000000" w:themeColor="text1"/>
                <w:sz w:val="24"/>
                <w:lang w:val="en-US" w:eastAsia="zh-CN"/>
                <w14:textFill>
                  <w14:solidFill>
                    <w14:schemeClr w14:val="tx1"/>
                  </w14:solidFill>
                </w14:textFill>
              </w:rPr>
              <w:t>进行密胺餐具生产，施工期主要是对生产车间内部进行适应性改造，建设产品堆放区，在生产车间安装生产设备以及相关环保设施和配套辅助设施后投入使用。建设周期为2026年11月-2026年12月，共1个月。</w:t>
            </w:r>
          </w:p>
          <w:p w14:paraId="73230046">
            <w:pPr>
              <w:keepNext w:val="0"/>
              <w:keepLines w:val="0"/>
              <w:pageBreakBefore w:val="0"/>
              <w:kinsoku/>
              <w:wordWrap/>
              <w:overflowPunct/>
              <w:topLinePunct w:val="0"/>
              <w:autoSpaceDE w:val="0"/>
              <w:autoSpaceDN w:val="0"/>
              <w:bidi w:val="0"/>
              <w:adjustRightInd/>
              <w:snapToGrid/>
              <w:spacing w:line="360" w:lineRule="auto"/>
              <w:ind w:firstLine="480" w:firstLineChars="200"/>
              <w:textAlignment w:val="auto"/>
              <w:rPr>
                <w:rFonts w:hint="default" w:eastAsia="宋体"/>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项目施工工序主要为生产设备安装、辅助工程建设以及工程验收及设备调式等，从污染角度分析，施工期主要污染因子有：施工废气、施工噪声、施工固体废弃物、施工废水等。项目施工期工艺流程图见图2-2：</w:t>
            </w:r>
          </w:p>
          <w:p w14:paraId="11FD3E89">
            <w:pPr>
              <w:pStyle w:val="3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b/>
                <w:bCs/>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mc:AlternateContent>
                <mc:Choice Requires="wpc">
                  <w:drawing>
                    <wp:inline distT="0" distB="0" distL="0" distR="0">
                      <wp:extent cx="4574540" cy="1855470"/>
                      <wp:effectExtent l="0" t="0" r="0" b="0"/>
                      <wp:docPr id="55" name="画布 5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 name="文本框 233"/>
                              <wps:cNvSpPr txBox="1">
                                <a:spLocks noChangeArrowheads="1"/>
                              </wps:cNvSpPr>
                              <wps:spPr bwMode="auto">
                                <a:xfrm>
                                  <a:off x="2134870" y="768350"/>
                                  <a:ext cx="889000" cy="224155"/>
                                </a:xfrm>
                                <a:prstGeom prst="rect">
                                  <a:avLst/>
                                </a:prstGeom>
                                <a:noFill/>
                                <a:ln>
                                  <a:noFill/>
                                </a:ln>
                                <a:effectLst/>
                              </wps:spPr>
                              <wps:txbx>
                                <w:txbxContent>
                                  <w:p w14:paraId="12CA3CF0">
                                    <w:pPr>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宋体" w:cs="Times New Roman"/>
                                        <w:sz w:val="18"/>
                                        <w:szCs w:val="18"/>
                                      </w:rPr>
                                    </w:pPr>
                                    <w:r>
                                      <w:rPr>
                                        <w:rFonts w:ascii="Times New Roman" w:hAnsi="Times New Roman" w:eastAsia="宋体" w:cs="Times New Roman"/>
                                        <w:sz w:val="18"/>
                                        <w:szCs w:val="18"/>
                                      </w:rPr>
                                      <w:t>G、S、N、W</w:t>
                                    </w:r>
                                  </w:p>
                                </w:txbxContent>
                              </wps:txbx>
                              <wps:bodyPr rot="0" vert="horz" wrap="square" lIns="91440" tIns="45720" rIns="91440" bIns="45720" anchor="t" anchorCtr="0" upright="1">
                                <a:noAutofit/>
                              </wps:bodyPr>
                            </wps:wsp>
                            <wps:wsp>
                              <wps:cNvPr id="6" name="矩形 209"/>
                              <wps:cNvSpPr>
                                <a:spLocks noChangeArrowheads="1"/>
                              </wps:cNvSpPr>
                              <wps:spPr bwMode="auto">
                                <a:xfrm>
                                  <a:off x="1931670" y="1129030"/>
                                  <a:ext cx="790575" cy="288925"/>
                                </a:xfrm>
                                <a:prstGeom prst="rect">
                                  <a:avLst/>
                                </a:prstGeom>
                                <a:noFill/>
                                <a:ln w="9525">
                                  <a:solidFill>
                                    <a:srgbClr val="000000"/>
                                  </a:solidFill>
                                  <a:miter lim="800000"/>
                                </a:ln>
                                <a:effectLst/>
                              </wps:spPr>
                              <wps:txbx>
                                <w:txbxContent>
                                  <w:p w14:paraId="0AACA95E">
                                    <w:pPr>
                                      <w:adjustRightInd w:val="0"/>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辅助工程</w:t>
                                    </w:r>
                                  </w:p>
                                </w:txbxContent>
                              </wps:txbx>
                              <wps:bodyPr rot="0" vert="horz" wrap="square" lIns="91440" tIns="45720" rIns="91440" bIns="45720" anchor="t" anchorCtr="0" upright="1">
                                <a:noAutofit/>
                              </wps:bodyPr>
                            </wps:wsp>
                            <wps:wsp>
                              <wps:cNvPr id="70" name="矩形 211"/>
                              <wps:cNvSpPr>
                                <a:spLocks noChangeArrowheads="1"/>
                              </wps:cNvSpPr>
                              <wps:spPr bwMode="auto">
                                <a:xfrm>
                                  <a:off x="1867535" y="412750"/>
                                  <a:ext cx="1005840" cy="297180"/>
                                </a:xfrm>
                                <a:prstGeom prst="rect">
                                  <a:avLst/>
                                </a:prstGeom>
                                <a:noFill/>
                                <a:ln w="9525">
                                  <a:solidFill>
                                    <a:srgbClr val="000000"/>
                                  </a:solidFill>
                                  <a:miter lim="800000"/>
                                </a:ln>
                                <a:effectLst/>
                              </wps:spPr>
                              <wps:txbx>
                                <w:txbxContent>
                                  <w:p w14:paraId="344D5978">
                                    <w:pPr>
                                      <w:adjustRightInd w:val="0"/>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生产设备安装</w:t>
                                    </w:r>
                                  </w:p>
                                </w:txbxContent>
                              </wps:txbx>
                              <wps:bodyPr rot="0" vert="horz" wrap="square" lIns="91440" tIns="45720" rIns="91440" bIns="45720" anchor="t" anchorCtr="0" upright="1">
                                <a:noAutofit/>
                              </wps:bodyPr>
                            </wps:wsp>
                            <wps:wsp>
                              <wps:cNvPr id="7" name="文本框 223"/>
                              <wps:cNvSpPr txBox="1">
                                <a:spLocks noChangeArrowheads="1"/>
                              </wps:cNvSpPr>
                              <wps:spPr bwMode="auto">
                                <a:xfrm>
                                  <a:off x="95250" y="1562100"/>
                                  <a:ext cx="2421890" cy="229870"/>
                                </a:xfrm>
                                <a:prstGeom prst="rect">
                                  <a:avLst/>
                                </a:prstGeom>
                                <a:noFill/>
                                <a:ln>
                                  <a:noFill/>
                                </a:ln>
                                <a:effectLst/>
                              </wps:spPr>
                              <wps:txbx>
                                <w:txbxContent>
                                  <w:p w14:paraId="528FCD1B">
                                    <w:pPr>
                                      <w:adjustRightInd w:val="0"/>
                                      <w:snapToGrid w:val="0"/>
                                      <w:jc w:val="both"/>
                                      <w:rPr>
                                        <w:rFonts w:ascii="Times New Roman" w:hAnsi="Times New Roman" w:eastAsia="宋体" w:cs="Times New Roman"/>
                                        <w:sz w:val="18"/>
                                        <w:szCs w:val="18"/>
                                      </w:rPr>
                                    </w:pPr>
                                    <w:r>
                                      <w:rPr>
                                        <w:rFonts w:ascii="Times New Roman" w:hAnsi="Times New Roman" w:eastAsia="宋体" w:cs="Times New Roman"/>
                                        <w:sz w:val="18"/>
                                        <w:szCs w:val="18"/>
                                      </w:rPr>
                                      <w:t>注：N：噪声；G：废气；S：固废；W：废水</w:t>
                                    </w:r>
                                  </w:p>
                                </w:txbxContent>
                              </wps:txbx>
                              <wps:bodyPr rot="0" vert="horz" wrap="square" lIns="91440" tIns="45720" rIns="91440" bIns="45720" anchor="t" anchorCtr="0" upright="1">
                                <a:noAutofit/>
                              </wps:bodyPr>
                            </wps:wsp>
                            <wps:wsp>
                              <wps:cNvPr id="8" name="自选图形 232"/>
                              <wps:cNvCnPr>
                                <a:cxnSpLocks noChangeShapeType="1"/>
                              </wps:cNvCnPr>
                              <wps:spPr bwMode="auto">
                                <a:xfrm flipV="1">
                                  <a:off x="2208530" y="955675"/>
                                  <a:ext cx="241300" cy="180340"/>
                                </a:xfrm>
                                <a:prstGeom prst="curvedConnector3">
                                  <a:avLst>
                                    <a:gd name="adj1" fmla="val 49870"/>
                                  </a:avLst>
                                </a:prstGeom>
                                <a:noFill/>
                                <a:ln w="9525">
                                  <a:solidFill>
                                    <a:srgbClr val="000000"/>
                                  </a:solidFill>
                                  <a:prstDash val="dash"/>
                                  <a:round/>
                                  <a:tailEnd type="triangle" w="med" len="med"/>
                                </a:ln>
                                <a:effectLst/>
                              </wps:spPr>
                              <wps:bodyPr/>
                            </wps:wsp>
                            <wps:wsp>
                              <wps:cNvPr id="9" name="自选图形 232"/>
                              <wps:cNvCnPr>
                                <a:cxnSpLocks noChangeShapeType="1"/>
                              </wps:cNvCnPr>
                              <wps:spPr bwMode="auto">
                                <a:xfrm flipV="1">
                                  <a:off x="2771140" y="230505"/>
                                  <a:ext cx="241935" cy="180975"/>
                                </a:xfrm>
                                <a:prstGeom prst="curvedConnector3">
                                  <a:avLst>
                                    <a:gd name="adj1" fmla="val 41991"/>
                                  </a:avLst>
                                </a:prstGeom>
                                <a:noFill/>
                                <a:ln w="9525">
                                  <a:solidFill>
                                    <a:srgbClr val="000000"/>
                                  </a:solidFill>
                                  <a:prstDash val="dash"/>
                                  <a:round/>
                                  <a:tailEnd type="triangle" w="med" len="med"/>
                                </a:ln>
                                <a:effectLst/>
                              </wps:spPr>
                              <wps:bodyPr/>
                            </wps:wsp>
                            <wps:wsp>
                              <wps:cNvPr id="2" name="直线 2136"/>
                              <wps:cNvCnPr>
                                <a:cxnSpLocks noChangeShapeType="1"/>
                              </wps:cNvCnPr>
                              <wps:spPr bwMode="auto">
                                <a:xfrm flipV="1">
                                  <a:off x="2898775" y="565785"/>
                                  <a:ext cx="337185" cy="6985"/>
                                </a:xfrm>
                                <a:prstGeom prst="line">
                                  <a:avLst/>
                                </a:prstGeom>
                                <a:noFill/>
                                <a:ln w="6350">
                                  <a:solidFill>
                                    <a:srgbClr val="000000"/>
                                  </a:solidFill>
                                  <a:round/>
                                  <a:tailEnd type="triangle" w="med" len="med"/>
                                </a:ln>
                                <a:effectLst/>
                              </wps:spPr>
                              <wps:bodyPr/>
                            </wps:wsp>
                            <wps:wsp>
                              <wps:cNvPr id="11" name="文本框 233"/>
                              <wps:cNvSpPr txBox="1">
                                <a:spLocks noChangeArrowheads="1"/>
                              </wps:cNvSpPr>
                              <wps:spPr bwMode="auto">
                                <a:xfrm>
                                  <a:off x="2880995" y="29210"/>
                                  <a:ext cx="436880" cy="207645"/>
                                </a:xfrm>
                                <a:prstGeom prst="rect">
                                  <a:avLst/>
                                </a:prstGeom>
                                <a:noFill/>
                                <a:ln>
                                  <a:noFill/>
                                </a:ln>
                                <a:effectLst/>
                              </wps:spPr>
                              <wps:txbx>
                                <w:txbxContent>
                                  <w:p w14:paraId="58C8ACBA">
                                    <w:pPr>
                                      <w:adjustRightInd w:val="0"/>
                                      <w:snapToGrid w:val="0"/>
                                      <w:rPr>
                                        <w:rFonts w:ascii="Times New Roman" w:hAnsi="Times New Roman" w:eastAsia="宋体" w:cs="Times New Roman"/>
                                        <w:sz w:val="18"/>
                                        <w:szCs w:val="18"/>
                                      </w:rPr>
                                    </w:pPr>
                                    <w:r>
                                      <w:rPr>
                                        <w:rFonts w:ascii="Times New Roman" w:hAnsi="Times New Roman" w:eastAsia="宋体" w:cs="Times New Roman"/>
                                        <w:sz w:val="18"/>
                                        <w:szCs w:val="18"/>
                                      </w:rPr>
                                      <w:t>S、N</w:t>
                                    </w:r>
                                  </w:p>
                                </w:txbxContent>
                              </wps:txbx>
                              <wps:bodyPr rot="0" vert="horz" wrap="square" lIns="91440" tIns="45720" rIns="91440" bIns="45720" anchor="t" anchorCtr="0" upright="1">
                                <a:noAutofit/>
                              </wps:bodyPr>
                            </wps:wsp>
                            <wps:wsp>
                              <wps:cNvPr id="12" name="矩形 210"/>
                              <wps:cNvSpPr>
                                <a:spLocks noChangeArrowheads="1"/>
                              </wps:cNvSpPr>
                              <wps:spPr bwMode="auto">
                                <a:xfrm>
                                  <a:off x="3288030" y="374015"/>
                                  <a:ext cx="766445" cy="393065"/>
                                </a:xfrm>
                                <a:prstGeom prst="rect">
                                  <a:avLst/>
                                </a:prstGeom>
                                <a:noFill/>
                                <a:ln w="9525">
                                  <a:solidFill>
                                    <a:srgbClr val="000000"/>
                                  </a:solidFill>
                                  <a:miter lim="800000"/>
                                </a:ln>
                                <a:effectLst/>
                              </wps:spPr>
                              <wps:txbx>
                                <w:txbxContent>
                                  <w:p w14:paraId="78B82F5C">
                                    <w:pPr>
                                      <w:adjustRightInd w:val="0"/>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工程验收及设备调试</w:t>
                                    </w:r>
                                  </w:p>
                                </w:txbxContent>
                              </wps:txbx>
                              <wps:bodyPr rot="0" vert="horz" wrap="square" lIns="91440" tIns="45720" rIns="91440" bIns="45720" anchor="t" anchorCtr="0" upright="1">
                                <a:noAutofit/>
                              </wps:bodyPr>
                            </wps:wsp>
                            <wps:wsp>
                              <wps:cNvPr id="13" name="自选图形 232"/>
                              <wps:cNvCnPr>
                                <a:cxnSpLocks noChangeShapeType="1"/>
                              </wps:cNvCnPr>
                              <wps:spPr bwMode="auto">
                                <a:xfrm flipV="1">
                                  <a:off x="3702050" y="169545"/>
                                  <a:ext cx="241935" cy="180975"/>
                                </a:xfrm>
                                <a:prstGeom prst="curvedConnector3">
                                  <a:avLst>
                                    <a:gd name="adj1" fmla="val 41991"/>
                                  </a:avLst>
                                </a:prstGeom>
                                <a:noFill/>
                                <a:ln w="9525">
                                  <a:solidFill>
                                    <a:srgbClr val="000000"/>
                                  </a:solidFill>
                                  <a:prstDash val="dash"/>
                                  <a:round/>
                                  <a:tailEnd type="triangle" w="med" len="med"/>
                                </a:ln>
                                <a:effectLst/>
                              </wps:spPr>
                              <wps:bodyPr/>
                            </wps:wsp>
                            <wps:wsp>
                              <wps:cNvPr id="14" name="文本框 233"/>
                              <wps:cNvSpPr txBox="1">
                                <a:spLocks noChangeArrowheads="1"/>
                              </wps:cNvSpPr>
                              <wps:spPr bwMode="auto">
                                <a:xfrm>
                                  <a:off x="3942715" y="0"/>
                                  <a:ext cx="212090" cy="258445"/>
                                </a:xfrm>
                                <a:prstGeom prst="rect">
                                  <a:avLst/>
                                </a:prstGeom>
                                <a:noFill/>
                                <a:ln>
                                  <a:noFill/>
                                </a:ln>
                                <a:effectLst/>
                              </wps:spPr>
                              <wps:txbx>
                                <w:txbxContent>
                                  <w:p w14:paraId="5F92A202">
                                    <w:pPr>
                                      <w:adjustRightInd w:val="0"/>
                                      <w:snapToGrid w:val="0"/>
                                      <w:rPr>
                                        <w:rFonts w:ascii="Times New Roman" w:hAnsi="Times New Roman" w:eastAsia="宋体" w:cs="Times New Roman"/>
                                        <w:sz w:val="18"/>
                                        <w:szCs w:val="18"/>
                                      </w:rPr>
                                    </w:pPr>
                                    <w:r>
                                      <w:rPr>
                                        <w:rFonts w:ascii="Times New Roman" w:hAnsi="Times New Roman" w:eastAsia="宋体" w:cs="Times New Roman"/>
                                        <w:sz w:val="18"/>
                                        <w:szCs w:val="18"/>
                                      </w:rPr>
                                      <w:t>N</w:t>
                                    </w:r>
                                  </w:p>
                                </w:txbxContent>
                              </wps:txbx>
                              <wps:bodyPr rot="0" vert="horz" wrap="square" lIns="91440" tIns="45720" rIns="91440" bIns="45720" anchor="t" anchorCtr="0" upright="1">
                                <a:noAutofit/>
                              </wps:bodyPr>
                            </wps:wsp>
                            <wps:wsp>
                              <wps:cNvPr id="15" name="直线 2136"/>
                              <wps:cNvCnPr>
                                <a:cxnSpLocks noChangeShapeType="1"/>
                              </wps:cNvCnPr>
                              <wps:spPr bwMode="auto">
                                <a:xfrm>
                                  <a:off x="2729230" y="1300480"/>
                                  <a:ext cx="902335" cy="4445"/>
                                </a:xfrm>
                                <a:prstGeom prst="line">
                                  <a:avLst/>
                                </a:prstGeom>
                                <a:noFill/>
                                <a:ln w="6350">
                                  <a:solidFill>
                                    <a:srgbClr val="000000"/>
                                  </a:solidFill>
                                  <a:round/>
                                  <a:tailEnd type="none" w="med" len="med"/>
                                </a:ln>
                                <a:effectLst/>
                              </wps:spPr>
                              <wps:bodyPr/>
                            </wps:wsp>
                            <wps:wsp>
                              <wps:cNvPr id="16" name="直接箭头连接符 6"/>
                              <wps:cNvCnPr/>
                              <wps:spPr>
                                <a:xfrm flipH="1" flipV="1">
                                  <a:off x="3639820" y="787400"/>
                                  <a:ext cx="8255" cy="520065"/>
                                </a:xfrm>
                                <a:prstGeom prst="straightConnector1">
                                  <a:avLst/>
                                </a:prstGeom>
                                <a:noFill/>
                                <a:ln w="6350" cap="flat" cmpd="sng" algn="ctr">
                                  <a:solidFill>
                                    <a:sysClr val="windowText" lastClr="000000"/>
                                  </a:solidFill>
                                  <a:prstDash val="solid"/>
                                  <a:miter lim="800000"/>
                                  <a:tailEnd type="triangle"/>
                                </a:ln>
                                <a:effectLst/>
                              </wps:spPr>
                              <wps:style>
                                <a:lnRef idx="1">
                                  <a:schemeClr val="accent1"/>
                                </a:lnRef>
                                <a:fillRef idx="0">
                                  <a:schemeClr val="accent1"/>
                                </a:fillRef>
                                <a:effectRef idx="0">
                                  <a:schemeClr val="accent1"/>
                                </a:effectRef>
                                <a:fontRef idx="minor">
                                  <a:schemeClr val="tx1"/>
                                </a:fontRef>
                              </wps:style>
                              <wps:bodyPr/>
                            </wps:wsp>
                            <wps:wsp>
                              <wps:cNvPr id="21" name="文本框 233"/>
                              <wps:cNvSpPr txBox="1">
                                <a:spLocks noChangeArrowheads="1"/>
                              </wps:cNvSpPr>
                              <wps:spPr bwMode="auto">
                                <a:xfrm>
                                  <a:off x="668655" y="30480"/>
                                  <a:ext cx="889000" cy="224155"/>
                                </a:xfrm>
                                <a:prstGeom prst="rect">
                                  <a:avLst/>
                                </a:prstGeom>
                                <a:noFill/>
                                <a:ln>
                                  <a:noFill/>
                                </a:ln>
                                <a:effectLst/>
                              </wps:spPr>
                              <wps:txbx>
                                <w:txbxContent>
                                  <w:p w14:paraId="1CBD60C3">
                                    <w:pPr>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宋体" w:cs="Times New Roman"/>
                                        <w:sz w:val="18"/>
                                        <w:szCs w:val="18"/>
                                      </w:rPr>
                                    </w:pPr>
                                    <w:r>
                                      <w:rPr>
                                        <w:rFonts w:ascii="Times New Roman" w:hAnsi="Times New Roman" w:eastAsia="宋体" w:cs="Times New Roman"/>
                                        <w:sz w:val="18"/>
                                        <w:szCs w:val="18"/>
                                      </w:rPr>
                                      <w:t>G、S、N、W</w:t>
                                    </w:r>
                                  </w:p>
                                </w:txbxContent>
                              </wps:txbx>
                              <wps:bodyPr rot="0" vert="horz" wrap="square" lIns="91440" tIns="45720" rIns="91440" bIns="45720" anchor="t" anchorCtr="0" upright="1">
                                <a:noAutofit/>
                              </wps:bodyPr>
                            </wps:wsp>
                            <wps:wsp>
                              <wps:cNvPr id="22" name="矩形 209"/>
                              <wps:cNvSpPr>
                                <a:spLocks noChangeArrowheads="1"/>
                              </wps:cNvSpPr>
                              <wps:spPr bwMode="auto">
                                <a:xfrm>
                                  <a:off x="574675" y="431800"/>
                                  <a:ext cx="790575" cy="288925"/>
                                </a:xfrm>
                                <a:prstGeom prst="rect">
                                  <a:avLst/>
                                </a:prstGeom>
                                <a:noFill/>
                                <a:ln w="9525">
                                  <a:solidFill>
                                    <a:srgbClr val="000000"/>
                                  </a:solidFill>
                                  <a:miter lim="800000"/>
                                </a:ln>
                                <a:effectLst/>
                              </wps:spPr>
                              <wps:txbx>
                                <w:txbxContent>
                                  <w:p w14:paraId="620E5756">
                                    <w:pPr>
                                      <w:adjustRightInd w:val="0"/>
                                      <w:snapToGrid w:val="0"/>
                                      <w:jc w:val="center"/>
                                      <w:rPr>
                                        <w:rFonts w:ascii="Times New Roman" w:hAnsi="Times New Roman" w:eastAsia="宋体" w:cs="Times New Roman"/>
                                        <w:sz w:val="18"/>
                                        <w:szCs w:val="18"/>
                                      </w:rPr>
                                    </w:pPr>
                                    <w:r>
                                      <w:rPr>
                                        <w:rFonts w:hint="eastAsia" w:cs="Times New Roman"/>
                                        <w:sz w:val="18"/>
                                        <w:szCs w:val="18"/>
                                        <w:lang w:val="en-US" w:eastAsia="zh-CN"/>
                                      </w:rPr>
                                      <w:t>基础</w:t>
                                    </w:r>
                                    <w:r>
                                      <w:rPr>
                                        <w:rFonts w:ascii="Times New Roman" w:hAnsi="Times New Roman" w:eastAsia="宋体" w:cs="Times New Roman"/>
                                        <w:sz w:val="18"/>
                                        <w:szCs w:val="18"/>
                                      </w:rPr>
                                      <w:t>工程</w:t>
                                    </w:r>
                                  </w:p>
                                </w:txbxContent>
                              </wps:txbx>
                              <wps:bodyPr rot="0" vert="horz" wrap="square" lIns="91440" tIns="45720" rIns="91440" bIns="45720" anchor="t" anchorCtr="0" upright="1">
                                <a:noAutofit/>
                              </wps:bodyPr>
                            </wps:wsp>
                            <wps:wsp>
                              <wps:cNvPr id="23" name="自选图形 232"/>
                              <wps:cNvCnPr>
                                <a:cxnSpLocks noChangeShapeType="1"/>
                              </wps:cNvCnPr>
                              <wps:spPr bwMode="auto">
                                <a:xfrm flipV="1">
                                  <a:off x="742315" y="217805"/>
                                  <a:ext cx="241300" cy="180340"/>
                                </a:xfrm>
                                <a:prstGeom prst="curvedConnector3">
                                  <a:avLst>
                                    <a:gd name="adj1" fmla="val 49870"/>
                                  </a:avLst>
                                </a:prstGeom>
                                <a:noFill/>
                                <a:ln w="9525">
                                  <a:solidFill>
                                    <a:srgbClr val="000000"/>
                                  </a:solidFill>
                                  <a:prstDash val="dash"/>
                                  <a:round/>
                                  <a:tailEnd type="triangle" w="med" len="med"/>
                                </a:ln>
                                <a:effectLst/>
                              </wps:spPr>
                              <wps:bodyPr/>
                            </wps:wsp>
                            <wps:wsp>
                              <wps:cNvPr id="24" name="直线 2136"/>
                              <wps:cNvCnPr>
                                <a:cxnSpLocks noChangeShapeType="1"/>
                              </wps:cNvCnPr>
                              <wps:spPr bwMode="auto">
                                <a:xfrm flipV="1">
                                  <a:off x="1438275" y="574040"/>
                                  <a:ext cx="337185" cy="6985"/>
                                </a:xfrm>
                                <a:prstGeom prst="line">
                                  <a:avLst/>
                                </a:prstGeom>
                                <a:noFill/>
                                <a:ln w="6350">
                                  <a:solidFill>
                                    <a:srgbClr val="000000"/>
                                  </a:solidFill>
                                  <a:round/>
                                  <a:tailEnd type="triangle" w="med" len="med"/>
                                </a:ln>
                                <a:effectLst/>
                              </wps:spPr>
                              <wps:bodyPr/>
                            </wps:wsp>
                          </wpc:wpc>
                        </a:graphicData>
                      </a:graphic>
                    </wp:inline>
                  </w:drawing>
                </mc:Choice>
                <mc:Fallback>
                  <w:pict>
                    <v:group id="_x0000_s1026" o:spid="_x0000_s1026" o:spt="203" style="height:146.1pt;width:360.2pt;" coordsize="4574540,1855470" editas="canvas" o:gfxdata="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">
                      <o:lock v:ext="edit" aspectratio="f"/>
                      <v:shape id="_x0000_s1026" o:spid="_x0000_s1026" style="position:absolute;left:0;top:0;height:1855470;width:4574540;" filled="f" stroked="f" coordsize="21600,21600" o:gfxdata="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">
                        <v:fill on="f" focussize="0,0"/>
                        <v:stroke on="f"/>
                        <v:imagedata o:title=""/>
                        <o:lock v:ext="edit" aspectratio="t"/>
                      </v:shape>
                      <v:shape id="文本框 233" o:spid="_x0000_s1026" o:spt="202" type="#_x0000_t202" style="position:absolute;left:2134870;top:768350;height:224155;width:889000;" filled="f" stroked="f" coordsize="21600,21600" o:gfxdata="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3&#10;ngmn1AAAAAUBAAAPAAAAAAAAAAEAIAAAACIAAABkcnMvZG93bnJldi54bWxQSwECFAAUAAAACACH&#10;TuJAcseFDCgCAAAvBAAADgAAAAAAAAABACAAAAAjAQAAZHJzL2Uyb0RvYy54bWxQSwUGAAAAAAYA&#10;BgBZAQAAvQUAAAAA&#10;">
                        <v:fill on="f" focussize="0,0"/>
                        <v:stroke on="f"/>
                        <v:imagedata o:title=""/>
                        <o:lock v:ext="edit" aspectratio="f"/>
                        <v:textbox>
                          <w:txbxContent>
                            <w:p w14:paraId="12CA3CF0">
                              <w:pPr>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宋体" w:cs="Times New Roman"/>
                                  <w:sz w:val="18"/>
                                  <w:szCs w:val="18"/>
                                </w:rPr>
                              </w:pPr>
                              <w:r>
                                <w:rPr>
                                  <w:rFonts w:ascii="Times New Roman" w:hAnsi="Times New Roman" w:eastAsia="宋体" w:cs="Times New Roman"/>
                                  <w:sz w:val="18"/>
                                  <w:szCs w:val="18"/>
                                </w:rPr>
                                <w:t>G、S、N、W</w:t>
                              </w:r>
                            </w:p>
                          </w:txbxContent>
                        </v:textbox>
                      </v:shape>
                      <v:rect id="矩形 209" o:spid="_x0000_s1026" o:spt="1" style="position:absolute;left:1931670;top:1129030;height:288925;width:790575;" filled="f" stroked="t" coordsize="21600,21600" o:gfxdata="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RzPjFtQAAAAFAQAADwAAAAAAAAABACAAAAAiAAAA&#10;ZHJzL2Rvd25yZXYueG1sUEsBAhQAFAAAAAgAh07iQEyDYNZEAgAAbAQAAA4AAAAAAAAAAQAgAAAA&#10;IwEAAGRycy9lMm9Eb2MueG1sUEsFBgAAAAAGAAYAWQEAANkFAAAAAA==&#10;">
                        <v:fill on="f" focussize="0,0"/>
                        <v:stroke color="#000000" miterlimit="8" joinstyle="miter"/>
                        <v:imagedata o:title=""/>
                        <o:lock v:ext="edit" aspectratio="f"/>
                        <v:textbox>
                          <w:txbxContent>
                            <w:p w14:paraId="0AACA95E">
                              <w:pPr>
                                <w:adjustRightInd w:val="0"/>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辅助工程</w:t>
                              </w:r>
                            </w:p>
                          </w:txbxContent>
                        </v:textbox>
                      </v:rect>
                      <v:rect id="矩形 211" o:spid="_x0000_s1026" o:spt="1" style="position:absolute;left:1867535;top:412750;height:297180;width:1005840;" filled="f" stroked="t" coordsize="21600,21600" o:gfxdata="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Ecz4xbUAAAABQEAAA8AAAAAAAAAAQAgAAAAIgAA&#10;AGRycy9kb3ducmV2LnhtbFBLAQIUABQAAAAIAIdO4kCruih+RQIAAG0EAAAOAAAAAAAAAAEAIAAA&#10;ACMBAABkcnMvZTJvRG9jLnhtbFBLBQYAAAAABgAGAFkBAADaBQAAAAA=&#10;">
                        <v:fill on="f" focussize="0,0"/>
                        <v:stroke color="#000000" miterlimit="8" joinstyle="miter"/>
                        <v:imagedata o:title=""/>
                        <o:lock v:ext="edit" aspectratio="f"/>
                        <v:textbox>
                          <w:txbxContent>
                            <w:p w14:paraId="344D5978">
                              <w:pPr>
                                <w:adjustRightInd w:val="0"/>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生产设备安装</w:t>
                              </w:r>
                            </w:p>
                          </w:txbxContent>
                        </v:textbox>
                      </v:rect>
                      <v:shape id="文本框 223" o:spid="_x0000_s1026" o:spt="202" type="#_x0000_t202" style="position:absolute;left:95250;top:1562100;height:229870;width:2421890;" filled="f" stroked="f" coordsize="21600,21600" o:gfxdata="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ee&#10;CafUAAAABQEAAA8AAAAAAAAAAQAgAAAAIgAAAGRycy9kb3ducmV2LnhtbFBLAQIUABQAAAAIAIdO&#10;4kDbB2HMJwIAAC8EAAAOAAAAAAAAAAEAIAAAACMBAABkcnMvZTJvRG9jLnhtbFBLBQYAAAAABgAG&#10;AFkBAAC8BQAAAAA=&#10;">
                        <v:fill on="f" focussize="0,0"/>
                        <v:stroke on="f"/>
                        <v:imagedata o:title=""/>
                        <o:lock v:ext="edit" aspectratio="f"/>
                        <v:textbox>
                          <w:txbxContent>
                            <w:p w14:paraId="528FCD1B">
                              <w:pPr>
                                <w:adjustRightInd w:val="0"/>
                                <w:snapToGrid w:val="0"/>
                                <w:jc w:val="both"/>
                                <w:rPr>
                                  <w:rFonts w:ascii="Times New Roman" w:hAnsi="Times New Roman" w:eastAsia="宋体" w:cs="Times New Roman"/>
                                  <w:sz w:val="18"/>
                                  <w:szCs w:val="18"/>
                                </w:rPr>
                              </w:pPr>
                              <w:r>
                                <w:rPr>
                                  <w:rFonts w:ascii="Times New Roman" w:hAnsi="Times New Roman" w:eastAsia="宋体" w:cs="Times New Roman"/>
                                  <w:sz w:val="18"/>
                                  <w:szCs w:val="18"/>
                                </w:rPr>
                                <w:t>注：N：噪声；G：废气；S：固废；W：废水</w:t>
                              </w:r>
                            </w:p>
                          </w:txbxContent>
                        </v:textbox>
                      </v:shape>
                      <v:shape id="自选图形 232" o:spid="_x0000_s1026" o:spt="38" type="#_x0000_t38" style="position:absolute;left:2208530;top:955675;flip:y;height:180340;width:241300;" filled="f" stroked="t" coordsize="21600,21600" o:gfxdata="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NoeesnWAAAABQEAAA8AAAAAAAAAAQAgAAAA&#10;IgAAAGRycy9kb3ducmV2LnhtbFBLAQIUABQAAAAIAIdO4kA1GnY4RgIAAE8EAAAOAAAAAAAAAAEA&#10;IAAAACUBAABkcnMvZTJvRG9jLnhtbFBLBQYAAAAABgAGAFkBAADdBQAAAAA=&#10;" adj="10772">
                        <v:fill on="f" focussize="0,0"/>
                        <v:stroke color="#000000" joinstyle="round" dashstyle="dash" endarrow="block"/>
                        <v:imagedata o:title=""/>
                        <o:lock v:ext="edit" aspectratio="f"/>
                      </v:shape>
                      <v:shape id="自选图形 232" o:spid="_x0000_s1026" o:spt="38" type="#_x0000_t38" style="position:absolute;left:2771140;top:230505;flip:y;height:180975;width:241935;" filled="f" stroked="t" coordsize="21600,21600" o:gfxdata="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ZN4vcdUAAAAFAQAADwAAAAAAAAABACAAAAAi&#10;AAAAZHJzL2Rvd25yZXYueG1sUEsBAhQAFAAAAAgAh07iQME6hNNGAgAATwQAAA4AAAAAAAAAAQAg&#10;AAAAJAEAAGRycy9lMm9Eb2MueG1sUEsFBgAAAAAGAAYAWQEAANwFAAAAAA==&#10;" adj="9070">
                        <v:fill on="f" focussize="0,0"/>
                        <v:stroke color="#000000" joinstyle="round" dashstyle="dash" endarrow="block"/>
                        <v:imagedata o:title=""/>
                        <o:lock v:ext="edit" aspectratio="f"/>
                      </v:shape>
                      <v:line id="直线 2136" o:spid="_x0000_s1026" o:spt="20" style="position:absolute;left:2898775;top:565785;flip:y;height:6985;width:337185;" filled="f" stroked="t" coordsize="21600,21600" o:gfxdata="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PmHND1wAAAAUBAAAPAAAAAAAAAAEAIAAA&#10;ACIAAABkcnMvZG93bnJldi54bWxQSwECFAAUAAAACACHTuJAK1zCZQ0CAAD3AwAADgAAAAAAAAAB&#10;ACAAAAAmAQAAZHJzL2Uyb0RvYy54bWxQSwUGAAAAAAYABgBZAQAApQUAAAAA&#10;">
                        <v:fill on="f" focussize="0,0"/>
                        <v:stroke weight="0.5pt" color="#000000" joinstyle="round" endarrow="block"/>
                        <v:imagedata o:title=""/>
                        <o:lock v:ext="edit" aspectratio="f"/>
                      </v:line>
                      <v:shape id="文本框 233" o:spid="_x0000_s1026" o:spt="202" type="#_x0000_t202" style="position:absolute;left:2880995;top:29210;height:207645;width:436880;" filled="f" stroked="f" coordsize="21600,21600" o:gfxdata="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3ngmn&#10;1AAAAAUBAAAPAAAAAAAAAAEAIAAAACIAAABkcnMvZG93bnJldi54bWxQSwECFAAUAAAACACHTuJA&#10;ssNRIiUCAAAvBAAADgAAAAAAAAABACAAAAAjAQAAZHJzL2Uyb0RvYy54bWxQSwUGAAAAAAYABgBZ&#10;AQAAugUAAAAA&#10;">
                        <v:fill on="f" focussize="0,0"/>
                        <v:stroke on="f"/>
                        <v:imagedata o:title=""/>
                        <o:lock v:ext="edit" aspectratio="f"/>
                        <v:textbox>
                          <w:txbxContent>
                            <w:p w14:paraId="58C8ACBA">
                              <w:pPr>
                                <w:adjustRightInd w:val="0"/>
                                <w:snapToGrid w:val="0"/>
                                <w:rPr>
                                  <w:rFonts w:ascii="Times New Roman" w:hAnsi="Times New Roman" w:eastAsia="宋体" w:cs="Times New Roman"/>
                                  <w:sz w:val="18"/>
                                  <w:szCs w:val="18"/>
                                </w:rPr>
                              </w:pPr>
                              <w:r>
                                <w:rPr>
                                  <w:rFonts w:ascii="Times New Roman" w:hAnsi="Times New Roman" w:eastAsia="宋体" w:cs="Times New Roman"/>
                                  <w:sz w:val="18"/>
                                  <w:szCs w:val="18"/>
                                </w:rPr>
                                <w:t>S、N</w:t>
                              </w:r>
                            </w:p>
                          </w:txbxContent>
                        </v:textbox>
                      </v:shape>
                      <v:rect id="矩形 210" o:spid="_x0000_s1026" o:spt="1" style="position:absolute;left:3288030;top:374015;height:393065;width:766445;" filled="f" stroked="t" coordsize="21600,21600" o:gfxdata="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RzPjFtQAAAAFAQAADwAAAAAAAAABACAAAAAi&#10;AAAAZHJzL2Rvd25yZXYueG1sUEsBAhQAFAAAAAgAh07iQOo0QeNHAgAAbAQAAA4AAAAAAAAAAQAg&#10;AAAAIwEAAGRycy9lMm9Eb2MueG1sUEsFBgAAAAAGAAYAWQEAANwFAAAAAA==&#10;">
                        <v:fill on="f" focussize="0,0"/>
                        <v:stroke color="#000000" miterlimit="8" joinstyle="miter"/>
                        <v:imagedata o:title=""/>
                        <o:lock v:ext="edit" aspectratio="f"/>
                        <v:textbox>
                          <w:txbxContent>
                            <w:p w14:paraId="78B82F5C">
                              <w:pPr>
                                <w:adjustRightInd w:val="0"/>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工程验收及设备调试</w:t>
                              </w:r>
                            </w:p>
                          </w:txbxContent>
                        </v:textbox>
                      </v:rect>
                      <v:shape id="自选图形 232" o:spid="_x0000_s1026" o:spt="38" type="#_x0000_t38" style="position:absolute;left:3702050;top:169545;flip:y;height:180975;width:241935;" filled="f" stroked="t" coordsize="21600,21600" o:gfxdata="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k3i9x1QAAAAUBAAAPAAAAAAAAAAEAIAAA&#10;ACIAAABkcnMvZG93bnJldi54bWxQSwECFAAUAAAACACHTuJA+zkBBUgCAABQBAAADgAAAAAAAAAB&#10;ACAAAAAkAQAAZHJzL2Uyb0RvYy54bWxQSwUGAAAAAAYABgBZAQAA3gUAAAAA&#10;" adj="9070">
                        <v:fill on="f" focussize="0,0"/>
                        <v:stroke color="#000000" joinstyle="round" dashstyle="dash" endarrow="block"/>
                        <v:imagedata o:title=""/>
                        <o:lock v:ext="edit" aspectratio="f"/>
                      </v:shape>
                      <v:shape id="文本框 233" o:spid="_x0000_s1026" o:spt="202" type="#_x0000_t202" style="position:absolute;left:3942715;top:0;height:258445;width:212090;" filled="f" stroked="f" coordsize="21600,21600" o:gfxdata="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N54Jp9QA&#10;AAAFAQAADwAAAAAAAAABACAAAAAiAAAAZHJzL2Rvd25yZXYueG1sUEsBAhQAFAAAAAgAh07iQO9s&#10;yn0jAgAAKwQAAA4AAAAAAAAAAQAgAAAAIwEAAGRycy9lMm9Eb2MueG1sUEsFBgAAAAAGAAYAWQEA&#10;ALgFAAAAAA==&#10;">
                        <v:fill on="f" focussize="0,0"/>
                        <v:stroke on="f"/>
                        <v:imagedata o:title=""/>
                        <o:lock v:ext="edit" aspectratio="f"/>
                        <v:textbox>
                          <w:txbxContent>
                            <w:p w14:paraId="5F92A202">
                              <w:pPr>
                                <w:adjustRightInd w:val="0"/>
                                <w:snapToGrid w:val="0"/>
                                <w:rPr>
                                  <w:rFonts w:ascii="Times New Roman" w:hAnsi="Times New Roman" w:eastAsia="宋体" w:cs="Times New Roman"/>
                                  <w:sz w:val="18"/>
                                  <w:szCs w:val="18"/>
                                </w:rPr>
                              </w:pPr>
                              <w:r>
                                <w:rPr>
                                  <w:rFonts w:ascii="Times New Roman" w:hAnsi="Times New Roman" w:eastAsia="宋体" w:cs="Times New Roman"/>
                                  <w:sz w:val="18"/>
                                  <w:szCs w:val="18"/>
                                </w:rPr>
                                <w:t>N</w:t>
                              </w:r>
                            </w:p>
                          </w:txbxContent>
                        </v:textbox>
                      </v:shape>
                      <v:line id="直线 2136" o:spid="_x0000_s1026" o:spt="20" style="position:absolute;left:2729230;top:1300480;height:4445;width:902335;" filled="f" stroked="t" coordsize="21600,21600" o:gfxdata="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kgJBt9MAAAAFAQAADwAAAAAAAAABACAAAAAiAAAAZHJzL2Rv&#10;d25yZXYueG1sUEsBAhQAFAAAAAgAh07iQOj+KiQGAgAA6wMAAA4AAAAAAAAAAQAgAAAAIgEAAGRy&#10;cy9lMm9Eb2MueG1sUEsFBgAAAAAGAAYAWQEAAJoFAAAAAA==&#10;">
                        <v:fill on="f" focussize="0,0"/>
                        <v:stroke weight="0.5pt" color="#000000" joinstyle="round"/>
                        <v:imagedata o:title=""/>
                        <o:lock v:ext="edit" aspectratio="f"/>
                      </v:line>
                      <v:shape id="直接箭头连接符 6" o:spid="_x0000_s1026" o:spt="32" type="#_x0000_t32" style="position:absolute;left:3639820;top:787400;flip:x y;height:520065;width:8255;" filled="f" stroked="t" coordsize="21600,21600" o:gfxdata="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3yTx61QAAAAUBAAAPAAAAAAAAAAEAIAAAACIAAABkcnMvZG93bnJldi54bWxQSwEC&#10;FAAUAAAACACHTuJAdcLVRzACAAAlBAAADgAAAAAAAAABACAAAAAkAQAAZHJzL2Uyb0RvYy54bWxQ&#10;SwUGAAAAAAYABgBZAQAAxgUAAAAA&#10;">
                        <v:fill on="f" focussize="0,0"/>
                        <v:stroke weight="0.5pt" color="#000000 [3204]" miterlimit="8" joinstyle="miter" endarrow="block"/>
                        <v:imagedata o:title=""/>
                        <o:lock v:ext="edit" aspectratio="f"/>
                      </v:shape>
                      <v:shape id="文本框 233" o:spid="_x0000_s1026" o:spt="202" type="#_x0000_t202" style="position:absolute;left:668655;top:30480;height:224155;width:889000;" filled="f" stroked="f" coordsize="21600,21600" o:gfxdata="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N54J&#10;p9QAAAAFAQAADwAAAAAAAAABACAAAAAiAAAAZHJzL2Rvd25yZXYueG1sUEsBAhQAFAAAAAgAh07i&#10;QN4QmQMmAgAALgQAAA4AAAAAAAAAAQAgAAAAIwEAAGRycy9lMm9Eb2MueG1sUEsFBgAAAAAGAAYA&#10;WQEAALsFAAAAAA==&#10;">
                        <v:fill on="f" focussize="0,0"/>
                        <v:stroke on="f"/>
                        <v:imagedata o:title=""/>
                        <o:lock v:ext="edit" aspectratio="f"/>
                        <v:textbox>
                          <w:txbxContent>
                            <w:p w14:paraId="1CBD60C3">
                              <w:pPr>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eastAsia="宋体" w:cs="Times New Roman"/>
                                  <w:sz w:val="18"/>
                                  <w:szCs w:val="18"/>
                                </w:rPr>
                              </w:pPr>
                              <w:r>
                                <w:rPr>
                                  <w:rFonts w:ascii="Times New Roman" w:hAnsi="Times New Roman" w:eastAsia="宋体" w:cs="Times New Roman"/>
                                  <w:sz w:val="18"/>
                                  <w:szCs w:val="18"/>
                                </w:rPr>
                                <w:t>G、S、N、W</w:t>
                              </w:r>
                            </w:p>
                          </w:txbxContent>
                        </v:textbox>
                      </v:shape>
                      <v:rect id="矩形 209" o:spid="_x0000_s1026" o:spt="1" style="position:absolute;left:574675;top:431800;height:288925;width:790575;" filled="f" stroked="t" coordsize="21600,21600" o:gfxdata="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Ecz4xbUAAAABQEAAA8AAAAAAAAAAQAgAAAAIgAA&#10;AGRycy9kb3ducmV2LnhtbFBLAQIUABQAAAAIAIdO4kDjRa2pRQIAAGsEAAAOAAAAAAAAAAEAIAAA&#10;ACMBAABkcnMvZTJvRG9jLnhtbFBLBQYAAAAABgAGAFkBAADaBQAAAAA=&#10;">
                        <v:fill on="f" focussize="0,0"/>
                        <v:stroke color="#000000" miterlimit="8" joinstyle="miter"/>
                        <v:imagedata o:title=""/>
                        <o:lock v:ext="edit" aspectratio="f"/>
                        <v:textbox>
                          <w:txbxContent>
                            <w:p w14:paraId="620E5756">
                              <w:pPr>
                                <w:adjustRightInd w:val="0"/>
                                <w:snapToGrid w:val="0"/>
                                <w:jc w:val="center"/>
                                <w:rPr>
                                  <w:rFonts w:ascii="Times New Roman" w:hAnsi="Times New Roman" w:eastAsia="宋体" w:cs="Times New Roman"/>
                                  <w:sz w:val="18"/>
                                  <w:szCs w:val="18"/>
                                </w:rPr>
                              </w:pPr>
                              <w:r>
                                <w:rPr>
                                  <w:rFonts w:hint="eastAsia" w:cs="Times New Roman"/>
                                  <w:sz w:val="18"/>
                                  <w:szCs w:val="18"/>
                                  <w:lang w:val="en-US" w:eastAsia="zh-CN"/>
                                </w:rPr>
                                <w:t>基础</w:t>
                              </w:r>
                              <w:r>
                                <w:rPr>
                                  <w:rFonts w:ascii="Times New Roman" w:hAnsi="Times New Roman" w:eastAsia="宋体" w:cs="Times New Roman"/>
                                  <w:sz w:val="18"/>
                                  <w:szCs w:val="18"/>
                                </w:rPr>
                                <w:t>工程</w:t>
                              </w:r>
                            </w:p>
                          </w:txbxContent>
                        </v:textbox>
                      </v:rect>
                      <v:shape id="自选图形 232" o:spid="_x0000_s1026" o:spt="38" type="#_x0000_t38" style="position:absolute;left:742315;top:217805;flip:y;height:180340;width:241300;" filled="f" stroked="t" coordsize="21600,21600" o:gfxdata="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2h56ydYAAAAFAQAADwAAAAAAAAABACAA&#10;AAAiAAAAZHJzL2Rvd25yZXYueG1sUEsBAhQAFAAAAAgAh07iQCNPUopIAgAATwQAAA4AAAAAAAAA&#10;AQAgAAAAJQEAAGRycy9lMm9Eb2MueG1sUEsFBgAAAAAGAAYAWQEAAN8FAAAAAA==&#10;" adj="10772">
                        <v:fill on="f" focussize="0,0"/>
                        <v:stroke color="#000000" joinstyle="round" dashstyle="dash" endarrow="block"/>
                        <v:imagedata o:title=""/>
                        <o:lock v:ext="edit" aspectratio="f"/>
                      </v:shape>
                      <v:line id="直线 2136" o:spid="_x0000_s1026" o:spt="20" style="position:absolute;left:1438275;top:574040;flip:y;height:6985;width:337185;" filled="f" stroked="t" coordsize="21600,21600" o:gfxdata="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A+Yc0PXAAAABQEAAA8AAAAAAAAAAQAgAAAA&#10;IgAAAGRycy9kb3ducmV2LnhtbFBLAQIUABQAAAAIAIdO4kCkz6kQDAIAAPgDAAAOAAAAAAAAAAEA&#10;IAAAACYBAABkcnMvZTJvRG9jLnhtbFBLBQYAAAAABgAGAFkBAACkBQAAAAA=&#10;">
                        <v:fill on="f" focussize="0,0"/>
                        <v:stroke weight="0.5pt" color="#000000" joinstyle="round" endarrow="block"/>
                        <v:imagedata o:title=""/>
                        <o:lock v:ext="edit" aspectratio="f"/>
                      </v:line>
                      <w10:wrap type="none"/>
                      <w10:anchorlock/>
                    </v:group>
                  </w:pict>
                </mc:Fallback>
              </mc:AlternateContent>
            </w:r>
          </w:p>
          <w:p w14:paraId="024B5C52">
            <w:pPr>
              <w:pStyle w:val="30"/>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b/>
                <w:bCs/>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图2-</w:t>
            </w:r>
            <w:r>
              <w:rPr>
                <w:rFonts w:hint="eastAsia" w:ascii="Times New Roman" w:eastAsia="宋体"/>
                <w:b/>
                <w:color w:val="000000" w:themeColor="text1"/>
                <w:sz w:val="21"/>
                <w:szCs w:val="21"/>
                <w:lang w:val="en-US" w:eastAsia="zh-CN"/>
                <w14:textFill>
                  <w14:solidFill>
                    <w14:schemeClr w14:val="tx1"/>
                  </w14:solidFill>
                </w14:textFill>
              </w:rPr>
              <w:t>2</w:t>
            </w:r>
            <w:r>
              <w:rPr>
                <w:b/>
                <w:color w:val="000000" w:themeColor="text1"/>
                <w:sz w:val="21"/>
                <w:szCs w:val="21"/>
                <w14:textFill>
                  <w14:solidFill>
                    <w14:schemeClr w14:val="tx1"/>
                  </w14:solidFill>
                </w14:textFill>
              </w:rPr>
              <w:t xml:space="preserve">   施工期工艺流程及产污环节图</w:t>
            </w:r>
          </w:p>
          <w:p w14:paraId="7C977EB5">
            <w:pPr>
              <w:pStyle w:val="30"/>
              <w:keepNext w:val="0"/>
              <w:keepLines w:val="0"/>
              <w:pageBreakBefore w:val="0"/>
              <w:widowControl w:val="0"/>
              <w:kinsoku/>
              <w:wordWrap/>
              <w:overflowPunct/>
              <w:topLinePunct w:val="0"/>
              <w:autoSpaceDE/>
              <w:autoSpaceDN/>
              <w:bidi w:val="0"/>
              <w:adjustRightInd/>
              <w:snapToGrid/>
              <w:spacing w:after="0" w:line="360" w:lineRule="auto"/>
              <w:ind w:left="0" w:leftChars="0" w:firstLine="482" w:firstLineChars="200"/>
              <w:textAlignment w:val="auto"/>
              <w:rPr>
                <w:rFonts w:hint="default"/>
                <w:b/>
                <w:bCs/>
                <w:color w:val="000000" w:themeColor="text1"/>
                <w:sz w:val="24"/>
                <w:szCs w:val="24"/>
                <w14:textFill>
                  <w14:solidFill>
                    <w14:schemeClr w14:val="tx1"/>
                  </w14:solidFill>
                </w14:textFill>
              </w:rPr>
            </w:pPr>
            <w:r>
              <w:rPr>
                <w:rFonts w:hint="default"/>
                <w:b/>
                <w:bCs/>
                <w:color w:val="000000" w:themeColor="text1"/>
                <w:sz w:val="24"/>
                <w:szCs w:val="24"/>
                <w14:textFill>
                  <w14:solidFill>
                    <w14:schemeClr w14:val="tx1"/>
                  </w14:solidFill>
                </w14:textFill>
              </w:rPr>
              <w:t>二、运营期</w:t>
            </w:r>
          </w:p>
          <w:p w14:paraId="26EE26F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zh-CN"/>
                <w14:textFill>
                  <w14:solidFill>
                    <w14:schemeClr w14:val="tx1"/>
                  </w14:solidFill>
                </w14:textFill>
              </w:rPr>
              <w:t>（</w:t>
            </w:r>
            <w:r>
              <w:rPr>
                <w:rFonts w:hint="eastAsia"/>
                <w:b/>
                <w:bCs/>
                <w:color w:val="000000" w:themeColor="text1"/>
                <w:sz w:val="24"/>
                <w:szCs w:val="24"/>
                <w:lang w:val="en-US" w:eastAsia="zh-CN"/>
                <w14:textFill>
                  <w14:solidFill>
                    <w14:schemeClr w14:val="tx1"/>
                  </w14:solidFill>
                </w14:textFill>
              </w:rPr>
              <w:t>一</w:t>
            </w:r>
            <w:r>
              <w:rPr>
                <w:rFonts w:hint="eastAsia"/>
                <w:b/>
                <w:bCs/>
                <w:color w:val="000000" w:themeColor="text1"/>
                <w:sz w:val="24"/>
                <w:szCs w:val="24"/>
                <w:lang w:val="zh-CN"/>
                <w14:textFill>
                  <w14:solidFill>
                    <w14:schemeClr w14:val="tx1"/>
                  </w14:solidFill>
                </w14:textFill>
              </w:rPr>
              <w:t>）</w:t>
            </w:r>
            <w:r>
              <w:rPr>
                <w:rFonts w:hint="eastAsia"/>
                <w:b/>
                <w:bCs/>
                <w:color w:val="000000" w:themeColor="text1"/>
                <w:sz w:val="24"/>
                <w:szCs w:val="24"/>
                <w:lang w:val="en-US" w:eastAsia="zh-CN"/>
                <w14:textFill>
                  <w14:solidFill>
                    <w14:schemeClr w14:val="tx1"/>
                  </w14:solidFill>
                </w14:textFill>
              </w:rPr>
              <w:t>工艺流程简述</w:t>
            </w:r>
          </w:p>
          <w:p w14:paraId="1072F988">
            <w:pPr>
              <w:pStyle w:val="3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color w:val="000000" w:themeColor="text1"/>
                <w:lang w:val="en-US" w:eastAsia="zh-CN"/>
                <w14:textFill>
                  <w14:solidFill>
                    <w14:schemeClr w14:val="tx1"/>
                  </w14:solidFill>
                </w14:textFill>
              </w:rPr>
            </w:pPr>
            <w:r>
              <w:rPr>
                <w:rFonts w:hint="default"/>
                <w:color w:val="000000" w:themeColor="text1"/>
                <w:sz w:val="24"/>
                <w:szCs w:val="32"/>
                <w:lang w:val="en-US" w:eastAsia="zh-CN"/>
                <w14:textFill>
                  <w14:solidFill>
                    <w14:schemeClr w14:val="tx1"/>
                  </w14:solidFill>
                </w14:textFill>
              </w:rPr>
              <w:t>项目生产过程主要为</w:t>
            </w:r>
            <w:r>
              <w:rPr>
                <w:rFonts w:hint="eastAsia"/>
                <w:color w:val="000000" w:themeColor="text1"/>
                <w:sz w:val="24"/>
                <w:szCs w:val="32"/>
                <w:lang w:val="en-US" w:eastAsia="zh-CN"/>
                <w14:textFill>
                  <w14:solidFill>
                    <w14:schemeClr w14:val="tx1"/>
                  </w14:solidFill>
                </w14:textFill>
              </w:rPr>
              <w:t>称量、热压挤出</w:t>
            </w:r>
            <w:r>
              <w:rPr>
                <w:rFonts w:hint="default"/>
                <w:color w:val="000000" w:themeColor="text1"/>
                <w:sz w:val="24"/>
                <w:szCs w:val="32"/>
                <w:lang w:val="en-US" w:eastAsia="zh-CN"/>
                <w14:textFill>
                  <w14:solidFill>
                    <w14:schemeClr w14:val="tx1"/>
                  </w14:solidFill>
                </w14:textFill>
              </w:rPr>
              <w:t>、</w:t>
            </w:r>
            <w:r>
              <w:rPr>
                <w:rFonts w:hint="eastAsia"/>
                <w:color w:val="000000" w:themeColor="text1"/>
                <w:sz w:val="24"/>
                <w:szCs w:val="32"/>
                <w:lang w:val="en-US" w:eastAsia="zh-CN"/>
                <w14:textFill>
                  <w14:solidFill>
                    <w14:schemeClr w14:val="tx1"/>
                  </w14:solidFill>
                </w14:textFill>
              </w:rPr>
              <w:t>修边</w:t>
            </w:r>
            <w:r>
              <w:rPr>
                <w:rFonts w:hint="default"/>
                <w:color w:val="000000" w:themeColor="text1"/>
                <w:sz w:val="24"/>
                <w:szCs w:val="32"/>
                <w:lang w:val="en-US" w:eastAsia="zh-CN"/>
                <w14:textFill>
                  <w14:solidFill>
                    <w14:schemeClr w14:val="tx1"/>
                  </w14:solidFill>
                </w14:textFill>
              </w:rPr>
              <w:t>等，工艺流程图及产污环节详见下图2-</w:t>
            </w:r>
            <w:r>
              <w:rPr>
                <w:rFonts w:hint="eastAsia"/>
                <w:color w:val="000000" w:themeColor="text1"/>
                <w:sz w:val="24"/>
                <w:szCs w:val="32"/>
                <w:lang w:val="en-US" w:eastAsia="zh-CN"/>
                <w14:textFill>
                  <w14:solidFill>
                    <w14:schemeClr w14:val="tx1"/>
                  </w14:solidFill>
                </w14:textFill>
              </w:rPr>
              <w:t>3。</w:t>
            </w:r>
          </w:p>
          <w:p w14:paraId="324945D1">
            <w:pPr>
              <w:pStyle w:val="30"/>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object>
                <v:shape id="_x0000_i1026" o:spt="75" type="#_x0000_t75" style="height:503.3pt;width:304.75pt;" o:ole="t" filled="f" o:preferrelative="t" stroked="f" coordsize="21600,21600">
                  <v:path/>
                  <v:fill on="f" focussize="0,0"/>
                  <v:stroke on="f"/>
                  <v:imagedata r:id="rId15" o:title=""/>
                  <o:lock v:ext="edit" aspectratio="f"/>
                  <w10:wrap type="none"/>
                  <w10:anchorlock/>
                </v:shape>
                <o:OLEObject Type="Embed" ProgID="Visio.Drawing.15" ShapeID="_x0000_i1026" DrawAspect="Content" ObjectID="_1468075726" r:id="rId14">
                  <o:LockedField>false</o:LockedField>
                </o:OLEObject>
              </w:object>
            </w:r>
          </w:p>
          <w:p w14:paraId="5C280A30">
            <w:pPr>
              <w:keepNext w:val="0"/>
              <w:keepLines w:val="0"/>
              <w:widowControl/>
              <w:suppressLineNumbers w:val="0"/>
              <w:jc w:val="center"/>
              <w:rPr>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图</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2-</w:t>
            </w:r>
            <w:r>
              <w:rPr>
                <w:rFonts w:hint="eastAsia" w:cs="Times New Roman"/>
                <w:b/>
                <w:bCs/>
                <w:color w:val="000000" w:themeColor="text1"/>
                <w:kern w:val="0"/>
                <w:sz w:val="21"/>
                <w:szCs w:val="21"/>
                <w:highlight w:val="none"/>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eastAsia" w:ascii="宋体" w:hAnsi="宋体" w:cs="宋体"/>
                <w:b/>
                <w:bCs/>
                <w:color w:val="000000" w:themeColor="text1"/>
                <w:kern w:val="0"/>
                <w:sz w:val="21"/>
                <w:szCs w:val="21"/>
                <w:highlight w:val="none"/>
                <w:lang w:val="en-US" w:eastAsia="zh-CN" w:bidi="ar"/>
                <w14:textFill>
                  <w14:solidFill>
                    <w14:schemeClr w14:val="tx1"/>
                  </w14:solidFill>
                </w14:textFill>
              </w:rPr>
              <w:t>密胺餐具生产</w:t>
            </w: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工艺流程图</w:t>
            </w:r>
          </w:p>
          <w:p w14:paraId="22EB7693">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color w:val="000000" w:themeColor="text1"/>
                <w14:textFill>
                  <w14:solidFill>
                    <w14:schemeClr w14:val="tx1"/>
                  </w14:solidFill>
                </w14:textFill>
              </w:rPr>
            </w:pPr>
            <w:r>
              <w:rPr>
                <w:rFonts w:hint="eastAsia" w:ascii="宋体" w:hAnsi="宋体" w:cs="宋体"/>
                <w:b/>
                <w:bCs/>
                <w:color w:val="000000" w:themeColor="text1"/>
                <w:kern w:val="0"/>
                <w:sz w:val="24"/>
                <w:szCs w:val="24"/>
                <w:lang w:val="en-US" w:eastAsia="zh-CN" w:bidi="ar"/>
                <w14:textFill>
                  <w14:solidFill>
                    <w14:schemeClr w14:val="tx1"/>
                  </w14:solidFill>
                </w14:textFill>
              </w:rPr>
              <w:t>密胺餐具生产</w:t>
            </w: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工艺流程简述：</w:t>
            </w:r>
          </w:p>
          <w:p w14:paraId="15884D62">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rPr>
            </w:pPr>
            <w:r>
              <w:rPr>
                <w:rFonts w:hint="eastAsia" w:cs="Times New Roman"/>
                <w:b/>
                <w:bCs/>
                <w:color w:val="000000" w:themeColor="text1"/>
                <w:kern w:val="0"/>
                <w:sz w:val="24"/>
                <w:szCs w:val="24"/>
                <w:lang w:val="en-US" w:eastAsia="zh-CN" w:bidi="ar"/>
                <w14:textFill>
                  <w14:solidFill>
                    <w14:schemeClr w14:val="tx1"/>
                  </w14:solidFill>
                </w14:textFill>
              </w:rPr>
              <w:t>人工称量：</w:t>
            </w:r>
            <w:r>
              <w:rPr>
                <w:rFonts w:hint="eastAsia" w:cs="Times New Roman"/>
                <w:b w:val="0"/>
                <w:bCs w:val="0"/>
                <w:color w:val="000000" w:themeColor="text1"/>
                <w:kern w:val="0"/>
                <w:sz w:val="24"/>
                <w:szCs w:val="24"/>
                <w:lang w:val="en-US" w:eastAsia="zh-CN" w:bidi="ar"/>
                <w14:textFill>
                  <w14:solidFill>
                    <w14:schemeClr w14:val="tx1"/>
                  </w14:solidFill>
                </w14:textFill>
              </w:rPr>
              <w:t>外购的密胺粉为多种颜色，满足客户对颜色的需求，本项目无需再进行另加工或添加料，直接使用。根据餐具克重，一般多称量2%的原料，人工用铲子将密胺粉加入原料盒中，置于电子秤上称重。该过程会有少量称量粉尘产生</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p>
          <w:p w14:paraId="71D88659">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cs="Times New Roman"/>
                <w:color w:val="000000" w:themeColor="text1"/>
                <w:lang w:val="en-US"/>
                <w14:textFill>
                  <w14:solidFill>
                    <w14:schemeClr w14:val="tx1"/>
                  </w14:solidFill>
                </w14:textFill>
              </w:rPr>
            </w:pPr>
            <w:r>
              <w:rPr>
                <w:rFonts w:hint="eastAsia" w:cs="Times New Roman"/>
                <w:b/>
                <w:bCs/>
                <w:color w:val="000000" w:themeColor="text1"/>
                <w:kern w:val="0"/>
                <w:sz w:val="24"/>
                <w:szCs w:val="24"/>
                <w:lang w:val="en-US" w:eastAsia="zh-CN" w:bidi="ar"/>
                <w14:textFill>
                  <w14:solidFill>
                    <w14:schemeClr w14:val="tx1"/>
                  </w14:solidFill>
                </w14:textFill>
              </w:rPr>
              <w:t>预热</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b w:val="0"/>
                <w:bCs w:val="0"/>
                <w:color w:val="000000" w:themeColor="text1"/>
                <w:kern w:val="0"/>
                <w:sz w:val="24"/>
                <w:szCs w:val="24"/>
                <w:lang w:val="en-US" w:eastAsia="zh-CN" w:bidi="ar"/>
                <w14:textFill>
                  <w14:solidFill>
                    <w14:schemeClr w14:val="tx1"/>
                  </w14:solidFill>
                </w14:textFill>
              </w:rPr>
              <w:t>将装有称量好的密胺粉的原料盒送入高频预热机内进行预热（电加热），加热温度约为80~90℃，预热时间约为300S，去除原料中的水分。该过程会有少量</w:t>
            </w:r>
            <w:r>
              <w:rPr>
                <w:rFonts w:hint="eastAsia" w:cs="Times New Roman"/>
                <w:b w:val="0"/>
                <w:bCs w:val="0"/>
                <w:color w:val="000000" w:themeColor="text1"/>
                <w:kern w:val="0"/>
                <w:sz w:val="24"/>
                <w:szCs w:val="24"/>
                <w:lang w:val="en-US" w:eastAsia="zh-CN" w:bidi="ar"/>
                <w14:textFill>
                  <w14:solidFill>
                    <w14:schemeClr w14:val="tx1"/>
                  </w14:solidFill>
                </w14:textFill>
              </w:rPr>
              <w:t>预热废气</w:t>
            </w:r>
            <w:r>
              <w:rPr>
                <w:rFonts w:hint="default" w:ascii="Times New Roman" w:hAnsi="Times New Roman" w:eastAsia="宋体" w:cs="Times New Roman"/>
                <w:b w:val="0"/>
                <w:bCs w:val="0"/>
                <w:color w:val="000000" w:themeColor="text1"/>
                <w:kern w:val="0"/>
                <w:sz w:val="24"/>
                <w:szCs w:val="24"/>
                <w:lang w:val="en-US" w:eastAsia="zh-CN" w:bidi="ar"/>
                <w14:textFill>
                  <w14:solidFill>
                    <w14:schemeClr w14:val="tx1"/>
                  </w14:solidFill>
                </w14:textFill>
              </w:rPr>
              <w:t>产生；</w:t>
            </w:r>
          </w:p>
          <w:p w14:paraId="0EE80058">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cs="Times New Roman"/>
                <w:b/>
                <w:bCs/>
                <w:color w:val="000000" w:themeColor="text1"/>
                <w:kern w:val="0"/>
                <w:sz w:val="24"/>
                <w:szCs w:val="24"/>
                <w:lang w:val="en-US" w:eastAsia="zh-CN" w:bidi="ar"/>
                <w14:textFill>
                  <w14:solidFill>
                    <w14:schemeClr w14:val="tx1"/>
                  </w14:solidFill>
                </w14:textFill>
              </w:rPr>
              <w:t>热压挤出</w:t>
            </w:r>
            <w:r>
              <w:rPr>
                <w:rFonts w:hint="default" w:ascii="Times New Roman" w:hAnsi="Times New Roman" w:cs="Times New Roman"/>
                <w:b/>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rPr>
              <w:t>将经过预热后结块的原料人工倒入经预热后闭合的模具中，压力约为140～170MPa，油压成型机采用电加热，加热温度180~200℃，压制1min，使原料在一定压力和温度下流动，发生交联反应，固化成型，开模得到初制品（又称素盘）。</w:t>
            </w:r>
            <w:r>
              <w:rPr>
                <w:rFonts w:hint="eastAsia" w:cs="Times New Roman"/>
                <w:b w:val="0"/>
                <w:bCs w:val="0"/>
                <w:color w:val="000000" w:themeColor="text1"/>
                <w:kern w:val="0"/>
                <w:sz w:val="24"/>
                <w:szCs w:val="24"/>
                <w:lang w:val="en-US" w:eastAsia="zh-CN" w:bidi="ar"/>
                <w14:textFill>
                  <w14:solidFill>
                    <w14:schemeClr w14:val="tx1"/>
                  </w14:solidFill>
                </w14:textFill>
              </w:rPr>
              <w:t>热压挤出处产生的甲醛主要有两个来源，一是树脂合成后残留的“原料自带游离甲醛”，二是热压交联固化反应中释放的“工艺新增甲醛”。原料自带游离甲醛：来源是合成阶段未反应完的甲醛。密胺树脂合成时，为驱动反应完全，甲醛通常过量投料。反应结束后，部分未参与羟甲基化的甲醛以游离态残留在树脂中。工艺新增甲醛：这是热压阶段新生成的甲醛，主要来自两个方面。其一，预聚体中残留的羟甲基（—CH</w:t>
            </w:r>
            <w:r>
              <w:rPr>
                <w:rFonts w:hint="eastAsia" w:cs="Times New Roman"/>
                <w:b w:val="0"/>
                <w:bCs w:val="0"/>
                <w:color w:val="000000" w:themeColor="text1"/>
                <w:kern w:val="0"/>
                <w:sz w:val="24"/>
                <w:szCs w:val="24"/>
                <w:vertAlign w:val="subscript"/>
                <w:lang w:val="en-US" w:eastAsia="zh-CN" w:bidi="ar"/>
                <w14:textFill>
                  <w14:solidFill>
                    <w14:schemeClr w14:val="tx1"/>
                  </w14:solidFill>
                </w14:textFill>
              </w:rPr>
              <w:t>2</w:t>
            </w:r>
            <w:r>
              <w:rPr>
                <w:rFonts w:hint="eastAsia" w:cs="Times New Roman"/>
                <w:b w:val="0"/>
                <w:bCs w:val="0"/>
                <w:color w:val="000000" w:themeColor="text1"/>
                <w:kern w:val="0"/>
                <w:sz w:val="24"/>
                <w:szCs w:val="24"/>
                <w:lang w:val="en-US" w:eastAsia="zh-CN" w:bidi="ar"/>
                <w14:textFill>
                  <w14:solidFill>
                    <w14:schemeClr w14:val="tx1"/>
                  </w14:solidFill>
                </w14:textFill>
              </w:rPr>
              <w:t>OH）在高温下若未能及时参与缩合，可能发生可逆分解，重新释放出甲醛；其二，交联网络中形成的醚键（—CH</w:t>
            </w:r>
            <w:r>
              <w:rPr>
                <w:rFonts w:hint="eastAsia" w:cs="Times New Roman"/>
                <w:b w:val="0"/>
                <w:bCs w:val="0"/>
                <w:color w:val="000000" w:themeColor="text1"/>
                <w:kern w:val="0"/>
                <w:sz w:val="24"/>
                <w:szCs w:val="24"/>
                <w:vertAlign w:val="subscript"/>
                <w:lang w:val="en-US" w:eastAsia="zh-CN" w:bidi="ar"/>
                <w14:textFill>
                  <w14:solidFill>
                    <w14:schemeClr w14:val="tx1"/>
                  </w14:solidFill>
                </w14:textFill>
              </w:rPr>
              <w:t>2</w:t>
            </w:r>
            <w:r>
              <w:rPr>
                <w:rFonts w:hint="eastAsia" w:cs="Times New Roman"/>
                <w:b w:val="0"/>
                <w:bCs w:val="0"/>
                <w:color w:val="000000" w:themeColor="text1"/>
                <w:kern w:val="0"/>
                <w:sz w:val="24"/>
                <w:szCs w:val="24"/>
                <w:lang w:val="en-US" w:eastAsia="zh-CN" w:bidi="ar"/>
                <w14:textFill>
                  <w14:solidFill>
                    <w14:schemeClr w14:val="tx1"/>
                  </w14:solidFill>
                </w14:textFill>
              </w:rPr>
              <w:t>—O—CH</w:t>
            </w:r>
            <w:r>
              <w:rPr>
                <w:rFonts w:hint="eastAsia" w:cs="Times New Roman"/>
                <w:b w:val="0"/>
                <w:bCs w:val="0"/>
                <w:color w:val="000000" w:themeColor="text1"/>
                <w:kern w:val="0"/>
                <w:sz w:val="24"/>
                <w:szCs w:val="24"/>
                <w:vertAlign w:val="subscript"/>
                <w:lang w:val="en-US" w:eastAsia="zh-CN" w:bidi="ar"/>
                <w14:textFill>
                  <w14:solidFill>
                    <w14:schemeClr w14:val="tx1"/>
                  </w14:solidFill>
                </w14:textFill>
              </w:rPr>
              <w:t>2</w:t>
            </w:r>
            <w:r>
              <w:rPr>
                <w:rFonts w:hint="eastAsia" w:cs="Times New Roman"/>
                <w:b w:val="0"/>
                <w:bCs w:val="0"/>
                <w:color w:val="000000" w:themeColor="text1"/>
                <w:kern w:val="0"/>
                <w:sz w:val="24"/>
                <w:szCs w:val="24"/>
                <w:lang w:val="en-US" w:eastAsia="zh-CN" w:bidi="ar"/>
                <w14:textFill>
                  <w14:solidFill>
                    <w14:schemeClr w14:val="tx1"/>
                  </w14:solidFill>
                </w14:textFill>
              </w:rPr>
              <w:t>—）在热、湿或酸性条件下具有水解不稳定性，可能断裂并释放甲醛。</w:t>
            </w: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rPr>
              <w:t>此过程产生热压挤出废气和噪声</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p>
          <w:p w14:paraId="37C16B88">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cs="Times New Roman"/>
                <w:color w:val="000000" w:themeColor="text1"/>
                <w14:textFill>
                  <w14:solidFill>
                    <w14:schemeClr w14:val="tx1"/>
                  </w14:solidFill>
                </w14:textFill>
              </w:rPr>
            </w:pPr>
            <w:r>
              <w:rPr>
                <w:rFonts w:hint="eastAsia" w:cs="Times New Roman"/>
                <w:b/>
                <w:bCs/>
                <w:color w:val="000000" w:themeColor="text1"/>
                <w:kern w:val="0"/>
                <w:sz w:val="24"/>
                <w:szCs w:val="24"/>
                <w:lang w:val="en-US" w:eastAsia="zh-CN" w:bidi="ar"/>
                <w14:textFill>
                  <w14:solidFill>
                    <w14:schemeClr w14:val="tx1"/>
                  </w14:solidFill>
                </w14:textFill>
              </w:rPr>
              <w:t>贴花纸</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w:t>
            </w:r>
            <w:r>
              <w:rPr>
                <w:rFonts w:hint="eastAsia" w:cs="Times New Roman"/>
                <w:b w:val="0"/>
                <w:bCs w:val="0"/>
                <w:color w:val="000000" w:themeColor="text1"/>
                <w:kern w:val="0"/>
                <w:sz w:val="24"/>
                <w:szCs w:val="24"/>
                <w:lang w:val="en-US" w:eastAsia="zh-CN" w:bidi="ar"/>
                <w14:textFill>
                  <w14:solidFill>
                    <w14:schemeClr w14:val="tx1"/>
                  </w14:solidFill>
                </w14:textFill>
              </w:rPr>
              <w:t>外购的成品花纸先经人工裁剪后再由人工贴至素盘表面，将贴花纸的餐具再次送入液压机压力贴合。花纸为绵纸，在压制贴合时无废气产生；</w:t>
            </w: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rPr>
              <w:t>该环节会产生粉尘与噪声</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p>
          <w:p w14:paraId="29C1DF3A">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rPr>
            </w:pPr>
            <w:r>
              <w:rPr>
                <w:rFonts w:hint="eastAsia" w:cs="Times New Roman"/>
                <w:b/>
                <w:bCs/>
                <w:color w:val="000000" w:themeColor="text1"/>
                <w:kern w:val="0"/>
                <w:sz w:val="24"/>
                <w:szCs w:val="24"/>
                <w:lang w:val="en-US" w:eastAsia="zh-CN" w:bidi="ar"/>
                <w14:textFill>
                  <w14:solidFill>
                    <w14:schemeClr w14:val="tx1"/>
                  </w14:solidFill>
                </w14:textFill>
              </w:rPr>
              <w:t>加金罩光</w:t>
            </w:r>
            <w:r>
              <w:rPr>
                <w:rFonts w:hint="default" w:ascii="Times New Roman" w:hAnsi="Times New Roman" w:cs="Times New Roman"/>
                <w:b/>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rPr>
              <w:t>贴花后的素盘需要加金（加罩光粉），以增加产品的亮光度。罩光粉和水按照1:1比例进行调配，人工刷涂在产品表面，再放入油压机加压加热，加热温度为180℃，持续时间为30S，开模后得到加金的密胺餐具。该工序产生加金废气（有机废气）和噪声；</w:t>
            </w:r>
          </w:p>
          <w:p w14:paraId="12A0BA8D">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b/>
                <w:bCs/>
                <w:color w:val="000000" w:themeColor="text1"/>
                <w:kern w:val="0"/>
                <w:sz w:val="24"/>
                <w:szCs w:val="24"/>
                <w:lang w:val="en-US" w:eastAsia="zh-CN" w:bidi="ar"/>
                <w14:textFill>
                  <w14:solidFill>
                    <w14:schemeClr w14:val="tx1"/>
                  </w14:solidFill>
                </w14:textFill>
              </w:rPr>
              <w:t>打磨抛光</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b w:val="0"/>
                <w:bCs w:val="0"/>
                <w:color w:val="000000" w:themeColor="text1"/>
                <w:kern w:val="0"/>
                <w:sz w:val="24"/>
                <w:szCs w:val="24"/>
                <w:lang w:val="en-US" w:eastAsia="zh-CN" w:bidi="ar"/>
                <w14:textFill>
                  <w14:solidFill>
                    <w14:schemeClr w14:val="tx1"/>
                  </w14:solidFill>
                </w14:textFill>
              </w:rPr>
              <w:t>上述半成品有毛边，不利于使用，员工将半成品装于塑料筐内，搬运至打磨、抛光区，先经人工修除飞边，再用砂带机和抛光机进行研磨，进一步把产品的毛边去掉，确保产品光洁度。</w:t>
            </w:r>
            <w:r>
              <w:rPr>
                <w:rFonts w:hint="eastAsia" w:cs="Times New Roman"/>
                <w:b w:val="0"/>
                <w:bCs w:val="0"/>
                <w:color w:val="000000" w:themeColor="text1"/>
                <w:kern w:val="0"/>
                <w:sz w:val="24"/>
                <w:szCs w:val="24"/>
                <w:lang w:val="en-US" w:eastAsia="zh-CN" w:bidi="ar"/>
                <w14:textFill>
                  <w14:solidFill>
                    <w14:schemeClr w14:val="tx1"/>
                  </w14:solidFill>
                </w14:textFill>
              </w:rPr>
              <w:t>该过程产生噪声、废边角料与打磨抛光废气</w:t>
            </w:r>
            <w:r>
              <w:rPr>
                <w:rFonts w:hint="eastAsia" w:ascii="Times New Roman" w:hAnsi="Times New Roman" w:cs="Times New Roman"/>
                <w:b w:val="0"/>
                <w:bCs w:val="0"/>
                <w:color w:val="000000" w:themeColor="text1"/>
                <w:kern w:val="0"/>
                <w:sz w:val="24"/>
                <w:szCs w:val="24"/>
                <w:lang w:val="en-US" w:eastAsia="zh-CN" w:bidi="ar"/>
                <w14:textFill>
                  <w14:solidFill>
                    <w14:schemeClr w14:val="tx1"/>
                  </w14:solidFill>
                </w14:textFill>
              </w:rPr>
              <w:t>；</w:t>
            </w:r>
          </w:p>
          <w:p w14:paraId="33C393DB">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eastAsia" w:cs="Times New Roman"/>
                <w:b/>
                <w:bCs/>
                <w:color w:val="000000" w:themeColor="text1"/>
                <w:kern w:val="0"/>
                <w:sz w:val="24"/>
                <w:szCs w:val="24"/>
                <w:highlight w:val="none"/>
                <w:lang w:val="en-US" w:eastAsia="zh-CN" w:bidi="ar"/>
                <w14:textFill>
                  <w14:solidFill>
                    <w14:schemeClr w14:val="tx1"/>
                  </w14:solidFill>
                </w14:textFill>
              </w:rPr>
            </w:pPr>
            <w:r>
              <w:rPr>
                <w:rFonts w:hint="eastAsia" w:cs="Times New Roman"/>
                <w:b/>
                <w:bCs/>
                <w:color w:val="000000" w:themeColor="text1"/>
                <w:kern w:val="0"/>
                <w:sz w:val="24"/>
                <w:szCs w:val="24"/>
                <w:highlight w:val="none"/>
                <w:lang w:val="en-US" w:eastAsia="zh-CN" w:bidi="ar"/>
                <w14:textFill>
                  <w14:solidFill>
                    <w14:schemeClr w14:val="tx1"/>
                  </w14:solidFill>
                </w14:textFill>
              </w:rPr>
              <w:t>检验入库</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经检验合格的产品包装入库，此过程产生不合格品与废包装袋</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p>
          <w:p w14:paraId="1FE91D5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1"/>
                <w:sz w:val="24"/>
                <w:highlight w:val="none"/>
                <w14:textFill>
                  <w14:solidFill>
                    <w14:schemeClr w14:val="tx1"/>
                  </w14:solidFill>
                </w14:textFill>
              </w:rPr>
            </w:pPr>
            <w:r>
              <w:rPr>
                <w:rFonts w:hint="default" w:ascii="Times New Roman" w:hAnsi="Times New Roman" w:eastAsia="宋体" w:cs="Times New Roman"/>
                <w:color w:val="000000" w:themeColor="text1"/>
                <w:kern w:val="1"/>
                <w:sz w:val="24"/>
                <w:highlight w:val="none"/>
                <w14:textFill>
                  <w14:solidFill>
                    <w14:schemeClr w14:val="tx1"/>
                  </w14:solidFill>
                </w14:textFill>
              </w:rPr>
              <w:t>根据工艺流程，本项目产污环节一览表见下表。</w:t>
            </w:r>
          </w:p>
          <w:p w14:paraId="2233688B">
            <w:pPr>
              <w:widowControl/>
              <w:jc w:val="center"/>
              <w:rPr>
                <w:rFonts w:hint="default" w:ascii="Times New Roman" w:hAnsi="Times New Roman" w:eastAsia="宋体" w:cs="Times New Roman"/>
                <w:b/>
                <w:bCs/>
                <w:color w:val="000000" w:themeColor="text1"/>
                <w:kern w:val="0"/>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Cs w:val="21"/>
                <w:highlight w:val="none"/>
                <w:lang w:bidi="ar"/>
                <w14:textFill>
                  <w14:solidFill>
                    <w14:schemeClr w14:val="tx1"/>
                  </w14:solidFill>
                </w14:textFill>
              </w:rPr>
              <w:t>表2-</w:t>
            </w:r>
            <w:r>
              <w:rPr>
                <w:rFonts w:hint="eastAsia" w:ascii="Times New Roman" w:hAnsi="Times New Roman" w:cs="Times New Roman"/>
                <w:b/>
                <w:bCs/>
                <w:color w:val="000000" w:themeColor="text1"/>
                <w:kern w:val="0"/>
                <w:szCs w:val="21"/>
                <w:highlight w:val="none"/>
                <w:lang w:val="en-US" w:eastAsia="zh-CN" w:bidi="ar"/>
                <w14:textFill>
                  <w14:solidFill>
                    <w14:schemeClr w14:val="tx1"/>
                  </w14:solidFill>
                </w14:textFill>
              </w:rPr>
              <w:t>8</w:t>
            </w:r>
            <w:r>
              <w:rPr>
                <w:rFonts w:hint="default" w:ascii="Times New Roman" w:hAnsi="Times New Roman" w:eastAsia="宋体" w:cs="Times New Roman"/>
                <w:b/>
                <w:bCs/>
                <w:color w:val="000000" w:themeColor="text1"/>
                <w:kern w:val="0"/>
                <w:szCs w:val="21"/>
                <w:highlight w:val="none"/>
                <w:lang w:val="en-US" w:eastAsia="zh-CN" w:bidi="ar"/>
                <w14:textFill>
                  <w14:solidFill>
                    <w14:schemeClr w14:val="tx1"/>
                  </w14:solidFill>
                </w14:textFill>
              </w:rPr>
              <w:t xml:space="preserve"> </w:t>
            </w:r>
            <w:r>
              <w:rPr>
                <w:rFonts w:hint="default" w:ascii="Times New Roman" w:hAnsi="Times New Roman" w:eastAsia="宋体" w:cs="Times New Roman"/>
                <w:b/>
                <w:bCs/>
                <w:color w:val="000000" w:themeColor="text1"/>
                <w:kern w:val="0"/>
                <w:szCs w:val="21"/>
                <w:highlight w:val="none"/>
                <w:lang w:bidi="ar"/>
                <w14:textFill>
                  <w14:solidFill>
                    <w14:schemeClr w14:val="tx1"/>
                  </w14:solidFill>
                </w14:textFill>
              </w:rPr>
              <w:t xml:space="preserve"> 项目主要污染工序及治理、排放方式一览表</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2107"/>
              <w:gridCol w:w="2213"/>
              <w:gridCol w:w="3209"/>
            </w:tblGrid>
            <w:tr w14:paraId="2F88D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2" w:type="dxa"/>
                  <w:noWrap w:val="0"/>
                  <w:vAlign w:val="center"/>
                </w:tcPr>
                <w:p w14:paraId="3459622C">
                  <w:pPr>
                    <w:widowControl w:val="0"/>
                    <w:spacing w:after="0" w:line="240" w:lineRule="auto"/>
                    <w:ind w:left="0" w:leftChars="0" w:firstLine="0"/>
                    <w:jc w:val="cente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类别</w:t>
                  </w:r>
                </w:p>
              </w:tc>
              <w:tc>
                <w:tcPr>
                  <w:tcW w:w="2107" w:type="dxa"/>
                  <w:noWrap w:val="0"/>
                  <w:vAlign w:val="center"/>
                </w:tcPr>
                <w:p w14:paraId="73B7B867">
                  <w:pPr>
                    <w:widowControl w:val="0"/>
                    <w:spacing w:after="0" w:line="240" w:lineRule="auto"/>
                    <w:ind w:left="0" w:leftChars="0" w:firstLine="0"/>
                    <w:jc w:val="cente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生产工序</w:t>
                  </w:r>
                </w:p>
              </w:tc>
              <w:tc>
                <w:tcPr>
                  <w:tcW w:w="2213" w:type="dxa"/>
                  <w:noWrap w:val="0"/>
                  <w:vAlign w:val="center"/>
                </w:tcPr>
                <w:p w14:paraId="34149C36">
                  <w:pPr>
                    <w:widowControl w:val="0"/>
                    <w:spacing w:after="0" w:line="240" w:lineRule="auto"/>
                    <w:ind w:left="0" w:leftChars="0" w:firstLine="0"/>
                    <w:jc w:val="cente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主要污染物</w:t>
                  </w:r>
                </w:p>
              </w:tc>
              <w:tc>
                <w:tcPr>
                  <w:tcW w:w="3209" w:type="dxa"/>
                  <w:noWrap w:val="0"/>
                  <w:vAlign w:val="center"/>
                </w:tcPr>
                <w:p w14:paraId="5DE5340F">
                  <w:pPr>
                    <w:widowControl w:val="0"/>
                    <w:spacing w:after="0" w:line="240" w:lineRule="auto"/>
                    <w:ind w:left="0" w:leftChars="0" w:firstLine="0"/>
                    <w:jc w:val="cente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收集、处置、排放措施</w:t>
                  </w:r>
                </w:p>
              </w:tc>
            </w:tr>
            <w:tr w14:paraId="5197C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2" w:type="dxa"/>
                  <w:vMerge w:val="restart"/>
                  <w:noWrap w:val="0"/>
                  <w:vAlign w:val="center"/>
                </w:tcPr>
                <w:p w14:paraId="1A0CC457">
                  <w:pPr>
                    <w:widowControl w:val="0"/>
                    <w:spacing w:after="0" w:line="240" w:lineRule="auto"/>
                    <w:ind w:left="0" w:leftChars="0" w:firstLine="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废气</w:t>
                  </w:r>
                </w:p>
              </w:tc>
              <w:tc>
                <w:tcPr>
                  <w:tcW w:w="2107" w:type="dxa"/>
                  <w:noWrap w:val="0"/>
                  <w:vAlign w:val="center"/>
                </w:tcPr>
                <w:p w14:paraId="082BDD52">
                  <w:pPr>
                    <w:widowControl w:val="0"/>
                    <w:spacing w:after="0" w:line="240" w:lineRule="auto"/>
                    <w:ind w:left="0" w:leftChars="0" w:firstLine="0"/>
                    <w:jc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电预热、模压成型、罩光</w:t>
                  </w:r>
                </w:p>
              </w:tc>
              <w:tc>
                <w:tcPr>
                  <w:tcW w:w="2213" w:type="dxa"/>
                  <w:noWrap w:val="0"/>
                  <w:vAlign w:val="center"/>
                </w:tcPr>
                <w:p w14:paraId="2EE77391">
                  <w:pPr>
                    <w:widowControl w:val="0"/>
                    <w:spacing w:after="0" w:line="240" w:lineRule="auto"/>
                    <w:ind w:left="0" w:leftChars="0" w:firstLine="0"/>
                    <w:jc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非甲烷总烃、甲醛</w:t>
                  </w:r>
                </w:p>
              </w:tc>
              <w:tc>
                <w:tcPr>
                  <w:tcW w:w="3209" w:type="dxa"/>
                  <w:noWrap w:val="0"/>
                  <w:vAlign w:val="center"/>
                </w:tcPr>
                <w:p w14:paraId="4CE476F6">
                  <w:pPr>
                    <w:widowControl w:val="0"/>
                    <w:spacing w:after="0" w:line="240" w:lineRule="auto"/>
                    <w:ind w:left="0" w:leftChars="0" w:firstLine="0"/>
                    <w:jc w:val="both"/>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采用引风机（风机风量</w:t>
                  </w:r>
                  <w:r>
                    <w:rPr>
                      <w:rFonts w:hint="eastAsia" w:cs="Times New Roman"/>
                      <w:color w:val="000000" w:themeColor="text1"/>
                      <w:kern w:val="0"/>
                      <w:sz w:val="21"/>
                      <w:szCs w:val="21"/>
                      <w:highlight w:val="none"/>
                      <w:lang w:val="en-US" w:eastAsia="zh-CN" w:bidi="ar-SA"/>
                      <w14:textFill>
                        <w14:solidFill>
                          <w14:schemeClr w14:val="tx1"/>
                        </w14:solidFill>
                      </w14:textFill>
                    </w:rPr>
                    <w:t>20</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00</w:t>
                  </w:r>
                  <w:r>
                    <w:rPr>
                      <w:rFonts w:hint="eastAsia" w:cs="Times New Roman"/>
                      <w:color w:val="000000" w:themeColor="text1"/>
                      <w:kern w:val="0"/>
                      <w:sz w:val="21"/>
                      <w:szCs w:val="21"/>
                      <w:highlight w:val="none"/>
                      <w:lang w:val="en-US" w:eastAsia="zh-CN" w:bidi="ar-SA"/>
                      <w14:textFill>
                        <w14:solidFill>
                          <w14:schemeClr w14:val="tx1"/>
                        </w14:solidFill>
                      </w14:textFill>
                    </w:rPr>
                    <w:t>0</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/h）+集气罩（收集效率90%）+活性炭吸附/脱附+催化燃烧处理后通过15m高排气筒（DA001）外排</w:t>
                  </w:r>
                  <w:r>
                    <w:rPr>
                      <w:rFonts w:hint="eastAsia" w:cs="Times New Roman"/>
                      <w:color w:val="000000" w:themeColor="text1"/>
                      <w:kern w:val="0"/>
                      <w:sz w:val="21"/>
                      <w:szCs w:val="21"/>
                      <w:highlight w:val="none"/>
                      <w:lang w:val="en-US" w:eastAsia="zh-CN" w:bidi="ar-SA"/>
                      <w14:textFill>
                        <w14:solidFill>
                          <w14:schemeClr w14:val="tx1"/>
                        </w14:solidFill>
                      </w14:textFill>
                    </w:rPr>
                    <w:t>。</w:t>
                  </w:r>
                </w:p>
              </w:tc>
            </w:tr>
            <w:tr w14:paraId="0A3A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692" w:type="dxa"/>
                  <w:vMerge w:val="continue"/>
                  <w:noWrap w:val="0"/>
                  <w:vAlign w:val="center"/>
                </w:tcPr>
                <w:p w14:paraId="147FF035">
                  <w:pPr>
                    <w:widowControl w:val="0"/>
                    <w:spacing w:after="0" w:line="240" w:lineRule="auto"/>
                    <w:ind w:left="0" w:leftChars="0" w:firstLine="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2107" w:type="dxa"/>
                  <w:noWrap w:val="0"/>
                  <w:vAlign w:val="center"/>
                </w:tcPr>
                <w:p w14:paraId="27653F7A">
                  <w:pPr>
                    <w:widowControl w:val="0"/>
                    <w:spacing w:after="0" w:line="240" w:lineRule="auto"/>
                    <w:ind w:left="0" w:leftChars="0" w:firstLine="0" w:firstLineChars="0"/>
                    <w:jc w:val="cente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称量</w:t>
                  </w: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打磨</w:t>
                  </w:r>
                </w:p>
              </w:tc>
              <w:tc>
                <w:tcPr>
                  <w:tcW w:w="2213" w:type="dxa"/>
                  <w:noWrap w:val="0"/>
                  <w:vAlign w:val="center"/>
                </w:tcPr>
                <w:p w14:paraId="3813049C">
                  <w:pPr>
                    <w:widowControl w:val="0"/>
                    <w:spacing w:after="0" w:line="240" w:lineRule="auto"/>
                    <w:ind w:left="0" w:leftChars="0" w:firstLine="0"/>
                    <w:jc w:val="cente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粉尘</w:t>
                  </w:r>
                </w:p>
              </w:tc>
              <w:tc>
                <w:tcPr>
                  <w:tcW w:w="3209" w:type="dxa"/>
                  <w:noWrap w:val="0"/>
                  <w:vAlign w:val="center"/>
                </w:tcPr>
                <w:p w14:paraId="3CEB8FC5">
                  <w:pPr>
                    <w:widowControl w:val="0"/>
                    <w:spacing w:after="0" w:line="240" w:lineRule="auto"/>
                    <w:ind w:left="0" w:leftChars="0" w:firstLine="0"/>
                    <w:jc w:val="both"/>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采用</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引风机（风机风量</w:t>
                  </w:r>
                  <w:r>
                    <w:rPr>
                      <w:rFonts w:hint="eastAsia" w:cs="Times New Roman"/>
                      <w:color w:val="000000" w:themeColor="text1"/>
                      <w:kern w:val="0"/>
                      <w:sz w:val="21"/>
                      <w:szCs w:val="21"/>
                      <w:highlight w:val="none"/>
                      <w:lang w:val="en-US" w:eastAsia="zh-CN" w:bidi="ar-SA"/>
                      <w14:textFill>
                        <w14:solidFill>
                          <w14:schemeClr w14:val="tx1"/>
                        </w14:solidFill>
                      </w14:textFill>
                    </w:rPr>
                    <w:t>7</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000m</w:t>
                  </w:r>
                  <w:r>
                    <w:rPr>
                      <w:rFonts w:hint="default" w:ascii="Times New Roman" w:hAnsi="Times New Roman" w:eastAsia="宋体" w:cs="Times New Roman"/>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/h）+集气罩（收集效率85%）+布袋除尘器处理后通过15m高排气筒（DA002）外排</w:t>
                  </w:r>
                  <w:r>
                    <w:rPr>
                      <w:rFonts w:hint="eastAsia" w:cs="Times New Roman"/>
                      <w:color w:val="000000" w:themeColor="text1"/>
                      <w:kern w:val="0"/>
                      <w:sz w:val="21"/>
                      <w:szCs w:val="21"/>
                      <w:highlight w:val="none"/>
                      <w:lang w:val="en-US" w:eastAsia="zh-CN" w:bidi="ar-SA"/>
                      <w14:textFill>
                        <w14:solidFill>
                          <w14:schemeClr w14:val="tx1"/>
                        </w14:solidFill>
                      </w14:textFill>
                    </w:rPr>
                    <w:t>。</w:t>
                  </w:r>
                </w:p>
              </w:tc>
            </w:tr>
            <w:tr w14:paraId="7C0D7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2" w:type="dxa"/>
                  <w:vMerge w:val="restart"/>
                  <w:noWrap w:val="0"/>
                  <w:vAlign w:val="center"/>
                </w:tcPr>
                <w:p w14:paraId="05CD83C4">
                  <w:pPr>
                    <w:widowControl w:val="0"/>
                    <w:spacing w:after="0" w:line="240" w:lineRule="auto"/>
                    <w:ind w:left="0" w:leftChars="0" w:firstLine="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废水</w:t>
                  </w:r>
                </w:p>
              </w:tc>
              <w:tc>
                <w:tcPr>
                  <w:tcW w:w="2107" w:type="dxa"/>
                  <w:noWrap w:val="0"/>
                  <w:vAlign w:val="center"/>
                </w:tcPr>
                <w:p w14:paraId="222ADC28">
                  <w:pPr>
                    <w:widowControl w:val="0"/>
                    <w:spacing w:after="0" w:line="240" w:lineRule="auto"/>
                    <w:ind w:left="0" w:leftChars="0" w:firstLine="0" w:firstLineChars="0"/>
                    <w:jc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冷却</w:t>
                  </w:r>
                </w:p>
              </w:tc>
              <w:tc>
                <w:tcPr>
                  <w:tcW w:w="2213" w:type="dxa"/>
                  <w:noWrap w:val="0"/>
                  <w:vAlign w:val="center"/>
                </w:tcPr>
                <w:p w14:paraId="3921B0F0">
                  <w:pPr>
                    <w:widowControl w:val="0"/>
                    <w:spacing w:after="0" w:line="240" w:lineRule="auto"/>
                    <w:ind w:left="0" w:leftChars="0" w:firstLine="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冷却循环用水</w:t>
                  </w:r>
                </w:p>
              </w:tc>
              <w:tc>
                <w:tcPr>
                  <w:tcW w:w="3209" w:type="dxa"/>
                  <w:noWrap w:val="0"/>
                  <w:vAlign w:val="center"/>
                </w:tcPr>
                <w:p w14:paraId="3A1D175A">
                  <w:pPr>
                    <w:widowControl w:val="0"/>
                    <w:spacing w:after="0" w:line="240" w:lineRule="auto"/>
                    <w:ind w:left="0" w:leftChars="0" w:firstLine="0"/>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冷却水循环使用</w:t>
                  </w:r>
                  <w:r>
                    <w:rPr>
                      <w:rFonts w:hint="eastAsia" w:cs="Times New Roman"/>
                      <w:color w:val="000000" w:themeColor="text1"/>
                      <w:kern w:val="0"/>
                      <w:sz w:val="21"/>
                      <w:szCs w:val="21"/>
                      <w:highlight w:val="none"/>
                      <w:lang w:val="en-US" w:eastAsia="zh-CN" w:bidi="ar"/>
                      <w14:textFill>
                        <w14:solidFill>
                          <w14:schemeClr w14:val="tx1"/>
                        </w14:solidFill>
                      </w14:textFill>
                    </w:rPr>
                    <w:t>。</w:t>
                  </w:r>
                </w:p>
              </w:tc>
            </w:tr>
            <w:tr w14:paraId="4BCDE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2" w:type="dxa"/>
                  <w:vMerge w:val="continue"/>
                  <w:noWrap w:val="0"/>
                  <w:vAlign w:val="center"/>
                </w:tcPr>
                <w:p w14:paraId="114DDC45">
                  <w:pPr>
                    <w:widowControl w:val="0"/>
                    <w:spacing w:after="0" w:line="240" w:lineRule="auto"/>
                    <w:ind w:left="0" w:leftChars="0" w:firstLine="0"/>
                    <w:jc w:val="center"/>
                    <w:rPr>
                      <w:rFonts w:hint="eastAsia" w:cs="Times New Roman"/>
                      <w:color w:val="000000" w:themeColor="text1"/>
                      <w:kern w:val="0"/>
                      <w:sz w:val="21"/>
                      <w:szCs w:val="21"/>
                      <w:highlight w:val="none"/>
                      <w:lang w:val="en-US" w:eastAsia="zh-CN" w:bidi="ar-SA"/>
                      <w14:textFill>
                        <w14:solidFill>
                          <w14:schemeClr w14:val="tx1"/>
                        </w14:solidFill>
                      </w14:textFill>
                    </w:rPr>
                  </w:pPr>
                </w:p>
              </w:tc>
              <w:tc>
                <w:tcPr>
                  <w:tcW w:w="2107" w:type="dxa"/>
                  <w:noWrap w:val="0"/>
                  <w:vAlign w:val="center"/>
                </w:tcPr>
                <w:p w14:paraId="2D7872C5">
                  <w:pPr>
                    <w:widowControl w:val="0"/>
                    <w:spacing w:after="0" w:line="240" w:lineRule="auto"/>
                    <w:ind w:left="0" w:leftChars="0" w:firstLine="0" w:firstLineChars="0"/>
                    <w:jc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加金</w:t>
                  </w:r>
                </w:p>
              </w:tc>
              <w:tc>
                <w:tcPr>
                  <w:tcW w:w="2213" w:type="dxa"/>
                  <w:noWrap w:val="0"/>
                  <w:vAlign w:val="center"/>
                </w:tcPr>
                <w:p w14:paraId="67744C8B">
                  <w:pPr>
                    <w:widowControl w:val="0"/>
                    <w:spacing w:after="0" w:line="240" w:lineRule="auto"/>
                    <w:ind w:left="0" w:leftChars="0" w:firstLine="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加金用水</w:t>
                  </w:r>
                </w:p>
              </w:tc>
              <w:tc>
                <w:tcPr>
                  <w:tcW w:w="3209" w:type="dxa"/>
                  <w:noWrap w:val="0"/>
                  <w:vAlign w:val="center"/>
                </w:tcPr>
                <w:p w14:paraId="59106E6F">
                  <w:pPr>
                    <w:widowControl w:val="0"/>
                    <w:spacing w:after="0" w:line="240" w:lineRule="auto"/>
                    <w:ind w:left="0" w:leftChars="0" w:firstLine="0"/>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加金用水通过液压机高温压制后蒸发损耗，无废水产生</w:t>
                  </w:r>
                  <w:r>
                    <w:rPr>
                      <w:rFonts w:hint="eastAsia" w:cs="Times New Roman"/>
                      <w:color w:val="000000" w:themeColor="text1"/>
                      <w:kern w:val="0"/>
                      <w:sz w:val="21"/>
                      <w:szCs w:val="21"/>
                      <w:highlight w:val="none"/>
                      <w:lang w:val="en-US" w:eastAsia="zh-CN" w:bidi="ar"/>
                      <w14:textFill>
                        <w14:solidFill>
                          <w14:schemeClr w14:val="tx1"/>
                        </w14:solidFill>
                      </w14:textFill>
                    </w:rPr>
                    <w:t>。</w:t>
                  </w:r>
                </w:p>
              </w:tc>
            </w:tr>
            <w:tr w14:paraId="63E5D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2" w:type="dxa"/>
                  <w:noWrap w:val="0"/>
                  <w:vAlign w:val="center"/>
                </w:tcPr>
                <w:p w14:paraId="0BCE0AE3">
                  <w:pPr>
                    <w:widowControl w:val="0"/>
                    <w:spacing w:after="0" w:line="240" w:lineRule="auto"/>
                    <w:ind w:left="0" w:leftChars="0" w:firstLine="0" w:firstLineChars="0"/>
                    <w:jc w:val="center"/>
                    <w:rPr>
                      <w:rFonts w:hint="eastAsia"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噪声</w:t>
                  </w:r>
                </w:p>
              </w:tc>
              <w:tc>
                <w:tcPr>
                  <w:tcW w:w="2107" w:type="dxa"/>
                  <w:noWrap w:val="0"/>
                  <w:vAlign w:val="center"/>
                </w:tcPr>
                <w:p w14:paraId="223EA36C">
                  <w:pPr>
                    <w:widowControl w:val="0"/>
                    <w:spacing w:after="0" w:line="240" w:lineRule="auto"/>
                    <w:ind w:left="0" w:leftChars="0" w:firstLine="0" w:firstLineChars="0"/>
                    <w:jc w:val="center"/>
                    <w:rPr>
                      <w:rFonts w:hint="eastAsia"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生产设备、进出车辆</w:t>
                  </w:r>
                </w:p>
              </w:tc>
              <w:tc>
                <w:tcPr>
                  <w:tcW w:w="2213" w:type="dxa"/>
                  <w:noWrap w:val="0"/>
                  <w:vAlign w:val="center"/>
                </w:tcPr>
                <w:p w14:paraId="6E5366BF">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运行噪声</w:t>
                  </w:r>
                </w:p>
              </w:tc>
              <w:tc>
                <w:tcPr>
                  <w:tcW w:w="3209" w:type="dxa"/>
                  <w:noWrap w:val="0"/>
                  <w:vAlign w:val="center"/>
                </w:tcPr>
                <w:p w14:paraId="0D57E568">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基础减震、距离衰减</w:t>
                  </w:r>
                </w:p>
              </w:tc>
            </w:tr>
            <w:tr w14:paraId="1421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2" w:type="dxa"/>
                  <w:vMerge w:val="restart"/>
                  <w:noWrap w:val="0"/>
                  <w:vAlign w:val="center"/>
                </w:tcPr>
                <w:p w14:paraId="0AEE64C1">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固废</w:t>
                  </w:r>
                </w:p>
              </w:tc>
              <w:tc>
                <w:tcPr>
                  <w:tcW w:w="2107" w:type="dxa"/>
                  <w:vMerge w:val="restart"/>
                  <w:noWrap w:val="0"/>
                  <w:vAlign w:val="center"/>
                </w:tcPr>
                <w:p w14:paraId="62418A46">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一般固体废物</w:t>
                  </w:r>
                </w:p>
              </w:tc>
              <w:tc>
                <w:tcPr>
                  <w:tcW w:w="2213" w:type="dxa"/>
                  <w:noWrap w:val="0"/>
                  <w:vAlign w:val="center"/>
                </w:tcPr>
                <w:p w14:paraId="13FA6B7F">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称量打磨废气收尘灰</w:t>
                  </w:r>
                </w:p>
              </w:tc>
              <w:tc>
                <w:tcPr>
                  <w:tcW w:w="3209" w:type="dxa"/>
                  <w:noWrap w:val="0"/>
                  <w:vAlign w:val="center"/>
                </w:tcPr>
                <w:p w14:paraId="4CF9BF14">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收集后外售综合利用</w:t>
                  </w:r>
                </w:p>
              </w:tc>
            </w:tr>
            <w:tr w14:paraId="75AF8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2" w:type="dxa"/>
                  <w:vMerge w:val="continue"/>
                  <w:noWrap w:val="0"/>
                  <w:vAlign w:val="center"/>
                </w:tcPr>
                <w:p w14:paraId="5F4ECCA6">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2107" w:type="dxa"/>
                  <w:vMerge w:val="continue"/>
                  <w:noWrap w:val="0"/>
                  <w:vAlign w:val="center"/>
                </w:tcPr>
                <w:p w14:paraId="79FD5CC3">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2213" w:type="dxa"/>
                  <w:noWrap w:val="0"/>
                  <w:vAlign w:val="center"/>
                </w:tcPr>
                <w:p w14:paraId="76A85F26">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车间沉降粉尘</w:t>
                  </w:r>
                </w:p>
              </w:tc>
              <w:tc>
                <w:tcPr>
                  <w:tcW w:w="3209" w:type="dxa"/>
                  <w:noWrap w:val="0"/>
                  <w:vAlign w:val="center"/>
                </w:tcPr>
                <w:p w14:paraId="600C6C87">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收集后委托环卫部门处置</w:t>
                  </w:r>
                </w:p>
              </w:tc>
            </w:tr>
            <w:tr w14:paraId="503D2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2" w:type="dxa"/>
                  <w:vMerge w:val="continue"/>
                  <w:noWrap w:val="0"/>
                  <w:vAlign w:val="center"/>
                </w:tcPr>
                <w:p w14:paraId="5E9B53E6">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2107" w:type="dxa"/>
                  <w:vMerge w:val="continue"/>
                  <w:noWrap w:val="0"/>
                  <w:vAlign w:val="center"/>
                </w:tcPr>
                <w:p w14:paraId="64152685">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2213" w:type="dxa"/>
                  <w:noWrap w:val="0"/>
                  <w:vAlign w:val="center"/>
                </w:tcPr>
                <w:p w14:paraId="482F8505">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边角料与不合格品</w:t>
                  </w:r>
                </w:p>
              </w:tc>
              <w:tc>
                <w:tcPr>
                  <w:tcW w:w="3209" w:type="dxa"/>
                  <w:noWrap w:val="0"/>
                  <w:vAlign w:val="center"/>
                </w:tcPr>
                <w:p w14:paraId="7B8D2299">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收集后外售综合利用</w:t>
                  </w:r>
                </w:p>
              </w:tc>
            </w:tr>
            <w:tr w14:paraId="270BC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2" w:type="dxa"/>
                  <w:vMerge w:val="continue"/>
                  <w:noWrap w:val="0"/>
                  <w:vAlign w:val="center"/>
                </w:tcPr>
                <w:p w14:paraId="294A86C5">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2107" w:type="dxa"/>
                  <w:vMerge w:val="continue"/>
                  <w:noWrap w:val="0"/>
                  <w:vAlign w:val="center"/>
                </w:tcPr>
                <w:p w14:paraId="3EEA9CCC">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2213" w:type="dxa"/>
                  <w:noWrap w:val="0"/>
                  <w:vAlign w:val="center"/>
                </w:tcPr>
                <w:p w14:paraId="62CC7E5C">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废包装袋</w:t>
                  </w:r>
                </w:p>
              </w:tc>
              <w:tc>
                <w:tcPr>
                  <w:tcW w:w="3209" w:type="dxa"/>
                  <w:noWrap w:val="0"/>
                  <w:vAlign w:val="center"/>
                </w:tcPr>
                <w:p w14:paraId="3AE71B90">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收集后外售综合利用</w:t>
                  </w:r>
                </w:p>
              </w:tc>
            </w:tr>
            <w:tr w14:paraId="6B429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2" w:type="dxa"/>
                  <w:vMerge w:val="continue"/>
                  <w:noWrap w:val="0"/>
                  <w:vAlign w:val="center"/>
                </w:tcPr>
                <w:p w14:paraId="35403DDF">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2107" w:type="dxa"/>
                  <w:vMerge w:val="restart"/>
                  <w:noWrap w:val="0"/>
                  <w:vAlign w:val="center"/>
                </w:tcPr>
                <w:p w14:paraId="528AB5F1">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危险废物</w:t>
                  </w:r>
                </w:p>
              </w:tc>
              <w:tc>
                <w:tcPr>
                  <w:tcW w:w="2213" w:type="dxa"/>
                  <w:noWrap w:val="0"/>
                  <w:vAlign w:val="center"/>
                </w:tcPr>
                <w:p w14:paraId="2D7CF7FC">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废润滑油</w:t>
                  </w:r>
                </w:p>
              </w:tc>
              <w:tc>
                <w:tcPr>
                  <w:tcW w:w="3209" w:type="dxa"/>
                  <w:vMerge w:val="restart"/>
                  <w:noWrap w:val="0"/>
                  <w:vAlign w:val="center"/>
                </w:tcPr>
                <w:p w14:paraId="445351D7">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收集后分区暂存于危险废物暂存间，委托有资质单位处置</w:t>
                  </w:r>
                </w:p>
              </w:tc>
            </w:tr>
            <w:tr w14:paraId="27DD8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2" w:type="dxa"/>
                  <w:vMerge w:val="continue"/>
                  <w:noWrap w:val="0"/>
                  <w:vAlign w:val="center"/>
                </w:tcPr>
                <w:p w14:paraId="15D0F775">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2107" w:type="dxa"/>
                  <w:vMerge w:val="continue"/>
                  <w:noWrap w:val="0"/>
                  <w:vAlign w:val="center"/>
                </w:tcPr>
                <w:p w14:paraId="63B7733A">
                  <w:pPr>
                    <w:widowControl w:val="0"/>
                    <w:spacing w:after="0" w:line="240" w:lineRule="auto"/>
                    <w:ind w:left="0" w:leftChars="0" w:firstLine="0" w:firstLineChars="0"/>
                    <w:jc w:val="center"/>
                    <w:rPr>
                      <w:rFonts w:hint="eastAsia" w:cs="Times New Roman"/>
                      <w:color w:val="000000" w:themeColor="text1"/>
                      <w:kern w:val="0"/>
                      <w:sz w:val="21"/>
                      <w:szCs w:val="21"/>
                      <w:highlight w:val="none"/>
                      <w:lang w:val="en-US" w:eastAsia="zh-CN" w:bidi="ar-SA"/>
                      <w14:textFill>
                        <w14:solidFill>
                          <w14:schemeClr w14:val="tx1"/>
                        </w14:solidFill>
                      </w14:textFill>
                    </w:rPr>
                  </w:pPr>
                </w:p>
              </w:tc>
              <w:tc>
                <w:tcPr>
                  <w:tcW w:w="2213" w:type="dxa"/>
                  <w:shd w:val="clear" w:color="auto" w:fill="auto"/>
                  <w:noWrap w:val="0"/>
                  <w:vAlign w:val="center"/>
                </w:tcPr>
                <w:p w14:paraId="4FACAA4C">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废油桶</w:t>
                  </w:r>
                </w:p>
              </w:tc>
              <w:tc>
                <w:tcPr>
                  <w:tcW w:w="3209" w:type="dxa"/>
                  <w:vMerge w:val="continue"/>
                  <w:noWrap w:val="0"/>
                  <w:vAlign w:val="center"/>
                </w:tcPr>
                <w:p w14:paraId="16C3FC9D">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r>
            <w:tr w14:paraId="78B07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2" w:type="dxa"/>
                  <w:vMerge w:val="continue"/>
                  <w:noWrap w:val="0"/>
                  <w:vAlign w:val="center"/>
                </w:tcPr>
                <w:p w14:paraId="069AA376">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2107" w:type="dxa"/>
                  <w:vMerge w:val="continue"/>
                  <w:noWrap w:val="0"/>
                  <w:vAlign w:val="center"/>
                </w:tcPr>
                <w:p w14:paraId="52F7FA97">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2213" w:type="dxa"/>
                  <w:shd w:val="clear" w:color="auto" w:fill="auto"/>
                  <w:noWrap w:val="0"/>
                  <w:vAlign w:val="center"/>
                </w:tcPr>
                <w:p w14:paraId="1B52B5FA">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废液压油</w:t>
                  </w:r>
                </w:p>
              </w:tc>
              <w:tc>
                <w:tcPr>
                  <w:tcW w:w="3209" w:type="dxa"/>
                  <w:vMerge w:val="continue"/>
                  <w:noWrap w:val="0"/>
                  <w:vAlign w:val="center"/>
                </w:tcPr>
                <w:p w14:paraId="05052E69">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r>
            <w:tr w14:paraId="069A9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2" w:type="dxa"/>
                  <w:vMerge w:val="continue"/>
                  <w:noWrap w:val="0"/>
                  <w:vAlign w:val="center"/>
                </w:tcPr>
                <w:p w14:paraId="5C362578">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2107" w:type="dxa"/>
                  <w:vMerge w:val="continue"/>
                  <w:noWrap w:val="0"/>
                  <w:vAlign w:val="center"/>
                </w:tcPr>
                <w:p w14:paraId="6E524AF8">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2213" w:type="dxa"/>
                  <w:shd w:val="clear" w:color="auto" w:fill="auto"/>
                  <w:noWrap w:val="0"/>
                  <w:vAlign w:val="center"/>
                </w:tcPr>
                <w:p w14:paraId="090CA469">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废活性炭</w:t>
                  </w:r>
                </w:p>
              </w:tc>
              <w:tc>
                <w:tcPr>
                  <w:tcW w:w="3209" w:type="dxa"/>
                  <w:vMerge w:val="continue"/>
                  <w:noWrap w:val="0"/>
                  <w:vAlign w:val="center"/>
                </w:tcPr>
                <w:p w14:paraId="415AA2DA">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r>
            <w:tr w14:paraId="043D5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2" w:type="dxa"/>
                  <w:vMerge w:val="continue"/>
                  <w:noWrap w:val="0"/>
                  <w:vAlign w:val="center"/>
                </w:tcPr>
                <w:p w14:paraId="12AA557F">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2107" w:type="dxa"/>
                  <w:vMerge w:val="continue"/>
                  <w:noWrap w:val="0"/>
                  <w:vAlign w:val="center"/>
                </w:tcPr>
                <w:p w14:paraId="1981D60A">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2213" w:type="dxa"/>
                  <w:noWrap w:val="0"/>
                  <w:vAlign w:val="center"/>
                </w:tcPr>
                <w:p w14:paraId="23DEB257">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废催化剂</w:t>
                  </w:r>
                </w:p>
              </w:tc>
              <w:tc>
                <w:tcPr>
                  <w:tcW w:w="3209" w:type="dxa"/>
                  <w:vMerge w:val="continue"/>
                  <w:noWrap w:val="0"/>
                  <w:vAlign w:val="center"/>
                </w:tcPr>
                <w:p w14:paraId="630600D4">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r>
            <w:tr w14:paraId="0F537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2" w:type="dxa"/>
                  <w:vMerge w:val="continue"/>
                  <w:noWrap w:val="0"/>
                  <w:vAlign w:val="center"/>
                </w:tcPr>
                <w:p w14:paraId="0918E04A">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2107" w:type="dxa"/>
                  <w:noWrap w:val="0"/>
                  <w:vAlign w:val="center"/>
                </w:tcPr>
                <w:p w14:paraId="612D3554">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办公生活</w:t>
                  </w:r>
                </w:p>
              </w:tc>
              <w:tc>
                <w:tcPr>
                  <w:tcW w:w="2213" w:type="dxa"/>
                  <w:noWrap w:val="0"/>
                  <w:vAlign w:val="center"/>
                </w:tcPr>
                <w:p w14:paraId="3B93A7C8">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生活垃圾</w:t>
                  </w:r>
                </w:p>
              </w:tc>
              <w:tc>
                <w:tcPr>
                  <w:tcW w:w="3209" w:type="dxa"/>
                  <w:noWrap w:val="0"/>
                  <w:vAlign w:val="center"/>
                </w:tcPr>
                <w:p w14:paraId="481DA08B">
                  <w:pPr>
                    <w:widowControl w:val="0"/>
                    <w:spacing w:after="0" w:line="240" w:lineRule="auto"/>
                    <w:ind w:left="0" w:lef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收集后委托环卫部门清运处置</w:t>
                  </w:r>
                </w:p>
              </w:tc>
            </w:tr>
          </w:tbl>
          <w:p w14:paraId="346E8586">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color w:val="000000" w:themeColor="text1"/>
                <w:lang w:val="en-US" w:eastAsia="zh-CN"/>
                <w14:textFill>
                  <w14:solidFill>
                    <w14:schemeClr w14:val="tx1"/>
                  </w14:solidFill>
                </w14:textFill>
              </w:rPr>
            </w:pPr>
          </w:p>
        </w:tc>
      </w:tr>
      <w:tr w14:paraId="532ED2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15" w:type="dxa"/>
            <w:vAlign w:val="center"/>
          </w:tcPr>
          <w:p w14:paraId="5BD0929B">
            <w:pPr>
              <w:pStyle w:val="26"/>
              <w:adjustRightInd w:val="0"/>
              <w:snapToGrid w:val="0"/>
              <w:spacing w:before="0" w:beforeAutospacing="0" w:after="0" w:afterAutospacing="0"/>
              <w:jc w:val="center"/>
              <w:rPr>
                <w:rFonts w:hint="default" w:ascii="Times New Roman" w:hAnsi="Times New Roman" w:cs="Times New Roman"/>
                <w:color w:val="000000" w:themeColor="text1"/>
                <w:szCs w:val="24"/>
                <w:highlight w:val="none"/>
                <w14:textFill>
                  <w14:solidFill>
                    <w14:schemeClr w14:val="tx1"/>
                  </w14:solidFill>
                </w14:textFill>
              </w:rPr>
            </w:pPr>
            <w:r>
              <w:rPr>
                <w:rFonts w:hint="default" w:ascii="Times New Roman" w:hAnsi="Times New Roman" w:cs="Times New Roman"/>
                <w:bCs/>
                <w:color w:val="000000" w:themeColor="text1"/>
                <w:szCs w:val="24"/>
                <w:highlight w:val="none"/>
                <w14:textFill>
                  <w14:solidFill>
                    <w14:schemeClr w14:val="tx1"/>
                  </w14:solidFill>
                </w14:textFill>
              </w:rPr>
              <w:t>与项目有关的原有环境污染问题</w:t>
            </w:r>
          </w:p>
        </w:tc>
        <w:tc>
          <w:tcPr>
            <w:tcW w:w="8447" w:type="dxa"/>
            <w:vAlign w:val="center"/>
          </w:tcPr>
          <w:p w14:paraId="32EBB55D">
            <w:pPr>
              <w:pStyle w:val="11"/>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jc w:val="both"/>
              <w:textAlignment w:val="auto"/>
              <w:rPr>
                <w:rFonts w:hint="default" w:cs="Times New Roman"/>
                <w:color w:val="000000" w:themeColor="text1"/>
                <w:kern w:val="2"/>
                <w:sz w:val="24"/>
                <w:szCs w:val="24"/>
                <w:highlight w:val="none"/>
                <w:lang w:val="en-US" w:eastAsia="zh-CN" w:bidi="ar-SA"/>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本项目为新建项目，租用</w:t>
            </w:r>
            <w:r>
              <w:rPr>
                <w:rFonts w:hint="eastAsia" w:cs="Times New Roman"/>
                <w:b w:val="0"/>
                <w:bCs/>
                <w:color w:val="000000" w:themeColor="text1"/>
                <w:sz w:val="24"/>
                <w:lang w:val="en-US" w:eastAsia="zh-CN"/>
                <w14:textFill>
                  <w14:solidFill>
                    <w14:schemeClr w14:val="tx1"/>
                  </w14:solidFill>
                </w14:textFill>
              </w:rPr>
              <w:t>云南联帆建材科技有限公司</w:t>
            </w:r>
            <w:r>
              <w:rPr>
                <w:rFonts w:hint="default"/>
                <w:color w:val="000000" w:themeColor="text1"/>
                <w:highlight w:val="none"/>
                <w:lang w:val="en-US" w:eastAsia="zh-CN"/>
                <w14:textFill>
                  <w14:solidFill>
                    <w14:schemeClr w14:val="tx1"/>
                  </w14:solidFill>
                </w14:textFill>
              </w:rPr>
              <w:t>标准厂房</w:t>
            </w:r>
            <w:r>
              <w:rPr>
                <w:rFonts w:hint="eastAsia"/>
                <w:color w:val="000000" w:themeColor="text1"/>
                <w:highlight w:val="none"/>
                <w:lang w:val="en-US" w:eastAsia="zh-CN"/>
                <w14:textFill>
                  <w14:solidFill>
                    <w14:schemeClr w14:val="tx1"/>
                  </w14:solidFill>
                </w14:textFill>
              </w:rPr>
              <w:t>进行生产密胺餐具。</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根据调查</w:t>
            </w:r>
            <w:r>
              <w:rPr>
                <w:rFonts w:hint="eastAsia" w:cs="Times New Roman"/>
                <w:color w:val="000000" w:themeColor="text1"/>
                <w:kern w:val="2"/>
                <w:sz w:val="24"/>
                <w:szCs w:val="24"/>
                <w:highlight w:val="none"/>
                <w:lang w:val="en-US" w:eastAsia="zh-CN" w:bidi="ar-SA"/>
                <w14:textFill>
                  <w14:solidFill>
                    <w14:schemeClr w14:val="tx1"/>
                  </w14:solidFill>
                </w14:textFill>
              </w:rPr>
              <w:t>以及云南联帆建材科技有限公司提供资料，目前该项目所租用厂房为原成品仓库，不涉及生产污染源。</w:t>
            </w:r>
          </w:p>
          <w:p w14:paraId="597DE91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cs="Times New Roman"/>
                <w:b/>
                <w:bCs/>
                <w:color w:val="000000" w:themeColor="text1"/>
                <w:kern w:val="2"/>
                <w:sz w:val="24"/>
                <w:szCs w:val="24"/>
                <w:highlight w:val="none"/>
                <w:lang w:val="en-US" w:eastAsia="zh-CN" w:bidi="ar-SA"/>
                <w14:textFill>
                  <w14:solidFill>
                    <w14:schemeClr w14:val="tx1"/>
                  </w14:solidFill>
                </w14:textFill>
              </w:rPr>
            </w:pPr>
            <w:r>
              <w:rPr>
                <w:rFonts w:hint="eastAsia" w:cs="Times New Roman"/>
                <w:b/>
                <w:bCs/>
                <w:color w:val="000000" w:themeColor="text1"/>
                <w:kern w:val="2"/>
                <w:sz w:val="24"/>
                <w:szCs w:val="24"/>
                <w:highlight w:val="none"/>
                <w:lang w:val="en-US" w:eastAsia="zh-CN" w:bidi="ar-SA"/>
                <w14:textFill>
                  <w14:solidFill>
                    <w14:schemeClr w14:val="tx1"/>
                  </w14:solidFill>
                </w14:textFill>
              </w:rPr>
              <w:t>1、云南联帆建材科技有限公司环保手续办理情况</w:t>
            </w:r>
          </w:p>
          <w:p w14:paraId="7868A6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云南联帆建材科技有限公司成立于2019年9月，于2019年11月取得易门县发展和改革局的投资项目备案证（易发改备案〔2019〕195号），于2020年3月编制了《年产4000吨PVC塑料管材生产建设项目环境影响报告表》，并于2020年7月6日取得了《玉溪市生态环境局易门分局关于云南联帆建材科技有限公司年产4000吨PVC塑料管材生产建设项目环境影响报告表的批复》（易环审〔2020〕35号）。联帆科技共建设8条塑料管材生产线，其生产能力为年产4000吨PVC塑料管材，总占地面积为11215m</w:t>
            </w:r>
            <w:r>
              <w:rPr>
                <w:rFonts w:hint="eastAsia"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eastAsia" w:cs="Times New Roman"/>
                <w:color w:val="000000" w:themeColor="text1"/>
                <w:kern w:val="2"/>
                <w:sz w:val="24"/>
                <w:szCs w:val="24"/>
                <w:highlight w:val="none"/>
                <w:lang w:val="en-US" w:eastAsia="zh-CN" w:bidi="ar-SA"/>
                <w14:textFill>
                  <w14:solidFill>
                    <w14:schemeClr w14:val="tx1"/>
                  </w14:solidFill>
                </w14:textFill>
              </w:rPr>
              <w:t>，总建筑面积为7666.6m</w:t>
            </w:r>
            <w:r>
              <w:rPr>
                <w:rFonts w:hint="eastAsia"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eastAsia" w:cs="Times New Roman"/>
                <w:color w:val="000000" w:themeColor="text1"/>
                <w:kern w:val="2"/>
                <w:sz w:val="24"/>
                <w:szCs w:val="24"/>
                <w:highlight w:val="none"/>
                <w:lang w:val="en-US" w:eastAsia="zh-CN" w:bidi="ar-SA"/>
                <w14:textFill>
                  <w14:solidFill>
                    <w14:schemeClr w14:val="tx1"/>
                  </w14:solidFill>
                </w14:textFill>
              </w:rPr>
              <w:t>。已完成了排污许可证（登记编号：91530425MA6P1KKLXC001X），应急预案编制已完成（备案编号：530425-2022-044-L），并于2023年4月完成了竣工环境保护验收监测表编制，并取得验收意见。</w:t>
            </w:r>
          </w:p>
          <w:p w14:paraId="4A9898E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b/>
                <w:bCs/>
                <w:color w:val="000000" w:themeColor="text1"/>
                <w:kern w:val="2"/>
                <w:sz w:val="24"/>
                <w:szCs w:val="24"/>
                <w:highlight w:val="none"/>
                <w:lang w:val="en-US" w:eastAsia="zh-CN" w:bidi="ar-SA"/>
                <w14:textFill>
                  <w14:solidFill>
                    <w14:schemeClr w14:val="tx1"/>
                  </w14:solidFill>
                </w14:textFill>
              </w:rPr>
              <w:t>2、云南联帆建材科技有限公司工程内容</w:t>
            </w:r>
          </w:p>
          <w:p w14:paraId="5D7AC5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云南联帆建材科技有限公司选址于玉溪市易门工业园区麦子田片区，占地面积约11215m</w:t>
            </w:r>
            <w:r>
              <w:rPr>
                <w:rFonts w:hint="eastAsia"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eastAsia" w:cs="Times New Roman"/>
                <w:color w:val="000000" w:themeColor="text1"/>
                <w:kern w:val="2"/>
                <w:sz w:val="24"/>
                <w:szCs w:val="24"/>
                <w:highlight w:val="none"/>
                <w:lang w:val="en-US" w:eastAsia="zh-CN" w:bidi="ar-SA"/>
                <w14:textFill>
                  <w14:solidFill>
                    <w14:schemeClr w14:val="tx1"/>
                  </w14:solidFill>
                </w14:textFill>
              </w:rPr>
              <w:t>，建筑面积约7666.6m</w:t>
            </w:r>
            <w:r>
              <w:rPr>
                <w:rFonts w:hint="eastAsia"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eastAsia" w:cs="Times New Roman"/>
                <w:color w:val="000000" w:themeColor="text1"/>
                <w:kern w:val="2"/>
                <w:sz w:val="24"/>
                <w:szCs w:val="24"/>
                <w:highlight w:val="none"/>
                <w:lang w:val="en-US" w:eastAsia="zh-CN" w:bidi="ar-SA"/>
                <w14:textFill>
                  <w14:solidFill>
                    <w14:schemeClr w14:val="tx1"/>
                  </w14:solidFill>
                </w14:textFill>
              </w:rPr>
              <w:t>，设置8条生产线年产4000吨PVC塑料管材、主要建设内容详见下表：</w:t>
            </w:r>
          </w:p>
          <w:p w14:paraId="2DAFD2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color w:val="000000" w:themeColor="text1"/>
                <w:kern w:val="2"/>
                <w:sz w:val="21"/>
                <w:szCs w:val="21"/>
                <w:highlight w:val="none"/>
                <w:lang w:val="en-US" w:eastAsia="zh-CN" w:bidi="ar-SA"/>
                <w14:textFill>
                  <w14:solidFill>
                    <w14:schemeClr w14:val="tx1"/>
                  </w14:solidFill>
                </w14:textFill>
              </w:rPr>
            </w:pPr>
            <w:r>
              <w:rPr>
                <w:rFonts w:hint="eastAsia" w:cs="Times New Roman"/>
                <w:b/>
                <w:bCs/>
                <w:color w:val="000000" w:themeColor="text1"/>
                <w:kern w:val="2"/>
                <w:sz w:val="21"/>
                <w:szCs w:val="21"/>
                <w:highlight w:val="none"/>
                <w:lang w:val="en-US" w:eastAsia="zh-CN" w:bidi="ar-SA"/>
                <w14:textFill>
                  <w14:solidFill>
                    <w14:schemeClr w14:val="tx1"/>
                  </w14:solidFill>
                </w14:textFill>
              </w:rPr>
              <w:t>表2-9    项目主要建设内容</w:t>
            </w:r>
          </w:p>
          <w:tbl>
            <w:tblPr>
              <w:tblStyle w:val="32"/>
              <w:tblW w:w="84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6"/>
              <w:gridCol w:w="439"/>
              <w:gridCol w:w="1027"/>
              <w:gridCol w:w="4061"/>
              <w:gridCol w:w="2467"/>
            </w:tblGrid>
            <w:tr w14:paraId="55C4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2" w:type="dxa"/>
                  <w:gridSpan w:val="3"/>
                  <w:vAlign w:val="center"/>
                </w:tcPr>
                <w:p w14:paraId="178CBF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bCs/>
                      <w:color w:val="000000" w:themeColor="text1"/>
                      <w:kern w:val="2"/>
                      <w:sz w:val="21"/>
                      <w:szCs w:val="21"/>
                      <w:highlight w:val="none"/>
                      <w:vertAlign w:val="baseline"/>
                      <w:lang w:val="en-US" w:eastAsia="zh-CN" w:bidi="ar-SA"/>
                      <w14:textFill>
                        <w14:solidFill>
                          <w14:schemeClr w14:val="tx1"/>
                        </w14:solidFill>
                      </w14:textFill>
                    </w:rPr>
                    <w:t>工程类别</w:t>
                  </w:r>
                </w:p>
              </w:tc>
              <w:tc>
                <w:tcPr>
                  <w:tcW w:w="4061" w:type="dxa"/>
                  <w:vAlign w:val="center"/>
                </w:tcPr>
                <w:p w14:paraId="54116A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bCs/>
                      <w:color w:val="000000" w:themeColor="text1"/>
                      <w:kern w:val="2"/>
                      <w:sz w:val="21"/>
                      <w:szCs w:val="21"/>
                      <w:highlight w:val="none"/>
                      <w:vertAlign w:val="baseline"/>
                      <w:lang w:val="en-US" w:eastAsia="zh-CN" w:bidi="ar-SA"/>
                      <w14:textFill>
                        <w14:solidFill>
                          <w14:schemeClr w14:val="tx1"/>
                        </w14:solidFill>
                      </w14:textFill>
                    </w:rPr>
                    <w:t>实际建设内容及规模</w:t>
                  </w:r>
                </w:p>
              </w:tc>
              <w:tc>
                <w:tcPr>
                  <w:tcW w:w="2467" w:type="dxa"/>
                  <w:vAlign w:val="center"/>
                </w:tcPr>
                <w:p w14:paraId="56AE942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b/>
                      <w:bCs/>
                      <w:color w:val="000000" w:themeColor="text1"/>
                      <w:kern w:val="2"/>
                      <w:sz w:val="21"/>
                      <w:szCs w:val="21"/>
                      <w:highlight w:val="none"/>
                      <w:vertAlign w:val="baseline"/>
                      <w:lang w:val="en-US" w:eastAsia="zh-CN" w:bidi="ar-SA"/>
                      <w14:textFill>
                        <w14:solidFill>
                          <w14:schemeClr w14:val="tx1"/>
                        </w14:solidFill>
                      </w14:textFill>
                    </w:rPr>
                    <w:t>备注</w:t>
                  </w:r>
                </w:p>
              </w:tc>
            </w:tr>
            <w:tr w14:paraId="7EE32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vAlign w:val="center"/>
                </w:tcPr>
                <w:p w14:paraId="0C1BAD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主体工程</w:t>
                  </w:r>
                </w:p>
              </w:tc>
              <w:tc>
                <w:tcPr>
                  <w:tcW w:w="1466" w:type="dxa"/>
                  <w:gridSpan w:val="2"/>
                  <w:vAlign w:val="center"/>
                </w:tcPr>
                <w:p w14:paraId="5F07DF7D">
                  <w:pPr>
                    <w:autoSpaceDE w:val="0"/>
                    <w:autoSpaceDN w:val="0"/>
                    <w:adjustRightInd w:val="0"/>
                    <w:jc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生产车间</w:t>
                  </w:r>
                </w:p>
              </w:tc>
              <w:tc>
                <w:tcPr>
                  <w:tcW w:w="4061" w:type="dxa"/>
                  <w:vAlign w:val="center"/>
                </w:tcPr>
                <w:p w14:paraId="2B82FF58">
                  <w:pPr>
                    <w:autoSpaceDE w:val="0"/>
                    <w:autoSpaceDN w:val="0"/>
                    <w:adjustRightInd w:val="0"/>
                    <w:jc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钢架结构，建筑面积</w:t>
                  </w:r>
                  <w:r>
                    <w:rPr>
                      <w:rFonts w:hint="default" w:ascii="Times New Roman" w:hAnsi="Times New Roman" w:eastAsia="宋体" w:cs="Times New Roman"/>
                      <w:color w:val="000000" w:themeColor="text1"/>
                      <w:highlight w:val="none"/>
                      <w:lang w:val="en-US" w:eastAsia="zh-CN"/>
                      <w14:textFill>
                        <w14:solidFill>
                          <w14:schemeClr w14:val="tx1"/>
                        </w14:solidFill>
                      </w14:textFill>
                    </w:rPr>
                    <w:t>6565.28</w:t>
                  </w:r>
                  <w:r>
                    <w:rPr>
                      <w:rFonts w:hint="default"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m</w:t>
                  </w:r>
                  <w:r>
                    <w:rPr>
                      <w:rFonts w:hint="default" w:ascii="Times New Roman" w:hAnsi="Times New Roman" w:eastAsia="宋体" w:cs="Times New Roman"/>
                      <w:smallCaps w:val="0"/>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，主要分为PVC原料仓库、生产区、成品仓库、破碎车间、工具间，生产区布设有8条PVC生产线。</w:t>
                  </w:r>
                </w:p>
              </w:tc>
              <w:tc>
                <w:tcPr>
                  <w:tcW w:w="2467" w:type="dxa"/>
                  <w:vAlign w:val="center"/>
                </w:tcPr>
                <w:p w14:paraId="149D42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本项目租用该厂房面积为1400m</w:t>
                  </w:r>
                  <w:r>
                    <w:rPr>
                      <w:rFonts w:hint="eastAsia" w:cs="Times New Roman"/>
                      <w:color w:val="000000" w:themeColor="text1"/>
                      <w:kern w:val="2"/>
                      <w:sz w:val="21"/>
                      <w:szCs w:val="21"/>
                      <w:highlight w:val="none"/>
                      <w:vertAlign w:val="superscript"/>
                      <w:lang w:val="en-US" w:eastAsia="zh-CN" w:bidi="ar-SA"/>
                      <w14:textFill>
                        <w14:solidFill>
                          <w14:schemeClr w14:val="tx1"/>
                        </w14:solidFill>
                      </w14:textFill>
                    </w:rPr>
                    <w:t>2</w:t>
                  </w: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，其余仍作为联帆建材科技生产厂房使用</w:t>
                  </w:r>
                </w:p>
              </w:tc>
            </w:tr>
            <w:tr w14:paraId="4D287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vAlign w:val="center"/>
                </w:tcPr>
                <w:p w14:paraId="675F97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辅助工程</w:t>
                  </w:r>
                </w:p>
              </w:tc>
              <w:tc>
                <w:tcPr>
                  <w:tcW w:w="1466" w:type="dxa"/>
                  <w:gridSpan w:val="2"/>
                  <w:vAlign w:val="center"/>
                </w:tcPr>
                <w:p w14:paraId="2BEB91C4">
                  <w:pPr>
                    <w:jc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lang w:eastAsia="zh-CN"/>
                      <w14:textFill>
                        <w14:solidFill>
                          <w14:schemeClr w14:val="tx1"/>
                        </w14:solidFill>
                      </w14:textFill>
                    </w:rPr>
                    <w:t>综合楼</w:t>
                  </w:r>
                </w:p>
              </w:tc>
              <w:tc>
                <w:tcPr>
                  <w:tcW w:w="4061" w:type="dxa"/>
                  <w:vAlign w:val="center"/>
                </w:tcPr>
                <w:p w14:paraId="2386C07D">
                  <w:pPr>
                    <w:jc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钢混凝土结构，3层，建筑面积</w:t>
                  </w:r>
                  <w:r>
                    <w:rPr>
                      <w:rFonts w:hint="default" w:ascii="Times New Roman" w:hAnsi="Times New Roman" w:eastAsia="宋体" w:cs="Times New Roman"/>
                      <w:color w:val="000000" w:themeColor="text1"/>
                      <w:highlight w:val="none"/>
                      <w:lang w:val="en-US" w:eastAsia="zh-CN"/>
                      <w14:textFill>
                        <w14:solidFill>
                          <w14:schemeClr w14:val="tx1"/>
                        </w14:solidFill>
                      </w14:textFill>
                    </w:rPr>
                    <w:t>1025.84</w:t>
                  </w:r>
                  <w:r>
                    <w:rPr>
                      <w:rFonts w:hint="default" w:ascii="Times New Roman" w:hAnsi="Times New Roman" w:eastAsia="宋体" w:cs="Times New Roman"/>
                      <w:smallCaps w:val="0"/>
                      <w:color w:val="000000" w:themeColor="text1"/>
                      <w:sz w:val="21"/>
                      <w:szCs w:val="21"/>
                      <w:highlight w:val="none"/>
                      <w14:textFill>
                        <w14:solidFill>
                          <w14:schemeClr w14:val="tx1"/>
                        </w14:solidFill>
                      </w14:textFill>
                    </w:rPr>
                    <w:t>m</w:t>
                  </w:r>
                  <w:r>
                    <w:rPr>
                      <w:rFonts w:hint="default" w:ascii="Times New Roman" w:hAnsi="Times New Roman" w:eastAsia="宋体" w:cs="Times New Roman"/>
                      <w:smallCaps w:val="0"/>
                      <w:color w:val="000000" w:themeColor="text1"/>
                      <w:sz w:val="21"/>
                      <w:szCs w:val="21"/>
                      <w:highlight w:val="none"/>
                      <w:vertAlign w:val="superscript"/>
                      <w14:textFill>
                        <w14:solidFill>
                          <w14:schemeClr w14:val="tx1"/>
                        </w14:solidFill>
                      </w14:textFill>
                    </w:rPr>
                    <w:t>2</w:t>
                  </w:r>
                  <w:r>
                    <w:rPr>
                      <w:rFonts w:hint="default" w:ascii="Times New Roman" w:hAnsi="Times New Roman" w:eastAsia="宋体" w:cs="Times New Roman"/>
                      <w:smallCaps w:val="0"/>
                      <w:color w:val="000000" w:themeColor="text1"/>
                      <w:sz w:val="21"/>
                      <w:szCs w:val="21"/>
                      <w:highlight w:val="none"/>
                      <w:vertAlign w:val="baseline"/>
                      <w:lang w:eastAsia="zh-CN"/>
                      <w14:textFill>
                        <w14:solidFill>
                          <w14:schemeClr w14:val="tx1"/>
                        </w14:solidFill>
                      </w14:textFill>
                    </w:rPr>
                    <w:t>，</w:t>
                  </w:r>
                  <w:r>
                    <w:rPr>
                      <w:rFonts w:hint="default" w:ascii="Times New Roman" w:hAnsi="Times New Roman" w:eastAsia="宋体" w:cs="Times New Roman"/>
                      <w:smallCaps w:val="0"/>
                      <w:color w:val="000000" w:themeColor="text1"/>
                      <w:sz w:val="21"/>
                      <w:szCs w:val="21"/>
                      <w:highlight w:val="none"/>
                      <w:vertAlign w:val="baseline"/>
                      <w:lang w:val="en-US" w:eastAsia="zh-CN"/>
                      <w14:textFill>
                        <w14:solidFill>
                          <w14:schemeClr w14:val="tx1"/>
                        </w14:solidFill>
                      </w14:textFill>
                    </w:rPr>
                    <w:t>位于生产车间北侧，员工宿舍设置在二、三层，一层设置员工食堂及卫生间等</w:t>
                  </w:r>
                  <w:r>
                    <w:rPr>
                      <w:rFonts w:hint="default" w:ascii="Times New Roman" w:hAnsi="Times New Roman" w:eastAsia="宋体" w:cs="Times New Roman"/>
                      <w:color w:val="000000" w:themeColor="text1"/>
                      <w:highlight w:val="none"/>
                      <w14:textFill>
                        <w14:solidFill>
                          <w14:schemeClr w14:val="tx1"/>
                        </w14:solidFill>
                      </w14:textFill>
                    </w:rPr>
                    <w:t>辅助设施。</w:t>
                  </w:r>
                </w:p>
              </w:tc>
              <w:tc>
                <w:tcPr>
                  <w:tcW w:w="2467" w:type="dxa"/>
                  <w:vAlign w:val="center"/>
                </w:tcPr>
                <w:p w14:paraId="43D40F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本项目租用2间办公室使用</w:t>
                  </w:r>
                </w:p>
              </w:tc>
            </w:tr>
            <w:tr w14:paraId="7C89A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vMerge w:val="restart"/>
                  <w:vAlign w:val="center"/>
                </w:tcPr>
                <w:p w14:paraId="720381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公用工程</w:t>
                  </w:r>
                </w:p>
              </w:tc>
              <w:tc>
                <w:tcPr>
                  <w:tcW w:w="1466" w:type="dxa"/>
                  <w:gridSpan w:val="2"/>
                  <w:vAlign w:val="center"/>
                </w:tcPr>
                <w:p w14:paraId="64B4620C">
                  <w:pPr>
                    <w:jc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给水系统</w:t>
                  </w:r>
                </w:p>
              </w:tc>
              <w:tc>
                <w:tcPr>
                  <w:tcW w:w="4061" w:type="dxa"/>
                  <w:vAlign w:val="center"/>
                </w:tcPr>
                <w:p w14:paraId="17AFED19">
                  <w:pPr>
                    <w:jc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由园区供水管网供给</w:t>
                  </w:r>
                  <w:r>
                    <w:rPr>
                      <w:rFonts w:hint="default" w:ascii="Times New Roman" w:hAnsi="Times New Roman" w:eastAsia="宋体" w:cs="Times New Roman"/>
                      <w:color w:val="000000" w:themeColor="text1"/>
                      <w:szCs w:val="21"/>
                      <w:lang w:eastAsia="zh-CN"/>
                      <w14:textFill>
                        <w14:solidFill>
                          <w14:schemeClr w14:val="tx1"/>
                        </w14:solidFill>
                      </w14:textFill>
                    </w:rPr>
                    <w:t>。</w:t>
                  </w:r>
                </w:p>
              </w:tc>
              <w:tc>
                <w:tcPr>
                  <w:tcW w:w="2467" w:type="dxa"/>
                  <w:vAlign w:val="center"/>
                </w:tcPr>
                <w:p w14:paraId="2BF078C2">
                  <w:pPr>
                    <w:keepNext w:val="0"/>
                    <w:keepLines w:val="0"/>
                    <w:pageBreakBefore w:val="0"/>
                    <w:widowControl w:val="0"/>
                    <w:kinsoku/>
                    <w:wordWrap/>
                    <w:overflowPunct/>
                    <w:topLinePunct w:val="0"/>
                    <w:autoSpaceDE w:val="0"/>
                    <w:autoSpaceDN w:val="0"/>
                    <w:bidi w:val="0"/>
                    <w:snapToGrid/>
                    <w:spacing w:line="240" w:lineRule="auto"/>
                    <w:ind w:firstLine="0" w:firstLineChars="0"/>
                    <w:jc w:val="center"/>
                    <w:textAlignment w:val="auto"/>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本次依托内容</w:t>
                  </w:r>
                </w:p>
              </w:tc>
            </w:tr>
            <w:tr w14:paraId="7160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vMerge w:val="continue"/>
                  <w:vAlign w:val="center"/>
                </w:tcPr>
                <w:p w14:paraId="606AFE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1466" w:type="dxa"/>
                  <w:gridSpan w:val="2"/>
                  <w:vAlign w:val="center"/>
                </w:tcPr>
                <w:p w14:paraId="38467054">
                  <w:pPr>
                    <w:jc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lang w:val="en-US"/>
                      <w14:textFill>
                        <w14:solidFill>
                          <w14:schemeClr w14:val="tx1"/>
                        </w14:solidFill>
                      </w14:textFill>
                    </w:rPr>
                    <w:t>排水系统</w:t>
                  </w:r>
                </w:p>
              </w:tc>
              <w:tc>
                <w:tcPr>
                  <w:tcW w:w="4061" w:type="dxa"/>
                  <w:vAlign w:val="center"/>
                </w:tcPr>
                <w:p w14:paraId="59A98A4F">
                  <w:pPr>
                    <w:jc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项目实行雨污分流制，雨水经雨水管道外排至园区雨水管网；项目区</w:t>
                  </w:r>
                  <w:r>
                    <w:rPr>
                      <w:rFonts w:hint="default" w:ascii="Times New Roman" w:hAnsi="Times New Roman" w:eastAsia="宋体" w:cs="Times New Roman"/>
                      <w:color w:val="000000" w:themeColor="text1"/>
                      <w:szCs w:val="21"/>
                      <w:lang w:val="en-US" w:eastAsia="zh-CN"/>
                      <w14:textFill>
                        <w14:solidFill>
                          <w14:schemeClr w14:val="tx1"/>
                        </w14:solidFill>
                      </w14:textFill>
                    </w:rPr>
                    <w:t>冷却水循环使用，不外排</w:t>
                  </w:r>
                  <w:r>
                    <w:rPr>
                      <w:rFonts w:hint="default" w:ascii="Times New Roman" w:hAnsi="Times New Roman" w:eastAsia="宋体" w:cs="Times New Roman"/>
                      <w:color w:val="000000" w:themeColor="text1"/>
                      <w:szCs w:val="21"/>
                      <w14:textFill>
                        <w14:solidFill>
                          <w14:schemeClr w14:val="tx1"/>
                        </w14:solidFill>
                      </w14:textFill>
                    </w:rPr>
                    <w:t>，</w:t>
                  </w:r>
                  <w:r>
                    <w:rPr>
                      <w:rFonts w:hint="default" w:ascii="Times New Roman" w:hAnsi="Times New Roman" w:eastAsia="宋体" w:cs="Times New Roman"/>
                      <w:color w:val="000000" w:themeColor="text1"/>
                      <w:szCs w:val="21"/>
                      <w:lang w:val="en-US" w:eastAsia="zh-CN"/>
                      <w14:textFill>
                        <w14:solidFill>
                          <w14:schemeClr w14:val="tx1"/>
                        </w14:solidFill>
                      </w14:textFill>
                    </w:rPr>
                    <w:t>生活污水经一体化污水处理设施处理后回用于绿化及道路浇洒，不外排。</w:t>
                  </w:r>
                </w:p>
              </w:tc>
              <w:tc>
                <w:tcPr>
                  <w:tcW w:w="2467" w:type="dxa"/>
                  <w:vAlign w:val="center"/>
                </w:tcPr>
                <w:p w14:paraId="2E8E71A6">
                  <w:pPr>
                    <w:keepNext w:val="0"/>
                    <w:keepLines w:val="0"/>
                    <w:pageBreakBefore w:val="0"/>
                    <w:widowControl w:val="0"/>
                    <w:kinsoku/>
                    <w:wordWrap/>
                    <w:overflowPunct/>
                    <w:topLinePunct w:val="0"/>
                    <w:autoSpaceDE w:val="0"/>
                    <w:autoSpaceDN w:val="0"/>
                    <w:bidi w:val="0"/>
                    <w:snapToGrid/>
                    <w:spacing w:line="240" w:lineRule="auto"/>
                    <w:ind w:firstLine="0" w:firstLineChars="0"/>
                    <w:jc w:val="center"/>
                    <w:textAlignment w:val="auto"/>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本次依托内容</w:t>
                  </w:r>
                </w:p>
              </w:tc>
            </w:tr>
            <w:tr w14:paraId="7B782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vMerge w:val="continue"/>
                  <w:vAlign w:val="center"/>
                </w:tcPr>
                <w:p w14:paraId="3D6101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439" w:type="dxa"/>
                  <w:vMerge w:val="restart"/>
                  <w:vAlign w:val="center"/>
                </w:tcPr>
                <w:p w14:paraId="366B1F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废水</w:t>
                  </w:r>
                </w:p>
              </w:tc>
              <w:tc>
                <w:tcPr>
                  <w:tcW w:w="1027" w:type="dxa"/>
                  <w:vAlign w:val="center"/>
                </w:tcPr>
                <w:p w14:paraId="0358B037">
                  <w:pPr>
                    <w:jc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化粪池</w:t>
                  </w:r>
                </w:p>
              </w:tc>
              <w:tc>
                <w:tcPr>
                  <w:tcW w:w="4061" w:type="dxa"/>
                  <w:vAlign w:val="center"/>
                </w:tcPr>
                <w:p w14:paraId="42FE11F3">
                  <w:pPr>
                    <w:jc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1座，容积为5</w:t>
                  </w:r>
                  <w:r>
                    <w:rPr>
                      <w:rFonts w:hint="default" w:ascii="Times New Roman" w:hAnsi="Times New Roman" w:eastAsia="宋体" w:cs="Times New Roman"/>
                      <w:color w:val="000000" w:themeColor="text1"/>
                      <w:szCs w:val="21"/>
                      <w14:textFill>
                        <w14:solidFill>
                          <w14:schemeClr w14:val="tx1"/>
                        </w14:solidFill>
                      </w14:textFill>
                    </w:rPr>
                    <w:t>m</w:t>
                  </w:r>
                  <w:r>
                    <w:rPr>
                      <w:rFonts w:hint="default" w:ascii="Times New Roman" w:hAnsi="Times New Roman" w:eastAsia="宋体" w:cs="Times New Roman"/>
                      <w:color w:val="000000" w:themeColor="text1"/>
                      <w:szCs w:val="21"/>
                      <w:vertAlign w:val="superscript"/>
                      <w14:textFill>
                        <w14:solidFill>
                          <w14:schemeClr w14:val="tx1"/>
                        </w14:solidFill>
                      </w14:textFill>
                    </w:rPr>
                    <w:t>3</w:t>
                  </w:r>
                </w:p>
              </w:tc>
              <w:tc>
                <w:tcPr>
                  <w:tcW w:w="2467" w:type="dxa"/>
                  <w:vAlign w:val="center"/>
                </w:tcPr>
                <w:p w14:paraId="1434C5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本次依托内容</w:t>
                  </w:r>
                </w:p>
              </w:tc>
            </w:tr>
            <w:tr w14:paraId="09A85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vMerge w:val="continue"/>
                  <w:vAlign w:val="center"/>
                </w:tcPr>
                <w:p w14:paraId="0CAAF4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439" w:type="dxa"/>
                  <w:vMerge w:val="continue"/>
                  <w:vAlign w:val="center"/>
                </w:tcPr>
                <w:p w14:paraId="13FBF8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1027" w:type="dxa"/>
                  <w:vAlign w:val="center"/>
                </w:tcPr>
                <w:p w14:paraId="78C75971">
                  <w:pPr>
                    <w:jc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一体化污水处理设施</w:t>
                  </w:r>
                </w:p>
              </w:tc>
              <w:tc>
                <w:tcPr>
                  <w:tcW w:w="4061" w:type="dxa"/>
                  <w:vAlign w:val="center"/>
                </w:tcPr>
                <w:p w14:paraId="22A36849">
                  <w:pPr>
                    <w:jc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1套，处理能力</w:t>
                  </w:r>
                  <w:r>
                    <w:rPr>
                      <w:rFonts w:hint="default" w:ascii="Times New Roman" w:hAnsi="Times New Roman" w:eastAsia="宋体" w:cs="Times New Roman"/>
                      <w:color w:val="000000" w:themeColor="text1"/>
                      <w:szCs w:val="21"/>
                      <w:lang w:val="en-US" w:eastAsia="zh-CN"/>
                      <w14:textFill>
                        <w14:solidFill>
                          <w14:schemeClr w14:val="tx1"/>
                        </w14:solidFill>
                      </w14:textFill>
                    </w:rPr>
                    <w:t>8</w:t>
                  </w:r>
                  <w:r>
                    <w:rPr>
                      <w:rFonts w:hint="default" w:ascii="Times New Roman" w:hAnsi="Times New Roman" w:eastAsia="宋体" w:cs="Times New Roman"/>
                      <w:color w:val="000000" w:themeColor="text1"/>
                      <w:szCs w:val="21"/>
                      <w14:textFill>
                        <w14:solidFill>
                          <w14:schemeClr w14:val="tx1"/>
                        </w14:solidFill>
                      </w14:textFill>
                    </w:rPr>
                    <w:t>m</w:t>
                  </w:r>
                  <w:r>
                    <w:rPr>
                      <w:rFonts w:hint="default" w:ascii="Times New Roman" w:hAnsi="Times New Roman" w:eastAsia="宋体" w:cs="Times New Roman"/>
                      <w:color w:val="000000" w:themeColor="text1"/>
                      <w:szCs w:val="21"/>
                      <w:vertAlign w:val="superscript"/>
                      <w14:textFill>
                        <w14:solidFill>
                          <w14:schemeClr w14:val="tx1"/>
                        </w14:solidFill>
                      </w14:textFill>
                    </w:rPr>
                    <w:t>3</w:t>
                  </w:r>
                  <w:r>
                    <w:rPr>
                      <w:rFonts w:hint="default" w:ascii="Times New Roman" w:hAnsi="Times New Roman" w:eastAsia="宋体" w:cs="Times New Roman"/>
                      <w:color w:val="000000" w:themeColor="text1"/>
                      <w:szCs w:val="21"/>
                      <w14:textFill>
                        <w14:solidFill>
                          <w14:schemeClr w14:val="tx1"/>
                        </w14:solidFill>
                      </w14:textFill>
                    </w:rPr>
                    <w:t>/d</w:t>
                  </w:r>
                </w:p>
              </w:tc>
              <w:tc>
                <w:tcPr>
                  <w:tcW w:w="2467" w:type="dxa"/>
                  <w:vAlign w:val="center"/>
                </w:tcPr>
                <w:p w14:paraId="523254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本次依托内容</w:t>
                  </w:r>
                </w:p>
              </w:tc>
            </w:tr>
            <w:tr w14:paraId="03C5C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vMerge w:val="continue"/>
                  <w:vAlign w:val="center"/>
                </w:tcPr>
                <w:p w14:paraId="2246B2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439" w:type="dxa"/>
                  <w:vMerge w:val="continue"/>
                  <w:vAlign w:val="center"/>
                </w:tcPr>
                <w:p w14:paraId="26EA94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1027" w:type="dxa"/>
                  <w:vAlign w:val="center"/>
                </w:tcPr>
                <w:p w14:paraId="4D42FD54">
                  <w:pPr>
                    <w:jc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回用水池</w:t>
                  </w:r>
                </w:p>
              </w:tc>
              <w:tc>
                <w:tcPr>
                  <w:tcW w:w="4061" w:type="dxa"/>
                  <w:vAlign w:val="center"/>
                </w:tcPr>
                <w:p w14:paraId="7915FED3">
                  <w:pPr>
                    <w:jc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1座，容积</w:t>
                  </w:r>
                  <w:r>
                    <w:rPr>
                      <w:rFonts w:hint="eastAsia" w:ascii="Times New Roman" w:hAnsi="Times New Roman" w:eastAsia="宋体" w:cs="Times New Roman"/>
                      <w:color w:val="000000" w:themeColor="text1"/>
                      <w:szCs w:val="21"/>
                      <w:lang w:val="en-US" w:eastAsia="zh-CN"/>
                      <w14:textFill>
                        <w14:solidFill>
                          <w14:schemeClr w14:val="tx1"/>
                        </w14:solidFill>
                      </w14:textFill>
                    </w:rPr>
                    <w:t>为</w:t>
                  </w:r>
                  <w:r>
                    <w:rPr>
                      <w:rFonts w:hint="default" w:ascii="Times New Roman" w:hAnsi="Times New Roman" w:eastAsia="宋体" w:cs="Times New Roman"/>
                      <w:color w:val="000000" w:themeColor="text1"/>
                      <w:szCs w:val="21"/>
                      <w:lang w:val="en-US" w:eastAsia="zh-CN"/>
                      <w14:textFill>
                        <w14:solidFill>
                          <w14:schemeClr w14:val="tx1"/>
                        </w14:solidFill>
                      </w14:textFill>
                    </w:rPr>
                    <w:t>20</w:t>
                  </w:r>
                  <w:r>
                    <w:rPr>
                      <w:rFonts w:hint="default" w:ascii="Times New Roman" w:hAnsi="Times New Roman" w:eastAsia="宋体" w:cs="Times New Roman"/>
                      <w:color w:val="000000" w:themeColor="text1"/>
                      <w:szCs w:val="21"/>
                      <w14:textFill>
                        <w14:solidFill>
                          <w14:schemeClr w14:val="tx1"/>
                        </w14:solidFill>
                      </w14:textFill>
                    </w:rPr>
                    <w:t>m</w:t>
                  </w:r>
                  <w:r>
                    <w:rPr>
                      <w:rFonts w:hint="default" w:ascii="Times New Roman" w:hAnsi="Times New Roman" w:eastAsia="宋体" w:cs="Times New Roman"/>
                      <w:color w:val="000000" w:themeColor="text1"/>
                      <w:szCs w:val="21"/>
                      <w:vertAlign w:val="superscript"/>
                      <w14:textFill>
                        <w14:solidFill>
                          <w14:schemeClr w14:val="tx1"/>
                        </w14:solidFill>
                      </w14:textFill>
                    </w:rPr>
                    <w:t>3</w:t>
                  </w:r>
                </w:p>
              </w:tc>
              <w:tc>
                <w:tcPr>
                  <w:tcW w:w="2467" w:type="dxa"/>
                  <w:vAlign w:val="center"/>
                </w:tcPr>
                <w:p w14:paraId="4E0BF7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本次依托内容</w:t>
                  </w:r>
                </w:p>
              </w:tc>
            </w:tr>
          </w:tbl>
          <w:p w14:paraId="3F4D45E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cs="Times New Roman"/>
                <w:b/>
                <w:bCs/>
                <w:color w:val="000000" w:themeColor="text1"/>
                <w:kern w:val="2"/>
                <w:sz w:val="24"/>
                <w:szCs w:val="24"/>
                <w:highlight w:val="none"/>
                <w:lang w:val="en-US" w:eastAsia="zh-CN" w:bidi="ar-SA"/>
                <w14:textFill>
                  <w14:solidFill>
                    <w14:schemeClr w14:val="tx1"/>
                  </w14:solidFill>
                </w14:textFill>
              </w:rPr>
            </w:pPr>
            <w:r>
              <w:rPr>
                <w:rFonts w:hint="eastAsia" w:cs="Times New Roman"/>
                <w:b/>
                <w:bCs/>
                <w:color w:val="000000" w:themeColor="text1"/>
                <w:kern w:val="2"/>
                <w:sz w:val="24"/>
                <w:szCs w:val="24"/>
                <w:highlight w:val="none"/>
                <w:lang w:val="en-US" w:eastAsia="zh-CN" w:bidi="ar-SA"/>
                <w14:textFill>
                  <w14:solidFill>
                    <w14:schemeClr w14:val="tx1"/>
                  </w14:solidFill>
                </w14:textFill>
              </w:rPr>
              <w:t>3、云南联帆建材科技有限公司现有污染物产生及排放情况</w:t>
            </w:r>
          </w:p>
          <w:p w14:paraId="0A3E2D9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（1）废气</w:t>
            </w:r>
          </w:p>
          <w:p w14:paraId="55EA6D84">
            <w:pPr>
              <w:keepNext w:val="0"/>
              <w:keepLines w:val="0"/>
              <w:pageBreakBefore w:val="0"/>
              <w:widowControl/>
              <w:kinsoku/>
              <w:wordWrap w:val="0"/>
              <w:overflowPunct/>
              <w:topLinePunct w:val="0"/>
              <w:autoSpaceDE/>
              <w:autoSpaceDN/>
              <w:bidi w:val="0"/>
              <w:adjustRightInd/>
              <w:snapToGrid/>
              <w:spacing w:before="0" w:after="0" w:line="360" w:lineRule="auto"/>
              <w:ind w:left="0" w:leftChars="0" w:right="0" w:firstLine="480" w:firstLineChars="200"/>
              <w:jc w:val="both"/>
              <w:textAlignment w:val="auto"/>
              <w:rPr>
                <w:rFonts w:hint="default"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t>联帆科技运营期产生的废气主要为运营过程中排放的挤出废气、配料粉尘。无组织有机废气、破碎粉尘及食堂油烟等。</w:t>
            </w:r>
          </w:p>
          <w:p w14:paraId="108526E6">
            <w:pPr>
              <w:keepNext w:val="0"/>
              <w:keepLines w:val="0"/>
              <w:pageBreakBefore w:val="0"/>
              <w:widowControl/>
              <w:kinsoku/>
              <w:wordWrap w:val="0"/>
              <w:overflowPunct/>
              <w:topLinePunct w:val="0"/>
              <w:autoSpaceDE/>
              <w:autoSpaceDN/>
              <w:bidi w:val="0"/>
              <w:adjustRightInd/>
              <w:snapToGrid/>
              <w:spacing w:before="0" w:after="0" w:line="360" w:lineRule="auto"/>
              <w:ind w:left="0" w:leftChars="0" w:right="0" w:firstLine="480" w:firstLineChars="200"/>
              <w:jc w:val="both"/>
              <w:textAlignment w:val="auto"/>
              <w:rPr>
                <w:rFonts w:hint="default"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t>①有组织废气</w:t>
            </w:r>
          </w:p>
          <w:p w14:paraId="333799AD">
            <w:pPr>
              <w:keepNext w:val="0"/>
              <w:keepLines w:val="0"/>
              <w:pageBreakBefore w:val="0"/>
              <w:widowControl/>
              <w:kinsoku/>
              <w:wordWrap w:val="0"/>
              <w:overflowPunct/>
              <w:topLinePunct w:val="0"/>
              <w:autoSpaceDE/>
              <w:autoSpaceDN/>
              <w:bidi w:val="0"/>
              <w:adjustRightInd/>
              <w:snapToGrid/>
              <w:spacing w:before="0" w:after="0" w:line="360" w:lineRule="auto"/>
              <w:ind w:left="0" w:leftChars="0" w:right="0" w:firstLine="480" w:firstLineChars="200"/>
              <w:jc w:val="both"/>
              <w:textAlignment w:val="auto"/>
              <w:rPr>
                <w:rFonts w:hint="default"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t>挤出废气：挤出废气中污染物主要为VOCs、氯化氢。均在生产线挤出机上方均设置集气罩进行收集后，通过管道连接汇总，管道末端设置一套活性炭吸附装置进行处理达标后，由1根20m高的排气筒（G1）排放。</w:t>
            </w:r>
          </w:p>
          <w:p w14:paraId="382F17AD">
            <w:pPr>
              <w:keepNext w:val="0"/>
              <w:keepLines w:val="0"/>
              <w:pageBreakBefore w:val="0"/>
              <w:widowControl/>
              <w:kinsoku/>
              <w:wordWrap w:val="0"/>
              <w:overflowPunct/>
              <w:topLinePunct w:val="0"/>
              <w:autoSpaceDE/>
              <w:autoSpaceDN/>
              <w:bidi w:val="0"/>
              <w:adjustRightInd/>
              <w:snapToGrid/>
              <w:spacing w:before="0" w:after="0" w:line="360" w:lineRule="auto"/>
              <w:ind w:left="0" w:leftChars="0" w:right="0" w:firstLine="480" w:firstLineChars="200"/>
              <w:jc w:val="both"/>
              <w:textAlignment w:val="auto"/>
              <w:rPr>
                <w:rFonts w:hint="default"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t>投料粉尘：项目配料工序污染物主要为粉尘粉。在投料出气口设置</w:t>
            </w:r>
            <w:r>
              <w:rPr>
                <w:rFonts w:hint="eastAsia" w:cs="Times New Roman"/>
                <w:i w:val="0"/>
                <w:iCs/>
                <w:color w:val="000000" w:themeColor="text1"/>
                <w:kern w:val="2"/>
                <w:sz w:val="24"/>
                <w:szCs w:val="24"/>
                <w:highlight w:val="none"/>
                <w:lang w:val="en-US" w:eastAsia="zh-CN" w:bidi="ar-SA"/>
                <w14:textFill>
                  <w14:solidFill>
                    <w14:schemeClr w14:val="tx1"/>
                  </w14:solidFill>
                </w14:textFill>
              </w:rPr>
              <w:t>集气罩</w:t>
            </w:r>
            <w:r>
              <w:rPr>
                <w:rFonts w:hint="default"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t>收集后经布袋除尘器进行处理达标后，由20m高排气筒（G2）排放。</w:t>
            </w:r>
          </w:p>
          <w:p w14:paraId="25D91235">
            <w:pPr>
              <w:keepNext w:val="0"/>
              <w:keepLines w:val="0"/>
              <w:pageBreakBefore w:val="0"/>
              <w:widowControl/>
              <w:kinsoku/>
              <w:wordWrap w:val="0"/>
              <w:overflowPunct/>
              <w:topLinePunct w:val="0"/>
              <w:autoSpaceDE/>
              <w:autoSpaceDN/>
              <w:bidi w:val="0"/>
              <w:adjustRightInd/>
              <w:snapToGrid/>
              <w:spacing w:before="0" w:after="0" w:line="360" w:lineRule="auto"/>
              <w:ind w:left="0" w:leftChars="0" w:right="0" w:firstLine="480" w:firstLineChars="200"/>
              <w:jc w:val="both"/>
              <w:textAlignment w:val="auto"/>
              <w:rPr>
                <w:rFonts w:hint="default"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t>②无组织废气</w:t>
            </w:r>
          </w:p>
          <w:p w14:paraId="367E594F">
            <w:pPr>
              <w:keepNext w:val="0"/>
              <w:keepLines w:val="0"/>
              <w:pageBreakBefore w:val="0"/>
              <w:widowControl/>
              <w:kinsoku/>
              <w:wordWrap w:val="0"/>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Calibri" w:hAnsi="Calibri" w:eastAsia="宋体" w:cs="Times New Roman"/>
                <w:i w:val="0"/>
                <w:i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t>无组织废主要有，未收集挤出废气、除尘器未收集粉尘、破碎粉尘、及食堂油烟等。</w:t>
            </w:r>
          </w:p>
          <w:p w14:paraId="29BB4127">
            <w:pPr>
              <w:widowControl w:val="0"/>
              <w:autoSpaceDE w:val="0"/>
              <w:autoSpaceDN w:val="0"/>
              <w:adjustRightInd w:val="0"/>
              <w:ind w:firstLine="464"/>
              <w:jc w:val="center"/>
              <w:rPr>
                <w:rFonts w:hint="default"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bidi="ar-SA"/>
                <w14:textFill>
                  <w14:solidFill>
                    <w14:schemeClr w14:val="tx1"/>
                  </w14:solidFill>
                </w14:textFill>
              </w:rPr>
              <w:t>表</w:t>
            </w:r>
            <w: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t>2-10</w:t>
            </w:r>
            <w:r>
              <w:rPr>
                <w:rFonts w:hint="default" w:ascii="Times New Roman" w:hAnsi="Times New Roman" w:eastAsia="宋体" w:cs="Times New Roman"/>
                <w:b/>
                <w:bCs/>
                <w:color w:val="000000" w:themeColor="text1"/>
                <w:sz w:val="21"/>
                <w:szCs w:val="21"/>
                <w:lang w:val="en-US" w:eastAsia="zh-CN" w:bidi="ar-SA"/>
                <w14:textFill>
                  <w14:solidFill>
                    <w14:schemeClr w14:val="tx1"/>
                  </w14:solidFill>
                </w14:textFill>
              </w:rPr>
              <w:t xml:space="preserve"> 废气污染物处理处置情况表</w:t>
            </w:r>
          </w:p>
          <w:tbl>
            <w:tblPr>
              <w:tblStyle w:val="3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1"/>
              <w:gridCol w:w="1381"/>
              <w:gridCol w:w="1203"/>
              <w:gridCol w:w="1285"/>
              <w:gridCol w:w="1507"/>
              <w:gridCol w:w="1516"/>
            </w:tblGrid>
            <w:tr w14:paraId="56D2C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pct"/>
                  <w:noWrap w:val="0"/>
                  <w:vAlign w:val="center"/>
                </w:tcPr>
                <w:p w14:paraId="53813CEF">
                  <w:pPr>
                    <w:widowControl/>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废气名称</w:t>
                  </w:r>
                </w:p>
              </w:tc>
              <w:tc>
                <w:tcPr>
                  <w:tcW w:w="840" w:type="pct"/>
                  <w:noWrap w:val="0"/>
                  <w:vAlign w:val="center"/>
                </w:tcPr>
                <w:p w14:paraId="2BFDB96F">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挤出废气</w:t>
                  </w:r>
                </w:p>
              </w:tc>
              <w:tc>
                <w:tcPr>
                  <w:tcW w:w="732" w:type="pct"/>
                  <w:noWrap w:val="0"/>
                  <w:vAlign w:val="center"/>
                </w:tcPr>
                <w:p w14:paraId="555EF32C">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投料粉尘</w:t>
                  </w:r>
                </w:p>
              </w:tc>
              <w:tc>
                <w:tcPr>
                  <w:tcW w:w="782" w:type="pct"/>
                  <w:noWrap w:val="0"/>
                  <w:vAlign w:val="center"/>
                </w:tcPr>
                <w:p w14:paraId="16913387">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挤出工序未收集废气</w:t>
                  </w:r>
                </w:p>
              </w:tc>
              <w:tc>
                <w:tcPr>
                  <w:tcW w:w="917" w:type="pct"/>
                  <w:noWrap w:val="0"/>
                  <w:vAlign w:val="center"/>
                </w:tcPr>
                <w:p w14:paraId="6EE9E97A">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投料工序未收集粉尘</w:t>
                  </w:r>
                </w:p>
              </w:tc>
              <w:tc>
                <w:tcPr>
                  <w:tcW w:w="922" w:type="pct"/>
                  <w:noWrap w:val="0"/>
                  <w:vAlign w:val="center"/>
                </w:tcPr>
                <w:p w14:paraId="1A2DC684">
                  <w:pPr>
                    <w:widowControl/>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破碎粉尘</w:t>
                  </w:r>
                </w:p>
              </w:tc>
            </w:tr>
            <w:tr w14:paraId="34F59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pct"/>
                  <w:noWrap w:val="0"/>
                  <w:vAlign w:val="center"/>
                </w:tcPr>
                <w:p w14:paraId="313FC6B3">
                  <w:pPr>
                    <w:widowControl/>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来源</w:t>
                  </w:r>
                </w:p>
              </w:tc>
              <w:tc>
                <w:tcPr>
                  <w:tcW w:w="840" w:type="pct"/>
                  <w:noWrap w:val="0"/>
                  <w:vAlign w:val="center"/>
                </w:tcPr>
                <w:p w14:paraId="2539ED48">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挤出工序</w:t>
                  </w:r>
                </w:p>
              </w:tc>
              <w:tc>
                <w:tcPr>
                  <w:tcW w:w="732" w:type="pct"/>
                  <w:tcBorders>
                    <w:right w:val="single" w:color="auto" w:sz="4" w:space="0"/>
                  </w:tcBorders>
                  <w:noWrap w:val="0"/>
                  <w:vAlign w:val="center"/>
                </w:tcPr>
                <w:p w14:paraId="632B99AA">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投料工序</w:t>
                  </w:r>
                </w:p>
              </w:tc>
              <w:tc>
                <w:tcPr>
                  <w:tcW w:w="782" w:type="pct"/>
                  <w:noWrap w:val="0"/>
                  <w:vAlign w:val="center"/>
                </w:tcPr>
                <w:p w14:paraId="5E056F1C">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挤出工序</w:t>
                  </w:r>
                </w:p>
              </w:tc>
              <w:tc>
                <w:tcPr>
                  <w:tcW w:w="917" w:type="pct"/>
                  <w:noWrap w:val="0"/>
                  <w:vAlign w:val="center"/>
                </w:tcPr>
                <w:p w14:paraId="375B8CFB">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投料工序</w:t>
                  </w:r>
                </w:p>
              </w:tc>
              <w:tc>
                <w:tcPr>
                  <w:tcW w:w="922" w:type="pct"/>
                  <w:noWrap w:val="0"/>
                  <w:vAlign w:val="center"/>
                </w:tcPr>
                <w:p w14:paraId="23EA73C3">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破碎工序</w:t>
                  </w:r>
                </w:p>
              </w:tc>
            </w:tr>
            <w:tr w14:paraId="70A5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04" w:type="pct"/>
                  <w:noWrap w:val="0"/>
                  <w:vAlign w:val="center"/>
                </w:tcPr>
                <w:p w14:paraId="59994935">
                  <w:pPr>
                    <w:widowControl/>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污染物种类</w:t>
                  </w:r>
                </w:p>
              </w:tc>
              <w:tc>
                <w:tcPr>
                  <w:tcW w:w="840" w:type="pct"/>
                  <w:noWrap w:val="0"/>
                  <w:vAlign w:val="center"/>
                </w:tcPr>
                <w:p w14:paraId="1C8CC8D3">
                  <w:pPr>
                    <w:widowControl/>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VOCs</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氯化氢</w:t>
                  </w:r>
                </w:p>
              </w:tc>
              <w:tc>
                <w:tcPr>
                  <w:tcW w:w="732" w:type="pct"/>
                  <w:tcBorders>
                    <w:right w:val="single" w:color="000000" w:sz="4" w:space="0"/>
                  </w:tcBorders>
                  <w:noWrap w:val="0"/>
                  <w:vAlign w:val="center"/>
                </w:tcPr>
                <w:p w14:paraId="4506B1AD">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粉尘</w:t>
                  </w:r>
                </w:p>
              </w:tc>
              <w:tc>
                <w:tcPr>
                  <w:tcW w:w="782" w:type="pct"/>
                  <w:noWrap w:val="0"/>
                  <w:vAlign w:val="center"/>
                </w:tcPr>
                <w:p w14:paraId="4A03CD34">
                  <w:pPr>
                    <w:widowControl/>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VOCs</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氯化氢</w:t>
                  </w:r>
                </w:p>
              </w:tc>
              <w:tc>
                <w:tcPr>
                  <w:tcW w:w="917" w:type="pct"/>
                  <w:noWrap w:val="0"/>
                  <w:vAlign w:val="center"/>
                </w:tcPr>
                <w:p w14:paraId="66E1A09F">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粉尘</w:t>
                  </w:r>
                </w:p>
              </w:tc>
              <w:tc>
                <w:tcPr>
                  <w:tcW w:w="922" w:type="pct"/>
                  <w:noWrap w:val="0"/>
                  <w:vAlign w:val="center"/>
                </w:tcPr>
                <w:p w14:paraId="66196713">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粉尘</w:t>
                  </w:r>
                </w:p>
              </w:tc>
            </w:tr>
            <w:tr w14:paraId="327BA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pct"/>
                  <w:noWrap w:val="0"/>
                  <w:vAlign w:val="center"/>
                </w:tcPr>
                <w:p w14:paraId="795B497F">
                  <w:pPr>
                    <w:widowControl/>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排放方式</w:t>
                  </w:r>
                </w:p>
              </w:tc>
              <w:tc>
                <w:tcPr>
                  <w:tcW w:w="840" w:type="pct"/>
                  <w:noWrap w:val="0"/>
                  <w:vAlign w:val="center"/>
                </w:tcPr>
                <w:p w14:paraId="01BDF265">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有</w:t>
                  </w:r>
                  <w:r>
                    <w:rPr>
                      <w:rFonts w:hint="default" w:ascii="Times New Roman" w:hAnsi="Times New Roman" w:eastAsia="宋体" w:cs="Times New Roman"/>
                      <w:color w:val="000000" w:themeColor="text1"/>
                      <w:sz w:val="21"/>
                      <w:szCs w:val="21"/>
                      <w14:textFill>
                        <w14:solidFill>
                          <w14:schemeClr w14:val="tx1"/>
                        </w14:solidFill>
                      </w14:textFill>
                    </w:rPr>
                    <w:t>组织</w:t>
                  </w:r>
                </w:p>
              </w:tc>
              <w:tc>
                <w:tcPr>
                  <w:tcW w:w="732" w:type="pct"/>
                  <w:tcBorders>
                    <w:right w:val="single" w:color="000000" w:sz="4" w:space="0"/>
                  </w:tcBorders>
                  <w:noWrap w:val="0"/>
                  <w:vAlign w:val="center"/>
                </w:tcPr>
                <w:p w14:paraId="08A7802C">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有</w:t>
                  </w:r>
                  <w:r>
                    <w:rPr>
                      <w:rFonts w:hint="default" w:ascii="Times New Roman" w:hAnsi="Times New Roman" w:eastAsia="宋体" w:cs="Times New Roman"/>
                      <w:color w:val="000000" w:themeColor="text1"/>
                      <w:sz w:val="21"/>
                      <w:szCs w:val="21"/>
                      <w14:textFill>
                        <w14:solidFill>
                          <w14:schemeClr w14:val="tx1"/>
                        </w14:solidFill>
                      </w14:textFill>
                    </w:rPr>
                    <w:t>组织</w:t>
                  </w:r>
                </w:p>
              </w:tc>
              <w:tc>
                <w:tcPr>
                  <w:tcW w:w="782" w:type="pct"/>
                  <w:noWrap w:val="0"/>
                  <w:vAlign w:val="center"/>
                </w:tcPr>
                <w:p w14:paraId="5C50A8A4">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无组织</w:t>
                  </w:r>
                </w:p>
              </w:tc>
              <w:tc>
                <w:tcPr>
                  <w:tcW w:w="917" w:type="pct"/>
                  <w:noWrap w:val="0"/>
                  <w:vAlign w:val="center"/>
                </w:tcPr>
                <w:p w14:paraId="11840ADF">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无组织</w:t>
                  </w:r>
                </w:p>
              </w:tc>
              <w:tc>
                <w:tcPr>
                  <w:tcW w:w="922" w:type="pct"/>
                  <w:noWrap w:val="0"/>
                  <w:vAlign w:val="center"/>
                </w:tcPr>
                <w:p w14:paraId="1288A2F8">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r>
            <w:tr w14:paraId="441EE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jc w:val="center"/>
              </w:trPr>
              <w:tc>
                <w:tcPr>
                  <w:tcW w:w="804" w:type="pct"/>
                  <w:noWrap w:val="0"/>
                  <w:vAlign w:val="center"/>
                </w:tcPr>
                <w:p w14:paraId="37A0A909">
                  <w:pPr>
                    <w:widowControl/>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治理设施</w:t>
                  </w:r>
                </w:p>
              </w:tc>
              <w:tc>
                <w:tcPr>
                  <w:tcW w:w="840" w:type="pct"/>
                  <w:noWrap w:val="0"/>
                  <w:vAlign w:val="center"/>
                </w:tcPr>
                <w:p w14:paraId="2A5FF62F">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smallCaps w:val="0"/>
                      <w:color w:val="000000" w:themeColor="text1"/>
                      <w:kern w:val="0"/>
                      <w:sz w:val="21"/>
                      <w:szCs w:val="21"/>
                      <w:highlight w:val="none"/>
                      <w:lang w:val="en-US" w:eastAsia="zh-CN" w:bidi="ar"/>
                      <w14:textFill>
                        <w14:solidFill>
                          <w14:schemeClr w14:val="tx1"/>
                        </w14:solidFill>
                      </w14:textFill>
                    </w:rPr>
                    <w:t>活性炭吸附装置+排气筒（G1）</w:t>
                  </w:r>
                </w:p>
              </w:tc>
              <w:tc>
                <w:tcPr>
                  <w:tcW w:w="732" w:type="pct"/>
                  <w:tcBorders>
                    <w:right w:val="single" w:color="000000" w:sz="4" w:space="0"/>
                  </w:tcBorders>
                  <w:noWrap w:val="0"/>
                  <w:vAlign w:val="center"/>
                </w:tcPr>
                <w:p w14:paraId="2D037AFF">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布袋除尘器</w:t>
                  </w:r>
                  <w:r>
                    <w:rPr>
                      <w:rFonts w:hint="default" w:ascii="Times New Roman" w:hAnsi="Times New Roman" w:eastAsia="宋体" w:cs="Times New Roman"/>
                      <w:smallCaps w:val="0"/>
                      <w:color w:val="000000" w:themeColor="text1"/>
                      <w:kern w:val="0"/>
                      <w:sz w:val="21"/>
                      <w:szCs w:val="21"/>
                      <w:highlight w:val="none"/>
                      <w:lang w:val="en-US" w:eastAsia="zh-CN" w:bidi="ar"/>
                      <w14:textFill>
                        <w14:solidFill>
                          <w14:schemeClr w14:val="tx1"/>
                        </w14:solidFill>
                      </w14:textFill>
                    </w:rPr>
                    <w:t>+排气筒（G2）</w:t>
                  </w:r>
                </w:p>
              </w:tc>
              <w:tc>
                <w:tcPr>
                  <w:tcW w:w="782" w:type="pct"/>
                  <w:noWrap w:val="0"/>
                  <w:vAlign w:val="center"/>
                </w:tcPr>
                <w:p w14:paraId="08BB8107">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车间通风设施</w:t>
                  </w:r>
                </w:p>
              </w:tc>
              <w:tc>
                <w:tcPr>
                  <w:tcW w:w="917" w:type="pct"/>
                  <w:noWrap w:val="0"/>
                  <w:vAlign w:val="center"/>
                </w:tcPr>
                <w:p w14:paraId="2E3A1E04">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车间通风设施</w:t>
                  </w:r>
                </w:p>
              </w:tc>
              <w:tc>
                <w:tcPr>
                  <w:tcW w:w="922" w:type="pct"/>
                  <w:noWrap w:val="0"/>
                  <w:vAlign w:val="center"/>
                </w:tcPr>
                <w:p w14:paraId="67975AA6">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布袋除尘器</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车间通风设施</w:t>
                  </w:r>
                </w:p>
              </w:tc>
            </w:tr>
            <w:tr w14:paraId="59A8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pct"/>
                  <w:noWrap w:val="0"/>
                  <w:vAlign w:val="center"/>
                </w:tcPr>
                <w:p w14:paraId="2D7071AD">
                  <w:pPr>
                    <w:widowControl/>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工艺与规模</w:t>
                  </w:r>
                </w:p>
              </w:tc>
              <w:tc>
                <w:tcPr>
                  <w:tcW w:w="840" w:type="pct"/>
                  <w:noWrap w:val="0"/>
                  <w:vAlign w:val="center"/>
                </w:tcPr>
                <w:p w14:paraId="569C8496">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732" w:type="pct"/>
                  <w:tcBorders>
                    <w:right w:val="single" w:color="000000" w:sz="4" w:space="0"/>
                  </w:tcBorders>
                  <w:noWrap w:val="0"/>
                  <w:vAlign w:val="center"/>
                </w:tcPr>
                <w:p w14:paraId="6FF52FAC">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782" w:type="pct"/>
                  <w:noWrap w:val="0"/>
                  <w:vAlign w:val="center"/>
                </w:tcPr>
                <w:p w14:paraId="7B7406BA">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917" w:type="pct"/>
                  <w:noWrap w:val="0"/>
                  <w:vAlign w:val="center"/>
                </w:tcPr>
                <w:p w14:paraId="1B3B36EC">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922" w:type="pct"/>
                  <w:noWrap w:val="0"/>
                  <w:vAlign w:val="center"/>
                </w:tcPr>
                <w:p w14:paraId="25D70B5D">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6784C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pct"/>
                  <w:noWrap w:val="0"/>
                  <w:vAlign w:val="center"/>
                </w:tcPr>
                <w:p w14:paraId="5370958C">
                  <w:pPr>
                    <w:widowControl/>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设计指标</w:t>
                  </w:r>
                </w:p>
              </w:tc>
              <w:tc>
                <w:tcPr>
                  <w:tcW w:w="840" w:type="pct"/>
                  <w:noWrap w:val="0"/>
                  <w:vAlign w:val="center"/>
                </w:tcPr>
                <w:p w14:paraId="3E8640CB">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净化效率</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50</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732" w:type="pct"/>
                  <w:tcBorders>
                    <w:right w:val="single" w:color="000000" w:sz="4" w:space="0"/>
                  </w:tcBorders>
                  <w:noWrap w:val="0"/>
                  <w:vAlign w:val="center"/>
                </w:tcPr>
                <w:p w14:paraId="247685B7">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除尘效率99%</w:t>
                  </w:r>
                </w:p>
              </w:tc>
              <w:tc>
                <w:tcPr>
                  <w:tcW w:w="782" w:type="pct"/>
                  <w:noWrap w:val="0"/>
                  <w:vAlign w:val="center"/>
                </w:tcPr>
                <w:p w14:paraId="27C9983D">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917" w:type="pct"/>
                  <w:noWrap w:val="0"/>
                  <w:vAlign w:val="center"/>
                </w:tcPr>
                <w:p w14:paraId="4B883D9D">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922" w:type="pct"/>
                  <w:noWrap w:val="0"/>
                  <w:vAlign w:val="center"/>
                </w:tcPr>
                <w:p w14:paraId="6918B62C">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0E19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jc w:val="center"/>
              </w:trPr>
              <w:tc>
                <w:tcPr>
                  <w:tcW w:w="804" w:type="pct"/>
                  <w:noWrap w:val="0"/>
                  <w:vAlign w:val="center"/>
                </w:tcPr>
                <w:p w14:paraId="5B6DB0A9">
                  <w:pPr>
                    <w:widowControl/>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排气筒高度与内径尺寸</w:t>
                  </w:r>
                </w:p>
              </w:tc>
              <w:tc>
                <w:tcPr>
                  <w:tcW w:w="840" w:type="pct"/>
                  <w:noWrap w:val="0"/>
                  <w:vAlign w:val="center"/>
                </w:tcPr>
                <w:p w14:paraId="75F9C053">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排气筒20m</w:t>
                  </w:r>
                </w:p>
              </w:tc>
              <w:tc>
                <w:tcPr>
                  <w:tcW w:w="732" w:type="pct"/>
                  <w:tcBorders>
                    <w:right w:val="single" w:color="000000" w:sz="4" w:space="0"/>
                  </w:tcBorders>
                  <w:noWrap w:val="0"/>
                  <w:vAlign w:val="center"/>
                </w:tcPr>
                <w:p w14:paraId="1F2CEA20">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排气筒20m</w:t>
                  </w:r>
                </w:p>
              </w:tc>
              <w:tc>
                <w:tcPr>
                  <w:tcW w:w="782" w:type="pct"/>
                  <w:noWrap w:val="0"/>
                  <w:vAlign w:val="center"/>
                </w:tcPr>
                <w:p w14:paraId="709F4E81">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p w14:paraId="7D65A0B0">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17" w:type="pct"/>
                  <w:noWrap w:val="0"/>
                  <w:vAlign w:val="center"/>
                </w:tcPr>
                <w:p w14:paraId="18D07C8E">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p w14:paraId="5613C5AE">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22" w:type="pct"/>
                  <w:noWrap w:val="0"/>
                  <w:vAlign w:val="center"/>
                </w:tcPr>
                <w:p w14:paraId="2F805DBA">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p w14:paraId="2486FBBF">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p>
              </w:tc>
            </w:tr>
            <w:tr w14:paraId="6A1E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pct"/>
                  <w:noWrap w:val="0"/>
                  <w:vAlign w:val="center"/>
                </w:tcPr>
                <w:p w14:paraId="32235F37">
                  <w:pPr>
                    <w:widowControl/>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排放去向</w:t>
                  </w:r>
                </w:p>
              </w:tc>
              <w:tc>
                <w:tcPr>
                  <w:tcW w:w="840" w:type="pct"/>
                  <w:noWrap w:val="0"/>
                  <w:vAlign w:val="center"/>
                </w:tcPr>
                <w:p w14:paraId="37DAA363">
                  <w:pPr>
                    <w:widowControl/>
                    <w:ind w:left="-105" w:leftChars="-50" w:right="-105" w:rightChars="-5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大气环境</w:t>
                  </w:r>
                </w:p>
              </w:tc>
              <w:tc>
                <w:tcPr>
                  <w:tcW w:w="732" w:type="pct"/>
                  <w:tcBorders>
                    <w:right w:val="single" w:color="000000" w:sz="4" w:space="0"/>
                  </w:tcBorders>
                  <w:noWrap w:val="0"/>
                  <w:vAlign w:val="center"/>
                </w:tcPr>
                <w:p w14:paraId="1B1F47BA">
                  <w:pPr>
                    <w:widowControl/>
                    <w:ind w:left="-105" w:leftChars="-50" w:right="-105" w:rightChars="-5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大气环境</w:t>
                  </w:r>
                </w:p>
              </w:tc>
              <w:tc>
                <w:tcPr>
                  <w:tcW w:w="782" w:type="pct"/>
                  <w:noWrap w:val="0"/>
                  <w:vAlign w:val="center"/>
                </w:tcPr>
                <w:p w14:paraId="4BCD5905">
                  <w:pPr>
                    <w:widowControl/>
                    <w:ind w:left="-105" w:leftChars="-50" w:right="-105" w:rightChars="-50"/>
                    <w:jc w:val="center"/>
                    <w:rPr>
                      <w:rFonts w:hint="default" w:ascii="Times New Roman" w:hAnsi="Times New Roman" w:eastAsia="宋体" w:cs="Times New Roman"/>
                      <w:color w:val="000000" w:themeColor="text1"/>
                      <w:sz w:val="21"/>
                      <w:szCs w:val="21"/>
                      <w14:textFill>
                        <w14:solidFill>
                          <w14:schemeClr w14:val="tx1"/>
                        </w14:solidFill>
                      </w14:textFill>
                    </w:rPr>
                  </w:pPr>
                </w:p>
                <w:p w14:paraId="55BFED9E">
                  <w:pPr>
                    <w:widowControl/>
                    <w:ind w:left="-105" w:leftChars="-50" w:right="-105" w:rightChars="-5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大气环境</w:t>
                  </w:r>
                </w:p>
                <w:p w14:paraId="2A80C864">
                  <w:pPr>
                    <w:widowControl/>
                    <w:ind w:right="-105" w:rightChars="-50"/>
                    <w:rPr>
                      <w:rFonts w:hint="default" w:ascii="Times New Roman" w:hAnsi="Times New Roman" w:eastAsia="宋体" w:cs="Times New Roman"/>
                      <w:color w:val="000000" w:themeColor="text1"/>
                      <w:sz w:val="21"/>
                      <w:szCs w:val="21"/>
                      <w14:textFill>
                        <w14:solidFill>
                          <w14:schemeClr w14:val="tx1"/>
                        </w14:solidFill>
                      </w14:textFill>
                    </w:rPr>
                  </w:pPr>
                </w:p>
              </w:tc>
              <w:tc>
                <w:tcPr>
                  <w:tcW w:w="917" w:type="pct"/>
                  <w:noWrap w:val="0"/>
                  <w:vAlign w:val="center"/>
                </w:tcPr>
                <w:p w14:paraId="6E518617">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922" w:type="pct"/>
                  <w:noWrap w:val="0"/>
                  <w:vAlign w:val="center"/>
                </w:tcPr>
                <w:p w14:paraId="1FB5660B">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bl>
          <w:p w14:paraId="46FD3DD0">
            <w:pPr>
              <w:keepNext w:val="0"/>
              <w:keepLines w:val="0"/>
              <w:pageBreakBefore w:val="0"/>
              <w:widowControl/>
              <w:kinsoku/>
              <w:wordWrap w:val="0"/>
              <w:overflowPunct/>
              <w:topLinePunct w:val="0"/>
              <w:autoSpaceDE/>
              <w:autoSpaceDN/>
              <w:bidi w:val="0"/>
              <w:adjustRightInd/>
              <w:snapToGrid/>
              <w:spacing w:before="0" w:after="0" w:line="360" w:lineRule="auto"/>
              <w:ind w:left="0" w:leftChars="0" w:right="0" w:firstLine="480" w:firstLineChars="200"/>
              <w:jc w:val="both"/>
              <w:textAlignment w:val="auto"/>
              <w:rPr>
                <w:rFonts w:hint="default"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t>本次联帆科技废气达标情况采用项目验收监测数据，云南环普检测科技有限公司于2022年</w:t>
            </w:r>
            <w:r>
              <w:rPr>
                <w:rFonts w:hint="eastAsia"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t>8月24日、2022年8月25日对有机废气排放筒G1（非甲烷总烃、氯化氢）与混料废气排气筒G2（颗粒物）以及厂界无组织非甲烷总烃进行了监测，于2022年11月23日与2022年11月24日对厂界无组织颗粒物进行了监测。监测结果如下：</w:t>
            </w:r>
          </w:p>
          <w:p w14:paraId="2B959F63">
            <w:pPr>
              <w:spacing w:line="360" w:lineRule="auto"/>
              <w:ind w:firstLine="482" w:firstLineChars="200"/>
              <w:rPr>
                <w:rFonts w:hint="default" w:ascii="Times New Roman" w:hAnsi="Times New Roman" w:eastAsia="宋体" w:cs="Times New Roman"/>
                <w:b/>
                <w:bCs/>
                <w:color w:val="000000" w:themeColor="text1"/>
                <w:sz w:val="24"/>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1"/>
                <w:lang w:val="en-US" w:eastAsia="zh-CN"/>
                <w14:textFill>
                  <w14:solidFill>
                    <w14:schemeClr w14:val="tx1"/>
                  </w14:solidFill>
                </w14:textFill>
              </w:rPr>
              <w:t>1）有机废气排放筒G1</w:t>
            </w:r>
          </w:p>
          <w:p w14:paraId="32EEB56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color w:val="000000" w:themeColor="text1"/>
                <w:sz w:val="21"/>
                <w:szCs w:val="21"/>
                <w:vertAlign w:val="superscript"/>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表</w:t>
            </w: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2-11</w:t>
            </w:r>
            <w:r>
              <w:rPr>
                <w:rFonts w:hint="default" w:ascii="Times New Roman" w:hAnsi="Times New Roman" w:eastAsia="宋体" w:cs="Times New Roman"/>
                <w:b/>
                <w:color w:val="000000" w:themeColor="text1"/>
                <w:sz w:val="21"/>
                <w:szCs w:val="21"/>
                <w14:textFill>
                  <w14:solidFill>
                    <w14:schemeClr w14:val="tx1"/>
                  </w14:solidFill>
                </w14:textFill>
              </w:rPr>
              <w:t xml:space="preserve">   </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有</w:t>
            </w:r>
            <w:r>
              <w:rPr>
                <w:rFonts w:hint="default" w:ascii="Times New Roman" w:hAnsi="Times New Roman" w:eastAsia="宋体" w:cs="Times New Roman"/>
                <w:b/>
                <w:color w:val="000000" w:themeColor="text1"/>
                <w:sz w:val="21"/>
                <w:szCs w:val="21"/>
                <w14:textFill>
                  <w14:solidFill>
                    <w14:schemeClr w14:val="tx1"/>
                  </w14:solidFill>
                </w14:textFill>
              </w:rPr>
              <w:t>组织排放废气</w:t>
            </w:r>
            <w:r>
              <w:rPr>
                <w:rFonts w:hint="eastAsia" w:ascii="Times New Roman" w:hAnsi="Times New Roman" w:eastAsia="宋体" w:cs="Times New Roman"/>
                <w:b/>
                <w:color w:val="000000" w:themeColor="text1"/>
                <w:sz w:val="21"/>
                <w:szCs w:val="21"/>
                <w:lang w:eastAsia="zh-CN"/>
                <w14:textFill>
                  <w14:solidFill>
                    <w14:schemeClr w14:val="tx1"/>
                  </w14:solidFill>
                </w14:textFill>
              </w:rPr>
              <w:t>（</w:t>
            </w: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G1</w:t>
            </w:r>
            <w:r>
              <w:rPr>
                <w:rFonts w:hint="eastAsia" w:ascii="Times New Roman" w:hAnsi="Times New Roman" w:eastAsia="宋体" w:cs="Times New Roman"/>
                <w:b/>
                <w:color w:val="000000" w:themeColor="text1"/>
                <w:sz w:val="21"/>
                <w:szCs w:val="21"/>
                <w:lang w:eastAsia="zh-CN"/>
                <w14:textFill>
                  <w14:solidFill>
                    <w14:schemeClr w14:val="tx1"/>
                  </w14:solidFill>
                </w14:textFill>
              </w:rPr>
              <w:t>）</w:t>
            </w:r>
            <w:r>
              <w:rPr>
                <w:rFonts w:hint="default" w:ascii="Times New Roman" w:hAnsi="Times New Roman" w:eastAsia="宋体" w:cs="Times New Roman"/>
                <w:b/>
                <w:color w:val="000000" w:themeColor="text1"/>
                <w:sz w:val="21"/>
                <w:szCs w:val="21"/>
                <w14:textFill>
                  <w14:solidFill>
                    <w14:schemeClr w14:val="tx1"/>
                  </w14:solidFill>
                </w14:textFill>
              </w:rPr>
              <w:t>监测结果    单位：mg/m</w:t>
            </w:r>
            <w:r>
              <w:rPr>
                <w:rFonts w:hint="default" w:ascii="Times New Roman" w:hAnsi="Times New Roman" w:eastAsia="宋体" w:cs="Times New Roman"/>
                <w:b/>
                <w:color w:val="000000" w:themeColor="text1"/>
                <w:sz w:val="21"/>
                <w:szCs w:val="21"/>
                <w:vertAlign w:val="superscript"/>
                <w14:textFill>
                  <w14:solidFill>
                    <w14:schemeClr w14:val="tx1"/>
                  </w14:solidFill>
                </w14:textFill>
              </w:rPr>
              <w:t>3</w:t>
            </w:r>
          </w:p>
          <w:tbl>
            <w:tblPr>
              <w:tblStyle w:val="3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7"/>
              <w:gridCol w:w="1462"/>
              <w:gridCol w:w="1794"/>
              <w:gridCol w:w="855"/>
              <w:gridCol w:w="939"/>
              <w:gridCol w:w="1712"/>
            </w:tblGrid>
            <w:tr w14:paraId="72748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776" w:type="pct"/>
                  <w:gridSpan w:val="2"/>
                  <w:tcBorders>
                    <w:tl2br w:val="nil"/>
                    <w:tr2bl w:val="nil"/>
                  </w:tcBorders>
                  <w:noWrap w:val="0"/>
                  <w:vAlign w:val="center"/>
                </w:tcPr>
                <w:p w14:paraId="492E4105">
                  <w:pPr>
                    <w:spacing w:line="240" w:lineRule="auto"/>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监测点位</w:t>
                  </w:r>
                </w:p>
              </w:tc>
              <w:tc>
                <w:tcPr>
                  <w:tcW w:w="3223" w:type="pct"/>
                  <w:gridSpan w:val="4"/>
                  <w:tcBorders>
                    <w:tl2br w:val="nil"/>
                    <w:tr2bl w:val="nil"/>
                  </w:tcBorders>
                  <w:noWrap w:val="0"/>
                  <w:vAlign w:val="center"/>
                </w:tcPr>
                <w:p w14:paraId="22787A63">
                  <w:pPr>
                    <w:widowControl w:val="0"/>
                    <w:spacing w:after="120" w:line="240" w:lineRule="auto"/>
                    <w:jc w:val="cente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t>有机废气排放筒G1</w:t>
                  </w:r>
                </w:p>
              </w:tc>
            </w:tr>
            <w:tr w14:paraId="22EFE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776" w:type="pct"/>
                  <w:gridSpan w:val="2"/>
                  <w:tcBorders>
                    <w:tl2br w:val="nil"/>
                    <w:tr2bl w:val="nil"/>
                  </w:tcBorders>
                  <w:noWrap w:val="0"/>
                  <w:vAlign w:val="center"/>
                </w:tcPr>
                <w:p w14:paraId="7B089EFD">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检测日期</w:t>
                  </w:r>
                </w:p>
              </w:tc>
              <w:tc>
                <w:tcPr>
                  <w:tcW w:w="3223" w:type="pct"/>
                  <w:gridSpan w:val="4"/>
                  <w:tcBorders>
                    <w:tl2br w:val="nil"/>
                    <w:tr2bl w:val="nil"/>
                  </w:tcBorders>
                  <w:noWrap w:val="0"/>
                  <w:vAlign w:val="center"/>
                </w:tcPr>
                <w:p w14:paraId="5E7F0D87">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2022.08.24</w:t>
                  </w:r>
                </w:p>
              </w:tc>
            </w:tr>
            <w:tr w14:paraId="75125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776" w:type="pct"/>
                  <w:gridSpan w:val="2"/>
                  <w:tcBorders>
                    <w:tl2br w:val="nil"/>
                    <w:tr2bl w:val="nil"/>
                  </w:tcBorders>
                  <w:noWrap w:val="0"/>
                  <w:vAlign w:val="center"/>
                </w:tcPr>
                <w:p w14:paraId="5FB95425">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含湿量（%）</w:t>
                  </w:r>
                </w:p>
              </w:tc>
              <w:tc>
                <w:tcPr>
                  <w:tcW w:w="1091" w:type="pct"/>
                  <w:tcBorders>
                    <w:tl2br w:val="nil"/>
                    <w:tr2bl w:val="nil"/>
                  </w:tcBorders>
                  <w:noWrap w:val="0"/>
                  <w:vAlign w:val="center"/>
                </w:tcPr>
                <w:p w14:paraId="11CA24F4">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3.0</w:t>
                  </w:r>
                </w:p>
              </w:tc>
              <w:tc>
                <w:tcPr>
                  <w:tcW w:w="1091" w:type="pct"/>
                  <w:gridSpan w:val="2"/>
                  <w:tcBorders>
                    <w:tl2br w:val="nil"/>
                    <w:tr2bl w:val="nil"/>
                  </w:tcBorders>
                  <w:noWrap w:val="0"/>
                  <w:vAlign w:val="center"/>
                </w:tcPr>
                <w:p w14:paraId="7382DA89">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2.9</w:t>
                  </w:r>
                </w:p>
              </w:tc>
              <w:tc>
                <w:tcPr>
                  <w:tcW w:w="1040" w:type="pct"/>
                  <w:tcBorders>
                    <w:tl2br w:val="nil"/>
                    <w:tr2bl w:val="nil"/>
                  </w:tcBorders>
                  <w:noWrap w:val="0"/>
                  <w:vAlign w:val="center"/>
                </w:tcPr>
                <w:p w14:paraId="5C729D4F">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2.9</w:t>
                  </w:r>
                </w:p>
              </w:tc>
            </w:tr>
            <w:tr w14:paraId="3EFA3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776" w:type="pct"/>
                  <w:gridSpan w:val="2"/>
                  <w:tcBorders>
                    <w:tl2br w:val="nil"/>
                    <w:tr2bl w:val="nil"/>
                  </w:tcBorders>
                  <w:noWrap w:val="0"/>
                  <w:vAlign w:val="center"/>
                </w:tcPr>
                <w:p w14:paraId="7CFDF3DF">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平均烟温（℃）</w:t>
                  </w:r>
                </w:p>
              </w:tc>
              <w:tc>
                <w:tcPr>
                  <w:tcW w:w="1091" w:type="pct"/>
                  <w:tcBorders>
                    <w:tl2br w:val="nil"/>
                    <w:tr2bl w:val="nil"/>
                  </w:tcBorders>
                  <w:noWrap w:val="0"/>
                  <w:vAlign w:val="center"/>
                </w:tcPr>
                <w:p w14:paraId="304AE4EA">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42.7</w:t>
                  </w:r>
                </w:p>
              </w:tc>
              <w:tc>
                <w:tcPr>
                  <w:tcW w:w="1091" w:type="pct"/>
                  <w:gridSpan w:val="2"/>
                  <w:tcBorders>
                    <w:tl2br w:val="nil"/>
                    <w:tr2bl w:val="nil"/>
                  </w:tcBorders>
                  <w:noWrap w:val="0"/>
                  <w:vAlign w:val="center"/>
                </w:tcPr>
                <w:p w14:paraId="2D47CD71">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43.3</w:t>
                  </w:r>
                </w:p>
              </w:tc>
              <w:tc>
                <w:tcPr>
                  <w:tcW w:w="1040" w:type="pct"/>
                  <w:tcBorders>
                    <w:tl2br w:val="nil"/>
                    <w:tr2bl w:val="nil"/>
                  </w:tcBorders>
                  <w:noWrap w:val="0"/>
                  <w:vAlign w:val="center"/>
                </w:tcPr>
                <w:p w14:paraId="10979A42">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43.9</w:t>
                  </w:r>
                </w:p>
              </w:tc>
            </w:tr>
            <w:tr w14:paraId="11285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776" w:type="pct"/>
                  <w:gridSpan w:val="2"/>
                  <w:tcBorders>
                    <w:tl2br w:val="nil"/>
                    <w:tr2bl w:val="nil"/>
                  </w:tcBorders>
                  <w:noWrap w:val="0"/>
                  <w:vAlign w:val="center"/>
                </w:tcPr>
                <w:p w14:paraId="2C6B4CDF">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烟气流速（m/s）</w:t>
                  </w:r>
                </w:p>
              </w:tc>
              <w:tc>
                <w:tcPr>
                  <w:tcW w:w="1091" w:type="pct"/>
                  <w:tcBorders>
                    <w:tl2br w:val="nil"/>
                    <w:tr2bl w:val="nil"/>
                  </w:tcBorders>
                  <w:noWrap w:val="0"/>
                  <w:vAlign w:val="center"/>
                </w:tcPr>
                <w:p w14:paraId="7B989017">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20.9</w:t>
                  </w:r>
                </w:p>
              </w:tc>
              <w:tc>
                <w:tcPr>
                  <w:tcW w:w="1091" w:type="pct"/>
                  <w:gridSpan w:val="2"/>
                  <w:tcBorders>
                    <w:tl2br w:val="nil"/>
                    <w:tr2bl w:val="nil"/>
                  </w:tcBorders>
                  <w:noWrap w:val="0"/>
                  <w:vAlign w:val="center"/>
                </w:tcPr>
                <w:p w14:paraId="25857330">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20.5</w:t>
                  </w:r>
                </w:p>
              </w:tc>
              <w:tc>
                <w:tcPr>
                  <w:tcW w:w="1040" w:type="pct"/>
                  <w:tcBorders>
                    <w:tl2br w:val="nil"/>
                    <w:tr2bl w:val="nil"/>
                  </w:tcBorders>
                  <w:noWrap w:val="0"/>
                  <w:vAlign w:val="center"/>
                </w:tcPr>
                <w:p w14:paraId="63DBCA5A">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20.8</w:t>
                  </w:r>
                </w:p>
              </w:tc>
            </w:tr>
            <w:tr w14:paraId="3E68D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776" w:type="pct"/>
                  <w:gridSpan w:val="2"/>
                  <w:tcBorders>
                    <w:tl2br w:val="nil"/>
                    <w:tr2bl w:val="nil"/>
                  </w:tcBorders>
                  <w:noWrap w:val="0"/>
                  <w:vAlign w:val="center"/>
                </w:tcPr>
                <w:p w14:paraId="61E3FE20">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烟气流量（m</w:t>
                  </w:r>
                  <w:r>
                    <w:rPr>
                      <w:rFonts w:hint="default" w:ascii="Times New Roman" w:hAnsi="Times New Roman" w:eastAsia="宋体" w:cs="Times New Roman"/>
                      <w:b w:val="0"/>
                      <w:bCs w:val="0"/>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1"/>
                      <w:szCs w:val="21"/>
                      <w14:textFill>
                        <w14:solidFill>
                          <w14:schemeClr w14:val="tx1"/>
                        </w14:solidFill>
                      </w14:textFill>
                    </w:rPr>
                    <w:t>/h）</w:t>
                  </w:r>
                </w:p>
              </w:tc>
              <w:tc>
                <w:tcPr>
                  <w:tcW w:w="1091" w:type="pct"/>
                  <w:tcBorders>
                    <w:tl2br w:val="nil"/>
                    <w:tr2bl w:val="nil"/>
                  </w:tcBorders>
                  <w:noWrap w:val="0"/>
                  <w:vAlign w:val="center"/>
                </w:tcPr>
                <w:p w14:paraId="00BB9CC7">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14763</w:t>
                  </w:r>
                </w:p>
              </w:tc>
              <w:tc>
                <w:tcPr>
                  <w:tcW w:w="1091" w:type="pct"/>
                  <w:gridSpan w:val="2"/>
                  <w:tcBorders>
                    <w:tl2br w:val="nil"/>
                    <w:tr2bl w:val="nil"/>
                  </w:tcBorders>
                  <w:noWrap w:val="0"/>
                  <w:vAlign w:val="center"/>
                </w:tcPr>
                <w:p w14:paraId="55E54BA3">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14478</w:t>
                  </w:r>
                </w:p>
              </w:tc>
              <w:tc>
                <w:tcPr>
                  <w:tcW w:w="1040" w:type="pct"/>
                  <w:tcBorders>
                    <w:tl2br w:val="nil"/>
                    <w:tr2bl w:val="nil"/>
                  </w:tcBorders>
                  <w:noWrap w:val="0"/>
                  <w:vAlign w:val="center"/>
                </w:tcPr>
                <w:p w14:paraId="26CA100C">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14669</w:t>
                  </w:r>
                </w:p>
              </w:tc>
            </w:tr>
            <w:tr w14:paraId="08F0E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7" w:type="pct"/>
                  <w:vMerge w:val="restart"/>
                  <w:tcBorders>
                    <w:tl2br w:val="nil"/>
                    <w:tr2bl w:val="nil"/>
                  </w:tcBorders>
                  <w:noWrap w:val="0"/>
                  <w:vAlign w:val="center"/>
                </w:tcPr>
                <w:p w14:paraId="7FCBEE3A">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样品编号</w:t>
                  </w:r>
                </w:p>
              </w:tc>
              <w:tc>
                <w:tcPr>
                  <w:tcW w:w="888" w:type="pct"/>
                  <w:vMerge w:val="restart"/>
                  <w:tcBorders>
                    <w:tl2br w:val="nil"/>
                    <w:tr2bl w:val="nil"/>
                  </w:tcBorders>
                  <w:noWrap w:val="0"/>
                  <w:vAlign w:val="center"/>
                </w:tcPr>
                <w:p w14:paraId="66614D8F">
                  <w:pPr>
                    <w:spacing w:line="240" w:lineRule="auto"/>
                    <w:jc w:val="cente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标干</w:t>
                  </w:r>
                  <w:r>
                    <w:rPr>
                      <w:rFonts w:hint="default" w:ascii="Times New Roman" w:hAnsi="Times New Roman" w:eastAsia="宋体" w:cs="Times New Roman"/>
                      <w:b w:val="0"/>
                      <w:bCs w:val="0"/>
                      <w:color w:val="000000" w:themeColor="text1"/>
                      <w:sz w:val="21"/>
                      <w:szCs w:val="21"/>
                      <w14:textFill>
                        <w14:solidFill>
                          <w14:schemeClr w14:val="tx1"/>
                        </w14:solidFill>
                      </w14:textFill>
                    </w:rPr>
                    <w:t>流量</w:t>
                  </w: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m³/h</w:t>
                  </w: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w:t>
                  </w:r>
                </w:p>
              </w:tc>
              <w:tc>
                <w:tcPr>
                  <w:tcW w:w="3223" w:type="pct"/>
                  <w:gridSpan w:val="4"/>
                  <w:tcBorders>
                    <w:tl2br w:val="nil"/>
                    <w:tr2bl w:val="nil"/>
                  </w:tcBorders>
                  <w:noWrap w:val="0"/>
                  <w:vAlign w:val="center"/>
                </w:tcPr>
                <w:p w14:paraId="4CB72BFB">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氯化氢</w:t>
                  </w:r>
                </w:p>
              </w:tc>
            </w:tr>
            <w:tr w14:paraId="4881C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7" w:type="pct"/>
                  <w:vMerge w:val="continue"/>
                  <w:tcBorders>
                    <w:tl2br w:val="nil"/>
                    <w:tr2bl w:val="nil"/>
                  </w:tcBorders>
                  <w:noWrap w:val="0"/>
                  <w:vAlign w:val="center"/>
                </w:tcPr>
                <w:p w14:paraId="4C8F4AA1">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888" w:type="pct"/>
                  <w:vMerge w:val="continue"/>
                  <w:tcBorders>
                    <w:tl2br w:val="nil"/>
                    <w:tr2bl w:val="nil"/>
                  </w:tcBorders>
                  <w:noWrap w:val="0"/>
                  <w:vAlign w:val="center"/>
                </w:tcPr>
                <w:p w14:paraId="4232E159">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1611" w:type="pct"/>
                  <w:gridSpan w:val="2"/>
                  <w:tcBorders>
                    <w:tl2br w:val="nil"/>
                    <w:tr2bl w:val="nil"/>
                  </w:tcBorders>
                  <w:noWrap w:val="0"/>
                  <w:vAlign w:val="center"/>
                </w:tcPr>
                <w:p w14:paraId="40F2ADF6">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实测排放浓度</w:t>
                  </w:r>
                </w:p>
                <w:p w14:paraId="686BB12E">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（mg/m</w:t>
                  </w:r>
                  <w:r>
                    <w:rPr>
                      <w:rFonts w:hint="default" w:ascii="Times New Roman" w:hAnsi="Times New Roman" w:eastAsia="宋体" w:cs="Times New Roman"/>
                      <w:b w:val="0"/>
                      <w:bCs w:val="0"/>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1"/>
                      <w:szCs w:val="21"/>
                      <w14:textFill>
                        <w14:solidFill>
                          <w14:schemeClr w14:val="tx1"/>
                        </w14:solidFill>
                      </w14:textFill>
                    </w:rPr>
                    <w:t>）</w:t>
                  </w:r>
                </w:p>
              </w:tc>
              <w:tc>
                <w:tcPr>
                  <w:tcW w:w="1611" w:type="pct"/>
                  <w:gridSpan w:val="2"/>
                  <w:tcBorders>
                    <w:tl2br w:val="nil"/>
                    <w:tr2bl w:val="nil"/>
                  </w:tcBorders>
                  <w:noWrap w:val="0"/>
                  <w:vAlign w:val="center"/>
                </w:tcPr>
                <w:p w14:paraId="5A720019">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排放速率</w:t>
                  </w:r>
                </w:p>
                <w:p w14:paraId="08605F04">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（kg/h）</w:t>
                  </w:r>
                </w:p>
              </w:tc>
            </w:tr>
            <w:tr w14:paraId="7BCC9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exact"/>
                <w:jc w:val="center"/>
              </w:trPr>
              <w:tc>
                <w:tcPr>
                  <w:tcW w:w="887" w:type="pct"/>
                  <w:tcBorders>
                    <w:tl2br w:val="nil"/>
                    <w:tr2bl w:val="nil"/>
                  </w:tcBorders>
                  <w:noWrap w:val="0"/>
                  <w:vAlign w:val="center"/>
                </w:tcPr>
                <w:p w14:paraId="1A59379A">
                  <w:pPr>
                    <w:spacing w:line="240" w:lineRule="auto"/>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22081905F101-2</w:t>
                  </w:r>
                </w:p>
              </w:tc>
              <w:tc>
                <w:tcPr>
                  <w:tcW w:w="888" w:type="pct"/>
                  <w:tcBorders>
                    <w:tl2br w:val="nil"/>
                    <w:tr2bl w:val="nil"/>
                  </w:tcBorders>
                  <w:noWrap w:val="0"/>
                  <w:vAlign w:val="center"/>
                </w:tcPr>
                <w:p w14:paraId="101D9A45">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10127</w:t>
                  </w:r>
                </w:p>
              </w:tc>
              <w:tc>
                <w:tcPr>
                  <w:tcW w:w="1611" w:type="pct"/>
                  <w:gridSpan w:val="2"/>
                  <w:tcBorders>
                    <w:tl2br w:val="nil"/>
                    <w:tr2bl w:val="nil"/>
                  </w:tcBorders>
                  <w:noWrap w:val="0"/>
                  <w:vAlign w:val="center"/>
                </w:tcPr>
                <w:p w14:paraId="3143F0F6">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2.2</w:t>
                  </w:r>
                </w:p>
              </w:tc>
              <w:tc>
                <w:tcPr>
                  <w:tcW w:w="1611" w:type="pct"/>
                  <w:gridSpan w:val="2"/>
                  <w:tcBorders>
                    <w:tl2br w:val="nil"/>
                    <w:tr2bl w:val="nil"/>
                  </w:tcBorders>
                  <w:noWrap w:val="0"/>
                  <w:vAlign w:val="center"/>
                </w:tcPr>
                <w:p w14:paraId="5B421E31">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0.022</w:t>
                  </w:r>
                </w:p>
              </w:tc>
            </w:tr>
            <w:tr w14:paraId="75549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exact"/>
                <w:jc w:val="center"/>
              </w:trPr>
              <w:tc>
                <w:tcPr>
                  <w:tcW w:w="887" w:type="pct"/>
                  <w:tcBorders>
                    <w:tl2br w:val="nil"/>
                    <w:tr2bl w:val="nil"/>
                  </w:tcBorders>
                  <w:noWrap w:val="0"/>
                  <w:vAlign w:val="center"/>
                </w:tcPr>
                <w:p w14:paraId="32EF856A">
                  <w:pPr>
                    <w:spacing w:line="240" w:lineRule="auto"/>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22081905F102-2</w:t>
                  </w:r>
                </w:p>
              </w:tc>
              <w:tc>
                <w:tcPr>
                  <w:tcW w:w="888" w:type="pct"/>
                  <w:tcBorders>
                    <w:tl2br w:val="nil"/>
                    <w:tr2bl w:val="nil"/>
                  </w:tcBorders>
                  <w:noWrap w:val="0"/>
                  <w:vAlign w:val="center"/>
                </w:tcPr>
                <w:p w14:paraId="1ABFC620">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9913</w:t>
                  </w:r>
                </w:p>
              </w:tc>
              <w:tc>
                <w:tcPr>
                  <w:tcW w:w="1611" w:type="pct"/>
                  <w:gridSpan w:val="2"/>
                  <w:tcBorders>
                    <w:tl2br w:val="nil"/>
                    <w:tr2bl w:val="nil"/>
                  </w:tcBorders>
                  <w:noWrap w:val="0"/>
                  <w:vAlign w:val="center"/>
                </w:tcPr>
                <w:p w14:paraId="323D6979">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3.1</w:t>
                  </w:r>
                </w:p>
              </w:tc>
              <w:tc>
                <w:tcPr>
                  <w:tcW w:w="1611" w:type="pct"/>
                  <w:gridSpan w:val="2"/>
                  <w:tcBorders>
                    <w:tl2br w:val="nil"/>
                    <w:tr2bl w:val="nil"/>
                  </w:tcBorders>
                  <w:noWrap w:val="0"/>
                  <w:vAlign w:val="center"/>
                </w:tcPr>
                <w:p w14:paraId="34B8910D">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0.031</w:t>
                  </w:r>
                </w:p>
              </w:tc>
            </w:tr>
            <w:tr w14:paraId="070D2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exact"/>
                <w:jc w:val="center"/>
              </w:trPr>
              <w:tc>
                <w:tcPr>
                  <w:tcW w:w="887" w:type="pct"/>
                  <w:tcBorders>
                    <w:tl2br w:val="nil"/>
                    <w:tr2bl w:val="nil"/>
                  </w:tcBorders>
                  <w:noWrap w:val="0"/>
                  <w:vAlign w:val="center"/>
                </w:tcPr>
                <w:p w14:paraId="06DDF0B7">
                  <w:pPr>
                    <w:spacing w:line="240" w:lineRule="auto"/>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22081905F103-2</w:t>
                  </w:r>
                </w:p>
              </w:tc>
              <w:tc>
                <w:tcPr>
                  <w:tcW w:w="888" w:type="pct"/>
                  <w:tcBorders>
                    <w:tl2br w:val="nil"/>
                    <w:tr2bl w:val="nil"/>
                  </w:tcBorders>
                  <w:noWrap w:val="0"/>
                  <w:vAlign w:val="center"/>
                </w:tcPr>
                <w:p w14:paraId="6D02B18E">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10028</w:t>
                  </w:r>
                </w:p>
              </w:tc>
              <w:tc>
                <w:tcPr>
                  <w:tcW w:w="1611" w:type="pct"/>
                  <w:gridSpan w:val="2"/>
                  <w:tcBorders>
                    <w:tl2br w:val="nil"/>
                    <w:tr2bl w:val="nil"/>
                  </w:tcBorders>
                  <w:noWrap w:val="0"/>
                  <w:vAlign w:val="center"/>
                </w:tcPr>
                <w:p w14:paraId="54386985">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2.5</w:t>
                  </w:r>
                </w:p>
              </w:tc>
              <w:tc>
                <w:tcPr>
                  <w:tcW w:w="1611" w:type="pct"/>
                  <w:gridSpan w:val="2"/>
                  <w:tcBorders>
                    <w:tl2br w:val="nil"/>
                    <w:tr2bl w:val="nil"/>
                  </w:tcBorders>
                  <w:noWrap w:val="0"/>
                  <w:vAlign w:val="center"/>
                </w:tcPr>
                <w:p w14:paraId="0DDFB7DB">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0.025</w:t>
                  </w:r>
                </w:p>
              </w:tc>
            </w:tr>
            <w:tr w14:paraId="45F67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7" w:type="pct"/>
                  <w:tcBorders>
                    <w:tl2br w:val="nil"/>
                    <w:tr2bl w:val="nil"/>
                  </w:tcBorders>
                  <w:noWrap w:val="0"/>
                  <w:vAlign w:val="center"/>
                </w:tcPr>
                <w:p w14:paraId="731339BB">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平均值</w:t>
                  </w:r>
                </w:p>
              </w:tc>
              <w:tc>
                <w:tcPr>
                  <w:tcW w:w="888" w:type="pct"/>
                  <w:tcBorders>
                    <w:tl2br w:val="nil"/>
                    <w:tr2bl w:val="nil"/>
                  </w:tcBorders>
                  <w:noWrap w:val="0"/>
                  <w:vAlign w:val="center"/>
                </w:tcPr>
                <w:p w14:paraId="483B7E52">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10023</w:t>
                  </w:r>
                </w:p>
              </w:tc>
              <w:tc>
                <w:tcPr>
                  <w:tcW w:w="1611" w:type="pct"/>
                  <w:gridSpan w:val="2"/>
                  <w:tcBorders>
                    <w:tl2br w:val="nil"/>
                    <w:tr2bl w:val="nil"/>
                  </w:tcBorders>
                  <w:noWrap w:val="0"/>
                  <w:vAlign w:val="center"/>
                </w:tcPr>
                <w:p w14:paraId="4B7AB264">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2.6</w:t>
                  </w:r>
                </w:p>
              </w:tc>
              <w:tc>
                <w:tcPr>
                  <w:tcW w:w="1611" w:type="pct"/>
                  <w:gridSpan w:val="2"/>
                  <w:tcBorders>
                    <w:tl2br w:val="nil"/>
                    <w:tr2bl w:val="nil"/>
                  </w:tcBorders>
                  <w:noWrap w:val="0"/>
                  <w:vAlign w:val="center"/>
                </w:tcPr>
                <w:p w14:paraId="419B6506">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0.026</w:t>
                  </w:r>
                </w:p>
              </w:tc>
            </w:tr>
            <w:tr w14:paraId="16EEC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7" w:type="pct"/>
                  <w:tcBorders>
                    <w:tl2br w:val="nil"/>
                    <w:tr2bl w:val="nil"/>
                  </w:tcBorders>
                  <w:noWrap w:val="0"/>
                  <w:vAlign w:val="center"/>
                </w:tcPr>
                <w:p w14:paraId="2893296C">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标准值</w:t>
                  </w:r>
                </w:p>
              </w:tc>
              <w:tc>
                <w:tcPr>
                  <w:tcW w:w="888" w:type="pct"/>
                  <w:tcBorders>
                    <w:tl2br w:val="nil"/>
                    <w:tr2bl w:val="nil"/>
                  </w:tcBorders>
                  <w:noWrap w:val="0"/>
                  <w:vAlign w:val="center"/>
                </w:tcPr>
                <w:p w14:paraId="6045B64C">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w:t>
                  </w:r>
                </w:p>
              </w:tc>
              <w:tc>
                <w:tcPr>
                  <w:tcW w:w="1611" w:type="pct"/>
                  <w:gridSpan w:val="2"/>
                  <w:tcBorders>
                    <w:tl2br w:val="nil"/>
                    <w:tr2bl w:val="nil"/>
                  </w:tcBorders>
                  <w:noWrap w:val="0"/>
                  <w:vAlign w:val="center"/>
                </w:tcPr>
                <w:p w14:paraId="4EFE4B72">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100</w:t>
                  </w:r>
                </w:p>
              </w:tc>
              <w:tc>
                <w:tcPr>
                  <w:tcW w:w="1611" w:type="pct"/>
                  <w:gridSpan w:val="2"/>
                  <w:tcBorders>
                    <w:tl2br w:val="nil"/>
                    <w:tr2bl w:val="nil"/>
                  </w:tcBorders>
                  <w:noWrap w:val="0"/>
                  <w:vAlign w:val="center"/>
                </w:tcPr>
                <w:p w14:paraId="6F4899C6">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0.43</w:t>
                  </w:r>
                </w:p>
              </w:tc>
            </w:tr>
            <w:tr w14:paraId="7E451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7" w:type="pct"/>
                  <w:tcBorders>
                    <w:tl2br w:val="nil"/>
                    <w:tr2bl w:val="nil"/>
                  </w:tcBorders>
                  <w:noWrap w:val="0"/>
                  <w:vAlign w:val="center"/>
                </w:tcPr>
                <w:p w14:paraId="1B86485B">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达标分析</w:t>
                  </w:r>
                </w:p>
              </w:tc>
              <w:tc>
                <w:tcPr>
                  <w:tcW w:w="4112" w:type="pct"/>
                  <w:gridSpan w:val="5"/>
                  <w:tcBorders>
                    <w:tl2br w:val="nil"/>
                    <w:tr2bl w:val="nil"/>
                  </w:tcBorders>
                  <w:noWrap w:val="0"/>
                  <w:vAlign w:val="center"/>
                </w:tcPr>
                <w:p w14:paraId="31320211">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达标</w:t>
                  </w:r>
                </w:p>
              </w:tc>
            </w:tr>
            <w:tr w14:paraId="6DAA9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7" w:type="pct"/>
                  <w:vMerge w:val="restart"/>
                  <w:tcBorders>
                    <w:tl2br w:val="nil"/>
                    <w:tr2bl w:val="nil"/>
                  </w:tcBorders>
                  <w:noWrap w:val="0"/>
                  <w:vAlign w:val="center"/>
                </w:tcPr>
                <w:p w14:paraId="1F9E5F30">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样品编号</w:t>
                  </w:r>
                </w:p>
              </w:tc>
              <w:tc>
                <w:tcPr>
                  <w:tcW w:w="888" w:type="pct"/>
                  <w:vMerge w:val="restart"/>
                  <w:tcBorders>
                    <w:tl2br w:val="nil"/>
                    <w:tr2bl w:val="nil"/>
                  </w:tcBorders>
                  <w:noWrap w:val="0"/>
                  <w:vAlign w:val="center"/>
                </w:tcPr>
                <w:p w14:paraId="5282ABC2">
                  <w:pPr>
                    <w:spacing w:line="240" w:lineRule="auto"/>
                    <w:jc w:val="cente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标干</w:t>
                  </w:r>
                  <w:r>
                    <w:rPr>
                      <w:rFonts w:hint="default" w:ascii="Times New Roman" w:hAnsi="Times New Roman" w:eastAsia="宋体" w:cs="Times New Roman"/>
                      <w:b w:val="0"/>
                      <w:bCs w:val="0"/>
                      <w:color w:val="000000" w:themeColor="text1"/>
                      <w:sz w:val="21"/>
                      <w:szCs w:val="21"/>
                      <w14:textFill>
                        <w14:solidFill>
                          <w14:schemeClr w14:val="tx1"/>
                        </w14:solidFill>
                      </w14:textFill>
                    </w:rPr>
                    <w:t>流量</w:t>
                  </w: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m³/h</w:t>
                  </w: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w:t>
                  </w:r>
                </w:p>
              </w:tc>
              <w:tc>
                <w:tcPr>
                  <w:tcW w:w="3223" w:type="pct"/>
                  <w:gridSpan w:val="4"/>
                  <w:tcBorders>
                    <w:tl2br w:val="nil"/>
                    <w:tr2bl w:val="nil"/>
                  </w:tcBorders>
                  <w:noWrap w:val="0"/>
                  <w:vAlign w:val="center"/>
                </w:tcPr>
                <w:p w14:paraId="78D59349">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非甲烷总烃</w:t>
                  </w:r>
                </w:p>
              </w:tc>
            </w:tr>
            <w:tr w14:paraId="40263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7" w:type="pct"/>
                  <w:vMerge w:val="continue"/>
                  <w:tcBorders>
                    <w:tl2br w:val="nil"/>
                    <w:tr2bl w:val="nil"/>
                  </w:tcBorders>
                  <w:noWrap w:val="0"/>
                  <w:vAlign w:val="center"/>
                </w:tcPr>
                <w:p w14:paraId="01A7F28B">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888" w:type="pct"/>
                  <w:vMerge w:val="continue"/>
                  <w:tcBorders>
                    <w:tl2br w:val="nil"/>
                    <w:tr2bl w:val="nil"/>
                  </w:tcBorders>
                  <w:noWrap w:val="0"/>
                  <w:vAlign w:val="center"/>
                </w:tcPr>
                <w:p w14:paraId="24AE5F23">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1611" w:type="pct"/>
                  <w:gridSpan w:val="2"/>
                  <w:tcBorders>
                    <w:tl2br w:val="nil"/>
                    <w:tr2bl w:val="nil"/>
                  </w:tcBorders>
                  <w:noWrap w:val="0"/>
                  <w:vAlign w:val="center"/>
                </w:tcPr>
                <w:p w14:paraId="705316C4">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实测排放浓度</w:t>
                  </w:r>
                </w:p>
                <w:p w14:paraId="2E5C5584">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（mg/m</w:t>
                  </w:r>
                  <w:r>
                    <w:rPr>
                      <w:rFonts w:hint="default" w:ascii="Times New Roman" w:hAnsi="Times New Roman" w:eastAsia="宋体" w:cs="Times New Roman"/>
                      <w:b w:val="0"/>
                      <w:bCs w:val="0"/>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1"/>
                      <w:szCs w:val="21"/>
                      <w14:textFill>
                        <w14:solidFill>
                          <w14:schemeClr w14:val="tx1"/>
                        </w14:solidFill>
                      </w14:textFill>
                    </w:rPr>
                    <w:t>）</w:t>
                  </w:r>
                </w:p>
              </w:tc>
              <w:tc>
                <w:tcPr>
                  <w:tcW w:w="1611" w:type="pct"/>
                  <w:gridSpan w:val="2"/>
                  <w:tcBorders>
                    <w:tl2br w:val="nil"/>
                    <w:tr2bl w:val="nil"/>
                  </w:tcBorders>
                  <w:noWrap w:val="0"/>
                  <w:vAlign w:val="center"/>
                </w:tcPr>
                <w:p w14:paraId="47E0DE7A">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排放速率</w:t>
                  </w:r>
                </w:p>
                <w:p w14:paraId="37572D75">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（kg/h）</w:t>
                  </w:r>
                </w:p>
              </w:tc>
            </w:tr>
            <w:tr w14:paraId="67DAB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87" w:type="pct"/>
                  <w:tcBorders>
                    <w:tl2br w:val="nil"/>
                    <w:tr2bl w:val="nil"/>
                  </w:tcBorders>
                  <w:noWrap w:val="0"/>
                  <w:vAlign w:val="center"/>
                </w:tcPr>
                <w:p w14:paraId="7B1B7E25">
                  <w:pPr>
                    <w:spacing w:line="240" w:lineRule="auto"/>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22081905F101-2</w:t>
                  </w:r>
                </w:p>
              </w:tc>
              <w:tc>
                <w:tcPr>
                  <w:tcW w:w="888" w:type="pct"/>
                  <w:tcBorders>
                    <w:tl2br w:val="nil"/>
                    <w:tr2bl w:val="nil"/>
                  </w:tcBorders>
                  <w:noWrap w:val="0"/>
                  <w:vAlign w:val="center"/>
                </w:tcPr>
                <w:p w14:paraId="227F3D3F">
                  <w:pPr>
                    <w:spacing w:line="240" w:lineRule="auto"/>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10127</w:t>
                  </w:r>
                </w:p>
              </w:tc>
              <w:tc>
                <w:tcPr>
                  <w:tcW w:w="1611" w:type="pct"/>
                  <w:gridSpan w:val="2"/>
                  <w:tcBorders>
                    <w:tl2br w:val="nil"/>
                    <w:tr2bl w:val="nil"/>
                  </w:tcBorders>
                  <w:noWrap w:val="0"/>
                  <w:vAlign w:val="center"/>
                </w:tcPr>
                <w:p w14:paraId="4F9610BA">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1.83</w:t>
                  </w:r>
                </w:p>
              </w:tc>
              <w:tc>
                <w:tcPr>
                  <w:tcW w:w="1611" w:type="pct"/>
                  <w:gridSpan w:val="2"/>
                  <w:tcBorders>
                    <w:tl2br w:val="nil"/>
                    <w:tr2bl w:val="nil"/>
                  </w:tcBorders>
                  <w:noWrap w:val="0"/>
                  <w:vAlign w:val="center"/>
                </w:tcPr>
                <w:p w14:paraId="752C50F3">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0.019</w:t>
                  </w:r>
                </w:p>
              </w:tc>
            </w:tr>
            <w:tr w14:paraId="480E3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exact"/>
                <w:jc w:val="center"/>
              </w:trPr>
              <w:tc>
                <w:tcPr>
                  <w:tcW w:w="887" w:type="pct"/>
                  <w:tcBorders>
                    <w:tl2br w:val="nil"/>
                    <w:tr2bl w:val="nil"/>
                  </w:tcBorders>
                  <w:noWrap w:val="0"/>
                  <w:vAlign w:val="center"/>
                </w:tcPr>
                <w:p w14:paraId="510D2146">
                  <w:pPr>
                    <w:spacing w:line="240" w:lineRule="auto"/>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22081905F102-2</w:t>
                  </w:r>
                </w:p>
              </w:tc>
              <w:tc>
                <w:tcPr>
                  <w:tcW w:w="888" w:type="pct"/>
                  <w:tcBorders>
                    <w:tl2br w:val="nil"/>
                    <w:tr2bl w:val="nil"/>
                  </w:tcBorders>
                  <w:noWrap w:val="0"/>
                  <w:vAlign w:val="center"/>
                </w:tcPr>
                <w:p w14:paraId="488757D2">
                  <w:pPr>
                    <w:spacing w:line="240" w:lineRule="auto"/>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9913</w:t>
                  </w:r>
                </w:p>
              </w:tc>
              <w:tc>
                <w:tcPr>
                  <w:tcW w:w="1611" w:type="pct"/>
                  <w:gridSpan w:val="2"/>
                  <w:tcBorders>
                    <w:tl2br w:val="nil"/>
                    <w:tr2bl w:val="nil"/>
                  </w:tcBorders>
                  <w:noWrap w:val="0"/>
                  <w:vAlign w:val="center"/>
                </w:tcPr>
                <w:p w14:paraId="21987DCF">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1.95</w:t>
                  </w:r>
                </w:p>
              </w:tc>
              <w:tc>
                <w:tcPr>
                  <w:tcW w:w="1611" w:type="pct"/>
                  <w:gridSpan w:val="2"/>
                  <w:tcBorders>
                    <w:tl2br w:val="nil"/>
                    <w:tr2bl w:val="nil"/>
                  </w:tcBorders>
                  <w:noWrap w:val="0"/>
                  <w:vAlign w:val="center"/>
                </w:tcPr>
                <w:p w14:paraId="4C2B400F">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0.019</w:t>
                  </w:r>
                </w:p>
              </w:tc>
            </w:tr>
            <w:tr w14:paraId="7BC26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exact"/>
                <w:jc w:val="center"/>
              </w:trPr>
              <w:tc>
                <w:tcPr>
                  <w:tcW w:w="887" w:type="pct"/>
                  <w:tcBorders>
                    <w:tl2br w:val="nil"/>
                    <w:tr2bl w:val="nil"/>
                  </w:tcBorders>
                  <w:noWrap w:val="0"/>
                  <w:vAlign w:val="center"/>
                </w:tcPr>
                <w:p w14:paraId="69BD258A">
                  <w:pPr>
                    <w:spacing w:line="240" w:lineRule="auto"/>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22081905F103-2</w:t>
                  </w:r>
                </w:p>
              </w:tc>
              <w:tc>
                <w:tcPr>
                  <w:tcW w:w="888" w:type="pct"/>
                  <w:tcBorders>
                    <w:tl2br w:val="nil"/>
                    <w:tr2bl w:val="nil"/>
                  </w:tcBorders>
                  <w:noWrap w:val="0"/>
                  <w:vAlign w:val="center"/>
                </w:tcPr>
                <w:p w14:paraId="1292AC2F">
                  <w:pPr>
                    <w:spacing w:line="240" w:lineRule="auto"/>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10028</w:t>
                  </w:r>
                </w:p>
              </w:tc>
              <w:tc>
                <w:tcPr>
                  <w:tcW w:w="1611" w:type="pct"/>
                  <w:gridSpan w:val="2"/>
                  <w:tcBorders>
                    <w:tl2br w:val="nil"/>
                    <w:tr2bl w:val="nil"/>
                  </w:tcBorders>
                  <w:noWrap w:val="0"/>
                  <w:vAlign w:val="center"/>
                </w:tcPr>
                <w:p w14:paraId="0C2B72A2">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1.70</w:t>
                  </w:r>
                </w:p>
              </w:tc>
              <w:tc>
                <w:tcPr>
                  <w:tcW w:w="1611" w:type="pct"/>
                  <w:gridSpan w:val="2"/>
                  <w:tcBorders>
                    <w:tl2br w:val="nil"/>
                    <w:tr2bl w:val="nil"/>
                  </w:tcBorders>
                  <w:noWrap w:val="0"/>
                  <w:vAlign w:val="center"/>
                </w:tcPr>
                <w:p w14:paraId="501BE7AB">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0.017</w:t>
                  </w:r>
                </w:p>
              </w:tc>
            </w:tr>
            <w:tr w14:paraId="1DDC8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7" w:type="pct"/>
                  <w:tcBorders>
                    <w:tl2br w:val="nil"/>
                    <w:tr2bl w:val="nil"/>
                  </w:tcBorders>
                  <w:noWrap w:val="0"/>
                  <w:vAlign w:val="center"/>
                </w:tcPr>
                <w:p w14:paraId="427AB30F">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平均值</w:t>
                  </w:r>
                </w:p>
              </w:tc>
              <w:tc>
                <w:tcPr>
                  <w:tcW w:w="888" w:type="pct"/>
                  <w:tcBorders>
                    <w:tl2br w:val="nil"/>
                    <w:tr2bl w:val="nil"/>
                  </w:tcBorders>
                  <w:noWrap w:val="0"/>
                  <w:vAlign w:val="center"/>
                </w:tcPr>
                <w:p w14:paraId="16CA7586">
                  <w:pPr>
                    <w:spacing w:line="240" w:lineRule="auto"/>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10023</w:t>
                  </w:r>
                </w:p>
              </w:tc>
              <w:tc>
                <w:tcPr>
                  <w:tcW w:w="1611" w:type="pct"/>
                  <w:gridSpan w:val="2"/>
                  <w:tcBorders>
                    <w:tl2br w:val="nil"/>
                    <w:tr2bl w:val="nil"/>
                  </w:tcBorders>
                  <w:noWrap w:val="0"/>
                  <w:vAlign w:val="center"/>
                </w:tcPr>
                <w:p w14:paraId="2B8DC7AE">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1.83</w:t>
                  </w:r>
                </w:p>
              </w:tc>
              <w:tc>
                <w:tcPr>
                  <w:tcW w:w="1611" w:type="pct"/>
                  <w:gridSpan w:val="2"/>
                  <w:tcBorders>
                    <w:tl2br w:val="nil"/>
                    <w:tr2bl w:val="nil"/>
                  </w:tcBorders>
                  <w:noWrap w:val="0"/>
                  <w:vAlign w:val="center"/>
                </w:tcPr>
                <w:p w14:paraId="1B749C35">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0.018</w:t>
                  </w:r>
                </w:p>
              </w:tc>
            </w:tr>
            <w:tr w14:paraId="48313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7" w:type="pct"/>
                  <w:tcBorders>
                    <w:tl2br w:val="nil"/>
                    <w:tr2bl w:val="nil"/>
                  </w:tcBorders>
                  <w:noWrap w:val="0"/>
                  <w:vAlign w:val="center"/>
                </w:tcPr>
                <w:p w14:paraId="625AF9B6">
                  <w:pPr>
                    <w:spacing w:line="240" w:lineRule="auto"/>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标准值</w:t>
                  </w:r>
                </w:p>
              </w:tc>
              <w:tc>
                <w:tcPr>
                  <w:tcW w:w="888" w:type="pct"/>
                  <w:tcBorders>
                    <w:tl2br w:val="nil"/>
                    <w:tr2bl w:val="nil"/>
                  </w:tcBorders>
                  <w:noWrap w:val="0"/>
                  <w:vAlign w:val="center"/>
                </w:tcPr>
                <w:p w14:paraId="7E59B765">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w:t>
                  </w:r>
                </w:p>
              </w:tc>
              <w:tc>
                <w:tcPr>
                  <w:tcW w:w="1611" w:type="pct"/>
                  <w:gridSpan w:val="2"/>
                  <w:tcBorders>
                    <w:tl2br w:val="nil"/>
                    <w:tr2bl w:val="nil"/>
                  </w:tcBorders>
                  <w:noWrap w:val="0"/>
                  <w:vAlign w:val="center"/>
                </w:tcPr>
                <w:p w14:paraId="6E1CB4C8">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40</w:t>
                  </w:r>
                </w:p>
              </w:tc>
              <w:tc>
                <w:tcPr>
                  <w:tcW w:w="1611" w:type="pct"/>
                  <w:gridSpan w:val="2"/>
                  <w:tcBorders>
                    <w:tl2br w:val="nil"/>
                    <w:tr2bl w:val="nil"/>
                  </w:tcBorders>
                  <w:noWrap w:val="0"/>
                  <w:vAlign w:val="center"/>
                </w:tcPr>
                <w:p w14:paraId="0FDB9346">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2.7</w:t>
                  </w:r>
                </w:p>
              </w:tc>
            </w:tr>
            <w:tr w14:paraId="7A04C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7" w:type="pct"/>
                  <w:tcBorders>
                    <w:tl2br w:val="nil"/>
                    <w:tr2bl w:val="nil"/>
                  </w:tcBorders>
                  <w:noWrap w:val="0"/>
                  <w:vAlign w:val="center"/>
                </w:tcPr>
                <w:p w14:paraId="108A6A11">
                  <w:pPr>
                    <w:spacing w:line="240" w:lineRule="auto"/>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达标分析</w:t>
                  </w:r>
                </w:p>
              </w:tc>
              <w:tc>
                <w:tcPr>
                  <w:tcW w:w="4112" w:type="pct"/>
                  <w:gridSpan w:val="5"/>
                  <w:tcBorders>
                    <w:tl2br w:val="nil"/>
                    <w:tr2bl w:val="nil"/>
                  </w:tcBorders>
                  <w:noWrap w:val="0"/>
                  <w:vAlign w:val="center"/>
                </w:tcPr>
                <w:p w14:paraId="36252503">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达标</w:t>
                  </w:r>
                </w:p>
              </w:tc>
            </w:tr>
            <w:tr w14:paraId="218C7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776" w:type="pct"/>
                  <w:gridSpan w:val="2"/>
                  <w:tcBorders>
                    <w:tl2br w:val="nil"/>
                    <w:tr2bl w:val="nil"/>
                  </w:tcBorders>
                  <w:noWrap w:val="0"/>
                  <w:vAlign w:val="center"/>
                </w:tcPr>
                <w:p w14:paraId="359FF2F9">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检测日期</w:t>
                  </w:r>
                </w:p>
              </w:tc>
              <w:tc>
                <w:tcPr>
                  <w:tcW w:w="3223" w:type="pct"/>
                  <w:gridSpan w:val="4"/>
                  <w:tcBorders>
                    <w:tl2br w:val="nil"/>
                    <w:tr2bl w:val="nil"/>
                  </w:tcBorders>
                  <w:noWrap w:val="0"/>
                  <w:vAlign w:val="center"/>
                </w:tcPr>
                <w:p w14:paraId="1C101E8E">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2022.08.25</w:t>
                  </w:r>
                </w:p>
              </w:tc>
            </w:tr>
            <w:tr w14:paraId="33F73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776" w:type="pct"/>
                  <w:gridSpan w:val="2"/>
                  <w:tcBorders>
                    <w:tl2br w:val="nil"/>
                    <w:tr2bl w:val="nil"/>
                  </w:tcBorders>
                  <w:noWrap w:val="0"/>
                  <w:vAlign w:val="center"/>
                </w:tcPr>
                <w:p w14:paraId="3B0D4871">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含湿量（%）</w:t>
                  </w:r>
                </w:p>
              </w:tc>
              <w:tc>
                <w:tcPr>
                  <w:tcW w:w="1091" w:type="pct"/>
                  <w:tcBorders>
                    <w:tl2br w:val="nil"/>
                    <w:tr2bl w:val="nil"/>
                  </w:tcBorders>
                  <w:noWrap w:val="0"/>
                  <w:vAlign w:val="center"/>
                </w:tcPr>
                <w:p w14:paraId="5E91035D">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2.8</w:t>
                  </w:r>
                </w:p>
              </w:tc>
              <w:tc>
                <w:tcPr>
                  <w:tcW w:w="1091" w:type="pct"/>
                  <w:gridSpan w:val="2"/>
                  <w:tcBorders>
                    <w:tl2br w:val="nil"/>
                    <w:tr2bl w:val="nil"/>
                  </w:tcBorders>
                  <w:noWrap w:val="0"/>
                  <w:vAlign w:val="center"/>
                </w:tcPr>
                <w:p w14:paraId="15AC24C4">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2.9</w:t>
                  </w:r>
                </w:p>
              </w:tc>
              <w:tc>
                <w:tcPr>
                  <w:tcW w:w="1040" w:type="pct"/>
                  <w:tcBorders>
                    <w:tl2br w:val="nil"/>
                    <w:tr2bl w:val="nil"/>
                  </w:tcBorders>
                  <w:noWrap w:val="0"/>
                  <w:vAlign w:val="center"/>
                </w:tcPr>
                <w:p w14:paraId="00A88263">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2.8</w:t>
                  </w:r>
                </w:p>
              </w:tc>
            </w:tr>
            <w:tr w14:paraId="7D81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776" w:type="pct"/>
                  <w:gridSpan w:val="2"/>
                  <w:tcBorders>
                    <w:tl2br w:val="nil"/>
                    <w:tr2bl w:val="nil"/>
                  </w:tcBorders>
                  <w:noWrap w:val="0"/>
                  <w:vAlign w:val="center"/>
                </w:tcPr>
                <w:p w14:paraId="27A50D1E">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平均烟温（℃）</w:t>
                  </w:r>
                </w:p>
              </w:tc>
              <w:tc>
                <w:tcPr>
                  <w:tcW w:w="1091" w:type="pct"/>
                  <w:tcBorders>
                    <w:tl2br w:val="nil"/>
                    <w:tr2bl w:val="nil"/>
                  </w:tcBorders>
                  <w:noWrap w:val="0"/>
                  <w:vAlign w:val="center"/>
                </w:tcPr>
                <w:p w14:paraId="4ED5849E">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38.4</w:t>
                  </w:r>
                </w:p>
              </w:tc>
              <w:tc>
                <w:tcPr>
                  <w:tcW w:w="1091" w:type="pct"/>
                  <w:gridSpan w:val="2"/>
                  <w:tcBorders>
                    <w:tl2br w:val="nil"/>
                    <w:tr2bl w:val="nil"/>
                  </w:tcBorders>
                  <w:noWrap w:val="0"/>
                  <w:vAlign w:val="center"/>
                </w:tcPr>
                <w:p w14:paraId="4B86AFA9">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38.9</w:t>
                  </w:r>
                </w:p>
              </w:tc>
              <w:tc>
                <w:tcPr>
                  <w:tcW w:w="1040" w:type="pct"/>
                  <w:tcBorders>
                    <w:tl2br w:val="nil"/>
                    <w:tr2bl w:val="nil"/>
                  </w:tcBorders>
                  <w:noWrap w:val="0"/>
                  <w:vAlign w:val="center"/>
                </w:tcPr>
                <w:p w14:paraId="6FE72424">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38.1</w:t>
                  </w:r>
                </w:p>
              </w:tc>
            </w:tr>
            <w:tr w14:paraId="53414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776" w:type="pct"/>
                  <w:gridSpan w:val="2"/>
                  <w:tcBorders>
                    <w:tl2br w:val="nil"/>
                    <w:tr2bl w:val="nil"/>
                  </w:tcBorders>
                  <w:noWrap w:val="0"/>
                  <w:vAlign w:val="center"/>
                </w:tcPr>
                <w:p w14:paraId="40331B13">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烟气流速（m/s）</w:t>
                  </w:r>
                </w:p>
              </w:tc>
              <w:tc>
                <w:tcPr>
                  <w:tcW w:w="1091" w:type="pct"/>
                  <w:tcBorders>
                    <w:tl2br w:val="nil"/>
                    <w:tr2bl w:val="nil"/>
                  </w:tcBorders>
                  <w:noWrap w:val="0"/>
                  <w:vAlign w:val="center"/>
                </w:tcPr>
                <w:p w14:paraId="0FA163C7">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20.2</w:t>
                  </w:r>
                </w:p>
              </w:tc>
              <w:tc>
                <w:tcPr>
                  <w:tcW w:w="1091" w:type="pct"/>
                  <w:gridSpan w:val="2"/>
                  <w:tcBorders>
                    <w:tl2br w:val="nil"/>
                    <w:tr2bl w:val="nil"/>
                  </w:tcBorders>
                  <w:noWrap w:val="0"/>
                  <w:vAlign w:val="center"/>
                </w:tcPr>
                <w:p w14:paraId="48815609">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19.7</w:t>
                  </w:r>
                </w:p>
              </w:tc>
              <w:tc>
                <w:tcPr>
                  <w:tcW w:w="1040" w:type="pct"/>
                  <w:tcBorders>
                    <w:tl2br w:val="nil"/>
                    <w:tr2bl w:val="nil"/>
                  </w:tcBorders>
                  <w:noWrap w:val="0"/>
                  <w:vAlign w:val="center"/>
                </w:tcPr>
                <w:p w14:paraId="627D4E22">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19.8</w:t>
                  </w:r>
                </w:p>
              </w:tc>
            </w:tr>
            <w:tr w14:paraId="06A4C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776" w:type="pct"/>
                  <w:gridSpan w:val="2"/>
                  <w:tcBorders>
                    <w:tl2br w:val="nil"/>
                    <w:tr2bl w:val="nil"/>
                  </w:tcBorders>
                  <w:noWrap w:val="0"/>
                  <w:vAlign w:val="center"/>
                </w:tcPr>
                <w:p w14:paraId="3D75E8ED">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烟气流量（m</w:t>
                  </w:r>
                  <w:r>
                    <w:rPr>
                      <w:rFonts w:hint="default" w:ascii="Times New Roman" w:hAnsi="Times New Roman" w:eastAsia="宋体" w:cs="Times New Roman"/>
                      <w:b w:val="0"/>
                      <w:bCs w:val="0"/>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1"/>
                      <w:szCs w:val="21"/>
                      <w14:textFill>
                        <w14:solidFill>
                          <w14:schemeClr w14:val="tx1"/>
                        </w14:solidFill>
                      </w14:textFill>
                    </w:rPr>
                    <w:t>/h）</w:t>
                  </w:r>
                </w:p>
              </w:tc>
              <w:tc>
                <w:tcPr>
                  <w:tcW w:w="1091" w:type="pct"/>
                  <w:tcBorders>
                    <w:tl2br w:val="nil"/>
                    <w:tr2bl w:val="nil"/>
                  </w:tcBorders>
                  <w:noWrap w:val="0"/>
                  <w:vAlign w:val="center"/>
                </w:tcPr>
                <w:p w14:paraId="50D55414">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14297</w:t>
                  </w:r>
                </w:p>
              </w:tc>
              <w:tc>
                <w:tcPr>
                  <w:tcW w:w="1091" w:type="pct"/>
                  <w:gridSpan w:val="2"/>
                  <w:tcBorders>
                    <w:tl2br w:val="nil"/>
                    <w:tr2bl w:val="nil"/>
                  </w:tcBorders>
                  <w:noWrap w:val="0"/>
                  <w:vAlign w:val="center"/>
                </w:tcPr>
                <w:p w14:paraId="562E66C4">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13956</w:t>
                  </w:r>
                </w:p>
              </w:tc>
              <w:tc>
                <w:tcPr>
                  <w:tcW w:w="1040" w:type="pct"/>
                  <w:tcBorders>
                    <w:tl2br w:val="nil"/>
                    <w:tr2bl w:val="nil"/>
                  </w:tcBorders>
                  <w:noWrap w:val="0"/>
                  <w:vAlign w:val="center"/>
                </w:tcPr>
                <w:p w14:paraId="43E2C736">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14013</w:t>
                  </w:r>
                </w:p>
              </w:tc>
            </w:tr>
            <w:tr w14:paraId="08565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7" w:type="pct"/>
                  <w:vMerge w:val="restart"/>
                  <w:tcBorders>
                    <w:tl2br w:val="nil"/>
                    <w:tr2bl w:val="nil"/>
                  </w:tcBorders>
                  <w:noWrap w:val="0"/>
                  <w:vAlign w:val="center"/>
                </w:tcPr>
                <w:p w14:paraId="1616C0E2">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样品编号</w:t>
                  </w:r>
                </w:p>
              </w:tc>
              <w:tc>
                <w:tcPr>
                  <w:tcW w:w="888" w:type="pct"/>
                  <w:vMerge w:val="restart"/>
                  <w:tcBorders>
                    <w:tl2br w:val="nil"/>
                    <w:tr2bl w:val="nil"/>
                  </w:tcBorders>
                  <w:noWrap w:val="0"/>
                  <w:vAlign w:val="center"/>
                </w:tcPr>
                <w:p w14:paraId="6C7C678D">
                  <w:pPr>
                    <w:spacing w:line="240" w:lineRule="auto"/>
                    <w:jc w:val="cente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标干</w:t>
                  </w:r>
                  <w:r>
                    <w:rPr>
                      <w:rFonts w:hint="default" w:ascii="Times New Roman" w:hAnsi="Times New Roman" w:eastAsia="宋体" w:cs="Times New Roman"/>
                      <w:b w:val="0"/>
                      <w:bCs w:val="0"/>
                      <w:color w:val="000000" w:themeColor="text1"/>
                      <w:sz w:val="21"/>
                      <w:szCs w:val="21"/>
                      <w14:textFill>
                        <w14:solidFill>
                          <w14:schemeClr w14:val="tx1"/>
                        </w14:solidFill>
                      </w14:textFill>
                    </w:rPr>
                    <w:t>流量</w:t>
                  </w: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m³/h</w:t>
                  </w: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w:t>
                  </w:r>
                </w:p>
              </w:tc>
              <w:tc>
                <w:tcPr>
                  <w:tcW w:w="3223" w:type="pct"/>
                  <w:gridSpan w:val="4"/>
                  <w:tcBorders>
                    <w:tl2br w:val="nil"/>
                    <w:tr2bl w:val="nil"/>
                  </w:tcBorders>
                  <w:noWrap w:val="0"/>
                  <w:vAlign w:val="center"/>
                </w:tcPr>
                <w:p w14:paraId="26E6779E">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氯化氢</w:t>
                  </w:r>
                </w:p>
              </w:tc>
            </w:tr>
            <w:tr w14:paraId="2B7DF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7" w:type="pct"/>
                  <w:vMerge w:val="continue"/>
                  <w:tcBorders>
                    <w:tl2br w:val="nil"/>
                    <w:tr2bl w:val="nil"/>
                  </w:tcBorders>
                  <w:noWrap w:val="0"/>
                  <w:vAlign w:val="center"/>
                </w:tcPr>
                <w:p w14:paraId="0936CEA7">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888" w:type="pct"/>
                  <w:vMerge w:val="continue"/>
                  <w:tcBorders>
                    <w:tl2br w:val="nil"/>
                    <w:tr2bl w:val="nil"/>
                  </w:tcBorders>
                  <w:noWrap w:val="0"/>
                  <w:vAlign w:val="center"/>
                </w:tcPr>
                <w:p w14:paraId="4CE17363">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1611" w:type="pct"/>
                  <w:gridSpan w:val="2"/>
                  <w:tcBorders>
                    <w:tl2br w:val="nil"/>
                    <w:tr2bl w:val="nil"/>
                  </w:tcBorders>
                  <w:noWrap w:val="0"/>
                  <w:vAlign w:val="center"/>
                </w:tcPr>
                <w:p w14:paraId="034B8BD2">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实测排放浓度</w:t>
                  </w:r>
                </w:p>
                <w:p w14:paraId="5E5A390D">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（mg/m</w:t>
                  </w:r>
                  <w:r>
                    <w:rPr>
                      <w:rFonts w:hint="default" w:ascii="Times New Roman" w:hAnsi="Times New Roman" w:eastAsia="宋体" w:cs="Times New Roman"/>
                      <w:b w:val="0"/>
                      <w:bCs w:val="0"/>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1"/>
                      <w:szCs w:val="21"/>
                      <w14:textFill>
                        <w14:solidFill>
                          <w14:schemeClr w14:val="tx1"/>
                        </w14:solidFill>
                      </w14:textFill>
                    </w:rPr>
                    <w:t>）</w:t>
                  </w:r>
                </w:p>
              </w:tc>
              <w:tc>
                <w:tcPr>
                  <w:tcW w:w="1611" w:type="pct"/>
                  <w:gridSpan w:val="2"/>
                  <w:tcBorders>
                    <w:tl2br w:val="nil"/>
                    <w:tr2bl w:val="nil"/>
                  </w:tcBorders>
                  <w:noWrap w:val="0"/>
                  <w:vAlign w:val="center"/>
                </w:tcPr>
                <w:p w14:paraId="2A82F934">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排放速率</w:t>
                  </w:r>
                </w:p>
                <w:p w14:paraId="2FED1951">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（kg/h）</w:t>
                  </w:r>
                </w:p>
              </w:tc>
            </w:tr>
            <w:tr w14:paraId="1F612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exact"/>
                <w:jc w:val="center"/>
              </w:trPr>
              <w:tc>
                <w:tcPr>
                  <w:tcW w:w="887" w:type="pct"/>
                  <w:tcBorders>
                    <w:tl2br w:val="nil"/>
                    <w:tr2bl w:val="nil"/>
                  </w:tcBorders>
                  <w:noWrap w:val="0"/>
                  <w:vAlign w:val="center"/>
                </w:tcPr>
                <w:p w14:paraId="38A91870">
                  <w:pPr>
                    <w:spacing w:line="240" w:lineRule="auto"/>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22081905F201-2</w:t>
                  </w:r>
                </w:p>
              </w:tc>
              <w:tc>
                <w:tcPr>
                  <w:tcW w:w="888" w:type="pct"/>
                  <w:tcBorders>
                    <w:tl2br w:val="nil"/>
                    <w:tr2bl w:val="nil"/>
                  </w:tcBorders>
                  <w:noWrap w:val="0"/>
                  <w:vAlign w:val="center"/>
                </w:tcPr>
                <w:p w14:paraId="2CCFE174">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9978</w:t>
                  </w:r>
                </w:p>
              </w:tc>
              <w:tc>
                <w:tcPr>
                  <w:tcW w:w="1611" w:type="pct"/>
                  <w:gridSpan w:val="2"/>
                  <w:tcBorders>
                    <w:tl2br w:val="nil"/>
                    <w:tr2bl w:val="nil"/>
                  </w:tcBorders>
                  <w:noWrap w:val="0"/>
                  <w:vAlign w:val="center"/>
                </w:tcPr>
                <w:p w14:paraId="2A59EAF8">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2.0</w:t>
                  </w:r>
                </w:p>
              </w:tc>
              <w:tc>
                <w:tcPr>
                  <w:tcW w:w="1611" w:type="pct"/>
                  <w:gridSpan w:val="2"/>
                  <w:tcBorders>
                    <w:tl2br w:val="nil"/>
                    <w:tr2bl w:val="nil"/>
                  </w:tcBorders>
                  <w:noWrap w:val="0"/>
                  <w:vAlign w:val="center"/>
                </w:tcPr>
                <w:p w14:paraId="1602F9CF">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0.020</w:t>
                  </w:r>
                </w:p>
              </w:tc>
            </w:tr>
            <w:tr w14:paraId="14C8F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exact"/>
                <w:jc w:val="center"/>
              </w:trPr>
              <w:tc>
                <w:tcPr>
                  <w:tcW w:w="887" w:type="pct"/>
                  <w:tcBorders>
                    <w:tl2br w:val="nil"/>
                    <w:tr2bl w:val="nil"/>
                  </w:tcBorders>
                  <w:noWrap w:val="0"/>
                  <w:vAlign w:val="center"/>
                </w:tcPr>
                <w:p w14:paraId="2AC2BFB1">
                  <w:pPr>
                    <w:spacing w:line="240" w:lineRule="auto"/>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22081905F202-2</w:t>
                  </w:r>
                </w:p>
              </w:tc>
              <w:tc>
                <w:tcPr>
                  <w:tcW w:w="888" w:type="pct"/>
                  <w:tcBorders>
                    <w:tl2br w:val="nil"/>
                    <w:tr2bl w:val="nil"/>
                  </w:tcBorders>
                  <w:noWrap w:val="0"/>
                  <w:vAlign w:val="center"/>
                </w:tcPr>
                <w:p w14:paraId="43C9D64D">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9699</w:t>
                  </w:r>
                </w:p>
              </w:tc>
              <w:tc>
                <w:tcPr>
                  <w:tcW w:w="1611" w:type="pct"/>
                  <w:gridSpan w:val="2"/>
                  <w:tcBorders>
                    <w:tl2br w:val="nil"/>
                    <w:tr2bl w:val="nil"/>
                  </w:tcBorders>
                  <w:noWrap w:val="0"/>
                  <w:vAlign w:val="center"/>
                </w:tcPr>
                <w:p w14:paraId="6120C144">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2.7</w:t>
                  </w:r>
                </w:p>
              </w:tc>
              <w:tc>
                <w:tcPr>
                  <w:tcW w:w="1611" w:type="pct"/>
                  <w:gridSpan w:val="2"/>
                  <w:tcBorders>
                    <w:tl2br w:val="nil"/>
                    <w:tr2bl w:val="nil"/>
                  </w:tcBorders>
                  <w:noWrap w:val="0"/>
                  <w:vAlign w:val="center"/>
                </w:tcPr>
                <w:p w14:paraId="58F4CFC4">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0.026</w:t>
                  </w:r>
                </w:p>
              </w:tc>
            </w:tr>
            <w:tr w14:paraId="1E16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jc w:val="center"/>
              </w:trPr>
              <w:tc>
                <w:tcPr>
                  <w:tcW w:w="887" w:type="pct"/>
                  <w:tcBorders>
                    <w:tl2br w:val="nil"/>
                    <w:tr2bl w:val="nil"/>
                  </w:tcBorders>
                  <w:noWrap w:val="0"/>
                  <w:vAlign w:val="center"/>
                </w:tcPr>
                <w:p w14:paraId="18674674">
                  <w:pPr>
                    <w:spacing w:line="240" w:lineRule="auto"/>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22081905F203-2</w:t>
                  </w:r>
                </w:p>
              </w:tc>
              <w:tc>
                <w:tcPr>
                  <w:tcW w:w="888" w:type="pct"/>
                  <w:tcBorders>
                    <w:tl2br w:val="nil"/>
                    <w:tr2bl w:val="nil"/>
                  </w:tcBorders>
                  <w:noWrap w:val="0"/>
                  <w:vAlign w:val="center"/>
                </w:tcPr>
                <w:p w14:paraId="367F5412">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9779</w:t>
                  </w:r>
                </w:p>
              </w:tc>
              <w:tc>
                <w:tcPr>
                  <w:tcW w:w="1611" w:type="pct"/>
                  <w:gridSpan w:val="2"/>
                  <w:tcBorders>
                    <w:tl2br w:val="nil"/>
                    <w:tr2bl w:val="nil"/>
                  </w:tcBorders>
                  <w:noWrap w:val="0"/>
                  <w:vAlign w:val="center"/>
                </w:tcPr>
                <w:p w14:paraId="0FB7D92A">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2.4</w:t>
                  </w:r>
                </w:p>
              </w:tc>
              <w:tc>
                <w:tcPr>
                  <w:tcW w:w="1611" w:type="pct"/>
                  <w:gridSpan w:val="2"/>
                  <w:tcBorders>
                    <w:tl2br w:val="nil"/>
                    <w:tr2bl w:val="nil"/>
                  </w:tcBorders>
                  <w:noWrap w:val="0"/>
                  <w:vAlign w:val="center"/>
                </w:tcPr>
                <w:p w14:paraId="07DDE7DB">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0.023</w:t>
                  </w:r>
                </w:p>
              </w:tc>
            </w:tr>
            <w:tr w14:paraId="4E1EB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7" w:type="pct"/>
                  <w:tcBorders>
                    <w:tl2br w:val="nil"/>
                    <w:tr2bl w:val="nil"/>
                  </w:tcBorders>
                  <w:noWrap w:val="0"/>
                  <w:vAlign w:val="center"/>
                </w:tcPr>
                <w:p w14:paraId="268DA652">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平均值</w:t>
                  </w:r>
                </w:p>
              </w:tc>
              <w:tc>
                <w:tcPr>
                  <w:tcW w:w="888" w:type="pct"/>
                  <w:tcBorders>
                    <w:tl2br w:val="nil"/>
                    <w:tr2bl w:val="nil"/>
                  </w:tcBorders>
                  <w:noWrap w:val="0"/>
                  <w:vAlign w:val="center"/>
                </w:tcPr>
                <w:p w14:paraId="2349BAA3">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9819</w:t>
                  </w:r>
                </w:p>
              </w:tc>
              <w:tc>
                <w:tcPr>
                  <w:tcW w:w="1611" w:type="pct"/>
                  <w:gridSpan w:val="2"/>
                  <w:tcBorders>
                    <w:tl2br w:val="nil"/>
                    <w:tr2bl w:val="nil"/>
                  </w:tcBorders>
                  <w:noWrap w:val="0"/>
                  <w:vAlign w:val="center"/>
                </w:tcPr>
                <w:p w14:paraId="229EFF4E">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2.4</w:t>
                  </w:r>
                </w:p>
              </w:tc>
              <w:tc>
                <w:tcPr>
                  <w:tcW w:w="1611" w:type="pct"/>
                  <w:gridSpan w:val="2"/>
                  <w:tcBorders>
                    <w:tl2br w:val="nil"/>
                    <w:tr2bl w:val="nil"/>
                  </w:tcBorders>
                  <w:noWrap w:val="0"/>
                  <w:vAlign w:val="center"/>
                </w:tcPr>
                <w:p w14:paraId="5F64EC9C">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0.024</w:t>
                  </w:r>
                </w:p>
              </w:tc>
            </w:tr>
            <w:tr w14:paraId="74644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7" w:type="pct"/>
                  <w:tcBorders>
                    <w:tl2br w:val="nil"/>
                    <w:tr2bl w:val="nil"/>
                  </w:tcBorders>
                  <w:noWrap w:val="0"/>
                  <w:vAlign w:val="center"/>
                </w:tcPr>
                <w:p w14:paraId="0FFED2A4">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标准值</w:t>
                  </w:r>
                </w:p>
              </w:tc>
              <w:tc>
                <w:tcPr>
                  <w:tcW w:w="888" w:type="pct"/>
                  <w:tcBorders>
                    <w:tl2br w:val="nil"/>
                    <w:tr2bl w:val="nil"/>
                  </w:tcBorders>
                  <w:noWrap w:val="0"/>
                  <w:vAlign w:val="center"/>
                </w:tcPr>
                <w:p w14:paraId="5B292F66">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w:t>
                  </w:r>
                </w:p>
              </w:tc>
              <w:tc>
                <w:tcPr>
                  <w:tcW w:w="1611" w:type="pct"/>
                  <w:gridSpan w:val="2"/>
                  <w:tcBorders>
                    <w:tl2br w:val="nil"/>
                    <w:tr2bl w:val="nil"/>
                  </w:tcBorders>
                  <w:noWrap w:val="0"/>
                  <w:vAlign w:val="center"/>
                </w:tcPr>
                <w:p w14:paraId="5AC0DE6C">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100</w:t>
                  </w:r>
                </w:p>
              </w:tc>
              <w:tc>
                <w:tcPr>
                  <w:tcW w:w="1611" w:type="pct"/>
                  <w:gridSpan w:val="2"/>
                  <w:tcBorders>
                    <w:tl2br w:val="nil"/>
                    <w:tr2bl w:val="nil"/>
                  </w:tcBorders>
                  <w:noWrap w:val="0"/>
                  <w:vAlign w:val="center"/>
                </w:tcPr>
                <w:p w14:paraId="5F351E55">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0.43</w:t>
                  </w:r>
                </w:p>
              </w:tc>
            </w:tr>
            <w:tr w14:paraId="78AA9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7" w:type="pct"/>
                  <w:tcBorders>
                    <w:tl2br w:val="nil"/>
                    <w:tr2bl w:val="nil"/>
                  </w:tcBorders>
                  <w:noWrap w:val="0"/>
                  <w:vAlign w:val="center"/>
                </w:tcPr>
                <w:p w14:paraId="3EA29120">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达标分析</w:t>
                  </w:r>
                </w:p>
              </w:tc>
              <w:tc>
                <w:tcPr>
                  <w:tcW w:w="4112" w:type="pct"/>
                  <w:gridSpan w:val="5"/>
                  <w:tcBorders>
                    <w:tl2br w:val="nil"/>
                    <w:tr2bl w:val="nil"/>
                  </w:tcBorders>
                  <w:noWrap w:val="0"/>
                  <w:vAlign w:val="center"/>
                </w:tcPr>
                <w:p w14:paraId="6EFCE8FB">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达标</w:t>
                  </w:r>
                </w:p>
              </w:tc>
            </w:tr>
            <w:tr w14:paraId="62984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7" w:type="pct"/>
                  <w:vMerge w:val="restart"/>
                  <w:tcBorders>
                    <w:tl2br w:val="nil"/>
                    <w:tr2bl w:val="nil"/>
                  </w:tcBorders>
                  <w:noWrap w:val="0"/>
                  <w:vAlign w:val="center"/>
                </w:tcPr>
                <w:p w14:paraId="16082856">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样品编号</w:t>
                  </w:r>
                </w:p>
              </w:tc>
              <w:tc>
                <w:tcPr>
                  <w:tcW w:w="888" w:type="pct"/>
                  <w:vMerge w:val="restart"/>
                  <w:tcBorders>
                    <w:tl2br w:val="nil"/>
                    <w:tr2bl w:val="nil"/>
                  </w:tcBorders>
                  <w:noWrap w:val="0"/>
                  <w:vAlign w:val="center"/>
                </w:tcPr>
                <w:p w14:paraId="7067BB2D">
                  <w:pPr>
                    <w:spacing w:line="240" w:lineRule="auto"/>
                    <w:jc w:val="cente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标干</w:t>
                  </w:r>
                  <w:r>
                    <w:rPr>
                      <w:rFonts w:hint="default" w:ascii="Times New Roman" w:hAnsi="Times New Roman" w:eastAsia="宋体" w:cs="Times New Roman"/>
                      <w:b w:val="0"/>
                      <w:bCs w:val="0"/>
                      <w:color w:val="000000" w:themeColor="text1"/>
                      <w:sz w:val="21"/>
                      <w:szCs w:val="21"/>
                      <w14:textFill>
                        <w14:solidFill>
                          <w14:schemeClr w14:val="tx1"/>
                        </w14:solidFill>
                      </w14:textFill>
                    </w:rPr>
                    <w:t>流量</w:t>
                  </w: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m³/h</w:t>
                  </w: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w:t>
                  </w:r>
                </w:p>
              </w:tc>
              <w:tc>
                <w:tcPr>
                  <w:tcW w:w="3223" w:type="pct"/>
                  <w:gridSpan w:val="4"/>
                  <w:tcBorders>
                    <w:tl2br w:val="nil"/>
                    <w:tr2bl w:val="nil"/>
                  </w:tcBorders>
                  <w:noWrap w:val="0"/>
                  <w:vAlign w:val="center"/>
                </w:tcPr>
                <w:p w14:paraId="09F5A211">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非甲烷总烃</w:t>
                  </w:r>
                </w:p>
              </w:tc>
            </w:tr>
            <w:tr w14:paraId="2AA50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7" w:type="pct"/>
                  <w:vMerge w:val="continue"/>
                  <w:tcBorders>
                    <w:tl2br w:val="nil"/>
                    <w:tr2bl w:val="nil"/>
                  </w:tcBorders>
                  <w:noWrap w:val="0"/>
                  <w:vAlign w:val="center"/>
                </w:tcPr>
                <w:p w14:paraId="155B29BE">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888" w:type="pct"/>
                  <w:vMerge w:val="continue"/>
                  <w:tcBorders>
                    <w:tl2br w:val="nil"/>
                    <w:tr2bl w:val="nil"/>
                  </w:tcBorders>
                  <w:noWrap w:val="0"/>
                  <w:vAlign w:val="center"/>
                </w:tcPr>
                <w:p w14:paraId="64FE5BAB">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1611" w:type="pct"/>
                  <w:gridSpan w:val="2"/>
                  <w:tcBorders>
                    <w:tl2br w:val="nil"/>
                    <w:tr2bl w:val="nil"/>
                  </w:tcBorders>
                  <w:noWrap w:val="0"/>
                  <w:vAlign w:val="center"/>
                </w:tcPr>
                <w:p w14:paraId="750C2056">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实测排放浓度</w:t>
                  </w:r>
                </w:p>
                <w:p w14:paraId="58422704">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（mg/m</w:t>
                  </w:r>
                  <w:r>
                    <w:rPr>
                      <w:rFonts w:hint="default" w:ascii="Times New Roman" w:hAnsi="Times New Roman" w:eastAsia="宋体" w:cs="Times New Roman"/>
                      <w:b w:val="0"/>
                      <w:bCs w:val="0"/>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1"/>
                      <w:szCs w:val="21"/>
                      <w14:textFill>
                        <w14:solidFill>
                          <w14:schemeClr w14:val="tx1"/>
                        </w14:solidFill>
                      </w14:textFill>
                    </w:rPr>
                    <w:t>）</w:t>
                  </w:r>
                </w:p>
              </w:tc>
              <w:tc>
                <w:tcPr>
                  <w:tcW w:w="1611" w:type="pct"/>
                  <w:gridSpan w:val="2"/>
                  <w:tcBorders>
                    <w:tl2br w:val="nil"/>
                    <w:tr2bl w:val="nil"/>
                  </w:tcBorders>
                  <w:noWrap w:val="0"/>
                  <w:vAlign w:val="center"/>
                </w:tcPr>
                <w:p w14:paraId="08AE565A">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排放速率</w:t>
                  </w:r>
                </w:p>
                <w:p w14:paraId="140AB1F0">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（kg/h）</w:t>
                  </w:r>
                </w:p>
              </w:tc>
            </w:tr>
            <w:tr w14:paraId="127CC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exact"/>
                <w:jc w:val="center"/>
              </w:trPr>
              <w:tc>
                <w:tcPr>
                  <w:tcW w:w="887" w:type="pct"/>
                  <w:tcBorders>
                    <w:tl2br w:val="nil"/>
                    <w:tr2bl w:val="nil"/>
                  </w:tcBorders>
                  <w:noWrap w:val="0"/>
                  <w:vAlign w:val="center"/>
                </w:tcPr>
                <w:p w14:paraId="2A4537A2">
                  <w:pPr>
                    <w:spacing w:line="240" w:lineRule="auto"/>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22081905F201-2</w:t>
                  </w:r>
                </w:p>
              </w:tc>
              <w:tc>
                <w:tcPr>
                  <w:tcW w:w="888" w:type="pct"/>
                  <w:tcBorders>
                    <w:tl2br w:val="nil"/>
                    <w:tr2bl w:val="nil"/>
                  </w:tcBorders>
                  <w:noWrap w:val="0"/>
                  <w:vAlign w:val="center"/>
                </w:tcPr>
                <w:p w14:paraId="3443F3B7">
                  <w:pPr>
                    <w:spacing w:line="240" w:lineRule="auto"/>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9978</w:t>
                  </w:r>
                </w:p>
              </w:tc>
              <w:tc>
                <w:tcPr>
                  <w:tcW w:w="1611" w:type="pct"/>
                  <w:gridSpan w:val="2"/>
                  <w:tcBorders>
                    <w:tl2br w:val="nil"/>
                    <w:tr2bl w:val="nil"/>
                  </w:tcBorders>
                  <w:noWrap w:val="0"/>
                  <w:vAlign w:val="center"/>
                </w:tcPr>
                <w:p w14:paraId="36A44D2F">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1.76</w:t>
                  </w:r>
                </w:p>
              </w:tc>
              <w:tc>
                <w:tcPr>
                  <w:tcW w:w="1611" w:type="pct"/>
                  <w:gridSpan w:val="2"/>
                  <w:tcBorders>
                    <w:tl2br w:val="nil"/>
                    <w:tr2bl w:val="nil"/>
                  </w:tcBorders>
                  <w:noWrap w:val="0"/>
                  <w:vAlign w:val="center"/>
                </w:tcPr>
                <w:p w14:paraId="2EF0FF25">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0.018</w:t>
                  </w:r>
                </w:p>
              </w:tc>
            </w:tr>
            <w:tr w14:paraId="2CFF7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jc w:val="center"/>
              </w:trPr>
              <w:tc>
                <w:tcPr>
                  <w:tcW w:w="887" w:type="pct"/>
                  <w:tcBorders>
                    <w:tl2br w:val="nil"/>
                    <w:tr2bl w:val="nil"/>
                  </w:tcBorders>
                  <w:noWrap w:val="0"/>
                  <w:vAlign w:val="center"/>
                </w:tcPr>
                <w:p w14:paraId="49781E15">
                  <w:pPr>
                    <w:spacing w:line="240" w:lineRule="auto"/>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22081905F202-2</w:t>
                  </w:r>
                </w:p>
              </w:tc>
              <w:tc>
                <w:tcPr>
                  <w:tcW w:w="888" w:type="pct"/>
                  <w:tcBorders>
                    <w:tl2br w:val="nil"/>
                    <w:tr2bl w:val="nil"/>
                  </w:tcBorders>
                  <w:noWrap w:val="0"/>
                  <w:vAlign w:val="center"/>
                </w:tcPr>
                <w:p w14:paraId="638E06A4">
                  <w:pPr>
                    <w:spacing w:line="240" w:lineRule="auto"/>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9699</w:t>
                  </w:r>
                </w:p>
              </w:tc>
              <w:tc>
                <w:tcPr>
                  <w:tcW w:w="1611" w:type="pct"/>
                  <w:gridSpan w:val="2"/>
                  <w:tcBorders>
                    <w:tl2br w:val="nil"/>
                    <w:tr2bl w:val="nil"/>
                  </w:tcBorders>
                  <w:noWrap w:val="0"/>
                  <w:vAlign w:val="center"/>
                </w:tcPr>
                <w:p w14:paraId="78FA94A9">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1.51</w:t>
                  </w:r>
                </w:p>
              </w:tc>
              <w:tc>
                <w:tcPr>
                  <w:tcW w:w="1611" w:type="pct"/>
                  <w:gridSpan w:val="2"/>
                  <w:tcBorders>
                    <w:tl2br w:val="nil"/>
                    <w:tr2bl w:val="nil"/>
                  </w:tcBorders>
                  <w:noWrap w:val="0"/>
                  <w:vAlign w:val="center"/>
                </w:tcPr>
                <w:p w14:paraId="3E32D5AE">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0.015</w:t>
                  </w:r>
                </w:p>
              </w:tc>
            </w:tr>
            <w:tr w14:paraId="5A46E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exact"/>
                <w:jc w:val="center"/>
              </w:trPr>
              <w:tc>
                <w:tcPr>
                  <w:tcW w:w="887" w:type="pct"/>
                  <w:tcBorders>
                    <w:tl2br w:val="nil"/>
                    <w:tr2bl w:val="nil"/>
                  </w:tcBorders>
                  <w:noWrap w:val="0"/>
                  <w:vAlign w:val="center"/>
                </w:tcPr>
                <w:p w14:paraId="7A64C747">
                  <w:pPr>
                    <w:spacing w:line="240" w:lineRule="auto"/>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22081905F203-2</w:t>
                  </w:r>
                </w:p>
              </w:tc>
              <w:tc>
                <w:tcPr>
                  <w:tcW w:w="888" w:type="pct"/>
                  <w:tcBorders>
                    <w:tl2br w:val="nil"/>
                    <w:tr2bl w:val="nil"/>
                  </w:tcBorders>
                  <w:noWrap w:val="0"/>
                  <w:vAlign w:val="center"/>
                </w:tcPr>
                <w:p w14:paraId="3CBA2B93">
                  <w:pPr>
                    <w:spacing w:line="240" w:lineRule="auto"/>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9779</w:t>
                  </w:r>
                </w:p>
              </w:tc>
              <w:tc>
                <w:tcPr>
                  <w:tcW w:w="1611" w:type="pct"/>
                  <w:gridSpan w:val="2"/>
                  <w:tcBorders>
                    <w:tl2br w:val="nil"/>
                    <w:tr2bl w:val="nil"/>
                  </w:tcBorders>
                  <w:noWrap w:val="0"/>
                  <w:vAlign w:val="center"/>
                </w:tcPr>
                <w:p w14:paraId="5197BB2A">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1.71</w:t>
                  </w:r>
                </w:p>
              </w:tc>
              <w:tc>
                <w:tcPr>
                  <w:tcW w:w="1611" w:type="pct"/>
                  <w:gridSpan w:val="2"/>
                  <w:tcBorders>
                    <w:tl2br w:val="nil"/>
                    <w:tr2bl w:val="nil"/>
                  </w:tcBorders>
                  <w:noWrap w:val="0"/>
                  <w:vAlign w:val="center"/>
                </w:tcPr>
                <w:p w14:paraId="16720C54">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0.017</w:t>
                  </w:r>
                </w:p>
              </w:tc>
            </w:tr>
            <w:tr w14:paraId="6BE76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7" w:type="pct"/>
                  <w:tcBorders>
                    <w:tl2br w:val="nil"/>
                    <w:tr2bl w:val="nil"/>
                  </w:tcBorders>
                  <w:noWrap w:val="0"/>
                  <w:vAlign w:val="center"/>
                </w:tcPr>
                <w:p w14:paraId="42DB4086">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平均值</w:t>
                  </w:r>
                </w:p>
              </w:tc>
              <w:tc>
                <w:tcPr>
                  <w:tcW w:w="888" w:type="pct"/>
                  <w:tcBorders>
                    <w:tl2br w:val="nil"/>
                    <w:tr2bl w:val="nil"/>
                  </w:tcBorders>
                  <w:noWrap w:val="0"/>
                  <w:vAlign w:val="center"/>
                </w:tcPr>
                <w:p w14:paraId="338B5FF7">
                  <w:pPr>
                    <w:spacing w:line="240" w:lineRule="auto"/>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9819</w:t>
                  </w:r>
                </w:p>
              </w:tc>
              <w:tc>
                <w:tcPr>
                  <w:tcW w:w="1611" w:type="pct"/>
                  <w:gridSpan w:val="2"/>
                  <w:tcBorders>
                    <w:tl2br w:val="nil"/>
                    <w:tr2bl w:val="nil"/>
                  </w:tcBorders>
                  <w:noWrap w:val="0"/>
                  <w:vAlign w:val="center"/>
                </w:tcPr>
                <w:p w14:paraId="4F322D9B">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1.66</w:t>
                  </w:r>
                </w:p>
              </w:tc>
              <w:tc>
                <w:tcPr>
                  <w:tcW w:w="1611" w:type="pct"/>
                  <w:gridSpan w:val="2"/>
                  <w:tcBorders>
                    <w:tl2br w:val="nil"/>
                    <w:tr2bl w:val="nil"/>
                  </w:tcBorders>
                  <w:noWrap w:val="0"/>
                  <w:vAlign w:val="center"/>
                </w:tcPr>
                <w:p w14:paraId="191D0481">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0.016</w:t>
                  </w:r>
                </w:p>
              </w:tc>
            </w:tr>
            <w:tr w14:paraId="68F9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7" w:type="pct"/>
                  <w:tcBorders>
                    <w:tl2br w:val="nil"/>
                    <w:tr2bl w:val="nil"/>
                  </w:tcBorders>
                  <w:noWrap w:val="0"/>
                  <w:vAlign w:val="center"/>
                </w:tcPr>
                <w:p w14:paraId="5ECC27BA">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标准值</w:t>
                  </w:r>
                </w:p>
              </w:tc>
              <w:tc>
                <w:tcPr>
                  <w:tcW w:w="888" w:type="pct"/>
                  <w:tcBorders>
                    <w:tl2br w:val="nil"/>
                    <w:tr2bl w:val="nil"/>
                  </w:tcBorders>
                  <w:noWrap w:val="0"/>
                  <w:vAlign w:val="center"/>
                </w:tcPr>
                <w:p w14:paraId="6DA2350D">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w:t>
                  </w:r>
                </w:p>
              </w:tc>
              <w:tc>
                <w:tcPr>
                  <w:tcW w:w="1611" w:type="pct"/>
                  <w:gridSpan w:val="2"/>
                  <w:tcBorders>
                    <w:tl2br w:val="nil"/>
                    <w:tr2bl w:val="nil"/>
                  </w:tcBorders>
                  <w:noWrap w:val="0"/>
                  <w:vAlign w:val="center"/>
                </w:tcPr>
                <w:p w14:paraId="02BFFA3C">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40</w:t>
                  </w:r>
                </w:p>
              </w:tc>
              <w:tc>
                <w:tcPr>
                  <w:tcW w:w="1611" w:type="pct"/>
                  <w:gridSpan w:val="2"/>
                  <w:tcBorders>
                    <w:tl2br w:val="nil"/>
                    <w:tr2bl w:val="nil"/>
                  </w:tcBorders>
                  <w:noWrap w:val="0"/>
                  <w:vAlign w:val="center"/>
                </w:tcPr>
                <w:p w14:paraId="7F7A1DC1">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2.7</w:t>
                  </w:r>
                </w:p>
              </w:tc>
            </w:tr>
            <w:tr w14:paraId="07559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7" w:type="pct"/>
                  <w:tcBorders>
                    <w:tl2br w:val="nil"/>
                    <w:tr2bl w:val="nil"/>
                  </w:tcBorders>
                  <w:noWrap w:val="0"/>
                  <w:vAlign w:val="center"/>
                </w:tcPr>
                <w:p w14:paraId="6CE72C1A">
                  <w:pPr>
                    <w:spacing w:line="240" w:lineRule="auto"/>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达标分析</w:t>
                  </w:r>
                </w:p>
              </w:tc>
              <w:tc>
                <w:tcPr>
                  <w:tcW w:w="4112" w:type="pct"/>
                  <w:gridSpan w:val="5"/>
                  <w:tcBorders>
                    <w:tl2br w:val="nil"/>
                    <w:tr2bl w:val="nil"/>
                  </w:tcBorders>
                  <w:noWrap w:val="0"/>
                  <w:vAlign w:val="center"/>
                </w:tcPr>
                <w:p w14:paraId="111165DF">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达标</w:t>
                  </w:r>
                </w:p>
              </w:tc>
            </w:tr>
          </w:tbl>
          <w:p w14:paraId="11771366">
            <w:pPr>
              <w:numPr>
                <w:ilvl w:val="0"/>
                <w:numId w:val="2"/>
              </w:numPr>
              <w:tabs>
                <w:tab w:val="right" w:pos="8906"/>
              </w:tabs>
              <w:spacing w:line="360" w:lineRule="auto"/>
              <w:ind w:firstLine="482" w:firstLineChars="200"/>
              <w:jc w:val="both"/>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混料废气排气筒G2</w:t>
            </w:r>
          </w:p>
          <w:p w14:paraId="7909E0AB">
            <w:pPr>
              <w:adjustRightInd w:val="0"/>
              <w:snapToGrid w:val="0"/>
              <w:spacing w:before="156" w:beforeLines="50"/>
              <w:jc w:val="center"/>
              <w:rPr>
                <w:rFonts w:hint="default" w:ascii="Times New Roman" w:hAnsi="Times New Roman" w:eastAsia="宋体" w:cs="Times New Roman"/>
                <w:b/>
                <w:color w:val="000000" w:themeColor="text1"/>
                <w:sz w:val="21"/>
                <w:szCs w:val="21"/>
                <w:vertAlign w:val="superscript"/>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表</w:t>
            </w: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2-12</w:t>
            </w:r>
            <w:r>
              <w:rPr>
                <w:rFonts w:hint="default" w:ascii="Times New Roman" w:hAnsi="Times New Roman" w:eastAsia="宋体" w:cs="Times New Roman"/>
                <w:b/>
                <w:color w:val="000000" w:themeColor="text1"/>
                <w:sz w:val="21"/>
                <w:szCs w:val="21"/>
                <w14:textFill>
                  <w14:solidFill>
                    <w14:schemeClr w14:val="tx1"/>
                  </w14:solidFill>
                </w14:textFill>
              </w:rPr>
              <w:t xml:space="preserve">   </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项目有</w:t>
            </w:r>
            <w:r>
              <w:rPr>
                <w:rFonts w:hint="default" w:ascii="Times New Roman" w:hAnsi="Times New Roman" w:eastAsia="宋体" w:cs="Times New Roman"/>
                <w:b/>
                <w:color w:val="000000" w:themeColor="text1"/>
                <w:sz w:val="21"/>
                <w:szCs w:val="21"/>
                <w14:textFill>
                  <w14:solidFill>
                    <w14:schemeClr w14:val="tx1"/>
                  </w14:solidFill>
                </w14:textFill>
              </w:rPr>
              <w:t>组织排放废气</w:t>
            </w:r>
            <w:r>
              <w:rPr>
                <w:rFonts w:hint="eastAsia" w:ascii="Times New Roman" w:hAnsi="Times New Roman" w:eastAsia="宋体" w:cs="Times New Roman"/>
                <w:b/>
                <w:color w:val="000000" w:themeColor="text1"/>
                <w:sz w:val="21"/>
                <w:szCs w:val="21"/>
                <w:lang w:eastAsia="zh-CN"/>
                <w14:textFill>
                  <w14:solidFill>
                    <w14:schemeClr w14:val="tx1"/>
                  </w14:solidFill>
                </w14:textFill>
              </w:rPr>
              <w:t>（</w:t>
            </w: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G2</w:t>
            </w:r>
            <w:r>
              <w:rPr>
                <w:rFonts w:hint="eastAsia" w:ascii="Times New Roman" w:hAnsi="Times New Roman" w:eastAsia="宋体" w:cs="Times New Roman"/>
                <w:b/>
                <w:color w:val="000000" w:themeColor="text1"/>
                <w:sz w:val="21"/>
                <w:szCs w:val="21"/>
                <w:lang w:eastAsia="zh-CN"/>
                <w14:textFill>
                  <w14:solidFill>
                    <w14:schemeClr w14:val="tx1"/>
                  </w14:solidFill>
                </w14:textFill>
              </w:rPr>
              <w:t>）</w:t>
            </w:r>
            <w:r>
              <w:rPr>
                <w:rFonts w:hint="default" w:ascii="Times New Roman" w:hAnsi="Times New Roman" w:eastAsia="宋体" w:cs="Times New Roman"/>
                <w:b/>
                <w:color w:val="000000" w:themeColor="text1"/>
                <w:sz w:val="21"/>
                <w:szCs w:val="21"/>
                <w14:textFill>
                  <w14:solidFill>
                    <w14:schemeClr w14:val="tx1"/>
                  </w14:solidFill>
                </w14:textFill>
              </w:rPr>
              <w:t>监测结果    单位：mg/m</w:t>
            </w:r>
            <w:r>
              <w:rPr>
                <w:rFonts w:hint="default" w:ascii="Times New Roman" w:hAnsi="Times New Roman" w:eastAsia="宋体" w:cs="Times New Roman"/>
                <w:b/>
                <w:color w:val="000000" w:themeColor="text1"/>
                <w:sz w:val="21"/>
                <w:szCs w:val="21"/>
                <w:vertAlign w:val="superscript"/>
                <w14:textFill>
                  <w14:solidFill>
                    <w14:schemeClr w14:val="tx1"/>
                  </w14:solidFill>
                </w14:textFill>
              </w:rPr>
              <w:t>3</w:t>
            </w:r>
          </w:p>
          <w:tbl>
            <w:tblPr>
              <w:tblStyle w:val="3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7"/>
              <w:gridCol w:w="1462"/>
              <w:gridCol w:w="1794"/>
              <w:gridCol w:w="855"/>
              <w:gridCol w:w="939"/>
              <w:gridCol w:w="1712"/>
            </w:tblGrid>
            <w:tr w14:paraId="2348B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6" w:type="pct"/>
                  <w:gridSpan w:val="2"/>
                  <w:tcBorders>
                    <w:tl2br w:val="nil"/>
                    <w:tr2bl w:val="nil"/>
                  </w:tcBorders>
                  <w:noWrap w:val="0"/>
                  <w:vAlign w:val="center"/>
                </w:tcPr>
                <w:p w14:paraId="48B1B4EA">
                  <w:pPr>
                    <w:jc w:val="cente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监测点位</w:t>
                  </w:r>
                </w:p>
              </w:tc>
              <w:tc>
                <w:tcPr>
                  <w:tcW w:w="3223" w:type="pct"/>
                  <w:gridSpan w:val="4"/>
                  <w:tcBorders>
                    <w:tl2br w:val="nil"/>
                    <w:tr2bl w:val="nil"/>
                  </w:tcBorders>
                  <w:noWrap w:val="0"/>
                  <w:vAlign w:val="center"/>
                </w:tcPr>
                <w:p w14:paraId="05AF1C66">
                  <w:pPr>
                    <w:widowControl w:val="0"/>
                    <w:spacing w:after="120"/>
                    <w:jc w:val="cente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t>混料废气排气筒G2</w:t>
                  </w:r>
                </w:p>
              </w:tc>
            </w:tr>
            <w:tr w14:paraId="40AFB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6" w:type="pct"/>
                  <w:gridSpan w:val="2"/>
                  <w:tcBorders>
                    <w:tl2br w:val="nil"/>
                    <w:tr2bl w:val="nil"/>
                  </w:tcBorders>
                  <w:noWrap w:val="0"/>
                  <w:vAlign w:val="center"/>
                </w:tcPr>
                <w:p w14:paraId="60C4ABD6">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检测日期</w:t>
                  </w:r>
                </w:p>
              </w:tc>
              <w:tc>
                <w:tcPr>
                  <w:tcW w:w="3223" w:type="pct"/>
                  <w:gridSpan w:val="4"/>
                  <w:tcBorders>
                    <w:tl2br w:val="nil"/>
                    <w:tr2bl w:val="nil"/>
                  </w:tcBorders>
                  <w:noWrap w:val="0"/>
                  <w:vAlign w:val="center"/>
                </w:tcPr>
                <w:p w14:paraId="4BDCF83A">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2022.08.24</w:t>
                  </w:r>
                </w:p>
              </w:tc>
            </w:tr>
            <w:tr w14:paraId="5E603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6" w:type="pct"/>
                  <w:gridSpan w:val="2"/>
                  <w:tcBorders>
                    <w:tl2br w:val="nil"/>
                    <w:tr2bl w:val="nil"/>
                  </w:tcBorders>
                  <w:noWrap w:val="0"/>
                  <w:vAlign w:val="center"/>
                </w:tcPr>
                <w:p w14:paraId="21FB0580">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含湿量（%）</w:t>
                  </w:r>
                </w:p>
              </w:tc>
              <w:tc>
                <w:tcPr>
                  <w:tcW w:w="1091" w:type="pct"/>
                  <w:tcBorders>
                    <w:tl2br w:val="nil"/>
                    <w:tr2bl w:val="nil"/>
                  </w:tcBorders>
                  <w:noWrap w:val="0"/>
                  <w:vAlign w:val="center"/>
                </w:tcPr>
                <w:p w14:paraId="3AEB86A8">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2.8</w:t>
                  </w:r>
                </w:p>
              </w:tc>
              <w:tc>
                <w:tcPr>
                  <w:tcW w:w="1091" w:type="pct"/>
                  <w:gridSpan w:val="2"/>
                  <w:tcBorders>
                    <w:tl2br w:val="nil"/>
                    <w:tr2bl w:val="nil"/>
                  </w:tcBorders>
                  <w:noWrap w:val="0"/>
                  <w:vAlign w:val="center"/>
                </w:tcPr>
                <w:p w14:paraId="7A367684">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2.9</w:t>
                  </w:r>
                </w:p>
              </w:tc>
              <w:tc>
                <w:tcPr>
                  <w:tcW w:w="1040" w:type="pct"/>
                  <w:tcBorders>
                    <w:tl2br w:val="nil"/>
                    <w:tr2bl w:val="nil"/>
                  </w:tcBorders>
                  <w:noWrap w:val="0"/>
                  <w:vAlign w:val="center"/>
                </w:tcPr>
                <w:p w14:paraId="3C9C65DC">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2.9</w:t>
                  </w:r>
                </w:p>
              </w:tc>
            </w:tr>
            <w:tr w14:paraId="223D7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6" w:type="pct"/>
                  <w:gridSpan w:val="2"/>
                  <w:tcBorders>
                    <w:tl2br w:val="nil"/>
                    <w:tr2bl w:val="nil"/>
                  </w:tcBorders>
                  <w:noWrap w:val="0"/>
                  <w:vAlign w:val="center"/>
                </w:tcPr>
                <w:p w14:paraId="7BD82580">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平均烟温（℃）</w:t>
                  </w:r>
                </w:p>
              </w:tc>
              <w:tc>
                <w:tcPr>
                  <w:tcW w:w="1091" w:type="pct"/>
                  <w:tcBorders>
                    <w:tl2br w:val="nil"/>
                    <w:tr2bl w:val="nil"/>
                  </w:tcBorders>
                  <w:noWrap w:val="0"/>
                  <w:vAlign w:val="center"/>
                </w:tcPr>
                <w:p w14:paraId="5E89A47A">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31.7</w:t>
                  </w:r>
                </w:p>
              </w:tc>
              <w:tc>
                <w:tcPr>
                  <w:tcW w:w="1091" w:type="pct"/>
                  <w:gridSpan w:val="2"/>
                  <w:tcBorders>
                    <w:tl2br w:val="nil"/>
                    <w:tr2bl w:val="nil"/>
                  </w:tcBorders>
                  <w:noWrap w:val="0"/>
                  <w:vAlign w:val="center"/>
                </w:tcPr>
                <w:p w14:paraId="4C4B9434">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31.9</w:t>
                  </w:r>
                </w:p>
              </w:tc>
              <w:tc>
                <w:tcPr>
                  <w:tcW w:w="1040" w:type="pct"/>
                  <w:tcBorders>
                    <w:tl2br w:val="nil"/>
                    <w:tr2bl w:val="nil"/>
                  </w:tcBorders>
                  <w:noWrap w:val="0"/>
                  <w:vAlign w:val="center"/>
                </w:tcPr>
                <w:p w14:paraId="2CD48832">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32.2</w:t>
                  </w:r>
                </w:p>
              </w:tc>
            </w:tr>
            <w:tr w14:paraId="5960E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6" w:type="pct"/>
                  <w:gridSpan w:val="2"/>
                  <w:tcBorders>
                    <w:tl2br w:val="nil"/>
                    <w:tr2bl w:val="nil"/>
                  </w:tcBorders>
                  <w:noWrap w:val="0"/>
                  <w:vAlign w:val="center"/>
                </w:tcPr>
                <w:p w14:paraId="6A4AB31E">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烟气流速（m/s）</w:t>
                  </w:r>
                </w:p>
              </w:tc>
              <w:tc>
                <w:tcPr>
                  <w:tcW w:w="1091" w:type="pct"/>
                  <w:tcBorders>
                    <w:tl2br w:val="nil"/>
                    <w:tr2bl w:val="nil"/>
                  </w:tcBorders>
                  <w:noWrap w:val="0"/>
                  <w:vAlign w:val="center"/>
                </w:tcPr>
                <w:p w14:paraId="14F9F593">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1.2</w:t>
                  </w:r>
                </w:p>
              </w:tc>
              <w:tc>
                <w:tcPr>
                  <w:tcW w:w="1091" w:type="pct"/>
                  <w:gridSpan w:val="2"/>
                  <w:tcBorders>
                    <w:tl2br w:val="nil"/>
                    <w:tr2bl w:val="nil"/>
                  </w:tcBorders>
                  <w:noWrap w:val="0"/>
                  <w:vAlign w:val="center"/>
                </w:tcPr>
                <w:p w14:paraId="06365B23">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1.2</w:t>
                  </w:r>
                </w:p>
              </w:tc>
              <w:tc>
                <w:tcPr>
                  <w:tcW w:w="1040" w:type="pct"/>
                  <w:tcBorders>
                    <w:tl2br w:val="nil"/>
                    <w:tr2bl w:val="nil"/>
                  </w:tcBorders>
                  <w:noWrap w:val="0"/>
                  <w:vAlign w:val="center"/>
                </w:tcPr>
                <w:p w14:paraId="76886678">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1.2</w:t>
                  </w:r>
                </w:p>
              </w:tc>
            </w:tr>
            <w:tr w14:paraId="46962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6" w:type="pct"/>
                  <w:gridSpan w:val="2"/>
                  <w:tcBorders>
                    <w:tl2br w:val="nil"/>
                    <w:tr2bl w:val="nil"/>
                  </w:tcBorders>
                  <w:noWrap w:val="0"/>
                  <w:vAlign w:val="center"/>
                </w:tcPr>
                <w:p w14:paraId="6B66218D">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烟气流量（m</w:t>
                  </w:r>
                  <w:r>
                    <w:rPr>
                      <w:rFonts w:hint="default" w:ascii="Times New Roman" w:hAnsi="Times New Roman" w:eastAsia="宋体" w:cs="Times New Roman"/>
                      <w:b w:val="0"/>
                      <w:bCs w:val="0"/>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1"/>
                      <w:szCs w:val="21"/>
                      <w14:textFill>
                        <w14:solidFill>
                          <w14:schemeClr w14:val="tx1"/>
                        </w14:solidFill>
                      </w14:textFill>
                    </w:rPr>
                    <w:t>/h）</w:t>
                  </w:r>
                </w:p>
              </w:tc>
              <w:tc>
                <w:tcPr>
                  <w:tcW w:w="1091" w:type="pct"/>
                  <w:tcBorders>
                    <w:tl2br w:val="nil"/>
                    <w:tr2bl w:val="nil"/>
                  </w:tcBorders>
                  <w:noWrap w:val="0"/>
                  <w:vAlign w:val="center"/>
                </w:tcPr>
                <w:p w14:paraId="77C94B1B">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2447</w:t>
                  </w:r>
                </w:p>
              </w:tc>
              <w:tc>
                <w:tcPr>
                  <w:tcW w:w="1091" w:type="pct"/>
                  <w:gridSpan w:val="2"/>
                  <w:tcBorders>
                    <w:tl2br w:val="nil"/>
                    <w:tr2bl w:val="nil"/>
                  </w:tcBorders>
                  <w:noWrap w:val="0"/>
                  <w:vAlign w:val="center"/>
                </w:tcPr>
                <w:p w14:paraId="05EA68AB">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2448</w:t>
                  </w:r>
                </w:p>
              </w:tc>
              <w:tc>
                <w:tcPr>
                  <w:tcW w:w="1040" w:type="pct"/>
                  <w:tcBorders>
                    <w:tl2br w:val="nil"/>
                    <w:tr2bl w:val="nil"/>
                  </w:tcBorders>
                  <w:noWrap w:val="0"/>
                  <w:vAlign w:val="center"/>
                </w:tcPr>
                <w:p w14:paraId="3A31EF3B">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2448</w:t>
                  </w:r>
                </w:p>
              </w:tc>
            </w:tr>
            <w:tr w14:paraId="457B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7" w:type="pct"/>
                  <w:vMerge w:val="restart"/>
                  <w:tcBorders>
                    <w:tl2br w:val="nil"/>
                    <w:tr2bl w:val="nil"/>
                  </w:tcBorders>
                  <w:noWrap w:val="0"/>
                  <w:vAlign w:val="center"/>
                </w:tcPr>
                <w:p w14:paraId="4DF06AFF">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样品编号</w:t>
                  </w:r>
                </w:p>
              </w:tc>
              <w:tc>
                <w:tcPr>
                  <w:tcW w:w="888" w:type="pct"/>
                  <w:vMerge w:val="restart"/>
                  <w:tcBorders>
                    <w:tl2br w:val="nil"/>
                    <w:tr2bl w:val="nil"/>
                  </w:tcBorders>
                  <w:noWrap w:val="0"/>
                  <w:vAlign w:val="center"/>
                </w:tcPr>
                <w:p w14:paraId="5AC4D447">
                  <w:pPr>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标干</w:t>
                  </w:r>
                  <w:r>
                    <w:rPr>
                      <w:rFonts w:hint="default" w:ascii="Times New Roman" w:hAnsi="Times New Roman" w:eastAsia="宋体" w:cs="Times New Roman"/>
                      <w:b w:val="0"/>
                      <w:bCs w:val="0"/>
                      <w:color w:val="000000" w:themeColor="text1"/>
                      <w:sz w:val="21"/>
                      <w:szCs w:val="21"/>
                      <w14:textFill>
                        <w14:solidFill>
                          <w14:schemeClr w14:val="tx1"/>
                        </w14:solidFill>
                      </w14:textFill>
                    </w:rPr>
                    <w:t>流量</w:t>
                  </w: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m³/h</w:t>
                  </w: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w:t>
                  </w:r>
                </w:p>
              </w:tc>
              <w:tc>
                <w:tcPr>
                  <w:tcW w:w="3223" w:type="pct"/>
                  <w:gridSpan w:val="4"/>
                  <w:tcBorders>
                    <w:tl2br w:val="nil"/>
                    <w:tr2bl w:val="nil"/>
                  </w:tcBorders>
                  <w:noWrap w:val="0"/>
                  <w:vAlign w:val="center"/>
                </w:tcPr>
                <w:p w14:paraId="5831CB0F">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颗粒物</w:t>
                  </w:r>
                </w:p>
              </w:tc>
            </w:tr>
            <w:tr w14:paraId="196F8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7" w:type="pct"/>
                  <w:vMerge w:val="continue"/>
                  <w:tcBorders>
                    <w:tl2br w:val="nil"/>
                    <w:tr2bl w:val="nil"/>
                  </w:tcBorders>
                  <w:noWrap w:val="0"/>
                  <w:vAlign w:val="center"/>
                </w:tcPr>
                <w:p w14:paraId="5DB805CB">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888" w:type="pct"/>
                  <w:vMerge w:val="continue"/>
                  <w:tcBorders>
                    <w:tl2br w:val="nil"/>
                    <w:tr2bl w:val="nil"/>
                  </w:tcBorders>
                  <w:noWrap w:val="0"/>
                  <w:vAlign w:val="center"/>
                </w:tcPr>
                <w:p w14:paraId="0057621F">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1611" w:type="pct"/>
                  <w:gridSpan w:val="2"/>
                  <w:tcBorders>
                    <w:tl2br w:val="nil"/>
                    <w:tr2bl w:val="nil"/>
                  </w:tcBorders>
                  <w:noWrap w:val="0"/>
                  <w:vAlign w:val="center"/>
                </w:tcPr>
                <w:p w14:paraId="12ACCEDB">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实测排放浓度</w:t>
                  </w:r>
                </w:p>
                <w:p w14:paraId="099B0760">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（mg/m</w:t>
                  </w:r>
                  <w:r>
                    <w:rPr>
                      <w:rFonts w:hint="default" w:ascii="Times New Roman" w:hAnsi="Times New Roman" w:eastAsia="宋体" w:cs="Times New Roman"/>
                      <w:b w:val="0"/>
                      <w:bCs w:val="0"/>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1"/>
                      <w:szCs w:val="21"/>
                      <w14:textFill>
                        <w14:solidFill>
                          <w14:schemeClr w14:val="tx1"/>
                        </w14:solidFill>
                      </w14:textFill>
                    </w:rPr>
                    <w:t>）</w:t>
                  </w:r>
                </w:p>
              </w:tc>
              <w:tc>
                <w:tcPr>
                  <w:tcW w:w="1611" w:type="pct"/>
                  <w:gridSpan w:val="2"/>
                  <w:tcBorders>
                    <w:tl2br w:val="nil"/>
                    <w:tr2bl w:val="nil"/>
                  </w:tcBorders>
                  <w:noWrap w:val="0"/>
                  <w:vAlign w:val="center"/>
                </w:tcPr>
                <w:p w14:paraId="65EC14DB">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排放速率</w:t>
                  </w:r>
                </w:p>
                <w:p w14:paraId="60B4AB52">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（kg/h）</w:t>
                  </w:r>
                </w:p>
              </w:tc>
            </w:tr>
            <w:tr w14:paraId="69280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7" w:type="pct"/>
                  <w:tcBorders>
                    <w:tl2br w:val="nil"/>
                    <w:tr2bl w:val="nil"/>
                  </w:tcBorders>
                  <w:noWrap w:val="0"/>
                  <w:vAlign w:val="center"/>
                </w:tcPr>
                <w:p w14:paraId="2152D584">
                  <w:pPr>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22081905G101-2</w:t>
                  </w:r>
                </w:p>
              </w:tc>
              <w:tc>
                <w:tcPr>
                  <w:tcW w:w="888" w:type="pct"/>
                  <w:tcBorders>
                    <w:tl2br w:val="nil"/>
                    <w:tr2bl w:val="nil"/>
                  </w:tcBorders>
                  <w:noWrap w:val="0"/>
                  <w:vAlign w:val="center"/>
                </w:tcPr>
                <w:p w14:paraId="69285972">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24035</w:t>
                  </w:r>
                </w:p>
              </w:tc>
              <w:tc>
                <w:tcPr>
                  <w:tcW w:w="1611" w:type="pct"/>
                  <w:gridSpan w:val="2"/>
                  <w:tcBorders>
                    <w:tl2br w:val="nil"/>
                    <w:tr2bl w:val="nil"/>
                  </w:tcBorders>
                  <w:noWrap w:val="0"/>
                  <w:vAlign w:val="center"/>
                </w:tcPr>
                <w:p w14:paraId="2027182B">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9.1</w:t>
                  </w:r>
                </w:p>
              </w:tc>
              <w:tc>
                <w:tcPr>
                  <w:tcW w:w="1611" w:type="pct"/>
                  <w:gridSpan w:val="2"/>
                  <w:tcBorders>
                    <w:tl2br w:val="nil"/>
                    <w:tr2bl w:val="nil"/>
                  </w:tcBorders>
                  <w:noWrap w:val="0"/>
                  <w:vAlign w:val="center"/>
                </w:tcPr>
                <w:p w14:paraId="0EE7C53C">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0.016</w:t>
                  </w:r>
                </w:p>
              </w:tc>
            </w:tr>
            <w:tr w14:paraId="1FCC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7" w:type="pct"/>
                  <w:tcBorders>
                    <w:tl2br w:val="nil"/>
                    <w:tr2bl w:val="nil"/>
                  </w:tcBorders>
                  <w:noWrap w:val="0"/>
                  <w:vAlign w:val="center"/>
                </w:tcPr>
                <w:p w14:paraId="26395CEC">
                  <w:pPr>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22081905G102-2</w:t>
                  </w:r>
                </w:p>
              </w:tc>
              <w:tc>
                <w:tcPr>
                  <w:tcW w:w="888" w:type="pct"/>
                  <w:tcBorders>
                    <w:tl2br w:val="nil"/>
                    <w:tr2bl w:val="nil"/>
                  </w:tcBorders>
                  <w:noWrap w:val="0"/>
                  <w:vAlign w:val="center"/>
                </w:tcPr>
                <w:p w14:paraId="6F5560DD">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24734</w:t>
                  </w:r>
                </w:p>
              </w:tc>
              <w:tc>
                <w:tcPr>
                  <w:tcW w:w="1611" w:type="pct"/>
                  <w:gridSpan w:val="2"/>
                  <w:tcBorders>
                    <w:tl2br w:val="nil"/>
                    <w:tr2bl w:val="nil"/>
                  </w:tcBorders>
                  <w:noWrap w:val="0"/>
                  <w:vAlign w:val="center"/>
                </w:tcPr>
                <w:p w14:paraId="0E3FA854">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8.3</w:t>
                  </w:r>
                </w:p>
              </w:tc>
              <w:tc>
                <w:tcPr>
                  <w:tcW w:w="1611" w:type="pct"/>
                  <w:gridSpan w:val="2"/>
                  <w:tcBorders>
                    <w:tl2br w:val="nil"/>
                    <w:tr2bl w:val="nil"/>
                  </w:tcBorders>
                  <w:noWrap w:val="0"/>
                  <w:vAlign w:val="center"/>
                </w:tcPr>
                <w:p w14:paraId="11ED9C6F">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0.014</w:t>
                  </w:r>
                </w:p>
              </w:tc>
            </w:tr>
            <w:tr w14:paraId="33C23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7" w:type="pct"/>
                  <w:tcBorders>
                    <w:tl2br w:val="nil"/>
                    <w:tr2bl w:val="nil"/>
                  </w:tcBorders>
                  <w:noWrap w:val="0"/>
                  <w:vAlign w:val="center"/>
                </w:tcPr>
                <w:p w14:paraId="602F0D0E">
                  <w:pPr>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22081905G103-2</w:t>
                  </w:r>
                </w:p>
              </w:tc>
              <w:tc>
                <w:tcPr>
                  <w:tcW w:w="888" w:type="pct"/>
                  <w:tcBorders>
                    <w:tl2br w:val="nil"/>
                    <w:tr2bl w:val="nil"/>
                  </w:tcBorders>
                  <w:noWrap w:val="0"/>
                  <w:vAlign w:val="center"/>
                </w:tcPr>
                <w:p w14:paraId="64C6B7DB">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25090</w:t>
                  </w:r>
                </w:p>
              </w:tc>
              <w:tc>
                <w:tcPr>
                  <w:tcW w:w="1611" w:type="pct"/>
                  <w:gridSpan w:val="2"/>
                  <w:tcBorders>
                    <w:tl2br w:val="nil"/>
                    <w:tr2bl w:val="nil"/>
                  </w:tcBorders>
                  <w:noWrap w:val="0"/>
                  <w:vAlign w:val="center"/>
                </w:tcPr>
                <w:p w14:paraId="63279F66">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7.8</w:t>
                  </w:r>
                </w:p>
              </w:tc>
              <w:tc>
                <w:tcPr>
                  <w:tcW w:w="1611" w:type="pct"/>
                  <w:gridSpan w:val="2"/>
                  <w:tcBorders>
                    <w:tl2br w:val="nil"/>
                    <w:tr2bl w:val="nil"/>
                  </w:tcBorders>
                  <w:noWrap w:val="0"/>
                  <w:vAlign w:val="center"/>
                </w:tcPr>
                <w:p w14:paraId="39BFF390">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0.014</w:t>
                  </w:r>
                </w:p>
              </w:tc>
            </w:tr>
            <w:tr w14:paraId="106B4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7" w:type="pct"/>
                  <w:tcBorders>
                    <w:tl2br w:val="nil"/>
                    <w:tr2bl w:val="nil"/>
                  </w:tcBorders>
                  <w:noWrap w:val="0"/>
                  <w:vAlign w:val="center"/>
                </w:tcPr>
                <w:p w14:paraId="253381BE">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平均值</w:t>
                  </w:r>
                </w:p>
              </w:tc>
              <w:tc>
                <w:tcPr>
                  <w:tcW w:w="888" w:type="pct"/>
                  <w:tcBorders>
                    <w:tl2br w:val="nil"/>
                    <w:tr2bl w:val="nil"/>
                  </w:tcBorders>
                  <w:noWrap w:val="0"/>
                  <w:vAlign w:val="center"/>
                </w:tcPr>
                <w:p w14:paraId="438364E5">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24620</w:t>
                  </w:r>
                </w:p>
              </w:tc>
              <w:tc>
                <w:tcPr>
                  <w:tcW w:w="1611" w:type="pct"/>
                  <w:gridSpan w:val="2"/>
                  <w:tcBorders>
                    <w:tl2br w:val="nil"/>
                    <w:tr2bl w:val="nil"/>
                  </w:tcBorders>
                  <w:noWrap w:val="0"/>
                  <w:vAlign w:val="center"/>
                </w:tcPr>
                <w:p w14:paraId="1148EE79">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8.4</w:t>
                  </w:r>
                </w:p>
              </w:tc>
              <w:tc>
                <w:tcPr>
                  <w:tcW w:w="1611" w:type="pct"/>
                  <w:gridSpan w:val="2"/>
                  <w:tcBorders>
                    <w:tl2br w:val="nil"/>
                    <w:tr2bl w:val="nil"/>
                  </w:tcBorders>
                  <w:noWrap w:val="0"/>
                  <w:vAlign w:val="center"/>
                </w:tcPr>
                <w:p w14:paraId="42ACA5AA">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0.015</w:t>
                  </w:r>
                </w:p>
              </w:tc>
            </w:tr>
            <w:tr w14:paraId="04E43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7" w:type="pct"/>
                  <w:tcBorders>
                    <w:tl2br w:val="nil"/>
                    <w:tr2bl w:val="nil"/>
                  </w:tcBorders>
                  <w:noWrap w:val="0"/>
                  <w:vAlign w:val="center"/>
                </w:tcPr>
                <w:p w14:paraId="47FAA86F">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标准值</w:t>
                  </w:r>
                </w:p>
              </w:tc>
              <w:tc>
                <w:tcPr>
                  <w:tcW w:w="888" w:type="pct"/>
                  <w:tcBorders>
                    <w:tl2br w:val="nil"/>
                    <w:tr2bl w:val="nil"/>
                  </w:tcBorders>
                  <w:noWrap w:val="0"/>
                  <w:vAlign w:val="center"/>
                </w:tcPr>
                <w:p w14:paraId="58456DB3">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w:t>
                  </w:r>
                </w:p>
              </w:tc>
              <w:tc>
                <w:tcPr>
                  <w:tcW w:w="1611" w:type="pct"/>
                  <w:gridSpan w:val="2"/>
                  <w:tcBorders>
                    <w:tl2br w:val="nil"/>
                    <w:tr2bl w:val="nil"/>
                  </w:tcBorders>
                  <w:noWrap w:val="0"/>
                  <w:vAlign w:val="center"/>
                </w:tcPr>
                <w:p w14:paraId="19350208">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120</w:t>
                  </w:r>
                </w:p>
              </w:tc>
              <w:tc>
                <w:tcPr>
                  <w:tcW w:w="1611" w:type="pct"/>
                  <w:gridSpan w:val="2"/>
                  <w:tcBorders>
                    <w:tl2br w:val="nil"/>
                    <w:tr2bl w:val="nil"/>
                  </w:tcBorders>
                  <w:noWrap w:val="0"/>
                  <w:vAlign w:val="center"/>
                </w:tcPr>
                <w:p w14:paraId="6B9FDED7">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5.9</w:t>
                  </w:r>
                </w:p>
              </w:tc>
            </w:tr>
            <w:tr w14:paraId="15390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7" w:type="pct"/>
                  <w:tcBorders>
                    <w:tl2br w:val="nil"/>
                    <w:tr2bl w:val="nil"/>
                  </w:tcBorders>
                  <w:noWrap w:val="0"/>
                  <w:vAlign w:val="center"/>
                </w:tcPr>
                <w:p w14:paraId="76320E2D">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达标分析</w:t>
                  </w:r>
                </w:p>
              </w:tc>
              <w:tc>
                <w:tcPr>
                  <w:tcW w:w="4112" w:type="pct"/>
                  <w:gridSpan w:val="5"/>
                  <w:tcBorders>
                    <w:tl2br w:val="nil"/>
                    <w:tr2bl w:val="nil"/>
                  </w:tcBorders>
                  <w:noWrap w:val="0"/>
                  <w:vAlign w:val="center"/>
                </w:tcPr>
                <w:p w14:paraId="3E02E037">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达标</w:t>
                  </w:r>
                </w:p>
              </w:tc>
            </w:tr>
            <w:tr w14:paraId="13E51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6" w:type="pct"/>
                  <w:gridSpan w:val="2"/>
                  <w:tcBorders>
                    <w:tl2br w:val="nil"/>
                    <w:tr2bl w:val="nil"/>
                  </w:tcBorders>
                  <w:noWrap w:val="0"/>
                  <w:vAlign w:val="center"/>
                </w:tcPr>
                <w:p w14:paraId="103F5C6B">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检测日期</w:t>
                  </w:r>
                </w:p>
              </w:tc>
              <w:tc>
                <w:tcPr>
                  <w:tcW w:w="3223" w:type="pct"/>
                  <w:gridSpan w:val="4"/>
                  <w:tcBorders>
                    <w:tl2br w:val="nil"/>
                    <w:tr2bl w:val="nil"/>
                  </w:tcBorders>
                  <w:noWrap w:val="0"/>
                  <w:vAlign w:val="center"/>
                </w:tcPr>
                <w:p w14:paraId="2A184A9E">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2022.08.25</w:t>
                  </w:r>
                </w:p>
              </w:tc>
            </w:tr>
            <w:tr w14:paraId="5F76F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6" w:type="pct"/>
                  <w:gridSpan w:val="2"/>
                  <w:tcBorders>
                    <w:tl2br w:val="nil"/>
                    <w:tr2bl w:val="nil"/>
                  </w:tcBorders>
                  <w:noWrap w:val="0"/>
                  <w:vAlign w:val="center"/>
                </w:tcPr>
                <w:p w14:paraId="4F196FD7">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含湿量（%）</w:t>
                  </w:r>
                </w:p>
              </w:tc>
              <w:tc>
                <w:tcPr>
                  <w:tcW w:w="1091" w:type="pct"/>
                  <w:tcBorders>
                    <w:tl2br w:val="nil"/>
                    <w:tr2bl w:val="nil"/>
                  </w:tcBorders>
                  <w:noWrap w:val="0"/>
                  <w:vAlign w:val="center"/>
                </w:tcPr>
                <w:p w14:paraId="3328FB55">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3.0</w:t>
                  </w:r>
                </w:p>
              </w:tc>
              <w:tc>
                <w:tcPr>
                  <w:tcW w:w="1091" w:type="pct"/>
                  <w:gridSpan w:val="2"/>
                  <w:tcBorders>
                    <w:tl2br w:val="nil"/>
                    <w:tr2bl w:val="nil"/>
                  </w:tcBorders>
                  <w:noWrap w:val="0"/>
                  <w:vAlign w:val="center"/>
                </w:tcPr>
                <w:p w14:paraId="1FB32E98">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2.9</w:t>
                  </w:r>
                </w:p>
              </w:tc>
              <w:tc>
                <w:tcPr>
                  <w:tcW w:w="1040" w:type="pct"/>
                  <w:tcBorders>
                    <w:tl2br w:val="nil"/>
                    <w:tr2bl w:val="nil"/>
                  </w:tcBorders>
                  <w:noWrap w:val="0"/>
                  <w:vAlign w:val="center"/>
                </w:tcPr>
                <w:p w14:paraId="7F69C912">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3.0</w:t>
                  </w:r>
                </w:p>
              </w:tc>
            </w:tr>
            <w:tr w14:paraId="7A5A1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6" w:type="pct"/>
                  <w:gridSpan w:val="2"/>
                  <w:tcBorders>
                    <w:tl2br w:val="nil"/>
                    <w:tr2bl w:val="nil"/>
                  </w:tcBorders>
                  <w:noWrap w:val="0"/>
                  <w:vAlign w:val="center"/>
                </w:tcPr>
                <w:p w14:paraId="536ADE7D">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平均烟温（℃）</w:t>
                  </w:r>
                </w:p>
              </w:tc>
              <w:tc>
                <w:tcPr>
                  <w:tcW w:w="1091" w:type="pct"/>
                  <w:tcBorders>
                    <w:tl2br w:val="nil"/>
                    <w:tr2bl w:val="nil"/>
                  </w:tcBorders>
                  <w:noWrap w:val="0"/>
                  <w:vAlign w:val="center"/>
                </w:tcPr>
                <w:p w14:paraId="7AE3256E">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30.8</w:t>
                  </w:r>
                </w:p>
              </w:tc>
              <w:tc>
                <w:tcPr>
                  <w:tcW w:w="1091" w:type="pct"/>
                  <w:gridSpan w:val="2"/>
                  <w:tcBorders>
                    <w:tl2br w:val="nil"/>
                    <w:tr2bl w:val="nil"/>
                  </w:tcBorders>
                  <w:noWrap w:val="0"/>
                  <w:vAlign w:val="center"/>
                </w:tcPr>
                <w:p w14:paraId="48F3A5E8">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31.3</w:t>
                  </w:r>
                </w:p>
              </w:tc>
              <w:tc>
                <w:tcPr>
                  <w:tcW w:w="1040" w:type="pct"/>
                  <w:tcBorders>
                    <w:tl2br w:val="nil"/>
                    <w:tr2bl w:val="nil"/>
                  </w:tcBorders>
                  <w:noWrap w:val="0"/>
                  <w:vAlign w:val="center"/>
                </w:tcPr>
                <w:p w14:paraId="2E6E4A7C">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31.4</w:t>
                  </w:r>
                </w:p>
              </w:tc>
            </w:tr>
            <w:tr w14:paraId="09773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6" w:type="pct"/>
                  <w:gridSpan w:val="2"/>
                  <w:tcBorders>
                    <w:tl2br w:val="nil"/>
                    <w:tr2bl w:val="nil"/>
                  </w:tcBorders>
                  <w:noWrap w:val="0"/>
                  <w:vAlign w:val="center"/>
                </w:tcPr>
                <w:p w14:paraId="6726C352">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烟气流速（m/s）</w:t>
                  </w:r>
                </w:p>
              </w:tc>
              <w:tc>
                <w:tcPr>
                  <w:tcW w:w="1091" w:type="pct"/>
                  <w:tcBorders>
                    <w:tl2br w:val="nil"/>
                    <w:tr2bl w:val="nil"/>
                  </w:tcBorders>
                  <w:noWrap w:val="0"/>
                  <w:vAlign w:val="center"/>
                </w:tcPr>
                <w:p w14:paraId="104504A2">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1.2</w:t>
                  </w:r>
                </w:p>
              </w:tc>
              <w:tc>
                <w:tcPr>
                  <w:tcW w:w="1091" w:type="pct"/>
                  <w:gridSpan w:val="2"/>
                  <w:tcBorders>
                    <w:tl2br w:val="nil"/>
                    <w:tr2bl w:val="nil"/>
                  </w:tcBorders>
                  <w:noWrap w:val="0"/>
                  <w:vAlign w:val="center"/>
                </w:tcPr>
                <w:p w14:paraId="3C39E122">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1.2</w:t>
                  </w:r>
                </w:p>
              </w:tc>
              <w:tc>
                <w:tcPr>
                  <w:tcW w:w="1040" w:type="pct"/>
                  <w:tcBorders>
                    <w:tl2br w:val="nil"/>
                    <w:tr2bl w:val="nil"/>
                  </w:tcBorders>
                  <w:noWrap w:val="0"/>
                  <w:vAlign w:val="center"/>
                </w:tcPr>
                <w:p w14:paraId="784BB408">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1.2</w:t>
                  </w:r>
                </w:p>
              </w:tc>
            </w:tr>
            <w:tr w14:paraId="4D6A4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76" w:type="pct"/>
                  <w:gridSpan w:val="2"/>
                  <w:tcBorders>
                    <w:tl2br w:val="nil"/>
                    <w:tr2bl w:val="nil"/>
                  </w:tcBorders>
                  <w:noWrap w:val="0"/>
                  <w:vAlign w:val="center"/>
                </w:tcPr>
                <w:p w14:paraId="6FF282C9">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烟气流量（m</w:t>
                  </w:r>
                  <w:r>
                    <w:rPr>
                      <w:rFonts w:hint="default" w:ascii="Times New Roman" w:hAnsi="Times New Roman" w:eastAsia="宋体" w:cs="Times New Roman"/>
                      <w:b w:val="0"/>
                      <w:bCs w:val="0"/>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1"/>
                      <w:szCs w:val="21"/>
                      <w14:textFill>
                        <w14:solidFill>
                          <w14:schemeClr w14:val="tx1"/>
                        </w14:solidFill>
                      </w14:textFill>
                    </w:rPr>
                    <w:t>/h）</w:t>
                  </w:r>
                </w:p>
              </w:tc>
              <w:tc>
                <w:tcPr>
                  <w:tcW w:w="1091" w:type="pct"/>
                  <w:tcBorders>
                    <w:tl2br w:val="nil"/>
                    <w:tr2bl w:val="nil"/>
                  </w:tcBorders>
                  <w:noWrap w:val="0"/>
                  <w:vAlign w:val="center"/>
                </w:tcPr>
                <w:p w14:paraId="06B3F1A5">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2443</w:t>
                  </w:r>
                </w:p>
              </w:tc>
              <w:tc>
                <w:tcPr>
                  <w:tcW w:w="1091" w:type="pct"/>
                  <w:gridSpan w:val="2"/>
                  <w:tcBorders>
                    <w:tl2br w:val="nil"/>
                    <w:tr2bl w:val="nil"/>
                  </w:tcBorders>
                  <w:noWrap w:val="0"/>
                  <w:vAlign w:val="center"/>
                </w:tcPr>
                <w:p w14:paraId="25C702A3">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2445</w:t>
                  </w:r>
                </w:p>
              </w:tc>
              <w:tc>
                <w:tcPr>
                  <w:tcW w:w="1040" w:type="pct"/>
                  <w:tcBorders>
                    <w:tl2br w:val="nil"/>
                    <w:tr2bl w:val="nil"/>
                  </w:tcBorders>
                  <w:noWrap w:val="0"/>
                  <w:vAlign w:val="center"/>
                </w:tcPr>
                <w:p w14:paraId="7061868E">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2445</w:t>
                  </w:r>
                </w:p>
              </w:tc>
            </w:tr>
            <w:tr w14:paraId="2DBF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7" w:type="pct"/>
                  <w:vMerge w:val="restart"/>
                  <w:tcBorders>
                    <w:tl2br w:val="nil"/>
                    <w:tr2bl w:val="nil"/>
                  </w:tcBorders>
                  <w:noWrap w:val="0"/>
                  <w:vAlign w:val="center"/>
                </w:tcPr>
                <w:p w14:paraId="38554DFD">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样品编号</w:t>
                  </w:r>
                </w:p>
              </w:tc>
              <w:tc>
                <w:tcPr>
                  <w:tcW w:w="888" w:type="pct"/>
                  <w:vMerge w:val="restart"/>
                  <w:tcBorders>
                    <w:tl2br w:val="nil"/>
                    <w:tr2bl w:val="nil"/>
                  </w:tcBorders>
                  <w:noWrap w:val="0"/>
                  <w:vAlign w:val="center"/>
                </w:tcPr>
                <w:p w14:paraId="38CDB959">
                  <w:pPr>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标干</w:t>
                  </w:r>
                  <w:r>
                    <w:rPr>
                      <w:rFonts w:hint="default" w:ascii="Times New Roman" w:hAnsi="Times New Roman" w:eastAsia="宋体" w:cs="Times New Roman"/>
                      <w:b w:val="0"/>
                      <w:bCs w:val="0"/>
                      <w:color w:val="000000" w:themeColor="text1"/>
                      <w:sz w:val="21"/>
                      <w:szCs w:val="21"/>
                      <w14:textFill>
                        <w14:solidFill>
                          <w14:schemeClr w14:val="tx1"/>
                        </w14:solidFill>
                      </w14:textFill>
                    </w:rPr>
                    <w:t>流量</w:t>
                  </w: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m³/h</w:t>
                  </w: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w:t>
                  </w:r>
                </w:p>
              </w:tc>
              <w:tc>
                <w:tcPr>
                  <w:tcW w:w="3223" w:type="pct"/>
                  <w:gridSpan w:val="4"/>
                  <w:tcBorders>
                    <w:tl2br w:val="nil"/>
                    <w:tr2bl w:val="nil"/>
                  </w:tcBorders>
                  <w:noWrap w:val="0"/>
                  <w:vAlign w:val="center"/>
                </w:tcPr>
                <w:p w14:paraId="535CF20E">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颗粒物</w:t>
                  </w:r>
                </w:p>
              </w:tc>
            </w:tr>
            <w:tr w14:paraId="2D8E8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7" w:type="pct"/>
                  <w:vMerge w:val="continue"/>
                  <w:tcBorders>
                    <w:tl2br w:val="nil"/>
                    <w:tr2bl w:val="nil"/>
                  </w:tcBorders>
                  <w:noWrap w:val="0"/>
                  <w:vAlign w:val="center"/>
                </w:tcPr>
                <w:p w14:paraId="7364C097">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888" w:type="pct"/>
                  <w:vMerge w:val="continue"/>
                  <w:tcBorders>
                    <w:tl2br w:val="nil"/>
                    <w:tr2bl w:val="nil"/>
                  </w:tcBorders>
                  <w:noWrap w:val="0"/>
                  <w:vAlign w:val="center"/>
                </w:tcPr>
                <w:p w14:paraId="023DBD6D">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1611" w:type="pct"/>
                  <w:gridSpan w:val="2"/>
                  <w:tcBorders>
                    <w:tl2br w:val="nil"/>
                    <w:tr2bl w:val="nil"/>
                  </w:tcBorders>
                  <w:noWrap w:val="0"/>
                  <w:vAlign w:val="center"/>
                </w:tcPr>
                <w:p w14:paraId="5BE7E80D">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实测排放浓度</w:t>
                  </w:r>
                </w:p>
                <w:p w14:paraId="0D880E30">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（mg/m</w:t>
                  </w:r>
                  <w:r>
                    <w:rPr>
                      <w:rFonts w:hint="default" w:ascii="Times New Roman" w:hAnsi="Times New Roman" w:eastAsia="宋体" w:cs="Times New Roman"/>
                      <w:b w:val="0"/>
                      <w:bCs w:val="0"/>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1"/>
                      <w:szCs w:val="21"/>
                      <w14:textFill>
                        <w14:solidFill>
                          <w14:schemeClr w14:val="tx1"/>
                        </w14:solidFill>
                      </w14:textFill>
                    </w:rPr>
                    <w:t>）</w:t>
                  </w:r>
                </w:p>
              </w:tc>
              <w:tc>
                <w:tcPr>
                  <w:tcW w:w="1611" w:type="pct"/>
                  <w:gridSpan w:val="2"/>
                  <w:tcBorders>
                    <w:tl2br w:val="nil"/>
                    <w:tr2bl w:val="nil"/>
                  </w:tcBorders>
                  <w:noWrap w:val="0"/>
                  <w:vAlign w:val="center"/>
                </w:tcPr>
                <w:p w14:paraId="74DA6C8C">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排放速率</w:t>
                  </w:r>
                </w:p>
                <w:p w14:paraId="6A8CF866">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（kg/h）</w:t>
                  </w:r>
                </w:p>
              </w:tc>
            </w:tr>
            <w:tr w14:paraId="0CFB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7" w:type="pct"/>
                  <w:tcBorders>
                    <w:tl2br w:val="nil"/>
                    <w:tr2bl w:val="nil"/>
                  </w:tcBorders>
                  <w:noWrap w:val="0"/>
                  <w:vAlign w:val="center"/>
                </w:tcPr>
                <w:p w14:paraId="6666F04C">
                  <w:pPr>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22081905G201-2</w:t>
                  </w:r>
                </w:p>
              </w:tc>
              <w:tc>
                <w:tcPr>
                  <w:tcW w:w="888" w:type="pct"/>
                  <w:tcBorders>
                    <w:tl2br w:val="nil"/>
                    <w:tr2bl w:val="nil"/>
                  </w:tcBorders>
                  <w:noWrap w:val="0"/>
                  <w:vAlign w:val="center"/>
                </w:tcPr>
                <w:p w14:paraId="318E872C">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23914</w:t>
                  </w:r>
                </w:p>
              </w:tc>
              <w:tc>
                <w:tcPr>
                  <w:tcW w:w="1611" w:type="pct"/>
                  <w:gridSpan w:val="2"/>
                  <w:tcBorders>
                    <w:tl2br w:val="nil"/>
                    <w:tr2bl w:val="nil"/>
                  </w:tcBorders>
                  <w:noWrap w:val="0"/>
                  <w:vAlign w:val="center"/>
                </w:tcPr>
                <w:p w14:paraId="49F5EEC0">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7.1</w:t>
                  </w:r>
                </w:p>
              </w:tc>
              <w:tc>
                <w:tcPr>
                  <w:tcW w:w="1611" w:type="pct"/>
                  <w:gridSpan w:val="2"/>
                  <w:tcBorders>
                    <w:tl2br w:val="nil"/>
                    <w:tr2bl w:val="nil"/>
                  </w:tcBorders>
                  <w:noWrap w:val="0"/>
                  <w:vAlign w:val="center"/>
                </w:tcPr>
                <w:p w14:paraId="54FE77C5">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0.012</w:t>
                  </w:r>
                </w:p>
              </w:tc>
            </w:tr>
            <w:tr w14:paraId="52215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7" w:type="pct"/>
                  <w:tcBorders>
                    <w:tl2br w:val="nil"/>
                    <w:tr2bl w:val="nil"/>
                  </w:tcBorders>
                  <w:noWrap w:val="0"/>
                  <w:vAlign w:val="center"/>
                </w:tcPr>
                <w:p w14:paraId="66AD2CA9">
                  <w:pPr>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22081905G202-2</w:t>
                  </w:r>
                </w:p>
              </w:tc>
              <w:tc>
                <w:tcPr>
                  <w:tcW w:w="888" w:type="pct"/>
                  <w:tcBorders>
                    <w:tl2br w:val="nil"/>
                    <w:tr2bl w:val="nil"/>
                  </w:tcBorders>
                  <w:noWrap w:val="0"/>
                  <w:vAlign w:val="center"/>
                </w:tcPr>
                <w:p w14:paraId="5A8DAAE5">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24909</w:t>
                  </w:r>
                </w:p>
              </w:tc>
              <w:tc>
                <w:tcPr>
                  <w:tcW w:w="1611" w:type="pct"/>
                  <w:gridSpan w:val="2"/>
                  <w:tcBorders>
                    <w:tl2br w:val="nil"/>
                    <w:tr2bl w:val="nil"/>
                  </w:tcBorders>
                  <w:noWrap w:val="0"/>
                  <w:vAlign w:val="center"/>
                </w:tcPr>
                <w:p w14:paraId="3CFC16E0">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8.3</w:t>
                  </w:r>
                </w:p>
              </w:tc>
              <w:tc>
                <w:tcPr>
                  <w:tcW w:w="1611" w:type="pct"/>
                  <w:gridSpan w:val="2"/>
                  <w:tcBorders>
                    <w:tl2br w:val="nil"/>
                    <w:tr2bl w:val="nil"/>
                  </w:tcBorders>
                  <w:noWrap w:val="0"/>
                  <w:vAlign w:val="center"/>
                </w:tcPr>
                <w:p w14:paraId="24951A0F">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0.014</w:t>
                  </w:r>
                </w:p>
              </w:tc>
            </w:tr>
            <w:tr w14:paraId="2AB8D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7" w:type="pct"/>
                  <w:tcBorders>
                    <w:tl2br w:val="nil"/>
                    <w:tr2bl w:val="nil"/>
                  </w:tcBorders>
                  <w:noWrap w:val="0"/>
                  <w:vAlign w:val="center"/>
                </w:tcPr>
                <w:p w14:paraId="56573D56">
                  <w:pPr>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22081905G203-2</w:t>
                  </w:r>
                </w:p>
              </w:tc>
              <w:tc>
                <w:tcPr>
                  <w:tcW w:w="888" w:type="pct"/>
                  <w:tcBorders>
                    <w:tl2br w:val="nil"/>
                    <w:tr2bl w:val="nil"/>
                  </w:tcBorders>
                  <w:noWrap w:val="0"/>
                  <w:vAlign w:val="center"/>
                </w:tcPr>
                <w:p w14:paraId="4EF6E1B2">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24847</w:t>
                  </w:r>
                </w:p>
              </w:tc>
              <w:tc>
                <w:tcPr>
                  <w:tcW w:w="1611" w:type="pct"/>
                  <w:gridSpan w:val="2"/>
                  <w:tcBorders>
                    <w:tl2br w:val="nil"/>
                    <w:tr2bl w:val="nil"/>
                  </w:tcBorders>
                  <w:noWrap w:val="0"/>
                  <w:vAlign w:val="center"/>
                </w:tcPr>
                <w:p w14:paraId="7DDF0F4B">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7.5</w:t>
                  </w:r>
                </w:p>
              </w:tc>
              <w:tc>
                <w:tcPr>
                  <w:tcW w:w="1611" w:type="pct"/>
                  <w:gridSpan w:val="2"/>
                  <w:tcBorders>
                    <w:tl2br w:val="nil"/>
                    <w:tr2bl w:val="nil"/>
                  </w:tcBorders>
                  <w:noWrap w:val="0"/>
                  <w:vAlign w:val="center"/>
                </w:tcPr>
                <w:p w14:paraId="6EECAFA7">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0.013</w:t>
                  </w:r>
                </w:p>
              </w:tc>
            </w:tr>
            <w:tr w14:paraId="0D1F8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7" w:type="pct"/>
                  <w:tcBorders>
                    <w:tl2br w:val="nil"/>
                    <w:tr2bl w:val="nil"/>
                  </w:tcBorders>
                  <w:noWrap w:val="0"/>
                  <w:vAlign w:val="center"/>
                </w:tcPr>
                <w:p w14:paraId="05EB7446">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平均值</w:t>
                  </w:r>
                </w:p>
              </w:tc>
              <w:tc>
                <w:tcPr>
                  <w:tcW w:w="888" w:type="pct"/>
                  <w:tcBorders>
                    <w:tl2br w:val="nil"/>
                    <w:tr2bl w:val="nil"/>
                  </w:tcBorders>
                  <w:noWrap w:val="0"/>
                  <w:vAlign w:val="center"/>
                </w:tcPr>
                <w:p w14:paraId="2BA8CCE0">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24557</w:t>
                  </w:r>
                </w:p>
              </w:tc>
              <w:tc>
                <w:tcPr>
                  <w:tcW w:w="1611" w:type="pct"/>
                  <w:gridSpan w:val="2"/>
                  <w:tcBorders>
                    <w:tl2br w:val="nil"/>
                    <w:tr2bl w:val="nil"/>
                  </w:tcBorders>
                  <w:noWrap w:val="0"/>
                  <w:vAlign w:val="center"/>
                </w:tcPr>
                <w:p w14:paraId="14F1028D">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7.6</w:t>
                  </w:r>
                </w:p>
              </w:tc>
              <w:tc>
                <w:tcPr>
                  <w:tcW w:w="1611" w:type="pct"/>
                  <w:gridSpan w:val="2"/>
                  <w:tcBorders>
                    <w:tl2br w:val="nil"/>
                    <w:tr2bl w:val="nil"/>
                  </w:tcBorders>
                  <w:noWrap w:val="0"/>
                  <w:vAlign w:val="center"/>
                </w:tcPr>
                <w:p w14:paraId="66DC50AB">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0.013</w:t>
                  </w:r>
                </w:p>
              </w:tc>
            </w:tr>
            <w:tr w14:paraId="40E90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7" w:type="pct"/>
                  <w:tcBorders>
                    <w:tl2br w:val="nil"/>
                    <w:tr2bl w:val="nil"/>
                  </w:tcBorders>
                  <w:noWrap w:val="0"/>
                  <w:vAlign w:val="center"/>
                </w:tcPr>
                <w:p w14:paraId="5FAF4FD6">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标准值</w:t>
                  </w:r>
                </w:p>
              </w:tc>
              <w:tc>
                <w:tcPr>
                  <w:tcW w:w="888" w:type="pct"/>
                  <w:tcBorders>
                    <w:tl2br w:val="nil"/>
                    <w:tr2bl w:val="nil"/>
                  </w:tcBorders>
                  <w:noWrap w:val="0"/>
                  <w:vAlign w:val="center"/>
                </w:tcPr>
                <w:p w14:paraId="6CEBCFD0">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w:t>
                  </w:r>
                </w:p>
              </w:tc>
              <w:tc>
                <w:tcPr>
                  <w:tcW w:w="1611" w:type="pct"/>
                  <w:gridSpan w:val="2"/>
                  <w:tcBorders>
                    <w:tl2br w:val="nil"/>
                    <w:tr2bl w:val="nil"/>
                  </w:tcBorders>
                  <w:noWrap w:val="0"/>
                  <w:vAlign w:val="center"/>
                </w:tcPr>
                <w:p w14:paraId="339790B2">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120</w:t>
                  </w:r>
                </w:p>
              </w:tc>
              <w:tc>
                <w:tcPr>
                  <w:tcW w:w="1611" w:type="pct"/>
                  <w:gridSpan w:val="2"/>
                  <w:tcBorders>
                    <w:tl2br w:val="nil"/>
                    <w:tr2bl w:val="nil"/>
                  </w:tcBorders>
                  <w:noWrap w:val="0"/>
                  <w:vAlign w:val="center"/>
                </w:tcPr>
                <w:p w14:paraId="0D05FE1D">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5.9</w:t>
                  </w:r>
                </w:p>
              </w:tc>
            </w:tr>
            <w:tr w14:paraId="74AB1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7" w:type="pct"/>
                  <w:tcBorders>
                    <w:tl2br w:val="nil"/>
                    <w:tr2bl w:val="nil"/>
                  </w:tcBorders>
                  <w:noWrap w:val="0"/>
                  <w:vAlign w:val="center"/>
                </w:tcPr>
                <w:p w14:paraId="38B30292">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达标分析</w:t>
                  </w:r>
                </w:p>
              </w:tc>
              <w:tc>
                <w:tcPr>
                  <w:tcW w:w="4112" w:type="pct"/>
                  <w:gridSpan w:val="5"/>
                  <w:tcBorders>
                    <w:tl2br w:val="nil"/>
                    <w:tr2bl w:val="nil"/>
                  </w:tcBorders>
                  <w:noWrap w:val="0"/>
                  <w:vAlign w:val="center"/>
                </w:tcPr>
                <w:p w14:paraId="4928C549">
                  <w:pPr>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达标</w:t>
                  </w:r>
                </w:p>
              </w:tc>
            </w:tr>
          </w:tbl>
          <w:p w14:paraId="4569BF7A">
            <w:pPr>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根据监测结果，</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云南联帆建材科技有限公司</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有机废气</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VOCs</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的排放浓度及排放速率能达到天津市《工业企业挥发性有机物排放控制标准》（DB12/524-2020）中表排放标准</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氯化氢</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的排放浓度及排放速率能达到《大气污染物综合排放标准》（GB16297-1996）表2二级排放标准</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粉尘的排放浓度及排放速率能</w:t>
            </w:r>
            <w:r>
              <w:rPr>
                <w:rFonts w:hint="default" w:ascii="Times New Roman" w:hAnsi="Times New Roman" w:eastAsia="宋体" w:cs="Times New Roman"/>
                <w:color w:val="000000" w:themeColor="text1"/>
                <w:sz w:val="24"/>
                <w:szCs w:val="21"/>
                <w:highlight w:val="none"/>
                <w14:textFill>
                  <w14:solidFill>
                    <w14:schemeClr w14:val="tx1"/>
                  </w14:solidFill>
                </w14:textFill>
              </w:rPr>
              <w:t>《大气污染物综合排放标准》（GB16297-1996）表2</w:t>
            </w:r>
            <w:r>
              <w:rPr>
                <w:rFonts w:hint="default" w:ascii="Times New Roman" w:hAnsi="Times New Roman" w:eastAsia="宋体" w:cs="Times New Roman"/>
                <w:color w:val="000000" w:themeColor="text1"/>
                <w:sz w:val="24"/>
                <w:szCs w:val="21"/>
                <w:highlight w:val="none"/>
                <w:lang w:val="en-US" w:eastAsia="zh-CN"/>
                <w14:textFill>
                  <w14:solidFill>
                    <w14:schemeClr w14:val="tx1"/>
                  </w14:solidFill>
                </w14:textFill>
              </w:rPr>
              <w:t>二级标准</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，云南联帆建材科技有限公司有组织废气可做到达标排放。</w:t>
            </w:r>
          </w:p>
          <w:p w14:paraId="4DE1DA0A">
            <w:pPr>
              <w:keepNext w:val="0"/>
              <w:keepLines w:val="0"/>
              <w:pageBreakBefore w:val="0"/>
              <w:widowControl/>
              <w:kinsoku/>
              <w:wordWrap w:val="0"/>
              <w:overflowPunct/>
              <w:topLinePunct w:val="0"/>
              <w:autoSpaceDE/>
              <w:autoSpaceDN/>
              <w:bidi w:val="0"/>
              <w:adjustRightInd/>
              <w:snapToGrid/>
              <w:spacing w:before="0" w:after="0" w:line="360" w:lineRule="auto"/>
              <w:ind w:left="0" w:leftChars="0" w:right="0" w:firstLine="482" w:firstLineChars="200"/>
              <w:jc w:val="both"/>
              <w:textAlignment w:val="auto"/>
              <w:rPr>
                <w:rFonts w:hint="default" w:ascii="Times New Roman" w:hAnsi="Times New Roman" w:eastAsia="宋体" w:cs="Times New Roman"/>
                <w:b/>
                <w:bCs/>
                <w:i w:val="0"/>
                <w:iCs/>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i w:val="0"/>
                <w:iCs/>
                <w:color w:val="000000" w:themeColor="text1"/>
                <w:kern w:val="2"/>
                <w:sz w:val="24"/>
                <w:szCs w:val="24"/>
                <w:highlight w:val="none"/>
                <w:lang w:val="en-US" w:eastAsia="zh-CN" w:bidi="ar-SA"/>
                <w14:textFill>
                  <w14:solidFill>
                    <w14:schemeClr w14:val="tx1"/>
                  </w14:solidFill>
                </w14:textFill>
              </w:rPr>
              <w:t>3）无组织排放废气监测结果</w:t>
            </w:r>
          </w:p>
          <w:p w14:paraId="19ECB39A">
            <w:pPr>
              <w:adjustRightInd w:val="0"/>
              <w:snapToGrid w:val="0"/>
              <w:spacing w:before="156" w:beforeLines="50"/>
              <w:jc w:val="center"/>
              <w:rPr>
                <w:rFonts w:hint="default" w:ascii="Times New Roman" w:hAnsi="Times New Roman" w:eastAsia="宋体" w:cs="Times New Roman"/>
                <w:b/>
                <w:color w:val="000000" w:themeColor="text1"/>
                <w:sz w:val="21"/>
                <w:szCs w:val="21"/>
                <w:vertAlign w:val="superscript"/>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表</w:t>
            </w: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2-13</w:t>
            </w:r>
            <w:r>
              <w:rPr>
                <w:rFonts w:hint="default" w:ascii="Times New Roman" w:hAnsi="Times New Roman" w:eastAsia="宋体" w:cs="Times New Roman"/>
                <w:b/>
                <w:color w:val="000000" w:themeColor="text1"/>
                <w:sz w:val="21"/>
                <w:szCs w:val="21"/>
                <w14:textFill>
                  <w14:solidFill>
                    <w14:schemeClr w14:val="tx1"/>
                  </w14:solidFill>
                </w14:textFill>
              </w:rPr>
              <w:t xml:space="preserve">  </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无</w:t>
            </w:r>
            <w:r>
              <w:rPr>
                <w:rFonts w:hint="default" w:ascii="Times New Roman" w:hAnsi="Times New Roman" w:eastAsia="宋体" w:cs="Times New Roman"/>
                <w:b/>
                <w:color w:val="000000" w:themeColor="text1"/>
                <w:sz w:val="21"/>
                <w:szCs w:val="21"/>
                <w14:textFill>
                  <w14:solidFill>
                    <w14:schemeClr w14:val="tx1"/>
                  </w14:solidFill>
                </w14:textFill>
              </w:rPr>
              <w:t>组织</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氯化氢</w:t>
            </w:r>
            <w:r>
              <w:rPr>
                <w:rFonts w:hint="default" w:ascii="Times New Roman" w:hAnsi="Times New Roman" w:eastAsia="宋体" w:cs="Times New Roman"/>
                <w:b/>
                <w:color w:val="000000" w:themeColor="text1"/>
                <w:sz w:val="21"/>
                <w:szCs w:val="21"/>
                <w14:textFill>
                  <w14:solidFill>
                    <w14:schemeClr w14:val="tx1"/>
                  </w14:solidFill>
                </w14:textFill>
              </w:rPr>
              <w:t>排放废气监测结果    单位：mg/m</w:t>
            </w:r>
            <w:r>
              <w:rPr>
                <w:rFonts w:hint="default" w:ascii="Times New Roman" w:hAnsi="Times New Roman" w:eastAsia="宋体" w:cs="Times New Roman"/>
                <w:b/>
                <w:color w:val="000000" w:themeColor="text1"/>
                <w:sz w:val="21"/>
                <w:szCs w:val="21"/>
                <w:vertAlign w:val="superscript"/>
                <w14:textFill>
                  <w14:solidFill>
                    <w14:schemeClr w14:val="tx1"/>
                  </w14:solidFill>
                </w14:textFill>
              </w:rPr>
              <w:t>3</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1342"/>
              <w:gridCol w:w="1246"/>
              <w:gridCol w:w="1402"/>
              <w:gridCol w:w="1384"/>
              <w:gridCol w:w="749"/>
              <w:gridCol w:w="1137"/>
            </w:tblGrid>
            <w:tr w14:paraId="71805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4" w:type="pct"/>
                  <w:noWrap w:val="0"/>
                  <w:vAlign w:val="center"/>
                </w:tcPr>
                <w:p w14:paraId="1DF6470B">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监测项目</w:t>
                  </w:r>
                </w:p>
              </w:tc>
              <w:tc>
                <w:tcPr>
                  <w:tcW w:w="816" w:type="pct"/>
                  <w:noWrap w:val="0"/>
                  <w:vAlign w:val="center"/>
                </w:tcPr>
                <w:p w14:paraId="518C5459">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监测点位</w:t>
                  </w:r>
                </w:p>
              </w:tc>
              <w:tc>
                <w:tcPr>
                  <w:tcW w:w="1610" w:type="pct"/>
                  <w:gridSpan w:val="2"/>
                  <w:noWrap w:val="0"/>
                  <w:vAlign w:val="center"/>
                </w:tcPr>
                <w:p w14:paraId="7E12CB13">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监测时间</w:t>
                  </w:r>
                </w:p>
              </w:tc>
              <w:tc>
                <w:tcPr>
                  <w:tcW w:w="841" w:type="pct"/>
                  <w:noWrap w:val="0"/>
                  <w:vAlign w:val="center"/>
                </w:tcPr>
                <w:p w14:paraId="6E8214E0">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实测值</w:t>
                  </w:r>
                </w:p>
              </w:tc>
              <w:tc>
                <w:tcPr>
                  <w:tcW w:w="455" w:type="pct"/>
                  <w:noWrap w:val="0"/>
                  <w:vAlign w:val="center"/>
                </w:tcPr>
                <w:p w14:paraId="051BF8AA">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标准</w:t>
                  </w:r>
                </w:p>
              </w:tc>
              <w:tc>
                <w:tcPr>
                  <w:tcW w:w="691" w:type="pct"/>
                  <w:noWrap w:val="0"/>
                  <w:vAlign w:val="center"/>
                </w:tcPr>
                <w:p w14:paraId="592183F4">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达标情况</w:t>
                  </w:r>
                </w:p>
              </w:tc>
            </w:tr>
            <w:tr w14:paraId="05A8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4" w:type="pct"/>
                  <w:vMerge w:val="restart"/>
                  <w:noWrap w:val="0"/>
                  <w:vAlign w:val="center"/>
                </w:tcPr>
                <w:p w14:paraId="6AC739C6">
                  <w:pPr>
                    <w:spacing w:line="240" w:lineRule="auto"/>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氯化氢</w:t>
                  </w:r>
                </w:p>
              </w:tc>
              <w:tc>
                <w:tcPr>
                  <w:tcW w:w="816" w:type="pct"/>
                  <w:vMerge w:val="restart"/>
                  <w:noWrap w:val="0"/>
                  <w:vAlign w:val="center"/>
                </w:tcPr>
                <w:p w14:paraId="69D281F5">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厂区上风向</w:t>
                  </w:r>
                </w:p>
              </w:tc>
              <w:tc>
                <w:tcPr>
                  <w:tcW w:w="757" w:type="pct"/>
                  <w:vMerge w:val="restart"/>
                  <w:noWrap w:val="0"/>
                  <w:vAlign w:val="center"/>
                </w:tcPr>
                <w:p w14:paraId="05FBD42E">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2.08.24</w:t>
                  </w:r>
                </w:p>
              </w:tc>
              <w:tc>
                <w:tcPr>
                  <w:tcW w:w="852" w:type="pct"/>
                  <w:noWrap w:val="0"/>
                  <w:vAlign w:val="center"/>
                </w:tcPr>
                <w:p w14:paraId="32E9FFB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10:24~11:24</w:t>
                  </w:r>
                </w:p>
              </w:tc>
              <w:tc>
                <w:tcPr>
                  <w:tcW w:w="841" w:type="pct"/>
                  <w:noWrap w:val="0"/>
                  <w:vAlign w:val="center"/>
                </w:tcPr>
                <w:p w14:paraId="7AF24E7C">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0.05L</w:t>
                  </w:r>
                </w:p>
              </w:tc>
              <w:tc>
                <w:tcPr>
                  <w:tcW w:w="455" w:type="pct"/>
                  <w:vMerge w:val="restart"/>
                  <w:noWrap w:val="0"/>
                  <w:vAlign w:val="center"/>
                </w:tcPr>
                <w:p w14:paraId="3C1EC24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0.2</w:t>
                  </w:r>
                </w:p>
              </w:tc>
              <w:tc>
                <w:tcPr>
                  <w:tcW w:w="691" w:type="pct"/>
                  <w:noWrap w:val="0"/>
                  <w:vAlign w:val="center"/>
                </w:tcPr>
                <w:p w14:paraId="0499333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7ACC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4" w:type="pct"/>
                  <w:vMerge w:val="continue"/>
                  <w:noWrap w:val="0"/>
                  <w:vAlign w:val="center"/>
                </w:tcPr>
                <w:p w14:paraId="3FB9AA5E">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5A331DE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005219A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52" w:type="pct"/>
                  <w:noWrap w:val="0"/>
                  <w:vAlign w:val="center"/>
                </w:tcPr>
                <w:p w14:paraId="35F0FBA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13:46~14:46</w:t>
                  </w:r>
                </w:p>
              </w:tc>
              <w:tc>
                <w:tcPr>
                  <w:tcW w:w="841" w:type="pct"/>
                  <w:noWrap w:val="0"/>
                  <w:vAlign w:val="center"/>
                </w:tcPr>
                <w:p w14:paraId="0E6A63F4">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0.05L</w:t>
                  </w:r>
                </w:p>
              </w:tc>
              <w:tc>
                <w:tcPr>
                  <w:tcW w:w="455" w:type="pct"/>
                  <w:vMerge w:val="continue"/>
                  <w:noWrap w:val="0"/>
                  <w:vAlign w:val="center"/>
                </w:tcPr>
                <w:p w14:paraId="34BD5E7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1" w:type="pct"/>
                  <w:noWrap w:val="0"/>
                  <w:vAlign w:val="center"/>
                </w:tcPr>
                <w:p w14:paraId="085E85B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57F1A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4" w:type="pct"/>
                  <w:vMerge w:val="continue"/>
                  <w:noWrap w:val="0"/>
                  <w:vAlign w:val="center"/>
                </w:tcPr>
                <w:p w14:paraId="28D3CA8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1171457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57BBDBA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52" w:type="pct"/>
                  <w:noWrap w:val="0"/>
                  <w:vAlign w:val="center"/>
                </w:tcPr>
                <w:p w14:paraId="33A3C3E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16:08~17:08</w:t>
                  </w:r>
                </w:p>
              </w:tc>
              <w:tc>
                <w:tcPr>
                  <w:tcW w:w="841" w:type="pct"/>
                  <w:noWrap w:val="0"/>
                  <w:vAlign w:val="center"/>
                </w:tcPr>
                <w:p w14:paraId="69BA22C3">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0.05L</w:t>
                  </w:r>
                </w:p>
              </w:tc>
              <w:tc>
                <w:tcPr>
                  <w:tcW w:w="455" w:type="pct"/>
                  <w:vMerge w:val="continue"/>
                  <w:noWrap w:val="0"/>
                  <w:vAlign w:val="center"/>
                </w:tcPr>
                <w:p w14:paraId="4DF6FE0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1" w:type="pct"/>
                  <w:noWrap w:val="0"/>
                  <w:vAlign w:val="center"/>
                </w:tcPr>
                <w:p w14:paraId="100FAA4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50703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4" w:type="pct"/>
                  <w:vMerge w:val="continue"/>
                  <w:noWrap w:val="0"/>
                  <w:vAlign w:val="center"/>
                </w:tcPr>
                <w:p w14:paraId="5D84A9D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576E897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restart"/>
                  <w:noWrap w:val="0"/>
                  <w:vAlign w:val="center"/>
                </w:tcPr>
                <w:p w14:paraId="5D39ECB2">
                  <w:pPr>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2.08.25</w:t>
                  </w:r>
                </w:p>
              </w:tc>
              <w:tc>
                <w:tcPr>
                  <w:tcW w:w="852" w:type="pct"/>
                  <w:noWrap w:val="0"/>
                  <w:vAlign w:val="center"/>
                </w:tcPr>
                <w:p w14:paraId="5514BE1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09:13~10:13</w:t>
                  </w:r>
                </w:p>
              </w:tc>
              <w:tc>
                <w:tcPr>
                  <w:tcW w:w="841" w:type="pct"/>
                  <w:noWrap w:val="0"/>
                  <w:vAlign w:val="center"/>
                </w:tcPr>
                <w:p w14:paraId="440BE019">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0.05L</w:t>
                  </w:r>
                </w:p>
              </w:tc>
              <w:tc>
                <w:tcPr>
                  <w:tcW w:w="455" w:type="pct"/>
                  <w:vMerge w:val="restart"/>
                  <w:noWrap w:val="0"/>
                  <w:vAlign w:val="center"/>
                </w:tcPr>
                <w:p w14:paraId="6D6C4EC1">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0.2</w:t>
                  </w:r>
                </w:p>
              </w:tc>
              <w:tc>
                <w:tcPr>
                  <w:tcW w:w="691" w:type="pct"/>
                  <w:noWrap w:val="0"/>
                  <w:vAlign w:val="center"/>
                </w:tcPr>
                <w:p w14:paraId="3C417B1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42483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blHeader/>
                <w:jc w:val="center"/>
              </w:trPr>
              <w:tc>
                <w:tcPr>
                  <w:tcW w:w="584" w:type="pct"/>
                  <w:vMerge w:val="continue"/>
                  <w:noWrap w:val="0"/>
                  <w:vAlign w:val="center"/>
                </w:tcPr>
                <w:p w14:paraId="401FDBD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148C0521">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55DBA79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52" w:type="pct"/>
                  <w:noWrap w:val="0"/>
                  <w:vAlign w:val="center"/>
                </w:tcPr>
                <w:p w14:paraId="36CDF69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11:20~12:20</w:t>
                  </w:r>
                </w:p>
              </w:tc>
              <w:tc>
                <w:tcPr>
                  <w:tcW w:w="841" w:type="pct"/>
                  <w:noWrap w:val="0"/>
                  <w:vAlign w:val="center"/>
                </w:tcPr>
                <w:p w14:paraId="18B6A4B9">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0.05L</w:t>
                  </w:r>
                </w:p>
              </w:tc>
              <w:tc>
                <w:tcPr>
                  <w:tcW w:w="455" w:type="pct"/>
                  <w:vMerge w:val="continue"/>
                  <w:noWrap w:val="0"/>
                  <w:vAlign w:val="center"/>
                </w:tcPr>
                <w:p w14:paraId="79A436E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1" w:type="pct"/>
                  <w:noWrap w:val="0"/>
                  <w:vAlign w:val="center"/>
                </w:tcPr>
                <w:p w14:paraId="70644CF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61933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4" w:type="pct"/>
                  <w:vMerge w:val="continue"/>
                  <w:noWrap w:val="0"/>
                  <w:vAlign w:val="center"/>
                </w:tcPr>
                <w:p w14:paraId="0546FE7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449974A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0097923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52" w:type="pct"/>
                  <w:noWrap w:val="0"/>
                  <w:vAlign w:val="center"/>
                </w:tcPr>
                <w:p w14:paraId="447F7A4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14:07~15:07</w:t>
                  </w:r>
                </w:p>
              </w:tc>
              <w:tc>
                <w:tcPr>
                  <w:tcW w:w="841" w:type="pct"/>
                  <w:noWrap w:val="0"/>
                  <w:vAlign w:val="center"/>
                </w:tcPr>
                <w:p w14:paraId="577987D5">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0.05L</w:t>
                  </w:r>
                </w:p>
              </w:tc>
              <w:tc>
                <w:tcPr>
                  <w:tcW w:w="455" w:type="pct"/>
                  <w:vMerge w:val="continue"/>
                  <w:noWrap w:val="0"/>
                  <w:vAlign w:val="center"/>
                </w:tcPr>
                <w:p w14:paraId="53F5709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1" w:type="pct"/>
                  <w:noWrap w:val="0"/>
                  <w:vAlign w:val="center"/>
                </w:tcPr>
                <w:p w14:paraId="0024290E">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67F7B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blHeader/>
                <w:jc w:val="center"/>
              </w:trPr>
              <w:tc>
                <w:tcPr>
                  <w:tcW w:w="584" w:type="pct"/>
                  <w:vMerge w:val="continue"/>
                  <w:noWrap w:val="0"/>
                  <w:vAlign w:val="center"/>
                </w:tcPr>
                <w:p w14:paraId="0D250C1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restart"/>
                  <w:noWrap w:val="0"/>
                  <w:vAlign w:val="center"/>
                </w:tcPr>
                <w:p w14:paraId="5960BDD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厂区下风向1#</w:t>
                  </w:r>
                </w:p>
              </w:tc>
              <w:tc>
                <w:tcPr>
                  <w:tcW w:w="757" w:type="pct"/>
                  <w:vMerge w:val="restart"/>
                  <w:noWrap w:val="0"/>
                  <w:vAlign w:val="center"/>
                </w:tcPr>
                <w:p w14:paraId="7ACA68F1">
                  <w:pPr>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2.08.24</w:t>
                  </w:r>
                </w:p>
              </w:tc>
              <w:tc>
                <w:tcPr>
                  <w:tcW w:w="852" w:type="pct"/>
                  <w:noWrap w:val="0"/>
                  <w:vAlign w:val="center"/>
                </w:tcPr>
                <w:p w14:paraId="740D64A5">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10:24~11:24</w:t>
                  </w:r>
                </w:p>
              </w:tc>
              <w:tc>
                <w:tcPr>
                  <w:tcW w:w="841" w:type="pct"/>
                  <w:noWrap w:val="0"/>
                  <w:vAlign w:val="center"/>
                </w:tcPr>
                <w:p w14:paraId="67BBD85C">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0.13</w:t>
                  </w:r>
                </w:p>
              </w:tc>
              <w:tc>
                <w:tcPr>
                  <w:tcW w:w="455" w:type="pct"/>
                  <w:vMerge w:val="restart"/>
                  <w:noWrap w:val="0"/>
                  <w:vAlign w:val="center"/>
                </w:tcPr>
                <w:p w14:paraId="2190F2C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0.2</w:t>
                  </w:r>
                </w:p>
              </w:tc>
              <w:tc>
                <w:tcPr>
                  <w:tcW w:w="691" w:type="pct"/>
                  <w:noWrap w:val="0"/>
                  <w:vAlign w:val="center"/>
                </w:tcPr>
                <w:p w14:paraId="39A5B6F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76BAC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4" w:type="pct"/>
                  <w:vMerge w:val="continue"/>
                  <w:noWrap w:val="0"/>
                  <w:vAlign w:val="center"/>
                </w:tcPr>
                <w:p w14:paraId="2CF1356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07A162B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41D6DD1E">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52" w:type="pct"/>
                  <w:noWrap w:val="0"/>
                  <w:vAlign w:val="center"/>
                </w:tcPr>
                <w:p w14:paraId="58F867C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13:46~14:46</w:t>
                  </w:r>
                </w:p>
              </w:tc>
              <w:tc>
                <w:tcPr>
                  <w:tcW w:w="841" w:type="pct"/>
                  <w:noWrap w:val="0"/>
                  <w:vAlign w:val="center"/>
                </w:tcPr>
                <w:p w14:paraId="13DAD9A8">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0.17</w:t>
                  </w:r>
                </w:p>
              </w:tc>
              <w:tc>
                <w:tcPr>
                  <w:tcW w:w="455" w:type="pct"/>
                  <w:vMerge w:val="continue"/>
                  <w:noWrap w:val="0"/>
                  <w:vAlign w:val="center"/>
                </w:tcPr>
                <w:p w14:paraId="7261A07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1" w:type="pct"/>
                  <w:noWrap w:val="0"/>
                  <w:vAlign w:val="center"/>
                </w:tcPr>
                <w:p w14:paraId="698B077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4C539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blHeader/>
                <w:jc w:val="center"/>
              </w:trPr>
              <w:tc>
                <w:tcPr>
                  <w:tcW w:w="584" w:type="pct"/>
                  <w:vMerge w:val="continue"/>
                  <w:noWrap w:val="0"/>
                  <w:vAlign w:val="center"/>
                </w:tcPr>
                <w:p w14:paraId="0B5E626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76D46F8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23273A9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52" w:type="pct"/>
                  <w:noWrap w:val="0"/>
                  <w:vAlign w:val="center"/>
                </w:tcPr>
                <w:p w14:paraId="349F3A8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16:08~17:08</w:t>
                  </w:r>
                </w:p>
              </w:tc>
              <w:tc>
                <w:tcPr>
                  <w:tcW w:w="841" w:type="pct"/>
                  <w:noWrap w:val="0"/>
                  <w:vAlign w:val="center"/>
                </w:tcPr>
                <w:p w14:paraId="06B30F9D">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0.15</w:t>
                  </w:r>
                </w:p>
              </w:tc>
              <w:tc>
                <w:tcPr>
                  <w:tcW w:w="455" w:type="pct"/>
                  <w:vMerge w:val="continue"/>
                  <w:noWrap w:val="0"/>
                  <w:vAlign w:val="center"/>
                </w:tcPr>
                <w:p w14:paraId="76B8EC3E">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1" w:type="pct"/>
                  <w:noWrap w:val="0"/>
                  <w:vAlign w:val="center"/>
                </w:tcPr>
                <w:p w14:paraId="351752F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60E43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4" w:type="pct"/>
                  <w:vMerge w:val="continue"/>
                  <w:noWrap w:val="0"/>
                  <w:vAlign w:val="center"/>
                </w:tcPr>
                <w:p w14:paraId="0E58C77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5ABD093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restart"/>
                  <w:noWrap w:val="0"/>
                  <w:vAlign w:val="center"/>
                </w:tcPr>
                <w:p w14:paraId="51F7A5D6">
                  <w:pPr>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2.08.25</w:t>
                  </w:r>
                </w:p>
              </w:tc>
              <w:tc>
                <w:tcPr>
                  <w:tcW w:w="852" w:type="pct"/>
                  <w:noWrap w:val="0"/>
                  <w:vAlign w:val="center"/>
                </w:tcPr>
                <w:p w14:paraId="293C09D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09:13~10:13</w:t>
                  </w:r>
                </w:p>
              </w:tc>
              <w:tc>
                <w:tcPr>
                  <w:tcW w:w="841" w:type="pct"/>
                  <w:noWrap w:val="0"/>
                  <w:vAlign w:val="center"/>
                </w:tcPr>
                <w:p w14:paraId="3D4A5277">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0.11</w:t>
                  </w:r>
                </w:p>
              </w:tc>
              <w:tc>
                <w:tcPr>
                  <w:tcW w:w="455" w:type="pct"/>
                  <w:vMerge w:val="restart"/>
                  <w:noWrap w:val="0"/>
                  <w:vAlign w:val="center"/>
                </w:tcPr>
                <w:p w14:paraId="05CEE80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0.2</w:t>
                  </w:r>
                </w:p>
              </w:tc>
              <w:tc>
                <w:tcPr>
                  <w:tcW w:w="691" w:type="pct"/>
                  <w:noWrap w:val="0"/>
                  <w:vAlign w:val="center"/>
                </w:tcPr>
                <w:p w14:paraId="3A00867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10A10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584" w:type="pct"/>
                  <w:vMerge w:val="continue"/>
                  <w:noWrap w:val="0"/>
                  <w:vAlign w:val="center"/>
                </w:tcPr>
                <w:p w14:paraId="2CF5252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00C6623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50BA94F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52" w:type="pct"/>
                  <w:noWrap w:val="0"/>
                  <w:vAlign w:val="center"/>
                </w:tcPr>
                <w:p w14:paraId="6856BE3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11:20~12:20</w:t>
                  </w:r>
                </w:p>
              </w:tc>
              <w:tc>
                <w:tcPr>
                  <w:tcW w:w="841" w:type="pct"/>
                  <w:noWrap w:val="0"/>
                  <w:vAlign w:val="center"/>
                </w:tcPr>
                <w:p w14:paraId="06A53065">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0.15</w:t>
                  </w:r>
                </w:p>
              </w:tc>
              <w:tc>
                <w:tcPr>
                  <w:tcW w:w="455" w:type="pct"/>
                  <w:vMerge w:val="continue"/>
                  <w:noWrap w:val="0"/>
                  <w:vAlign w:val="center"/>
                </w:tcPr>
                <w:p w14:paraId="602C140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1" w:type="pct"/>
                  <w:noWrap w:val="0"/>
                  <w:vAlign w:val="center"/>
                </w:tcPr>
                <w:p w14:paraId="13464F0E">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0F85B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4" w:type="pct"/>
                  <w:vMerge w:val="continue"/>
                  <w:noWrap w:val="0"/>
                  <w:vAlign w:val="center"/>
                </w:tcPr>
                <w:p w14:paraId="0E2B556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351331F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72343B5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52" w:type="pct"/>
                  <w:noWrap w:val="0"/>
                  <w:vAlign w:val="center"/>
                </w:tcPr>
                <w:p w14:paraId="43689F3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14:07~15:07</w:t>
                  </w:r>
                </w:p>
              </w:tc>
              <w:tc>
                <w:tcPr>
                  <w:tcW w:w="841" w:type="pct"/>
                  <w:noWrap w:val="0"/>
                  <w:vAlign w:val="center"/>
                </w:tcPr>
                <w:p w14:paraId="6ED5FCDC">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0.13</w:t>
                  </w:r>
                </w:p>
              </w:tc>
              <w:tc>
                <w:tcPr>
                  <w:tcW w:w="455" w:type="pct"/>
                  <w:vMerge w:val="continue"/>
                  <w:noWrap w:val="0"/>
                  <w:vAlign w:val="center"/>
                </w:tcPr>
                <w:p w14:paraId="742FE8E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1" w:type="pct"/>
                  <w:noWrap w:val="0"/>
                  <w:vAlign w:val="center"/>
                </w:tcPr>
                <w:p w14:paraId="1B4C337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550C2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4" w:type="pct"/>
                  <w:vMerge w:val="continue"/>
                  <w:noWrap w:val="0"/>
                  <w:vAlign w:val="center"/>
                </w:tcPr>
                <w:p w14:paraId="22EE907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restart"/>
                  <w:noWrap w:val="0"/>
                  <w:vAlign w:val="center"/>
                </w:tcPr>
                <w:p w14:paraId="5EEABE4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厂区下风向2#</w:t>
                  </w:r>
                </w:p>
              </w:tc>
              <w:tc>
                <w:tcPr>
                  <w:tcW w:w="757" w:type="pct"/>
                  <w:vMerge w:val="restart"/>
                  <w:noWrap w:val="0"/>
                  <w:vAlign w:val="center"/>
                </w:tcPr>
                <w:p w14:paraId="4838E7CC">
                  <w:pPr>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2.08.24</w:t>
                  </w:r>
                </w:p>
              </w:tc>
              <w:tc>
                <w:tcPr>
                  <w:tcW w:w="852" w:type="pct"/>
                  <w:noWrap w:val="0"/>
                  <w:vAlign w:val="center"/>
                </w:tcPr>
                <w:p w14:paraId="2C0B60C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10:24~11:24</w:t>
                  </w:r>
                </w:p>
              </w:tc>
              <w:tc>
                <w:tcPr>
                  <w:tcW w:w="841" w:type="pct"/>
                  <w:noWrap w:val="0"/>
                  <w:vAlign w:val="center"/>
                </w:tcPr>
                <w:p w14:paraId="4DE603BF">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0.10</w:t>
                  </w:r>
                </w:p>
              </w:tc>
              <w:tc>
                <w:tcPr>
                  <w:tcW w:w="455" w:type="pct"/>
                  <w:vMerge w:val="restart"/>
                  <w:noWrap w:val="0"/>
                  <w:vAlign w:val="center"/>
                </w:tcPr>
                <w:p w14:paraId="30A34F75">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0.2</w:t>
                  </w:r>
                </w:p>
              </w:tc>
              <w:tc>
                <w:tcPr>
                  <w:tcW w:w="691" w:type="pct"/>
                  <w:noWrap w:val="0"/>
                  <w:vAlign w:val="center"/>
                </w:tcPr>
                <w:p w14:paraId="5FDF8BB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46CE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4" w:type="pct"/>
                  <w:vMerge w:val="continue"/>
                  <w:noWrap w:val="0"/>
                  <w:vAlign w:val="center"/>
                </w:tcPr>
                <w:p w14:paraId="20D9096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1BFB9F5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3D19C57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52" w:type="pct"/>
                  <w:noWrap w:val="0"/>
                  <w:vAlign w:val="center"/>
                </w:tcPr>
                <w:p w14:paraId="57E92D5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13:46~14:46</w:t>
                  </w:r>
                </w:p>
              </w:tc>
              <w:tc>
                <w:tcPr>
                  <w:tcW w:w="841" w:type="pct"/>
                  <w:noWrap w:val="0"/>
                  <w:vAlign w:val="center"/>
                </w:tcPr>
                <w:p w14:paraId="06E17B95">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0.13</w:t>
                  </w:r>
                </w:p>
              </w:tc>
              <w:tc>
                <w:tcPr>
                  <w:tcW w:w="455" w:type="pct"/>
                  <w:vMerge w:val="continue"/>
                  <w:noWrap w:val="0"/>
                  <w:vAlign w:val="center"/>
                </w:tcPr>
                <w:p w14:paraId="53EFB8C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1" w:type="pct"/>
                  <w:noWrap w:val="0"/>
                  <w:vAlign w:val="center"/>
                </w:tcPr>
                <w:p w14:paraId="019A2A9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1A76E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4" w:type="pct"/>
                  <w:vMerge w:val="continue"/>
                  <w:noWrap w:val="0"/>
                  <w:vAlign w:val="center"/>
                </w:tcPr>
                <w:p w14:paraId="35E3DC2E">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6C72828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1A41614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52" w:type="pct"/>
                  <w:noWrap w:val="0"/>
                  <w:vAlign w:val="center"/>
                </w:tcPr>
                <w:p w14:paraId="687E185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16:08~17:08</w:t>
                  </w:r>
                </w:p>
              </w:tc>
              <w:tc>
                <w:tcPr>
                  <w:tcW w:w="841" w:type="pct"/>
                  <w:noWrap w:val="0"/>
                  <w:vAlign w:val="center"/>
                </w:tcPr>
                <w:p w14:paraId="0C039648">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0.13</w:t>
                  </w:r>
                </w:p>
              </w:tc>
              <w:tc>
                <w:tcPr>
                  <w:tcW w:w="455" w:type="pct"/>
                  <w:vMerge w:val="continue"/>
                  <w:noWrap w:val="0"/>
                  <w:vAlign w:val="center"/>
                </w:tcPr>
                <w:p w14:paraId="0B7E502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1" w:type="pct"/>
                  <w:noWrap w:val="0"/>
                  <w:vAlign w:val="center"/>
                </w:tcPr>
                <w:p w14:paraId="5A2A27D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1BA3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4" w:type="pct"/>
                  <w:vMerge w:val="continue"/>
                  <w:noWrap w:val="0"/>
                  <w:vAlign w:val="center"/>
                </w:tcPr>
                <w:p w14:paraId="614DBA7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53E5747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restart"/>
                  <w:noWrap w:val="0"/>
                  <w:vAlign w:val="center"/>
                </w:tcPr>
                <w:p w14:paraId="7FA2573B">
                  <w:pPr>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2.08.25</w:t>
                  </w:r>
                </w:p>
              </w:tc>
              <w:tc>
                <w:tcPr>
                  <w:tcW w:w="852" w:type="pct"/>
                  <w:noWrap w:val="0"/>
                  <w:vAlign w:val="center"/>
                </w:tcPr>
                <w:p w14:paraId="25B55BF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09:13~10:13</w:t>
                  </w:r>
                </w:p>
              </w:tc>
              <w:tc>
                <w:tcPr>
                  <w:tcW w:w="841" w:type="pct"/>
                  <w:noWrap w:val="0"/>
                  <w:vAlign w:val="center"/>
                </w:tcPr>
                <w:p w14:paraId="4908544D">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0.09</w:t>
                  </w:r>
                </w:p>
              </w:tc>
              <w:tc>
                <w:tcPr>
                  <w:tcW w:w="455" w:type="pct"/>
                  <w:vMerge w:val="restart"/>
                  <w:noWrap w:val="0"/>
                  <w:vAlign w:val="center"/>
                </w:tcPr>
                <w:p w14:paraId="1EC3339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0.2</w:t>
                  </w:r>
                </w:p>
              </w:tc>
              <w:tc>
                <w:tcPr>
                  <w:tcW w:w="691" w:type="pct"/>
                  <w:noWrap w:val="0"/>
                  <w:vAlign w:val="center"/>
                </w:tcPr>
                <w:p w14:paraId="6ABC3AB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02B6C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4" w:type="pct"/>
                  <w:vMerge w:val="continue"/>
                  <w:noWrap w:val="0"/>
                  <w:vAlign w:val="center"/>
                </w:tcPr>
                <w:p w14:paraId="3C45C53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3998EBE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232F34F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52" w:type="pct"/>
                  <w:noWrap w:val="0"/>
                  <w:vAlign w:val="center"/>
                </w:tcPr>
                <w:p w14:paraId="082AEF7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11:20~12:20</w:t>
                  </w:r>
                </w:p>
              </w:tc>
              <w:tc>
                <w:tcPr>
                  <w:tcW w:w="841" w:type="pct"/>
                  <w:noWrap w:val="0"/>
                  <w:vAlign w:val="center"/>
                </w:tcPr>
                <w:p w14:paraId="6B4D3198">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0.12</w:t>
                  </w:r>
                </w:p>
              </w:tc>
              <w:tc>
                <w:tcPr>
                  <w:tcW w:w="455" w:type="pct"/>
                  <w:vMerge w:val="continue"/>
                  <w:noWrap w:val="0"/>
                  <w:vAlign w:val="center"/>
                </w:tcPr>
                <w:p w14:paraId="4F085E1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1" w:type="pct"/>
                  <w:noWrap w:val="0"/>
                  <w:vAlign w:val="center"/>
                </w:tcPr>
                <w:p w14:paraId="799BC0E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76C4E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4" w:type="pct"/>
                  <w:vMerge w:val="continue"/>
                  <w:noWrap w:val="0"/>
                  <w:vAlign w:val="center"/>
                </w:tcPr>
                <w:p w14:paraId="39F04081">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133E996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3BFB7A21">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52" w:type="pct"/>
                  <w:noWrap w:val="0"/>
                  <w:vAlign w:val="center"/>
                </w:tcPr>
                <w:p w14:paraId="1170972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14:07~15:07</w:t>
                  </w:r>
                </w:p>
              </w:tc>
              <w:tc>
                <w:tcPr>
                  <w:tcW w:w="841" w:type="pct"/>
                  <w:noWrap w:val="0"/>
                  <w:vAlign w:val="center"/>
                </w:tcPr>
                <w:p w14:paraId="2850F0DB">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0.10</w:t>
                  </w:r>
                </w:p>
              </w:tc>
              <w:tc>
                <w:tcPr>
                  <w:tcW w:w="455" w:type="pct"/>
                  <w:vMerge w:val="continue"/>
                  <w:noWrap w:val="0"/>
                  <w:vAlign w:val="center"/>
                </w:tcPr>
                <w:p w14:paraId="03895F3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1" w:type="pct"/>
                  <w:noWrap w:val="0"/>
                  <w:vAlign w:val="center"/>
                </w:tcPr>
                <w:p w14:paraId="6527B17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3324A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4" w:type="pct"/>
                  <w:vMerge w:val="continue"/>
                  <w:noWrap w:val="0"/>
                  <w:vAlign w:val="center"/>
                </w:tcPr>
                <w:p w14:paraId="18458FE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restart"/>
                  <w:noWrap w:val="0"/>
                  <w:vAlign w:val="center"/>
                </w:tcPr>
                <w:p w14:paraId="1021E7C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厂区下风向3#</w:t>
                  </w:r>
                </w:p>
              </w:tc>
              <w:tc>
                <w:tcPr>
                  <w:tcW w:w="757" w:type="pct"/>
                  <w:vMerge w:val="restart"/>
                  <w:noWrap w:val="0"/>
                  <w:vAlign w:val="center"/>
                </w:tcPr>
                <w:p w14:paraId="18FFE695">
                  <w:pPr>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2.08.24</w:t>
                  </w:r>
                </w:p>
              </w:tc>
              <w:tc>
                <w:tcPr>
                  <w:tcW w:w="852" w:type="pct"/>
                  <w:noWrap w:val="0"/>
                  <w:vAlign w:val="center"/>
                </w:tcPr>
                <w:p w14:paraId="6C69753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10:24~11:24</w:t>
                  </w:r>
                </w:p>
              </w:tc>
              <w:tc>
                <w:tcPr>
                  <w:tcW w:w="841" w:type="pct"/>
                  <w:noWrap w:val="0"/>
                  <w:vAlign w:val="center"/>
                </w:tcPr>
                <w:p w14:paraId="0675B5A5">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0.05</w:t>
                  </w:r>
                </w:p>
              </w:tc>
              <w:tc>
                <w:tcPr>
                  <w:tcW w:w="455" w:type="pct"/>
                  <w:vMerge w:val="restart"/>
                  <w:noWrap w:val="0"/>
                  <w:vAlign w:val="center"/>
                </w:tcPr>
                <w:p w14:paraId="1A555DE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0.2</w:t>
                  </w:r>
                </w:p>
              </w:tc>
              <w:tc>
                <w:tcPr>
                  <w:tcW w:w="691" w:type="pct"/>
                  <w:noWrap w:val="0"/>
                  <w:vAlign w:val="center"/>
                </w:tcPr>
                <w:p w14:paraId="5B5C8C9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4CF5B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4" w:type="pct"/>
                  <w:vMerge w:val="continue"/>
                  <w:noWrap w:val="0"/>
                  <w:vAlign w:val="center"/>
                </w:tcPr>
                <w:p w14:paraId="18BDC6D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3CA39631">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3321081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52" w:type="pct"/>
                  <w:noWrap w:val="0"/>
                  <w:vAlign w:val="center"/>
                </w:tcPr>
                <w:p w14:paraId="72416E4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13:46~14:46</w:t>
                  </w:r>
                </w:p>
              </w:tc>
              <w:tc>
                <w:tcPr>
                  <w:tcW w:w="841" w:type="pct"/>
                  <w:noWrap w:val="0"/>
                  <w:vAlign w:val="center"/>
                </w:tcPr>
                <w:p w14:paraId="5947AE72">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0.07</w:t>
                  </w:r>
                </w:p>
              </w:tc>
              <w:tc>
                <w:tcPr>
                  <w:tcW w:w="455" w:type="pct"/>
                  <w:vMerge w:val="continue"/>
                  <w:noWrap w:val="0"/>
                  <w:vAlign w:val="center"/>
                </w:tcPr>
                <w:p w14:paraId="27EBF65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1" w:type="pct"/>
                  <w:noWrap w:val="0"/>
                  <w:vAlign w:val="center"/>
                </w:tcPr>
                <w:p w14:paraId="0E42A2BE">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2272A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4" w:type="pct"/>
                  <w:vMerge w:val="continue"/>
                  <w:noWrap w:val="0"/>
                  <w:vAlign w:val="center"/>
                </w:tcPr>
                <w:p w14:paraId="523CC1D1">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0C1C231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15FB86D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52" w:type="pct"/>
                  <w:noWrap w:val="0"/>
                  <w:vAlign w:val="center"/>
                </w:tcPr>
                <w:p w14:paraId="4D120D8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16:08~17:08</w:t>
                  </w:r>
                </w:p>
              </w:tc>
              <w:tc>
                <w:tcPr>
                  <w:tcW w:w="841" w:type="pct"/>
                  <w:noWrap w:val="0"/>
                  <w:vAlign w:val="center"/>
                </w:tcPr>
                <w:p w14:paraId="384E9598">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0.06</w:t>
                  </w:r>
                </w:p>
              </w:tc>
              <w:tc>
                <w:tcPr>
                  <w:tcW w:w="455" w:type="pct"/>
                  <w:vMerge w:val="continue"/>
                  <w:noWrap w:val="0"/>
                  <w:vAlign w:val="center"/>
                </w:tcPr>
                <w:p w14:paraId="5992345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1" w:type="pct"/>
                  <w:noWrap w:val="0"/>
                  <w:vAlign w:val="center"/>
                </w:tcPr>
                <w:p w14:paraId="5CE5546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64FC2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4" w:type="pct"/>
                  <w:vMerge w:val="continue"/>
                  <w:noWrap w:val="0"/>
                  <w:vAlign w:val="center"/>
                </w:tcPr>
                <w:p w14:paraId="5C266CE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15AF26D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restart"/>
                  <w:noWrap w:val="0"/>
                  <w:vAlign w:val="center"/>
                </w:tcPr>
                <w:p w14:paraId="2587E7D3">
                  <w:pPr>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2.08.25</w:t>
                  </w:r>
                </w:p>
              </w:tc>
              <w:tc>
                <w:tcPr>
                  <w:tcW w:w="852" w:type="pct"/>
                  <w:noWrap w:val="0"/>
                  <w:vAlign w:val="center"/>
                </w:tcPr>
                <w:p w14:paraId="3DC1F89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09:13~10:13</w:t>
                  </w:r>
                </w:p>
              </w:tc>
              <w:tc>
                <w:tcPr>
                  <w:tcW w:w="841" w:type="pct"/>
                  <w:noWrap w:val="0"/>
                  <w:vAlign w:val="center"/>
                </w:tcPr>
                <w:p w14:paraId="35517C6D">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0.05L</w:t>
                  </w:r>
                </w:p>
              </w:tc>
              <w:tc>
                <w:tcPr>
                  <w:tcW w:w="455" w:type="pct"/>
                  <w:vMerge w:val="restart"/>
                  <w:noWrap w:val="0"/>
                  <w:vAlign w:val="center"/>
                </w:tcPr>
                <w:p w14:paraId="0676DAB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0.2</w:t>
                  </w:r>
                </w:p>
              </w:tc>
              <w:tc>
                <w:tcPr>
                  <w:tcW w:w="691" w:type="pct"/>
                  <w:noWrap w:val="0"/>
                  <w:vAlign w:val="center"/>
                </w:tcPr>
                <w:p w14:paraId="1611AE6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65BEE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4" w:type="pct"/>
                  <w:vMerge w:val="continue"/>
                  <w:noWrap w:val="0"/>
                  <w:vAlign w:val="center"/>
                </w:tcPr>
                <w:p w14:paraId="1D104D5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08B2D061">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66FF92B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52" w:type="pct"/>
                  <w:noWrap w:val="0"/>
                  <w:vAlign w:val="center"/>
                </w:tcPr>
                <w:p w14:paraId="4194C99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11:20~12:20</w:t>
                  </w:r>
                </w:p>
              </w:tc>
              <w:tc>
                <w:tcPr>
                  <w:tcW w:w="841" w:type="pct"/>
                  <w:noWrap w:val="0"/>
                  <w:vAlign w:val="center"/>
                </w:tcPr>
                <w:p w14:paraId="5C8DD101">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0.06</w:t>
                  </w:r>
                </w:p>
              </w:tc>
              <w:tc>
                <w:tcPr>
                  <w:tcW w:w="455" w:type="pct"/>
                  <w:vMerge w:val="continue"/>
                  <w:noWrap w:val="0"/>
                  <w:vAlign w:val="center"/>
                </w:tcPr>
                <w:p w14:paraId="6D9B074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1" w:type="pct"/>
                  <w:noWrap w:val="0"/>
                  <w:vAlign w:val="center"/>
                </w:tcPr>
                <w:p w14:paraId="55D1F95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0FE0F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4" w:type="pct"/>
                  <w:vMerge w:val="continue"/>
                  <w:noWrap w:val="0"/>
                  <w:vAlign w:val="center"/>
                </w:tcPr>
                <w:p w14:paraId="63FDC341">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0225042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48661B9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52" w:type="pct"/>
                  <w:noWrap w:val="0"/>
                  <w:vAlign w:val="center"/>
                </w:tcPr>
                <w:p w14:paraId="76DEAF1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14:07~15:07</w:t>
                  </w:r>
                </w:p>
              </w:tc>
              <w:tc>
                <w:tcPr>
                  <w:tcW w:w="841" w:type="pct"/>
                  <w:noWrap w:val="0"/>
                  <w:vAlign w:val="center"/>
                </w:tcPr>
                <w:p w14:paraId="2A5483AF">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0.05L</w:t>
                  </w:r>
                </w:p>
              </w:tc>
              <w:tc>
                <w:tcPr>
                  <w:tcW w:w="455" w:type="pct"/>
                  <w:vMerge w:val="continue"/>
                  <w:noWrap w:val="0"/>
                  <w:vAlign w:val="center"/>
                </w:tcPr>
                <w:p w14:paraId="696DDDE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1" w:type="pct"/>
                  <w:noWrap w:val="0"/>
                  <w:vAlign w:val="center"/>
                </w:tcPr>
                <w:p w14:paraId="6C4FA9A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bl>
          <w:p w14:paraId="048CF2E8">
            <w:pPr>
              <w:adjustRightInd w:val="0"/>
              <w:snapToGrid w:val="0"/>
              <w:spacing w:before="156" w:beforeLines="50"/>
              <w:jc w:val="center"/>
              <w:rPr>
                <w:rFonts w:hint="default" w:ascii="Times New Roman" w:hAnsi="Times New Roman" w:eastAsia="宋体" w:cs="Times New Roman"/>
                <w:b/>
                <w:color w:val="000000" w:themeColor="text1"/>
                <w:sz w:val="21"/>
                <w:szCs w:val="21"/>
                <w:vertAlign w:val="superscript"/>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表</w:t>
            </w: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2-14</w:t>
            </w:r>
            <w:r>
              <w:rPr>
                <w:rFonts w:hint="default" w:ascii="Times New Roman" w:hAnsi="Times New Roman" w:eastAsia="宋体" w:cs="Times New Roman"/>
                <w:b/>
                <w:color w:val="000000" w:themeColor="text1"/>
                <w:sz w:val="21"/>
                <w:szCs w:val="21"/>
                <w14:textFill>
                  <w14:solidFill>
                    <w14:schemeClr w14:val="tx1"/>
                  </w14:solidFill>
                </w14:textFill>
              </w:rPr>
              <w:t xml:space="preserve"> 无组织</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非甲烷总烃</w:t>
            </w:r>
            <w:r>
              <w:rPr>
                <w:rFonts w:hint="default" w:ascii="Times New Roman" w:hAnsi="Times New Roman" w:eastAsia="宋体" w:cs="Times New Roman"/>
                <w:b/>
                <w:color w:val="000000" w:themeColor="text1"/>
                <w:sz w:val="21"/>
                <w:szCs w:val="21"/>
                <w14:textFill>
                  <w14:solidFill>
                    <w14:schemeClr w14:val="tx1"/>
                  </w14:solidFill>
                </w14:textFill>
              </w:rPr>
              <w:t>排放废气监测结果   单位：mg/m</w:t>
            </w:r>
            <w:r>
              <w:rPr>
                <w:rFonts w:hint="default" w:ascii="Times New Roman" w:hAnsi="Times New Roman" w:eastAsia="宋体" w:cs="Times New Roman"/>
                <w:b/>
                <w:color w:val="000000" w:themeColor="text1"/>
                <w:sz w:val="21"/>
                <w:szCs w:val="21"/>
                <w:vertAlign w:val="superscript"/>
                <w14:textFill>
                  <w14:solidFill>
                    <w14:schemeClr w14:val="tx1"/>
                  </w14:solidFill>
                </w14:textFill>
              </w:rPr>
              <w:t>3</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6"/>
              <w:gridCol w:w="1349"/>
              <w:gridCol w:w="1246"/>
              <w:gridCol w:w="1379"/>
              <w:gridCol w:w="1120"/>
              <w:gridCol w:w="1015"/>
              <w:gridCol w:w="1146"/>
            </w:tblGrid>
            <w:tr w14:paraId="30092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noWrap w:val="0"/>
                  <w:vAlign w:val="center"/>
                </w:tcPr>
                <w:p w14:paraId="1E0B11E6">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监测项目</w:t>
                  </w:r>
                </w:p>
              </w:tc>
              <w:tc>
                <w:tcPr>
                  <w:tcW w:w="820" w:type="pct"/>
                  <w:noWrap w:val="0"/>
                  <w:vAlign w:val="center"/>
                </w:tcPr>
                <w:p w14:paraId="1C4BC284">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监测点位</w:t>
                  </w:r>
                </w:p>
              </w:tc>
              <w:tc>
                <w:tcPr>
                  <w:tcW w:w="1596" w:type="pct"/>
                  <w:gridSpan w:val="2"/>
                  <w:noWrap w:val="0"/>
                  <w:vAlign w:val="center"/>
                </w:tcPr>
                <w:p w14:paraId="5353A8D0">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监测时间</w:t>
                  </w:r>
                </w:p>
              </w:tc>
              <w:tc>
                <w:tcPr>
                  <w:tcW w:w="681" w:type="pct"/>
                  <w:noWrap w:val="0"/>
                  <w:vAlign w:val="center"/>
                </w:tcPr>
                <w:p w14:paraId="46E7F5B7">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实测值</w:t>
                  </w:r>
                </w:p>
              </w:tc>
              <w:tc>
                <w:tcPr>
                  <w:tcW w:w="617" w:type="pct"/>
                  <w:noWrap w:val="0"/>
                  <w:vAlign w:val="center"/>
                </w:tcPr>
                <w:p w14:paraId="08BE2B0B">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标准</w:t>
                  </w:r>
                </w:p>
              </w:tc>
              <w:tc>
                <w:tcPr>
                  <w:tcW w:w="696" w:type="pct"/>
                  <w:noWrap w:val="0"/>
                  <w:vAlign w:val="center"/>
                </w:tcPr>
                <w:p w14:paraId="4B579911">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达标情况</w:t>
                  </w:r>
                </w:p>
              </w:tc>
            </w:tr>
            <w:tr w14:paraId="5DF28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restart"/>
                  <w:noWrap w:val="0"/>
                  <w:vAlign w:val="center"/>
                </w:tcPr>
                <w:p w14:paraId="2467BFEF">
                  <w:pPr>
                    <w:spacing w:line="240" w:lineRule="auto"/>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非甲烷总烃</w:t>
                  </w:r>
                </w:p>
              </w:tc>
              <w:tc>
                <w:tcPr>
                  <w:tcW w:w="820" w:type="pct"/>
                  <w:vMerge w:val="restart"/>
                  <w:noWrap w:val="0"/>
                  <w:vAlign w:val="center"/>
                </w:tcPr>
                <w:p w14:paraId="258C306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厂区上风向</w:t>
                  </w:r>
                </w:p>
              </w:tc>
              <w:tc>
                <w:tcPr>
                  <w:tcW w:w="757" w:type="pct"/>
                  <w:vMerge w:val="restart"/>
                  <w:noWrap w:val="0"/>
                  <w:vAlign w:val="center"/>
                </w:tcPr>
                <w:p w14:paraId="372FDDFC">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2.08.24</w:t>
                  </w:r>
                </w:p>
              </w:tc>
              <w:tc>
                <w:tcPr>
                  <w:tcW w:w="838" w:type="pct"/>
                  <w:noWrap w:val="0"/>
                  <w:vAlign w:val="center"/>
                </w:tcPr>
                <w:p w14:paraId="6905B6C5">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10:28</w:t>
                  </w:r>
                </w:p>
              </w:tc>
              <w:tc>
                <w:tcPr>
                  <w:tcW w:w="681" w:type="pct"/>
                  <w:noWrap w:val="0"/>
                  <w:vAlign w:val="center"/>
                </w:tcPr>
                <w:p w14:paraId="42B5D222">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2.26</w:t>
                  </w:r>
                </w:p>
              </w:tc>
              <w:tc>
                <w:tcPr>
                  <w:tcW w:w="617" w:type="pct"/>
                  <w:vMerge w:val="restart"/>
                  <w:noWrap w:val="0"/>
                  <w:vAlign w:val="center"/>
                </w:tcPr>
                <w:p w14:paraId="41C5587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4.0</w:t>
                  </w:r>
                  <w:r>
                    <w:rPr>
                      <w:rFonts w:hint="default" w:ascii="Times New Roman" w:hAnsi="Times New Roman" w:eastAsia="宋体" w:cs="Times New Roman"/>
                      <w:color w:val="000000" w:themeColor="text1"/>
                      <w:sz w:val="21"/>
                      <w:szCs w:val="21"/>
                      <w14:textFill>
                        <w14:solidFill>
                          <w14:schemeClr w14:val="tx1"/>
                        </w14:solidFill>
                      </w14:textFill>
                    </w:rPr>
                    <w:t xml:space="preserve"> </w:t>
                  </w:r>
                </w:p>
              </w:tc>
              <w:tc>
                <w:tcPr>
                  <w:tcW w:w="696" w:type="pct"/>
                  <w:noWrap w:val="0"/>
                  <w:vAlign w:val="center"/>
                </w:tcPr>
                <w:p w14:paraId="380623F5">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447B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13BF35F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008266B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31F7568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38" w:type="pct"/>
                  <w:noWrap w:val="0"/>
                  <w:vAlign w:val="center"/>
                </w:tcPr>
                <w:p w14:paraId="3FEB854B">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13:51</w:t>
                  </w:r>
                </w:p>
              </w:tc>
              <w:tc>
                <w:tcPr>
                  <w:tcW w:w="681" w:type="pct"/>
                  <w:noWrap w:val="0"/>
                  <w:vAlign w:val="center"/>
                </w:tcPr>
                <w:p w14:paraId="438AB6E9">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2.31</w:t>
                  </w:r>
                </w:p>
              </w:tc>
              <w:tc>
                <w:tcPr>
                  <w:tcW w:w="617" w:type="pct"/>
                  <w:vMerge w:val="continue"/>
                  <w:noWrap w:val="0"/>
                  <w:vAlign w:val="center"/>
                </w:tcPr>
                <w:p w14:paraId="79E4BF2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6" w:type="pct"/>
                  <w:noWrap w:val="0"/>
                  <w:vAlign w:val="center"/>
                </w:tcPr>
                <w:p w14:paraId="150979B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450EC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316066B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741332A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7DB9DD6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38" w:type="pct"/>
                  <w:noWrap w:val="0"/>
                  <w:vAlign w:val="center"/>
                </w:tcPr>
                <w:p w14:paraId="76CA137A">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16:12</w:t>
                  </w:r>
                </w:p>
              </w:tc>
              <w:tc>
                <w:tcPr>
                  <w:tcW w:w="681" w:type="pct"/>
                  <w:noWrap w:val="0"/>
                  <w:vAlign w:val="center"/>
                </w:tcPr>
                <w:p w14:paraId="1F427CF4">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2.31</w:t>
                  </w:r>
                </w:p>
              </w:tc>
              <w:tc>
                <w:tcPr>
                  <w:tcW w:w="617" w:type="pct"/>
                  <w:vMerge w:val="continue"/>
                  <w:noWrap w:val="0"/>
                  <w:vAlign w:val="center"/>
                </w:tcPr>
                <w:p w14:paraId="09673F8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6" w:type="pct"/>
                  <w:noWrap w:val="0"/>
                  <w:vAlign w:val="center"/>
                </w:tcPr>
                <w:p w14:paraId="77AC958E">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5C2F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6546AC4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237FA84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restart"/>
                  <w:noWrap w:val="0"/>
                  <w:vAlign w:val="center"/>
                </w:tcPr>
                <w:p w14:paraId="1CB4A699">
                  <w:pPr>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2.08.25</w:t>
                  </w:r>
                </w:p>
              </w:tc>
              <w:tc>
                <w:tcPr>
                  <w:tcW w:w="838" w:type="pct"/>
                  <w:noWrap w:val="0"/>
                  <w:vAlign w:val="center"/>
                </w:tcPr>
                <w:p w14:paraId="3AB0A736">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09:15</w:t>
                  </w:r>
                </w:p>
              </w:tc>
              <w:tc>
                <w:tcPr>
                  <w:tcW w:w="681" w:type="pct"/>
                  <w:noWrap w:val="0"/>
                  <w:vAlign w:val="center"/>
                </w:tcPr>
                <w:p w14:paraId="743DE1D2">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1.19</w:t>
                  </w:r>
                </w:p>
              </w:tc>
              <w:tc>
                <w:tcPr>
                  <w:tcW w:w="617" w:type="pct"/>
                  <w:vMerge w:val="restart"/>
                  <w:noWrap w:val="0"/>
                  <w:vAlign w:val="center"/>
                </w:tcPr>
                <w:p w14:paraId="115EB1E7">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4.0</w:t>
                  </w:r>
                </w:p>
              </w:tc>
              <w:tc>
                <w:tcPr>
                  <w:tcW w:w="696" w:type="pct"/>
                  <w:noWrap w:val="0"/>
                  <w:vAlign w:val="center"/>
                </w:tcPr>
                <w:p w14:paraId="29C35C7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3F4CA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09C08D8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356428C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638A1F2E">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38" w:type="pct"/>
                  <w:noWrap w:val="0"/>
                  <w:vAlign w:val="center"/>
                </w:tcPr>
                <w:p w14:paraId="3CB317F7">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11:23</w:t>
                  </w:r>
                </w:p>
              </w:tc>
              <w:tc>
                <w:tcPr>
                  <w:tcW w:w="681" w:type="pct"/>
                  <w:noWrap w:val="0"/>
                  <w:vAlign w:val="center"/>
                </w:tcPr>
                <w:p w14:paraId="7378A50F">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1.23</w:t>
                  </w:r>
                </w:p>
              </w:tc>
              <w:tc>
                <w:tcPr>
                  <w:tcW w:w="617" w:type="pct"/>
                  <w:vMerge w:val="continue"/>
                  <w:noWrap w:val="0"/>
                  <w:vAlign w:val="center"/>
                </w:tcPr>
                <w:p w14:paraId="51AA047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6" w:type="pct"/>
                  <w:noWrap w:val="0"/>
                  <w:vAlign w:val="center"/>
                </w:tcPr>
                <w:p w14:paraId="09B98AB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41C9D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23ED2EB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22CC000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5871178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38" w:type="pct"/>
                  <w:noWrap w:val="0"/>
                  <w:vAlign w:val="center"/>
                </w:tcPr>
                <w:p w14:paraId="7BDCC7FD">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14:09</w:t>
                  </w:r>
                </w:p>
              </w:tc>
              <w:tc>
                <w:tcPr>
                  <w:tcW w:w="681" w:type="pct"/>
                  <w:noWrap w:val="0"/>
                  <w:vAlign w:val="center"/>
                </w:tcPr>
                <w:p w14:paraId="1EDA7040">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1.27</w:t>
                  </w:r>
                </w:p>
              </w:tc>
              <w:tc>
                <w:tcPr>
                  <w:tcW w:w="617" w:type="pct"/>
                  <w:vMerge w:val="continue"/>
                  <w:noWrap w:val="0"/>
                  <w:vAlign w:val="center"/>
                </w:tcPr>
                <w:p w14:paraId="08C2BAF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6" w:type="pct"/>
                  <w:noWrap w:val="0"/>
                  <w:vAlign w:val="center"/>
                </w:tcPr>
                <w:p w14:paraId="1994FA0E">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1B136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blHeader/>
                <w:jc w:val="center"/>
              </w:trPr>
              <w:tc>
                <w:tcPr>
                  <w:tcW w:w="587" w:type="pct"/>
                  <w:vMerge w:val="continue"/>
                  <w:noWrap w:val="0"/>
                  <w:vAlign w:val="center"/>
                </w:tcPr>
                <w:p w14:paraId="6804611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restart"/>
                  <w:noWrap w:val="0"/>
                  <w:vAlign w:val="center"/>
                </w:tcPr>
                <w:p w14:paraId="1204A7D1">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厂区下风向1#</w:t>
                  </w:r>
                </w:p>
              </w:tc>
              <w:tc>
                <w:tcPr>
                  <w:tcW w:w="757" w:type="pct"/>
                  <w:vMerge w:val="restart"/>
                  <w:noWrap w:val="0"/>
                  <w:vAlign w:val="center"/>
                </w:tcPr>
                <w:p w14:paraId="573D0582">
                  <w:pPr>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2.08.24</w:t>
                  </w:r>
                </w:p>
              </w:tc>
              <w:tc>
                <w:tcPr>
                  <w:tcW w:w="838" w:type="pct"/>
                  <w:noWrap w:val="0"/>
                  <w:vAlign w:val="center"/>
                </w:tcPr>
                <w:p w14:paraId="793A2213">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10:31</w:t>
                  </w:r>
                </w:p>
              </w:tc>
              <w:tc>
                <w:tcPr>
                  <w:tcW w:w="681" w:type="pct"/>
                  <w:noWrap w:val="0"/>
                  <w:vAlign w:val="center"/>
                </w:tcPr>
                <w:p w14:paraId="042029F0">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1.45</w:t>
                  </w:r>
                </w:p>
              </w:tc>
              <w:tc>
                <w:tcPr>
                  <w:tcW w:w="617" w:type="pct"/>
                  <w:vMerge w:val="restart"/>
                  <w:noWrap w:val="0"/>
                  <w:vAlign w:val="center"/>
                </w:tcPr>
                <w:p w14:paraId="3A4FB4D9">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4.0</w:t>
                  </w:r>
                  <w:r>
                    <w:rPr>
                      <w:rFonts w:hint="default" w:ascii="Times New Roman" w:hAnsi="Times New Roman" w:eastAsia="宋体" w:cs="Times New Roman"/>
                      <w:color w:val="000000" w:themeColor="text1"/>
                      <w:sz w:val="21"/>
                      <w:szCs w:val="21"/>
                      <w14:textFill>
                        <w14:solidFill>
                          <w14:schemeClr w14:val="tx1"/>
                        </w14:solidFill>
                      </w14:textFill>
                    </w:rPr>
                    <w:t xml:space="preserve"> </w:t>
                  </w:r>
                </w:p>
              </w:tc>
              <w:tc>
                <w:tcPr>
                  <w:tcW w:w="696" w:type="pct"/>
                  <w:noWrap w:val="0"/>
                  <w:vAlign w:val="center"/>
                </w:tcPr>
                <w:p w14:paraId="033433A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77C1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01EACD11">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678032C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60EEA42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38" w:type="pct"/>
                  <w:noWrap w:val="0"/>
                  <w:vAlign w:val="center"/>
                </w:tcPr>
                <w:p w14:paraId="1CCF7524">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13:54</w:t>
                  </w:r>
                </w:p>
              </w:tc>
              <w:tc>
                <w:tcPr>
                  <w:tcW w:w="681" w:type="pct"/>
                  <w:noWrap w:val="0"/>
                  <w:vAlign w:val="center"/>
                </w:tcPr>
                <w:p w14:paraId="295B07A1">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1.27</w:t>
                  </w:r>
                </w:p>
              </w:tc>
              <w:tc>
                <w:tcPr>
                  <w:tcW w:w="617" w:type="pct"/>
                  <w:vMerge w:val="continue"/>
                  <w:noWrap w:val="0"/>
                  <w:vAlign w:val="center"/>
                </w:tcPr>
                <w:p w14:paraId="03AE1AF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6" w:type="pct"/>
                  <w:noWrap w:val="0"/>
                  <w:vAlign w:val="center"/>
                </w:tcPr>
                <w:p w14:paraId="1A70C81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783CC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blHeader/>
                <w:jc w:val="center"/>
              </w:trPr>
              <w:tc>
                <w:tcPr>
                  <w:tcW w:w="587" w:type="pct"/>
                  <w:vMerge w:val="continue"/>
                  <w:noWrap w:val="0"/>
                  <w:vAlign w:val="center"/>
                </w:tcPr>
                <w:p w14:paraId="0C12BA2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6267BD5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3036075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38" w:type="pct"/>
                  <w:noWrap w:val="0"/>
                  <w:vAlign w:val="center"/>
                </w:tcPr>
                <w:p w14:paraId="360E9E2A">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16:15</w:t>
                  </w:r>
                </w:p>
              </w:tc>
              <w:tc>
                <w:tcPr>
                  <w:tcW w:w="681" w:type="pct"/>
                  <w:noWrap w:val="0"/>
                  <w:vAlign w:val="center"/>
                </w:tcPr>
                <w:p w14:paraId="2DC76678">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1.42</w:t>
                  </w:r>
                </w:p>
              </w:tc>
              <w:tc>
                <w:tcPr>
                  <w:tcW w:w="617" w:type="pct"/>
                  <w:vMerge w:val="continue"/>
                  <w:noWrap w:val="0"/>
                  <w:vAlign w:val="center"/>
                </w:tcPr>
                <w:p w14:paraId="58083F7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6" w:type="pct"/>
                  <w:noWrap w:val="0"/>
                  <w:vAlign w:val="center"/>
                </w:tcPr>
                <w:p w14:paraId="6874708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50B62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2EEE2421">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7F3C2A2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restart"/>
                  <w:noWrap w:val="0"/>
                  <w:vAlign w:val="center"/>
                </w:tcPr>
                <w:p w14:paraId="5660674C">
                  <w:pPr>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2.08.25</w:t>
                  </w:r>
                </w:p>
              </w:tc>
              <w:tc>
                <w:tcPr>
                  <w:tcW w:w="838" w:type="pct"/>
                  <w:noWrap w:val="0"/>
                  <w:vAlign w:val="center"/>
                </w:tcPr>
                <w:p w14:paraId="62FFDA60">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09:18</w:t>
                  </w:r>
                </w:p>
              </w:tc>
              <w:tc>
                <w:tcPr>
                  <w:tcW w:w="681" w:type="pct"/>
                  <w:noWrap w:val="0"/>
                  <w:vAlign w:val="center"/>
                </w:tcPr>
                <w:p w14:paraId="2261F71B">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2.04</w:t>
                  </w:r>
                </w:p>
              </w:tc>
              <w:tc>
                <w:tcPr>
                  <w:tcW w:w="617" w:type="pct"/>
                  <w:vMerge w:val="restart"/>
                  <w:noWrap w:val="0"/>
                  <w:vAlign w:val="center"/>
                </w:tcPr>
                <w:p w14:paraId="7FD279EC">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4.0</w:t>
                  </w:r>
                  <w:r>
                    <w:rPr>
                      <w:rFonts w:hint="default" w:ascii="Times New Roman" w:hAnsi="Times New Roman" w:eastAsia="宋体" w:cs="Times New Roman"/>
                      <w:color w:val="000000" w:themeColor="text1"/>
                      <w:sz w:val="21"/>
                      <w:szCs w:val="21"/>
                      <w14:textFill>
                        <w14:solidFill>
                          <w14:schemeClr w14:val="tx1"/>
                        </w14:solidFill>
                      </w14:textFill>
                    </w:rPr>
                    <w:t xml:space="preserve"> </w:t>
                  </w:r>
                </w:p>
              </w:tc>
              <w:tc>
                <w:tcPr>
                  <w:tcW w:w="696" w:type="pct"/>
                  <w:noWrap w:val="0"/>
                  <w:vAlign w:val="center"/>
                </w:tcPr>
                <w:p w14:paraId="2D24530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78541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587" w:type="pct"/>
                  <w:vMerge w:val="continue"/>
                  <w:noWrap w:val="0"/>
                  <w:vAlign w:val="center"/>
                </w:tcPr>
                <w:p w14:paraId="4E592EC5">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62A88801">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226D606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38" w:type="pct"/>
                  <w:noWrap w:val="0"/>
                  <w:vAlign w:val="center"/>
                </w:tcPr>
                <w:p w14:paraId="5079980E">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11:26</w:t>
                  </w:r>
                </w:p>
              </w:tc>
              <w:tc>
                <w:tcPr>
                  <w:tcW w:w="681" w:type="pct"/>
                  <w:noWrap w:val="0"/>
                  <w:vAlign w:val="center"/>
                </w:tcPr>
                <w:p w14:paraId="482D6EC1">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2.09</w:t>
                  </w:r>
                </w:p>
              </w:tc>
              <w:tc>
                <w:tcPr>
                  <w:tcW w:w="617" w:type="pct"/>
                  <w:vMerge w:val="continue"/>
                  <w:noWrap w:val="0"/>
                  <w:vAlign w:val="center"/>
                </w:tcPr>
                <w:p w14:paraId="1B46A55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6" w:type="pct"/>
                  <w:noWrap w:val="0"/>
                  <w:vAlign w:val="center"/>
                </w:tcPr>
                <w:p w14:paraId="1DC8423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02FE5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6600CC9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7631A65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7353400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38" w:type="pct"/>
                  <w:noWrap w:val="0"/>
                  <w:vAlign w:val="center"/>
                </w:tcPr>
                <w:p w14:paraId="6A2A5AA8">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14:13</w:t>
                  </w:r>
                </w:p>
              </w:tc>
              <w:tc>
                <w:tcPr>
                  <w:tcW w:w="681" w:type="pct"/>
                  <w:noWrap w:val="0"/>
                  <w:vAlign w:val="center"/>
                </w:tcPr>
                <w:p w14:paraId="1EBAA115">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1.87</w:t>
                  </w:r>
                </w:p>
              </w:tc>
              <w:tc>
                <w:tcPr>
                  <w:tcW w:w="617" w:type="pct"/>
                  <w:vMerge w:val="continue"/>
                  <w:noWrap w:val="0"/>
                  <w:vAlign w:val="center"/>
                </w:tcPr>
                <w:p w14:paraId="4645893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6" w:type="pct"/>
                  <w:noWrap w:val="0"/>
                  <w:vAlign w:val="center"/>
                </w:tcPr>
                <w:p w14:paraId="317EF22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639A8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025DB57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restart"/>
                  <w:noWrap w:val="0"/>
                  <w:vAlign w:val="center"/>
                </w:tcPr>
                <w:p w14:paraId="29EA399C">
                  <w:pPr>
                    <w:autoSpaceDE w:val="0"/>
                    <w:autoSpaceDN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厂区下风向2#</w:t>
                  </w:r>
                </w:p>
              </w:tc>
              <w:tc>
                <w:tcPr>
                  <w:tcW w:w="757" w:type="pct"/>
                  <w:vMerge w:val="restart"/>
                  <w:noWrap w:val="0"/>
                  <w:vAlign w:val="center"/>
                </w:tcPr>
                <w:p w14:paraId="7A090F19">
                  <w:pPr>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2.08.24</w:t>
                  </w:r>
                </w:p>
              </w:tc>
              <w:tc>
                <w:tcPr>
                  <w:tcW w:w="838" w:type="pct"/>
                  <w:noWrap w:val="0"/>
                  <w:vAlign w:val="center"/>
                </w:tcPr>
                <w:p w14:paraId="3E4863B4">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10:33</w:t>
                  </w:r>
                </w:p>
              </w:tc>
              <w:tc>
                <w:tcPr>
                  <w:tcW w:w="681" w:type="pct"/>
                  <w:noWrap w:val="0"/>
                  <w:vAlign w:val="center"/>
                </w:tcPr>
                <w:p w14:paraId="29CCD270">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3.04</w:t>
                  </w:r>
                </w:p>
              </w:tc>
              <w:tc>
                <w:tcPr>
                  <w:tcW w:w="617" w:type="pct"/>
                  <w:vMerge w:val="restart"/>
                  <w:noWrap w:val="0"/>
                  <w:vAlign w:val="center"/>
                </w:tcPr>
                <w:p w14:paraId="68AFE544">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4.0</w:t>
                  </w:r>
                  <w:r>
                    <w:rPr>
                      <w:rFonts w:hint="default" w:ascii="Times New Roman" w:hAnsi="Times New Roman" w:eastAsia="宋体" w:cs="Times New Roman"/>
                      <w:color w:val="000000" w:themeColor="text1"/>
                      <w:sz w:val="21"/>
                      <w:szCs w:val="21"/>
                      <w14:textFill>
                        <w14:solidFill>
                          <w14:schemeClr w14:val="tx1"/>
                        </w14:solidFill>
                      </w14:textFill>
                    </w:rPr>
                    <w:t xml:space="preserve"> </w:t>
                  </w:r>
                </w:p>
              </w:tc>
              <w:tc>
                <w:tcPr>
                  <w:tcW w:w="696" w:type="pct"/>
                  <w:noWrap w:val="0"/>
                  <w:vAlign w:val="center"/>
                </w:tcPr>
                <w:p w14:paraId="2978663E">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1D87B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30814D4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362E3D1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276C7C4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38" w:type="pct"/>
                  <w:noWrap w:val="0"/>
                  <w:vAlign w:val="center"/>
                </w:tcPr>
                <w:p w14:paraId="5D893916">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13:56</w:t>
                  </w:r>
                </w:p>
              </w:tc>
              <w:tc>
                <w:tcPr>
                  <w:tcW w:w="681" w:type="pct"/>
                  <w:noWrap w:val="0"/>
                  <w:vAlign w:val="center"/>
                </w:tcPr>
                <w:p w14:paraId="5BA36763">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2.98</w:t>
                  </w:r>
                </w:p>
              </w:tc>
              <w:tc>
                <w:tcPr>
                  <w:tcW w:w="617" w:type="pct"/>
                  <w:vMerge w:val="continue"/>
                  <w:noWrap w:val="0"/>
                  <w:vAlign w:val="center"/>
                </w:tcPr>
                <w:p w14:paraId="5FFBA5A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6" w:type="pct"/>
                  <w:noWrap w:val="0"/>
                  <w:vAlign w:val="center"/>
                </w:tcPr>
                <w:p w14:paraId="3F90B8A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04E8C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36B7BAF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10980B1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0163EA0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38" w:type="pct"/>
                  <w:noWrap w:val="0"/>
                  <w:vAlign w:val="center"/>
                </w:tcPr>
                <w:p w14:paraId="6355A43C">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16:17</w:t>
                  </w:r>
                </w:p>
              </w:tc>
              <w:tc>
                <w:tcPr>
                  <w:tcW w:w="681" w:type="pct"/>
                  <w:noWrap w:val="0"/>
                  <w:vAlign w:val="center"/>
                </w:tcPr>
                <w:p w14:paraId="4096CCAF">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3.14</w:t>
                  </w:r>
                </w:p>
              </w:tc>
              <w:tc>
                <w:tcPr>
                  <w:tcW w:w="617" w:type="pct"/>
                  <w:vMerge w:val="continue"/>
                  <w:noWrap w:val="0"/>
                  <w:vAlign w:val="center"/>
                </w:tcPr>
                <w:p w14:paraId="45C6D78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6" w:type="pct"/>
                  <w:noWrap w:val="0"/>
                  <w:vAlign w:val="center"/>
                </w:tcPr>
                <w:p w14:paraId="5A62948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1FA8B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13E3281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7E82404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restart"/>
                  <w:noWrap w:val="0"/>
                  <w:vAlign w:val="center"/>
                </w:tcPr>
                <w:p w14:paraId="49891757">
                  <w:pPr>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2.08.25</w:t>
                  </w:r>
                </w:p>
              </w:tc>
              <w:tc>
                <w:tcPr>
                  <w:tcW w:w="838" w:type="pct"/>
                  <w:noWrap w:val="0"/>
                  <w:vAlign w:val="center"/>
                </w:tcPr>
                <w:p w14:paraId="50C4B2E2">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09:21</w:t>
                  </w:r>
                </w:p>
              </w:tc>
              <w:tc>
                <w:tcPr>
                  <w:tcW w:w="681" w:type="pct"/>
                  <w:noWrap w:val="0"/>
                  <w:vAlign w:val="center"/>
                </w:tcPr>
                <w:p w14:paraId="5A92A7EE">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2.82</w:t>
                  </w:r>
                </w:p>
              </w:tc>
              <w:tc>
                <w:tcPr>
                  <w:tcW w:w="617" w:type="pct"/>
                  <w:vMerge w:val="restart"/>
                  <w:noWrap w:val="0"/>
                  <w:vAlign w:val="center"/>
                </w:tcPr>
                <w:p w14:paraId="7F36101A">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4.0</w:t>
                  </w:r>
                </w:p>
              </w:tc>
              <w:tc>
                <w:tcPr>
                  <w:tcW w:w="696" w:type="pct"/>
                  <w:noWrap w:val="0"/>
                  <w:vAlign w:val="center"/>
                </w:tcPr>
                <w:p w14:paraId="4D0CEE25">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4F01B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0987224E">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44F4DF0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122344C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38" w:type="pct"/>
                  <w:noWrap w:val="0"/>
                  <w:vAlign w:val="center"/>
                </w:tcPr>
                <w:p w14:paraId="316D3A95">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11:29</w:t>
                  </w:r>
                </w:p>
              </w:tc>
              <w:tc>
                <w:tcPr>
                  <w:tcW w:w="681" w:type="pct"/>
                  <w:noWrap w:val="0"/>
                  <w:vAlign w:val="center"/>
                </w:tcPr>
                <w:p w14:paraId="46389738">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2.79</w:t>
                  </w:r>
                </w:p>
              </w:tc>
              <w:tc>
                <w:tcPr>
                  <w:tcW w:w="617" w:type="pct"/>
                  <w:vMerge w:val="continue"/>
                  <w:noWrap w:val="0"/>
                  <w:vAlign w:val="center"/>
                </w:tcPr>
                <w:p w14:paraId="3E58169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6" w:type="pct"/>
                  <w:noWrap w:val="0"/>
                  <w:vAlign w:val="center"/>
                </w:tcPr>
                <w:p w14:paraId="69A18C8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7DDCC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576D291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6F508F7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0FE82BB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38" w:type="pct"/>
                  <w:noWrap w:val="0"/>
                  <w:vAlign w:val="center"/>
                </w:tcPr>
                <w:p w14:paraId="1F595F74">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14:15</w:t>
                  </w:r>
                </w:p>
              </w:tc>
              <w:tc>
                <w:tcPr>
                  <w:tcW w:w="681" w:type="pct"/>
                  <w:noWrap w:val="0"/>
                  <w:vAlign w:val="center"/>
                </w:tcPr>
                <w:p w14:paraId="5DBE4B35">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2.64</w:t>
                  </w:r>
                </w:p>
              </w:tc>
              <w:tc>
                <w:tcPr>
                  <w:tcW w:w="617" w:type="pct"/>
                  <w:vMerge w:val="continue"/>
                  <w:noWrap w:val="0"/>
                  <w:vAlign w:val="center"/>
                </w:tcPr>
                <w:p w14:paraId="5805EC35">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6" w:type="pct"/>
                  <w:noWrap w:val="0"/>
                  <w:vAlign w:val="center"/>
                </w:tcPr>
                <w:p w14:paraId="7041CEA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5739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5D243BA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restart"/>
                  <w:noWrap w:val="0"/>
                  <w:vAlign w:val="center"/>
                </w:tcPr>
                <w:p w14:paraId="7E7E1D0A">
                  <w:pPr>
                    <w:autoSpaceDE w:val="0"/>
                    <w:autoSpaceDN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厂区下风向3#</w:t>
                  </w:r>
                </w:p>
              </w:tc>
              <w:tc>
                <w:tcPr>
                  <w:tcW w:w="757" w:type="pct"/>
                  <w:vMerge w:val="restart"/>
                  <w:noWrap w:val="0"/>
                  <w:vAlign w:val="center"/>
                </w:tcPr>
                <w:p w14:paraId="507B6EEC">
                  <w:pPr>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2.08.24</w:t>
                  </w:r>
                </w:p>
              </w:tc>
              <w:tc>
                <w:tcPr>
                  <w:tcW w:w="838" w:type="pct"/>
                  <w:noWrap w:val="0"/>
                  <w:vAlign w:val="center"/>
                </w:tcPr>
                <w:p w14:paraId="7DDA78A4">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10:34</w:t>
                  </w:r>
                </w:p>
              </w:tc>
              <w:tc>
                <w:tcPr>
                  <w:tcW w:w="681" w:type="pct"/>
                  <w:noWrap w:val="0"/>
                  <w:vAlign w:val="center"/>
                </w:tcPr>
                <w:p w14:paraId="450FF1A0">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1.46</w:t>
                  </w:r>
                </w:p>
              </w:tc>
              <w:tc>
                <w:tcPr>
                  <w:tcW w:w="617" w:type="pct"/>
                  <w:vMerge w:val="restart"/>
                  <w:noWrap w:val="0"/>
                  <w:vAlign w:val="center"/>
                </w:tcPr>
                <w:p w14:paraId="2E7514D7">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4.0</w:t>
                  </w:r>
                </w:p>
              </w:tc>
              <w:tc>
                <w:tcPr>
                  <w:tcW w:w="696" w:type="pct"/>
                  <w:noWrap w:val="0"/>
                  <w:vAlign w:val="center"/>
                </w:tcPr>
                <w:p w14:paraId="1728EF5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6B70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44B6D71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1054719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31039155">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38" w:type="pct"/>
                  <w:noWrap w:val="0"/>
                  <w:vAlign w:val="center"/>
                </w:tcPr>
                <w:p w14:paraId="5BA557AC">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13:57</w:t>
                  </w:r>
                </w:p>
              </w:tc>
              <w:tc>
                <w:tcPr>
                  <w:tcW w:w="681" w:type="pct"/>
                  <w:noWrap w:val="0"/>
                  <w:vAlign w:val="center"/>
                </w:tcPr>
                <w:p w14:paraId="17A7A1EB">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1.21</w:t>
                  </w:r>
                </w:p>
              </w:tc>
              <w:tc>
                <w:tcPr>
                  <w:tcW w:w="617" w:type="pct"/>
                  <w:vMerge w:val="continue"/>
                  <w:noWrap w:val="0"/>
                  <w:vAlign w:val="center"/>
                </w:tcPr>
                <w:p w14:paraId="0BC6DBA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6" w:type="pct"/>
                  <w:noWrap w:val="0"/>
                  <w:vAlign w:val="center"/>
                </w:tcPr>
                <w:p w14:paraId="7C36CD8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72FBF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3CAB3FE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750048F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236F534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38" w:type="pct"/>
                  <w:noWrap w:val="0"/>
                  <w:vAlign w:val="center"/>
                </w:tcPr>
                <w:p w14:paraId="65B267AE">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16:18</w:t>
                  </w:r>
                </w:p>
              </w:tc>
              <w:tc>
                <w:tcPr>
                  <w:tcW w:w="681" w:type="pct"/>
                  <w:noWrap w:val="0"/>
                  <w:vAlign w:val="center"/>
                </w:tcPr>
                <w:p w14:paraId="67AF2EEF">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1.47</w:t>
                  </w:r>
                </w:p>
              </w:tc>
              <w:tc>
                <w:tcPr>
                  <w:tcW w:w="617" w:type="pct"/>
                  <w:vMerge w:val="continue"/>
                  <w:noWrap w:val="0"/>
                  <w:vAlign w:val="center"/>
                </w:tcPr>
                <w:p w14:paraId="4AD24EC5">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6" w:type="pct"/>
                  <w:noWrap w:val="0"/>
                  <w:vAlign w:val="center"/>
                </w:tcPr>
                <w:p w14:paraId="4338191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0FC5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3853406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6F0D27C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restart"/>
                  <w:noWrap w:val="0"/>
                  <w:vAlign w:val="center"/>
                </w:tcPr>
                <w:p w14:paraId="72F151A9">
                  <w:pPr>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2.08.25</w:t>
                  </w:r>
                </w:p>
              </w:tc>
              <w:tc>
                <w:tcPr>
                  <w:tcW w:w="838" w:type="pct"/>
                  <w:noWrap w:val="0"/>
                  <w:vAlign w:val="center"/>
                </w:tcPr>
                <w:p w14:paraId="30E00A70">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09:22</w:t>
                  </w:r>
                </w:p>
              </w:tc>
              <w:tc>
                <w:tcPr>
                  <w:tcW w:w="681" w:type="pct"/>
                  <w:noWrap w:val="0"/>
                  <w:vAlign w:val="center"/>
                </w:tcPr>
                <w:p w14:paraId="1B9E9645">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1.02</w:t>
                  </w:r>
                </w:p>
              </w:tc>
              <w:tc>
                <w:tcPr>
                  <w:tcW w:w="617" w:type="pct"/>
                  <w:vMerge w:val="restart"/>
                  <w:noWrap w:val="0"/>
                  <w:vAlign w:val="center"/>
                </w:tcPr>
                <w:p w14:paraId="100424CA">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4.0</w:t>
                  </w:r>
                </w:p>
              </w:tc>
              <w:tc>
                <w:tcPr>
                  <w:tcW w:w="696" w:type="pct"/>
                  <w:noWrap w:val="0"/>
                  <w:vAlign w:val="center"/>
                </w:tcPr>
                <w:p w14:paraId="46EDE17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09DB2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00882C0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01925F6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59CEC15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38" w:type="pct"/>
                  <w:noWrap w:val="0"/>
                  <w:vAlign w:val="center"/>
                </w:tcPr>
                <w:p w14:paraId="75345656">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11:31</w:t>
                  </w:r>
                </w:p>
              </w:tc>
              <w:tc>
                <w:tcPr>
                  <w:tcW w:w="681" w:type="pct"/>
                  <w:noWrap w:val="0"/>
                  <w:vAlign w:val="center"/>
                </w:tcPr>
                <w:p w14:paraId="384BF22D">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1.34</w:t>
                  </w:r>
                </w:p>
              </w:tc>
              <w:tc>
                <w:tcPr>
                  <w:tcW w:w="617" w:type="pct"/>
                  <w:vMerge w:val="continue"/>
                  <w:noWrap w:val="0"/>
                  <w:vAlign w:val="center"/>
                </w:tcPr>
                <w:p w14:paraId="0687577E">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6" w:type="pct"/>
                  <w:noWrap w:val="0"/>
                  <w:vAlign w:val="center"/>
                </w:tcPr>
                <w:p w14:paraId="5F0233E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13632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35552CF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0F3E526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62BB858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38" w:type="pct"/>
                  <w:noWrap w:val="0"/>
                  <w:vAlign w:val="center"/>
                </w:tcPr>
                <w:p w14:paraId="53C73C6C">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14:16</w:t>
                  </w:r>
                </w:p>
              </w:tc>
              <w:tc>
                <w:tcPr>
                  <w:tcW w:w="681" w:type="pct"/>
                  <w:noWrap w:val="0"/>
                  <w:vAlign w:val="center"/>
                </w:tcPr>
                <w:p w14:paraId="2A74776A">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1.37</w:t>
                  </w:r>
                </w:p>
              </w:tc>
              <w:tc>
                <w:tcPr>
                  <w:tcW w:w="617" w:type="pct"/>
                  <w:vMerge w:val="continue"/>
                  <w:noWrap w:val="0"/>
                  <w:vAlign w:val="center"/>
                </w:tcPr>
                <w:p w14:paraId="7857538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6" w:type="pct"/>
                  <w:noWrap w:val="0"/>
                  <w:vAlign w:val="center"/>
                </w:tcPr>
                <w:p w14:paraId="6D90F31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77141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043DD1E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restart"/>
                  <w:noWrap w:val="0"/>
                  <w:vAlign w:val="center"/>
                </w:tcPr>
                <w:p w14:paraId="15D1841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vertAlign w:val="baseline"/>
                      <w:lang w:val="en-US" w:eastAsia="zh-CN"/>
                      <w14:textFill>
                        <w14:solidFill>
                          <w14:schemeClr w14:val="tx1"/>
                        </w14:solidFill>
                      </w14:textFill>
                    </w:rPr>
                    <w:t>厂房门窗外</w:t>
                  </w:r>
                </w:p>
              </w:tc>
              <w:tc>
                <w:tcPr>
                  <w:tcW w:w="757" w:type="pct"/>
                  <w:vMerge w:val="restart"/>
                  <w:noWrap w:val="0"/>
                  <w:vAlign w:val="center"/>
                </w:tcPr>
                <w:p w14:paraId="5B0EC8F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2.08.24</w:t>
                  </w:r>
                </w:p>
              </w:tc>
              <w:tc>
                <w:tcPr>
                  <w:tcW w:w="838" w:type="pct"/>
                  <w:noWrap w:val="0"/>
                  <w:vAlign w:val="center"/>
                </w:tcPr>
                <w:p w14:paraId="7745A762">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10:36</w:t>
                  </w:r>
                </w:p>
              </w:tc>
              <w:tc>
                <w:tcPr>
                  <w:tcW w:w="681" w:type="pct"/>
                  <w:noWrap w:val="0"/>
                  <w:vAlign w:val="center"/>
                </w:tcPr>
                <w:p w14:paraId="08E3C038">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2.11</w:t>
                  </w:r>
                </w:p>
              </w:tc>
              <w:tc>
                <w:tcPr>
                  <w:tcW w:w="617" w:type="pct"/>
                  <w:vMerge w:val="restart"/>
                  <w:noWrap w:val="0"/>
                  <w:vAlign w:val="center"/>
                </w:tcPr>
                <w:p w14:paraId="5E20B3A8">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10</w:t>
                  </w:r>
                </w:p>
              </w:tc>
              <w:tc>
                <w:tcPr>
                  <w:tcW w:w="696" w:type="pct"/>
                  <w:noWrap w:val="0"/>
                  <w:vAlign w:val="center"/>
                </w:tcPr>
                <w:p w14:paraId="583B2DB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1BF8F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1CE93955">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1E696E0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43E1E89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38" w:type="pct"/>
                  <w:noWrap w:val="0"/>
                  <w:vAlign w:val="center"/>
                </w:tcPr>
                <w:p w14:paraId="3A02E902">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14:01</w:t>
                  </w:r>
                </w:p>
              </w:tc>
              <w:tc>
                <w:tcPr>
                  <w:tcW w:w="681" w:type="pct"/>
                  <w:noWrap w:val="0"/>
                  <w:vAlign w:val="center"/>
                </w:tcPr>
                <w:p w14:paraId="0B6850D3">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2.24</w:t>
                  </w:r>
                </w:p>
              </w:tc>
              <w:tc>
                <w:tcPr>
                  <w:tcW w:w="617" w:type="pct"/>
                  <w:vMerge w:val="continue"/>
                  <w:noWrap w:val="0"/>
                  <w:vAlign w:val="center"/>
                </w:tcPr>
                <w:p w14:paraId="4864422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6" w:type="pct"/>
                  <w:noWrap w:val="0"/>
                  <w:vAlign w:val="center"/>
                </w:tcPr>
                <w:p w14:paraId="6C57350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324E6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4BFEF31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6F861BE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6C351C41">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38" w:type="pct"/>
                  <w:noWrap w:val="0"/>
                  <w:vAlign w:val="center"/>
                </w:tcPr>
                <w:p w14:paraId="534981D6">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16:20</w:t>
                  </w:r>
                </w:p>
              </w:tc>
              <w:tc>
                <w:tcPr>
                  <w:tcW w:w="681" w:type="pct"/>
                  <w:noWrap w:val="0"/>
                  <w:vAlign w:val="center"/>
                </w:tcPr>
                <w:p w14:paraId="75BCFCAE">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2.36</w:t>
                  </w:r>
                </w:p>
              </w:tc>
              <w:tc>
                <w:tcPr>
                  <w:tcW w:w="617" w:type="pct"/>
                  <w:vMerge w:val="continue"/>
                  <w:noWrap w:val="0"/>
                  <w:vAlign w:val="center"/>
                </w:tcPr>
                <w:p w14:paraId="19D66D9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6" w:type="pct"/>
                  <w:noWrap w:val="0"/>
                  <w:vAlign w:val="center"/>
                </w:tcPr>
                <w:p w14:paraId="5CE3718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46D77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5FE70B7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47EC573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restart"/>
                  <w:noWrap w:val="0"/>
                  <w:vAlign w:val="center"/>
                </w:tcPr>
                <w:p w14:paraId="1B13C79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2.08.25</w:t>
                  </w:r>
                </w:p>
              </w:tc>
              <w:tc>
                <w:tcPr>
                  <w:tcW w:w="838" w:type="pct"/>
                  <w:noWrap w:val="0"/>
                  <w:vAlign w:val="center"/>
                </w:tcPr>
                <w:p w14:paraId="3D92A66E">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09:24</w:t>
                  </w:r>
                </w:p>
              </w:tc>
              <w:tc>
                <w:tcPr>
                  <w:tcW w:w="681" w:type="pct"/>
                  <w:noWrap w:val="0"/>
                  <w:vAlign w:val="center"/>
                </w:tcPr>
                <w:p w14:paraId="78EBD697">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1.96</w:t>
                  </w:r>
                </w:p>
              </w:tc>
              <w:tc>
                <w:tcPr>
                  <w:tcW w:w="617" w:type="pct"/>
                  <w:vMerge w:val="restart"/>
                  <w:noWrap w:val="0"/>
                  <w:vAlign w:val="center"/>
                </w:tcPr>
                <w:p w14:paraId="736B8D7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14:textFill>
                        <w14:solidFill>
                          <w14:schemeClr w14:val="tx1"/>
                        </w14:solidFill>
                      </w14:textFill>
                    </w:rPr>
                    <w:t xml:space="preserve"> </w:t>
                  </w:r>
                </w:p>
              </w:tc>
              <w:tc>
                <w:tcPr>
                  <w:tcW w:w="696" w:type="pct"/>
                  <w:noWrap w:val="0"/>
                  <w:vAlign w:val="center"/>
                </w:tcPr>
                <w:p w14:paraId="51B6465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03E8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3EE8C9D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49CF4A4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7CB7B07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38" w:type="pct"/>
                  <w:noWrap w:val="0"/>
                  <w:vAlign w:val="center"/>
                </w:tcPr>
                <w:p w14:paraId="68DDB9C7">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11:33</w:t>
                  </w:r>
                </w:p>
              </w:tc>
              <w:tc>
                <w:tcPr>
                  <w:tcW w:w="681" w:type="pct"/>
                  <w:noWrap w:val="0"/>
                  <w:vAlign w:val="center"/>
                </w:tcPr>
                <w:p w14:paraId="253B2695">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2.00</w:t>
                  </w:r>
                </w:p>
              </w:tc>
              <w:tc>
                <w:tcPr>
                  <w:tcW w:w="617" w:type="pct"/>
                  <w:vMerge w:val="continue"/>
                  <w:noWrap w:val="0"/>
                  <w:vAlign w:val="center"/>
                </w:tcPr>
                <w:p w14:paraId="18626595">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6" w:type="pct"/>
                  <w:noWrap w:val="0"/>
                  <w:vAlign w:val="center"/>
                </w:tcPr>
                <w:p w14:paraId="3762A9D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6D23E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7" w:type="pct"/>
                  <w:vMerge w:val="continue"/>
                  <w:noWrap w:val="0"/>
                  <w:vAlign w:val="center"/>
                </w:tcPr>
                <w:p w14:paraId="13121C2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20" w:type="pct"/>
                  <w:vMerge w:val="continue"/>
                  <w:noWrap w:val="0"/>
                  <w:vAlign w:val="center"/>
                </w:tcPr>
                <w:p w14:paraId="64DA954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7" w:type="pct"/>
                  <w:vMerge w:val="continue"/>
                  <w:noWrap w:val="0"/>
                  <w:vAlign w:val="center"/>
                </w:tcPr>
                <w:p w14:paraId="6B2A75C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38" w:type="pct"/>
                  <w:noWrap w:val="0"/>
                  <w:vAlign w:val="center"/>
                </w:tcPr>
                <w:p w14:paraId="145203EE">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14:18</w:t>
                  </w:r>
                </w:p>
              </w:tc>
              <w:tc>
                <w:tcPr>
                  <w:tcW w:w="681" w:type="pct"/>
                  <w:noWrap w:val="0"/>
                  <w:vAlign w:val="center"/>
                </w:tcPr>
                <w:p w14:paraId="46959516">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2.00</w:t>
                  </w:r>
                </w:p>
              </w:tc>
              <w:tc>
                <w:tcPr>
                  <w:tcW w:w="617" w:type="pct"/>
                  <w:vMerge w:val="continue"/>
                  <w:noWrap w:val="0"/>
                  <w:vAlign w:val="center"/>
                </w:tcPr>
                <w:p w14:paraId="4DB4529E">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6" w:type="pct"/>
                  <w:noWrap w:val="0"/>
                  <w:vAlign w:val="center"/>
                </w:tcPr>
                <w:p w14:paraId="4364E3A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bl>
          <w:p w14:paraId="7148F9E3">
            <w:pPr>
              <w:adjustRightInd w:val="0"/>
              <w:snapToGrid w:val="0"/>
              <w:spacing w:before="156" w:beforeLines="5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表</w:t>
            </w: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2-15</w:t>
            </w:r>
            <w:r>
              <w:rPr>
                <w:rFonts w:hint="default" w:ascii="Times New Roman" w:hAnsi="Times New Roman" w:eastAsia="宋体" w:cs="Times New Roman"/>
                <w:b/>
                <w:color w:val="000000" w:themeColor="text1"/>
                <w:sz w:val="21"/>
                <w:szCs w:val="21"/>
                <w14:textFill>
                  <w14:solidFill>
                    <w14:schemeClr w14:val="tx1"/>
                  </w14:solidFill>
                </w14:textFill>
              </w:rPr>
              <w:t xml:space="preserve"> </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项目</w:t>
            </w:r>
            <w:r>
              <w:rPr>
                <w:rFonts w:hint="default" w:ascii="Times New Roman" w:hAnsi="Times New Roman" w:eastAsia="宋体" w:cs="Times New Roman"/>
                <w:b/>
                <w:color w:val="000000" w:themeColor="text1"/>
                <w:sz w:val="21"/>
                <w:szCs w:val="21"/>
                <w14:textFill>
                  <w14:solidFill>
                    <w14:schemeClr w14:val="tx1"/>
                  </w14:solidFill>
                </w14:textFill>
              </w:rPr>
              <w:t>无组织</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颗粒物</w:t>
            </w:r>
            <w:r>
              <w:rPr>
                <w:rFonts w:hint="default" w:ascii="Times New Roman" w:hAnsi="Times New Roman" w:eastAsia="宋体" w:cs="Times New Roman"/>
                <w:b/>
                <w:color w:val="000000" w:themeColor="text1"/>
                <w:sz w:val="21"/>
                <w:szCs w:val="21"/>
                <w14:textFill>
                  <w14:solidFill>
                    <w14:schemeClr w14:val="tx1"/>
                  </w14:solidFill>
                </w14:textFill>
              </w:rPr>
              <w:t>排放废气监测结果   单位：mg/m</w:t>
            </w:r>
            <w:r>
              <w:rPr>
                <w:rFonts w:hint="default" w:ascii="Times New Roman" w:hAnsi="Times New Roman" w:eastAsia="宋体" w:cs="Times New Roman"/>
                <w:b/>
                <w:color w:val="000000" w:themeColor="text1"/>
                <w:sz w:val="21"/>
                <w:szCs w:val="21"/>
                <w:vertAlign w:val="superscript"/>
                <w14:textFill>
                  <w14:solidFill>
                    <w14:schemeClr w14:val="tx1"/>
                  </w14:solidFill>
                </w14:textFill>
              </w:rPr>
              <w:t>3</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1343"/>
              <w:gridCol w:w="1258"/>
              <w:gridCol w:w="1389"/>
              <w:gridCol w:w="1117"/>
              <w:gridCol w:w="1012"/>
              <w:gridCol w:w="1142"/>
            </w:tblGrid>
            <w:tr w14:paraId="1604F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583" w:type="pct"/>
                  <w:noWrap w:val="0"/>
                  <w:vAlign w:val="center"/>
                </w:tcPr>
                <w:p w14:paraId="419AB48D">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监测项目</w:t>
                  </w:r>
                </w:p>
              </w:tc>
              <w:tc>
                <w:tcPr>
                  <w:tcW w:w="816" w:type="pct"/>
                  <w:noWrap w:val="0"/>
                  <w:vAlign w:val="center"/>
                </w:tcPr>
                <w:p w14:paraId="243B1C22">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监测点位</w:t>
                  </w:r>
                </w:p>
              </w:tc>
              <w:tc>
                <w:tcPr>
                  <w:tcW w:w="1609" w:type="pct"/>
                  <w:gridSpan w:val="2"/>
                  <w:noWrap w:val="0"/>
                  <w:vAlign w:val="center"/>
                </w:tcPr>
                <w:p w14:paraId="2D514981">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监测时间</w:t>
                  </w:r>
                </w:p>
              </w:tc>
              <w:tc>
                <w:tcPr>
                  <w:tcW w:w="679" w:type="pct"/>
                  <w:noWrap w:val="0"/>
                  <w:vAlign w:val="center"/>
                </w:tcPr>
                <w:p w14:paraId="6C75A364">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实测值</w:t>
                  </w:r>
                </w:p>
              </w:tc>
              <w:tc>
                <w:tcPr>
                  <w:tcW w:w="615" w:type="pct"/>
                  <w:noWrap w:val="0"/>
                  <w:vAlign w:val="center"/>
                </w:tcPr>
                <w:p w14:paraId="70849D15">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标准</w:t>
                  </w:r>
                </w:p>
              </w:tc>
              <w:tc>
                <w:tcPr>
                  <w:tcW w:w="694" w:type="pct"/>
                  <w:noWrap w:val="0"/>
                  <w:vAlign w:val="center"/>
                </w:tcPr>
                <w:p w14:paraId="5F173AF1">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达标情况</w:t>
                  </w:r>
                </w:p>
              </w:tc>
            </w:tr>
            <w:tr w14:paraId="641AB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3" w:type="pct"/>
                  <w:vMerge w:val="restart"/>
                  <w:noWrap w:val="0"/>
                  <w:vAlign w:val="center"/>
                </w:tcPr>
                <w:p w14:paraId="33BD6C45">
                  <w:pPr>
                    <w:spacing w:line="240" w:lineRule="auto"/>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非甲烷总烃</w:t>
                  </w:r>
                </w:p>
              </w:tc>
              <w:tc>
                <w:tcPr>
                  <w:tcW w:w="816" w:type="pct"/>
                  <w:vMerge w:val="restart"/>
                  <w:noWrap w:val="0"/>
                  <w:vAlign w:val="center"/>
                </w:tcPr>
                <w:p w14:paraId="59196575">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厂区上风向</w:t>
                  </w:r>
                </w:p>
              </w:tc>
              <w:tc>
                <w:tcPr>
                  <w:tcW w:w="765" w:type="pct"/>
                  <w:vMerge w:val="restart"/>
                  <w:noWrap w:val="0"/>
                  <w:vAlign w:val="center"/>
                </w:tcPr>
                <w:p w14:paraId="1BE427D8">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2022.11.23</w:t>
                  </w:r>
                </w:p>
              </w:tc>
              <w:tc>
                <w:tcPr>
                  <w:tcW w:w="844" w:type="pct"/>
                  <w:noWrap w:val="0"/>
                  <w:vAlign w:val="center"/>
                </w:tcPr>
                <w:p w14:paraId="4C25F381">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10:31~11:31</w:t>
                  </w:r>
                </w:p>
              </w:tc>
              <w:tc>
                <w:tcPr>
                  <w:tcW w:w="679" w:type="pct"/>
                  <w:noWrap w:val="0"/>
                  <w:vAlign w:val="center"/>
                </w:tcPr>
                <w:p w14:paraId="4CC67FF5">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0.090</w:t>
                  </w:r>
                </w:p>
              </w:tc>
              <w:tc>
                <w:tcPr>
                  <w:tcW w:w="615" w:type="pct"/>
                  <w:vMerge w:val="restart"/>
                  <w:noWrap w:val="0"/>
                  <w:vAlign w:val="center"/>
                </w:tcPr>
                <w:p w14:paraId="1C40274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14:textFill>
                        <w14:solidFill>
                          <w14:schemeClr w14:val="tx1"/>
                        </w14:solidFill>
                      </w14:textFill>
                    </w:rPr>
                    <w:t xml:space="preserve"> </w:t>
                  </w:r>
                </w:p>
              </w:tc>
              <w:tc>
                <w:tcPr>
                  <w:tcW w:w="694" w:type="pct"/>
                  <w:noWrap w:val="0"/>
                  <w:vAlign w:val="center"/>
                </w:tcPr>
                <w:p w14:paraId="3427022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1D18B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3" w:type="pct"/>
                  <w:vMerge w:val="continue"/>
                  <w:noWrap w:val="0"/>
                  <w:vAlign w:val="center"/>
                </w:tcPr>
                <w:p w14:paraId="00A8EF71">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54CC8D0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65" w:type="pct"/>
                  <w:vMerge w:val="continue"/>
                  <w:noWrap w:val="0"/>
                  <w:vAlign w:val="center"/>
                </w:tcPr>
                <w:p w14:paraId="2B60FEB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44" w:type="pct"/>
                  <w:noWrap w:val="0"/>
                  <w:vAlign w:val="center"/>
                </w:tcPr>
                <w:p w14:paraId="51F58005">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13:42~14:42</w:t>
                  </w:r>
                </w:p>
              </w:tc>
              <w:tc>
                <w:tcPr>
                  <w:tcW w:w="679" w:type="pct"/>
                  <w:noWrap w:val="0"/>
                  <w:vAlign w:val="center"/>
                </w:tcPr>
                <w:p w14:paraId="3554D917">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0.110</w:t>
                  </w:r>
                </w:p>
              </w:tc>
              <w:tc>
                <w:tcPr>
                  <w:tcW w:w="615" w:type="pct"/>
                  <w:vMerge w:val="continue"/>
                  <w:noWrap w:val="0"/>
                  <w:vAlign w:val="center"/>
                </w:tcPr>
                <w:p w14:paraId="3E7F486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4" w:type="pct"/>
                  <w:noWrap w:val="0"/>
                  <w:vAlign w:val="center"/>
                </w:tcPr>
                <w:p w14:paraId="31B6E17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1FB95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3" w:type="pct"/>
                  <w:vMerge w:val="continue"/>
                  <w:noWrap w:val="0"/>
                  <w:vAlign w:val="center"/>
                </w:tcPr>
                <w:p w14:paraId="76214A3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3F1E0BC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65" w:type="pct"/>
                  <w:vMerge w:val="continue"/>
                  <w:noWrap w:val="0"/>
                  <w:vAlign w:val="center"/>
                </w:tcPr>
                <w:p w14:paraId="7C4CC56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44" w:type="pct"/>
                  <w:noWrap w:val="0"/>
                  <w:vAlign w:val="center"/>
                </w:tcPr>
                <w:p w14:paraId="58EC10FA">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16:50~17:50</w:t>
                  </w:r>
                </w:p>
              </w:tc>
              <w:tc>
                <w:tcPr>
                  <w:tcW w:w="679" w:type="pct"/>
                  <w:noWrap w:val="0"/>
                  <w:vAlign w:val="center"/>
                </w:tcPr>
                <w:p w14:paraId="2DDCDA46">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0.128</w:t>
                  </w:r>
                </w:p>
              </w:tc>
              <w:tc>
                <w:tcPr>
                  <w:tcW w:w="615" w:type="pct"/>
                  <w:vMerge w:val="continue"/>
                  <w:noWrap w:val="0"/>
                  <w:vAlign w:val="center"/>
                </w:tcPr>
                <w:p w14:paraId="2700AC41">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4" w:type="pct"/>
                  <w:noWrap w:val="0"/>
                  <w:vAlign w:val="center"/>
                </w:tcPr>
                <w:p w14:paraId="3D5B34D1">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70A9F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3" w:type="pct"/>
                  <w:vMerge w:val="continue"/>
                  <w:noWrap w:val="0"/>
                  <w:vAlign w:val="center"/>
                </w:tcPr>
                <w:p w14:paraId="2BD967C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39779BD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65" w:type="pct"/>
                  <w:vMerge w:val="restart"/>
                  <w:noWrap w:val="0"/>
                  <w:vAlign w:val="center"/>
                </w:tcPr>
                <w:p w14:paraId="0C3259D3">
                  <w:pPr>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2022.11.24</w:t>
                  </w:r>
                </w:p>
              </w:tc>
              <w:tc>
                <w:tcPr>
                  <w:tcW w:w="844" w:type="pct"/>
                  <w:noWrap w:val="0"/>
                  <w:vAlign w:val="center"/>
                </w:tcPr>
                <w:p w14:paraId="3C27E0E3">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10:15~11:15</w:t>
                  </w:r>
                </w:p>
              </w:tc>
              <w:tc>
                <w:tcPr>
                  <w:tcW w:w="679" w:type="pct"/>
                  <w:noWrap w:val="0"/>
                  <w:vAlign w:val="center"/>
                </w:tcPr>
                <w:p w14:paraId="5190EC2C">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0.108</w:t>
                  </w:r>
                </w:p>
              </w:tc>
              <w:tc>
                <w:tcPr>
                  <w:tcW w:w="615" w:type="pct"/>
                  <w:vMerge w:val="restart"/>
                  <w:noWrap w:val="0"/>
                  <w:vAlign w:val="center"/>
                </w:tcPr>
                <w:p w14:paraId="0C920A4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14:textFill>
                        <w14:solidFill>
                          <w14:schemeClr w14:val="tx1"/>
                        </w14:solidFill>
                      </w14:textFill>
                    </w:rPr>
                    <w:t xml:space="preserve"> </w:t>
                  </w:r>
                </w:p>
              </w:tc>
              <w:tc>
                <w:tcPr>
                  <w:tcW w:w="694" w:type="pct"/>
                  <w:noWrap w:val="0"/>
                  <w:vAlign w:val="center"/>
                </w:tcPr>
                <w:p w14:paraId="76E9612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6E90A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3" w:type="pct"/>
                  <w:vMerge w:val="continue"/>
                  <w:noWrap w:val="0"/>
                  <w:vAlign w:val="center"/>
                </w:tcPr>
                <w:p w14:paraId="328D990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151959E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65" w:type="pct"/>
                  <w:vMerge w:val="continue"/>
                  <w:noWrap w:val="0"/>
                  <w:vAlign w:val="center"/>
                </w:tcPr>
                <w:p w14:paraId="3174DDA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44" w:type="pct"/>
                  <w:noWrap w:val="0"/>
                  <w:vAlign w:val="center"/>
                </w:tcPr>
                <w:p w14:paraId="4B7158A9">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13:21~14:21</w:t>
                  </w:r>
                </w:p>
              </w:tc>
              <w:tc>
                <w:tcPr>
                  <w:tcW w:w="679" w:type="pct"/>
                  <w:noWrap w:val="0"/>
                  <w:vAlign w:val="center"/>
                </w:tcPr>
                <w:p w14:paraId="7947D565">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0.128</w:t>
                  </w:r>
                </w:p>
              </w:tc>
              <w:tc>
                <w:tcPr>
                  <w:tcW w:w="615" w:type="pct"/>
                  <w:vMerge w:val="continue"/>
                  <w:noWrap w:val="0"/>
                  <w:vAlign w:val="center"/>
                </w:tcPr>
                <w:p w14:paraId="693EB41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4" w:type="pct"/>
                  <w:noWrap w:val="0"/>
                  <w:vAlign w:val="center"/>
                </w:tcPr>
                <w:p w14:paraId="7073894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4A5D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3" w:type="pct"/>
                  <w:vMerge w:val="continue"/>
                  <w:noWrap w:val="0"/>
                  <w:vAlign w:val="center"/>
                </w:tcPr>
                <w:p w14:paraId="4862F12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2D11E67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65" w:type="pct"/>
                  <w:vMerge w:val="continue"/>
                  <w:noWrap w:val="0"/>
                  <w:vAlign w:val="center"/>
                </w:tcPr>
                <w:p w14:paraId="40D84DF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44" w:type="pct"/>
                  <w:noWrap w:val="0"/>
                  <w:vAlign w:val="center"/>
                </w:tcPr>
                <w:p w14:paraId="6A363FBA">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16:03~17:03</w:t>
                  </w:r>
                </w:p>
              </w:tc>
              <w:tc>
                <w:tcPr>
                  <w:tcW w:w="679" w:type="pct"/>
                  <w:noWrap w:val="0"/>
                  <w:vAlign w:val="center"/>
                </w:tcPr>
                <w:p w14:paraId="534D8883">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0.110</w:t>
                  </w:r>
                </w:p>
              </w:tc>
              <w:tc>
                <w:tcPr>
                  <w:tcW w:w="615" w:type="pct"/>
                  <w:vMerge w:val="continue"/>
                  <w:noWrap w:val="0"/>
                  <w:vAlign w:val="center"/>
                </w:tcPr>
                <w:p w14:paraId="0566249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4" w:type="pct"/>
                  <w:noWrap w:val="0"/>
                  <w:vAlign w:val="center"/>
                </w:tcPr>
                <w:p w14:paraId="014AB28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454B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blHeader/>
                <w:jc w:val="center"/>
              </w:trPr>
              <w:tc>
                <w:tcPr>
                  <w:tcW w:w="583" w:type="pct"/>
                  <w:vMerge w:val="continue"/>
                  <w:noWrap w:val="0"/>
                  <w:vAlign w:val="center"/>
                </w:tcPr>
                <w:p w14:paraId="4F26CCE5">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restart"/>
                  <w:noWrap w:val="0"/>
                  <w:vAlign w:val="center"/>
                </w:tcPr>
                <w:p w14:paraId="59B75D2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厂区下风向1#</w:t>
                  </w:r>
                </w:p>
              </w:tc>
              <w:tc>
                <w:tcPr>
                  <w:tcW w:w="765" w:type="pct"/>
                  <w:vMerge w:val="restart"/>
                  <w:noWrap w:val="0"/>
                  <w:vAlign w:val="center"/>
                </w:tcPr>
                <w:p w14:paraId="000DB745">
                  <w:pPr>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2022.11.23</w:t>
                  </w:r>
                </w:p>
              </w:tc>
              <w:tc>
                <w:tcPr>
                  <w:tcW w:w="844" w:type="pct"/>
                  <w:noWrap w:val="0"/>
                  <w:vAlign w:val="center"/>
                </w:tcPr>
                <w:p w14:paraId="2530AD7C">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10:31~11:31</w:t>
                  </w:r>
                </w:p>
              </w:tc>
              <w:tc>
                <w:tcPr>
                  <w:tcW w:w="679" w:type="pct"/>
                  <w:noWrap w:val="0"/>
                  <w:vAlign w:val="center"/>
                </w:tcPr>
                <w:p w14:paraId="12CF09DD">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0.289</w:t>
                  </w:r>
                </w:p>
              </w:tc>
              <w:tc>
                <w:tcPr>
                  <w:tcW w:w="615" w:type="pct"/>
                  <w:vMerge w:val="restart"/>
                  <w:noWrap w:val="0"/>
                  <w:vAlign w:val="center"/>
                </w:tcPr>
                <w:p w14:paraId="7A3DC9D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14:textFill>
                        <w14:solidFill>
                          <w14:schemeClr w14:val="tx1"/>
                        </w14:solidFill>
                      </w14:textFill>
                    </w:rPr>
                    <w:t xml:space="preserve"> </w:t>
                  </w:r>
                </w:p>
              </w:tc>
              <w:tc>
                <w:tcPr>
                  <w:tcW w:w="694" w:type="pct"/>
                  <w:noWrap w:val="0"/>
                  <w:vAlign w:val="center"/>
                </w:tcPr>
                <w:p w14:paraId="469EB9A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703C9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3" w:type="pct"/>
                  <w:vMerge w:val="continue"/>
                  <w:noWrap w:val="0"/>
                  <w:vAlign w:val="center"/>
                </w:tcPr>
                <w:p w14:paraId="72EF04F1">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598E4CB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65" w:type="pct"/>
                  <w:vMerge w:val="continue"/>
                  <w:noWrap w:val="0"/>
                  <w:vAlign w:val="center"/>
                </w:tcPr>
                <w:p w14:paraId="33479CB5">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44" w:type="pct"/>
                  <w:noWrap w:val="0"/>
                  <w:vAlign w:val="center"/>
                </w:tcPr>
                <w:p w14:paraId="00DFD7E3">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13:42~14:42</w:t>
                  </w:r>
                </w:p>
              </w:tc>
              <w:tc>
                <w:tcPr>
                  <w:tcW w:w="679" w:type="pct"/>
                  <w:noWrap w:val="0"/>
                  <w:vAlign w:val="center"/>
                </w:tcPr>
                <w:p w14:paraId="5F3785C5">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0.348</w:t>
                  </w:r>
                </w:p>
              </w:tc>
              <w:tc>
                <w:tcPr>
                  <w:tcW w:w="615" w:type="pct"/>
                  <w:vMerge w:val="continue"/>
                  <w:noWrap w:val="0"/>
                  <w:vAlign w:val="center"/>
                </w:tcPr>
                <w:p w14:paraId="1F663E1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4" w:type="pct"/>
                  <w:noWrap w:val="0"/>
                  <w:vAlign w:val="center"/>
                </w:tcPr>
                <w:p w14:paraId="4EF6DD4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77B82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blHeader/>
                <w:jc w:val="center"/>
              </w:trPr>
              <w:tc>
                <w:tcPr>
                  <w:tcW w:w="583" w:type="pct"/>
                  <w:vMerge w:val="continue"/>
                  <w:noWrap w:val="0"/>
                  <w:vAlign w:val="center"/>
                </w:tcPr>
                <w:p w14:paraId="3BD1F05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67F396B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65" w:type="pct"/>
                  <w:vMerge w:val="continue"/>
                  <w:noWrap w:val="0"/>
                  <w:vAlign w:val="center"/>
                </w:tcPr>
                <w:p w14:paraId="4C1920D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44" w:type="pct"/>
                  <w:noWrap w:val="0"/>
                  <w:vAlign w:val="center"/>
                </w:tcPr>
                <w:p w14:paraId="090337B8">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16:50~17:50</w:t>
                  </w:r>
                </w:p>
              </w:tc>
              <w:tc>
                <w:tcPr>
                  <w:tcW w:w="679" w:type="pct"/>
                  <w:noWrap w:val="0"/>
                  <w:vAlign w:val="center"/>
                </w:tcPr>
                <w:p w14:paraId="31CC81D0">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0.384</w:t>
                  </w:r>
                </w:p>
              </w:tc>
              <w:tc>
                <w:tcPr>
                  <w:tcW w:w="615" w:type="pct"/>
                  <w:vMerge w:val="continue"/>
                  <w:noWrap w:val="0"/>
                  <w:vAlign w:val="center"/>
                </w:tcPr>
                <w:p w14:paraId="0C54E90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4" w:type="pct"/>
                  <w:noWrap w:val="0"/>
                  <w:vAlign w:val="center"/>
                </w:tcPr>
                <w:p w14:paraId="1C56E92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475E5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3" w:type="pct"/>
                  <w:vMerge w:val="continue"/>
                  <w:noWrap w:val="0"/>
                  <w:vAlign w:val="center"/>
                </w:tcPr>
                <w:p w14:paraId="2102F5E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43006BF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65" w:type="pct"/>
                  <w:vMerge w:val="restart"/>
                  <w:noWrap w:val="0"/>
                  <w:vAlign w:val="center"/>
                </w:tcPr>
                <w:p w14:paraId="75F8FF4E">
                  <w:pPr>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2022.11.24</w:t>
                  </w:r>
                </w:p>
              </w:tc>
              <w:tc>
                <w:tcPr>
                  <w:tcW w:w="844" w:type="pct"/>
                  <w:noWrap w:val="0"/>
                  <w:vAlign w:val="center"/>
                </w:tcPr>
                <w:p w14:paraId="471B6997">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10:15~11:15</w:t>
                  </w:r>
                </w:p>
              </w:tc>
              <w:tc>
                <w:tcPr>
                  <w:tcW w:w="679" w:type="pct"/>
                  <w:noWrap w:val="0"/>
                  <w:vAlign w:val="center"/>
                </w:tcPr>
                <w:p w14:paraId="29E139A8">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0.306</w:t>
                  </w:r>
                </w:p>
              </w:tc>
              <w:tc>
                <w:tcPr>
                  <w:tcW w:w="615" w:type="pct"/>
                  <w:vMerge w:val="restart"/>
                  <w:noWrap w:val="0"/>
                  <w:vAlign w:val="center"/>
                </w:tcPr>
                <w:p w14:paraId="55AA8B6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14:textFill>
                        <w14:solidFill>
                          <w14:schemeClr w14:val="tx1"/>
                        </w14:solidFill>
                      </w14:textFill>
                    </w:rPr>
                    <w:t xml:space="preserve"> </w:t>
                  </w:r>
                </w:p>
              </w:tc>
              <w:tc>
                <w:tcPr>
                  <w:tcW w:w="694" w:type="pct"/>
                  <w:noWrap w:val="0"/>
                  <w:vAlign w:val="center"/>
                </w:tcPr>
                <w:p w14:paraId="684D76A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073E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583" w:type="pct"/>
                  <w:vMerge w:val="continue"/>
                  <w:noWrap w:val="0"/>
                  <w:vAlign w:val="center"/>
                </w:tcPr>
                <w:p w14:paraId="1348417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075B394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65" w:type="pct"/>
                  <w:vMerge w:val="continue"/>
                  <w:noWrap w:val="0"/>
                  <w:vAlign w:val="center"/>
                </w:tcPr>
                <w:p w14:paraId="5557A03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44" w:type="pct"/>
                  <w:noWrap w:val="0"/>
                  <w:vAlign w:val="center"/>
                </w:tcPr>
                <w:p w14:paraId="6015F1E3">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13:21~14:21</w:t>
                  </w:r>
                </w:p>
              </w:tc>
              <w:tc>
                <w:tcPr>
                  <w:tcW w:w="679" w:type="pct"/>
                  <w:noWrap w:val="0"/>
                  <w:vAlign w:val="center"/>
                </w:tcPr>
                <w:p w14:paraId="4B3B9430">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0.384</w:t>
                  </w:r>
                </w:p>
              </w:tc>
              <w:tc>
                <w:tcPr>
                  <w:tcW w:w="615" w:type="pct"/>
                  <w:vMerge w:val="continue"/>
                  <w:noWrap w:val="0"/>
                  <w:vAlign w:val="center"/>
                </w:tcPr>
                <w:p w14:paraId="5B2900A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4" w:type="pct"/>
                  <w:noWrap w:val="0"/>
                  <w:vAlign w:val="center"/>
                </w:tcPr>
                <w:p w14:paraId="13D8A8D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7535F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3" w:type="pct"/>
                  <w:vMerge w:val="continue"/>
                  <w:noWrap w:val="0"/>
                  <w:vAlign w:val="center"/>
                </w:tcPr>
                <w:p w14:paraId="4CC0F65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7FBB617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65" w:type="pct"/>
                  <w:vMerge w:val="continue"/>
                  <w:noWrap w:val="0"/>
                  <w:vAlign w:val="center"/>
                </w:tcPr>
                <w:p w14:paraId="00082A0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44" w:type="pct"/>
                  <w:noWrap w:val="0"/>
                  <w:vAlign w:val="center"/>
                </w:tcPr>
                <w:p w14:paraId="7AFD9B84">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16:03~17:03</w:t>
                  </w:r>
                </w:p>
              </w:tc>
              <w:tc>
                <w:tcPr>
                  <w:tcW w:w="679" w:type="pct"/>
                  <w:noWrap w:val="0"/>
                  <w:vAlign w:val="center"/>
                </w:tcPr>
                <w:p w14:paraId="4702256D">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0.347</w:t>
                  </w:r>
                </w:p>
              </w:tc>
              <w:tc>
                <w:tcPr>
                  <w:tcW w:w="615" w:type="pct"/>
                  <w:vMerge w:val="continue"/>
                  <w:noWrap w:val="0"/>
                  <w:vAlign w:val="center"/>
                </w:tcPr>
                <w:p w14:paraId="2D1CFA9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4" w:type="pct"/>
                  <w:noWrap w:val="0"/>
                  <w:vAlign w:val="center"/>
                </w:tcPr>
                <w:p w14:paraId="5DE989E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336B3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3" w:type="pct"/>
                  <w:vMerge w:val="continue"/>
                  <w:noWrap w:val="0"/>
                  <w:vAlign w:val="center"/>
                </w:tcPr>
                <w:p w14:paraId="54D49D4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restart"/>
                  <w:noWrap w:val="0"/>
                  <w:vAlign w:val="center"/>
                </w:tcPr>
                <w:p w14:paraId="2EB0F3B5">
                  <w:pPr>
                    <w:autoSpaceDE w:val="0"/>
                    <w:autoSpaceDN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厂区下风向2#</w:t>
                  </w:r>
                </w:p>
              </w:tc>
              <w:tc>
                <w:tcPr>
                  <w:tcW w:w="765" w:type="pct"/>
                  <w:vMerge w:val="restart"/>
                  <w:noWrap w:val="0"/>
                  <w:vAlign w:val="center"/>
                </w:tcPr>
                <w:p w14:paraId="09E1BA07">
                  <w:pPr>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2022.11.23</w:t>
                  </w:r>
                </w:p>
              </w:tc>
              <w:tc>
                <w:tcPr>
                  <w:tcW w:w="844" w:type="pct"/>
                  <w:noWrap w:val="0"/>
                  <w:vAlign w:val="center"/>
                </w:tcPr>
                <w:p w14:paraId="0003373E">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10:31~11:31</w:t>
                  </w:r>
                </w:p>
              </w:tc>
              <w:tc>
                <w:tcPr>
                  <w:tcW w:w="679" w:type="pct"/>
                  <w:noWrap w:val="0"/>
                  <w:vAlign w:val="center"/>
                </w:tcPr>
                <w:p w14:paraId="4D2C300F">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0.253</w:t>
                  </w:r>
                </w:p>
              </w:tc>
              <w:tc>
                <w:tcPr>
                  <w:tcW w:w="615" w:type="pct"/>
                  <w:vMerge w:val="restart"/>
                  <w:noWrap w:val="0"/>
                  <w:vAlign w:val="center"/>
                </w:tcPr>
                <w:p w14:paraId="0964B31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w:t>
                  </w:r>
                </w:p>
              </w:tc>
              <w:tc>
                <w:tcPr>
                  <w:tcW w:w="694" w:type="pct"/>
                  <w:noWrap w:val="0"/>
                  <w:vAlign w:val="center"/>
                </w:tcPr>
                <w:p w14:paraId="5E8D68F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03299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3" w:type="pct"/>
                  <w:vMerge w:val="continue"/>
                  <w:noWrap w:val="0"/>
                  <w:vAlign w:val="center"/>
                </w:tcPr>
                <w:p w14:paraId="1FF8FB2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758C1CD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65" w:type="pct"/>
                  <w:vMerge w:val="continue"/>
                  <w:noWrap w:val="0"/>
                  <w:vAlign w:val="center"/>
                </w:tcPr>
                <w:p w14:paraId="40CAE645">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44" w:type="pct"/>
                  <w:noWrap w:val="0"/>
                  <w:vAlign w:val="center"/>
                </w:tcPr>
                <w:p w14:paraId="2BFB7AD8">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13:42~14:42</w:t>
                  </w:r>
                </w:p>
              </w:tc>
              <w:tc>
                <w:tcPr>
                  <w:tcW w:w="679" w:type="pct"/>
                  <w:noWrap w:val="0"/>
                  <w:vAlign w:val="center"/>
                </w:tcPr>
                <w:p w14:paraId="7DE067C0">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0.311</w:t>
                  </w:r>
                </w:p>
              </w:tc>
              <w:tc>
                <w:tcPr>
                  <w:tcW w:w="615" w:type="pct"/>
                  <w:vMerge w:val="continue"/>
                  <w:noWrap w:val="0"/>
                  <w:vAlign w:val="center"/>
                </w:tcPr>
                <w:p w14:paraId="30C58DA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4" w:type="pct"/>
                  <w:noWrap w:val="0"/>
                  <w:vAlign w:val="center"/>
                </w:tcPr>
                <w:p w14:paraId="0186BC7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6DA3B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3" w:type="pct"/>
                  <w:vMerge w:val="continue"/>
                  <w:noWrap w:val="0"/>
                  <w:vAlign w:val="center"/>
                </w:tcPr>
                <w:p w14:paraId="25C2FF5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6C6F3EF1">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65" w:type="pct"/>
                  <w:vMerge w:val="continue"/>
                  <w:noWrap w:val="0"/>
                  <w:vAlign w:val="center"/>
                </w:tcPr>
                <w:p w14:paraId="06EE1081">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44" w:type="pct"/>
                  <w:noWrap w:val="0"/>
                  <w:vAlign w:val="center"/>
                </w:tcPr>
                <w:p w14:paraId="7DC4A69E">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16:50~17:50</w:t>
                  </w:r>
                </w:p>
              </w:tc>
              <w:tc>
                <w:tcPr>
                  <w:tcW w:w="679" w:type="pct"/>
                  <w:noWrap w:val="0"/>
                  <w:vAlign w:val="center"/>
                </w:tcPr>
                <w:p w14:paraId="7497EBB3">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0.347</w:t>
                  </w:r>
                </w:p>
              </w:tc>
              <w:tc>
                <w:tcPr>
                  <w:tcW w:w="615" w:type="pct"/>
                  <w:vMerge w:val="continue"/>
                  <w:noWrap w:val="0"/>
                  <w:vAlign w:val="center"/>
                </w:tcPr>
                <w:p w14:paraId="5291980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4" w:type="pct"/>
                  <w:noWrap w:val="0"/>
                  <w:vAlign w:val="center"/>
                </w:tcPr>
                <w:p w14:paraId="2B57A16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2DDD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3" w:type="pct"/>
                  <w:vMerge w:val="continue"/>
                  <w:noWrap w:val="0"/>
                  <w:vAlign w:val="center"/>
                </w:tcPr>
                <w:p w14:paraId="6A66714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0C2E25C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65" w:type="pct"/>
                  <w:vMerge w:val="restart"/>
                  <w:noWrap w:val="0"/>
                  <w:vAlign w:val="center"/>
                </w:tcPr>
                <w:p w14:paraId="280BA101">
                  <w:pPr>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2022.11.24</w:t>
                  </w:r>
                </w:p>
              </w:tc>
              <w:tc>
                <w:tcPr>
                  <w:tcW w:w="844" w:type="pct"/>
                  <w:noWrap w:val="0"/>
                  <w:vAlign w:val="center"/>
                </w:tcPr>
                <w:p w14:paraId="741F6ABA">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10:15~11:15</w:t>
                  </w:r>
                </w:p>
              </w:tc>
              <w:tc>
                <w:tcPr>
                  <w:tcW w:w="679" w:type="pct"/>
                  <w:noWrap w:val="0"/>
                  <w:vAlign w:val="center"/>
                </w:tcPr>
                <w:p w14:paraId="189A8AE9">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0.270</w:t>
                  </w:r>
                </w:p>
              </w:tc>
              <w:tc>
                <w:tcPr>
                  <w:tcW w:w="615" w:type="pct"/>
                  <w:vMerge w:val="restart"/>
                  <w:noWrap w:val="0"/>
                  <w:vAlign w:val="center"/>
                </w:tcPr>
                <w:p w14:paraId="2ADCAA9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14:textFill>
                        <w14:solidFill>
                          <w14:schemeClr w14:val="tx1"/>
                        </w14:solidFill>
                      </w14:textFill>
                    </w:rPr>
                    <w:t xml:space="preserve"> </w:t>
                  </w:r>
                </w:p>
              </w:tc>
              <w:tc>
                <w:tcPr>
                  <w:tcW w:w="694" w:type="pct"/>
                  <w:noWrap w:val="0"/>
                  <w:vAlign w:val="center"/>
                </w:tcPr>
                <w:p w14:paraId="4871FBC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6A8BD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3" w:type="pct"/>
                  <w:vMerge w:val="continue"/>
                  <w:noWrap w:val="0"/>
                  <w:vAlign w:val="center"/>
                </w:tcPr>
                <w:p w14:paraId="1F2B003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68561125">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65" w:type="pct"/>
                  <w:vMerge w:val="continue"/>
                  <w:noWrap w:val="0"/>
                  <w:vAlign w:val="center"/>
                </w:tcPr>
                <w:p w14:paraId="4F533BB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44" w:type="pct"/>
                  <w:noWrap w:val="0"/>
                  <w:vAlign w:val="center"/>
                </w:tcPr>
                <w:p w14:paraId="64BDDA55">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13:21~14:21</w:t>
                  </w:r>
                </w:p>
              </w:tc>
              <w:tc>
                <w:tcPr>
                  <w:tcW w:w="679" w:type="pct"/>
                  <w:noWrap w:val="0"/>
                  <w:vAlign w:val="center"/>
                </w:tcPr>
                <w:p w14:paraId="5C413210">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0.347</w:t>
                  </w:r>
                </w:p>
              </w:tc>
              <w:tc>
                <w:tcPr>
                  <w:tcW w:w="615" w:type="pct"/>
                  <w:vMerge w:val="continue"/>
                  <w:noWrap w:val="0"/>
                  <w:vAlign w:val="center"/>
                </w:tcPr>
                <w:p w14:paraId="7DE846E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4" w:type="pct"/>
                  <w:noWrap w:val="0"/>
                  <w:vAlign w:val="center"/>
                </w:tcPr>
                <w:p w14:paraId="7D0DA75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1AA23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3" w:type="pct"/>
                  <w:vMerge w:val="continue"/>
                  <w:noWrap w:val="0"/>
                  <w:vAlign w:val="center"/>
                </w:tcPr>
                <w:p w14:paraId="684F1CBE">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7D4C906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65" w:type="pct"/>
                  <w:vMerge w:val="continue"/>
                  <w:noWrap w:val="0"/>
                  <w:vAlign w:val="center"/>
                </w:tcPr>
                <w:p w14:paraId="0A234AE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44" w:type="pct"/>
                  <w:noWrap w:val="0"/>
                  <w:vAlign w:val="center"/>
                </w:tcPr>
                <w:p w14:paraId="6A6E0A42">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16:03~17:03</w:t>
                  </w:r>
                </w:p>
              </w:tc>
              <w:tc>
                <w:tcPr>
                  <w:tcW w:w="679" w:type="pct"/>
                  <w:noWrap w:val="0"/>
                  <w:vAlign w:val="center"/>
                </w:tcPr>
                <w:p w14:paraId="17A39161">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0.310</w:t>
                  </w:r>
                </w:p>
              </w:tc>
              <w:tc>
                <w:tcPr>
                  <w:tcW w:w="615" w:type="pct"/>
                  <w:vMerge w:val="continue"/>
                  <w:noWrap w:val="0"/>
                  <w:vAlign w:val="center"/>
                </w:tcPr>
                <w:p w14:paraId="4974A37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4" w:type="pct"/>
                  <w:noWrap w:val="0"/>
                  <w:vAlign w:val="center"/>
                </w:tcPr>
                <w:p w14:paraId="5E3ECE6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09B38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3" w:type="pct"/>
                  <w:vMerge w:val="continue"/>
                  <w:noWrap w:val="0"/>
                  <w:vAlign w:val="center"/>
                </w:tcPr>
                <w:p w14:paraId="42C9968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restart"/>
                  <w:noWrap w:val="0"/>
                  <w:vAlign w:val="center"/>
                </w:tcPr>
                <w:p w14:paraId="58BF127C">
                  <w:pPr>
                    <w:autoSpaceDE w:val="0"/>
                    <w:autoSpaceDN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厂区下风向3#</w:t>
                  </w:r>
                </w:p>
              </w:tc>
              <w:tc>
                <w:tcPr>
                  <w:tcW w:w="765" w:type="pct"/>
                  <w:vMerge w:val="restart"/>
                  <w:noWrap w:val="0"/>
                  <w:vAlign w:val="center"/>
                </w:tcPr>
                <w:p w14:paraId="3424B5BF">
                  <w:pPr>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2022.11.23</w:t>
                  </w:r>
                </w:p>
              </w:tc>
              <w:tc>
                <w:tcPr>
                  <w:tcW w:w="844" w:type="pct"/>
                  <w:noWrap w:val="0"/>
                  <w:vAlign w:val="center"/>
                </w:tcPr>
                <w:p w14:paraId="360E1D9A">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10:31~11:31</w:t>
                  </w:r>
                </w:p>
              </w:tc>
              <w:tc>
                <w:tcPr>
                  <w:tcW w:w="679" w:type="pct"/>
                  <w:noWrap w:val="0"/>
                  <w:vAlign w:val="center"/>
                </w:tcPr>
                <w:p w14:paraId="5125D897">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0.325</w:t>
                  </w:r>
                </w:p>
              </w:tc>
              <w:tc>
                <w:tcPr>
                  <w:tcW w:w="615" w:type="pct"/>
                  <w:vMerge w:val="restart"/>
                  <w:noWrap w:val="0"/>
                  <w:vAlign w:val="center"/>
                </w:tcPr>
                <w:p w14:paraId="055067F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14:textFill>
                        <w14:solidFill>
                          <w14:schemeClr w14:val="tx1"/>
                        </w14:solidFill>
                      </w14:textFill>
                    </w:rPr>
                    <w:t xml:space="preserve"> </w:t>
                  </w:r>
                </w:p>
              </w:tc>
              <w:tc>
                <w:tcPr>
                  <w:tcW w:w="694" w:type="pct"/>
                  <w:noWrap w:val="0"/>
                  <w:vAlign w:val="center"/>
                </w:tcPr>
                <w:p w14:paraId="42FED45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1559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3" w:type="pct"/>
                  <w:vMerge w:val="continue"/>
                  <w:noWrap w:val="0"/>
                  <w:vAlign w:val="center"/>
                </w:tcPr>
                <w:p w14:paraId="627A589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494262A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65" w:type="pct"/>
                  <w:vMerge w:val="continue"/>
                  <w:noWrap w:val="0"/>
                  <w:vAlign w:val="center"/>
                </w:tcPr>
                <w:p w14:paraId="6753C9E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44" w:type="pct"/>
                  <w:noWrap w:val="0"/>
                  <w:vAlign w:val="center"/>
                </w:tcPr>
                <w:p w14:paraId="1E70D7AE">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13:42~14:42</w:t>
                  </w:r>
                </w:p>
              </w:tc>
              <w:tc>
                <w:tcPr>
                  <w:tcW w:w="679" w:type="pct"/>
                  <w:noWrap w:val="0"/>
                  <w:vAlign w:val="center"/>
                </w:tcPr>
                <w:p w14:paraId="3F370FDD">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0.366</w:t>
                  </w:r>
                </w:p>
              </w:tc>
              <w:tc>
                <w:tcPr>
                  <w:tcW w:w="615" w:type="pct"/>
                  <w:vMerge w:val="continue"/>
                  <w:noWrap w:val="0"/>
                  <w:vAlign w:val="center"/>
                </w:tcPr>
                <w:p w14:paraId="5847C20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4" w:type="pct"/>
                  <w:noWrap w:val="0"/>
                  <w:vAlign w:val="center"/>
                </w:tcPr>
                <w:p w14:paraId="4E54C125">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33EC3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3" w:type="pct"/>
                  <w:vMerge w:val="continue"/>
                  <w:noWrap w:val="0"/>
                  <w:vAlign w:val="center"/>
                </w:tcPr>
                <w:p w14:paraId="4C40D23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1EF49CF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65" w:type="pct"/>
                  <w:vMerge w:val="continue"/>
                  <w:noWrap w:val="0"/>
                  <w:vAlign w:val="center"/>
                </w:tcPr>
                <w:p w14:paraId="3F27512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44" w:type="pct"/>
                  <w:noWrap w:val="0"/>
                  <w:vAlign w:val="center"/>
                </w:tcPr>
                <w:p w14:paraId="7CB084D1">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16:50~17:50</w:t>
                  </w:r>
                </w:p>
              </w:tc>
              <w:tc>
                <w:tcPr>
                  <w:tcW w:w="679" w:type="pct"/>
                  <w:noWrap w:val="0"/>
                  <w:vAlign w:val="center"/>
                </w:tcPr>
                <w:p w14:paraId="71A64FF6">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0.402</w:t>
                  </w:r>
                </w:p>
              </w:tc>
              <w:tc>
                <w:tcPr>
                  <w:tcW w:w="615" w:type="pct"/>
                  <w:vMerge w:val="continue"/>
                  <w:noWrap w:val="0"/>
                  <w:vAlign w:val="center"/>
                </w:tcPr>
                <w:p w14:paraId="322589C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4" w:type="pct"/>
                  <w:noWrap w:val="0"/>
                  <w:vAlign w:val="center"/>
                </w:tcPr>
                <w:p w14:paraId="4A35067E">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5723D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3" w:type="pct"/>
                  <w:vMerge w:val="continue"/>
                  <w:noWrap w:val="0"/>
                  <w:vAlign w:val="center"/>
                </w:tcPr>
                <w:p w14:paraId="3906A0D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07C793D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65" w:type="pct"/>
                  <w:vMerge w:val="restart"/>
                  <w:noWrap w:val="0"/>
                  <w:vAlign w:val="center"/>
                </w:tcPr>
                <w:p w14:paraId="1891546B">
                  <w:pPr>
                    <w:spacing w:line="240" w:lineRule="auto"/>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2022.11.24</w:t>
                  </w:r>
                </w:p>
              </w:tc>
              <w:tc>
                <w:tcPr>
                  <w:tcW w:w="844" w:type="pct"/>
                  <w:noWrap w:val="0"/>
                  <w:vAlign w:val="center"/>
                </w:tcPr>
                <w:p w14:paraId="16C7EBAB">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10:15~11:15</w:t>
                  </w:r>
                </w:p>
              </w:tc>
              <w:tc>
                <w:tcPr>
                  <w:tcW w:w="679" w:type="pct"/>
                  <w:noWrap w:val="0"/>
                  <w:vAlign w:val="center"/>
                </w:tcPr>
                <w:p w14:paraId="5EBEAA61">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0.342</w:t>
                  </w:r>
                </w:p>
              </w:tc>
              <w:tc>
                <w:tcPr>
                  <w:tcW w:w="615" w:type="pct"/>
                  <w:vMerge w:val="restart"/>
                  <w:noWrap w:val="0"/>
                  <w:vAlign w:val="center"/>
                </w:tcPr>
                <w:p w14:paraId="6F9D968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14:textFill>
                        <w14:solidFill>
                          <w14:schemeClr w14:val="tx1"/>
                        </w14:solidFill>
                      </w14:textFill>
                    </w:rPr>
                    <w:t xml:space="preserve"> </w:t>
                  </w:r>
                </w:p>
              </w:tc>
              <w:tc>
                <w:tcPr>
                  <w:tcW w:w="694" w:type="pct"/>
                  <w:noWrap w:val="0"/>
                  <w:vAlign w:val="center"/>
                </w:tcPr>
                <w:p w14:paraId="3E00838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1F584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3" w:type="pct"/>
                  <w:vMerge w:val="continue"/>
                  <w:noWrap w:val="0"/>
                  <w:vAlign w:val="center"/>
                </w:tcPr>
                <w:p w14:paraId="0076507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1DEFE0B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65" w:type="pct"/>
                  <w:vMerge w:val="continue"/>
                  <w:noWrap w:val="0"/>
                  <w:vAlign w:val="center"/>
                </w:tcPr>
                <w:p w14:paraId="1A17188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44" w:type="pct"/>
                  <w:noWrap w:val="0"/>
                  <w:vAlign w:val="center"/>
                </w:tcPr>
                <w:p w14:paraId="0EB69A53">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13:21~14:21</w:t>
                  </w:r>
                </w:p>
              </w:tc>
              <w:tc>
                <w:tcPr>
                  <w:tcW w:w="679" w:type="pct"/>
                  <w:noWrap w:val="0"/>
                  <w:vAlign w:val="center"/>
                </w:tcPr>
                <w:p w14:paraId="63F55AD1">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0.402</w:t>
                  </w:r>
                </w:p>
              </w:tc>
              <w:tc>
                <w:tcPr>
                  <w:tcW w:w="615" w:type="pct"/>
                  <w:vMerge w:val="continue"/>
                  <w:noWrap w:val="0"/>
                  <w:vAlign w:val="center"/>
                </w:tcPr>
                <w:p w14:paraId="318F614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4" w:type="pct"/>
                  <w:noWrap w:val="0"/>
                  <w:vAlign w:val="center"/>
                </w:tcPr>
                <w:p w14:paraId="212D939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2EB52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583" w:type="pct"/>
                  <w:vMerge w:val="continue"/>
                  <w:noWrap w:val="0"/>
                  <w:vAlign w:val="center"/>
                </w:tcPr>
                <w:p w14:paraId="0A89BFB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6" w:type="pct"/>
                  <w:vMerge w:val="continue"/>
                  <w:noWrap w:val="0"/>
                  <w:vAlign w:val="center"/>
                </w:tcPr>
                <w:p w14:paraId="28695A0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65" w:type="pct"/>
                  <w:vMerge w:val="continue"/>
                  <w:noWrap w:val="0"/>
                  <w:vAlign w:val="center"/>
                </w:tcPr>
                <w:p w14:paraId="0A0F2EC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44" w:type="pct"/>
                  <w:noWrap w:val="0"/>
                  <w:vAlign w:val="center"/>
                </w:tcPr>
                <w:p w14:paraId="2BBE0E48">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16:03~17:03</w:t>
                  </w:r>
                </w:p>
              </w:tc>
              <w:tc>
                <w:tcPr>
                  <w:tcW w:w="679" w:type="pct"/>
                  <w:noWrap w:val="0"/>
                  <w:vAlign w:val="center"/>
                </w:tcPr>
                <w:p w14:paraId="64E62A8C">
                  <w:pPr>
                    <w:widowControl w:val="0"/>
                    <w:spacing w:after="12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0.383</w:t>
                  </w:r>
                </w:p>
              </w:tc>
              <w:tc>
                <w:tcPr>
                  <w:tcW w:w="615" w:type="pct"/>
                  <w:vMerge w:val="continue"/>
                  <w:noWrap w:val="0"/>
                  <w:vAlign w:val="center"/>
                </w:tcPr>
                <w:p w14:paraId="455F347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4" w:type="pct"/>
                  <w:noWrap w:val="0"/>
                  <w:vAlign w:val="center"/>
                </w:tcPr>
                <w:p w14:paraId="3CA45B6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bl>
          <w:p w14:paraId="0E63F45D">
            <w:pPr>
              <w:keepNext w:val="0"/>
              <w:keepLines w:val="0"/>
              <w:pageBreakBefore w:val="0"/>
              <w:widowControl/>
              <w:kinsoku/>
              <w:wordWrap w:val="0"/>
              <w:overflowPunct/>
              <w:topLinePunct w:val="0"/>
              <w:autoSpaceDE/>
              <w:autoSpaceDN/>
              <w:bidi w:val="0"/>
              <w:adjustRightInd/>
              <w:snapToGrid/>
              <w:spacing w:before="0" w:after="0" w:line="360" w:lineRule="auto"/>
              <w:ind w:left="0" w:leftChars="0" w:right="0" w:firstLine="480" w:firstLineChars="200"/>
              <w:jc w:val="both"/>
              <w:textAlignment w:val="auto"/>
              <w:rPr>
                <w:rFonts w:hint="default"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i w:val="0"/>
                <w:iCs/>
                <w:color w:val="000000" w:themeColor="text1"/>
                <w:kern w:val="0"/>
                <w:sz w:val="24"/>
                <w:szCs w:val="21"/>
                <w:lang w:val="en-US" w:eastAsia="zh-CN" w:bidi="ar-SA"/>
                <w14:textFill>
                  <w14:solidFill>
                    <w14:schemeClr w14:val="tx1"/>
                  </w14:solidFill>
                </w14:textFill>
              </w:rPr>
              <w:t>从监测结果来看，</w:t>
            </w:r>
            <w:r>
              <w:rPr>
                <w:rFonts w:hint="default" w:ascii="Times New Roman" w:hAnsi="Times New Roman" w:eastAsia="宋体" w:cs="Times New Roman"/>
                <w:i w:val="0"/>
                <w:iCs/>
                <w:color w:val="000000" w:themeColor="text1"/>
                <w:kern w:val="0"/>
                <w:sz w:val="24"/>
                <w:szCs w:val="24"/>
                <w:lang w:val="en-US" w:eastAsia="zh-CN" w:bidi="ar-SA"/>
                <w14:textFill>
                  <w14:solidFill>
                    <w14:schemeClr w14:val="tx1"/>
                  </w14:solidFill>
                </w14:textFill>
              </w:rPr>
              <w:t>云南联帆建材科技有限公司</w:t>
            </w:r>
            <w:r>
              <w:rPr>
                <w:rFonts w:hint="eastAsia" w:ascii="Times New Roman" w:hAnsi="宋体" w:eastAsia="宋体" w:cs="Times New Roman"/>
                <w:i w:val="0"/>
                <w:iCs/>
                <w:color w:val="000000" w:themeColor="text1"/>
                <w:kern w:val="0"/>
                <w:sz w:val="24"/>
                <w:szCs w:val="21"/>
                <w:lang w:val="en-US" w:eastAsia="zh-CN" w:bidi="ar-SA"/>
                <w14:textFill>
                  <w14:solidFill>
                    <w14:schemeClr w14:val="tx1"/>
                  </w14:solidFill>
                </w14:textFill>
              </w:rPr>
              <w:t>厂</w:t>
            </w:r>
            <w:r>
              <w:rPr>
                <w:rFonts w:hint="default" w:ascii="Times New Roman" w:hAnsi="宋体" w:eastAsia="宋体" w:cs="Times New Roman"/>
                <w:i w:val="0"/>
                <w:iCs/>
                <w:color w:val="000000" w:themeColor="text1"/>
                <w:kern w:val="0"/>
                <w:sz w:val="24"/>
                <w:szCs w:val="21"/>
                <w:lang w:val="en-US" w:eastAsia="zh-CN" w:bidi="ar-SA"/>
                <w14:textFill>
                  <w14:solidFill>
                    <w14:schemeClr w14:val="tx1"/>
                  </w14:solidFill>
                </w14:textFill>
              </w:rPr>
              <w:t>界</w:t>
            </w:r>
            <w:r>
              <w:rPr>
                <w:rFonts w:hint="default" w:ascii="Times New Roman" w:hAnsi="Times New Roman" w:eastAsia="宋体" w:cs="Times New Roman"/>
                <w:i w:val="0"/>
                <w:iCs/>
                <w:color w:val="000000" w:themeColor="text1"/>
                <w:kern w:val="0"/>
                <w:sz w:val="24"/>
                <w:szCs w:val="24"/>
                <w:lang w:val="en-US" w:eastAsia="zh-CN" w:bidi="ar-SA"/>
                <w14:textFill>
                  <w14:solidFill>
                    <w14:schemeClr w14:val="tx1"/>
                  </w14:solidFill>
                </w14:textFill>
              </w:rPr>
              <w:t>无组织排放的氯化氢、非甲烷总烃、颗粒物</w:t>
            </w:r>
            <w:r>
              <w:rPr>
                <w:rFonts w:hint="eastAsia" w:ascii="Times New Roman" w:hAnsi="Times New Roman" w:eastAsia="宋体" w:cs="Times New Roman"/>
                <w:i w:val="0"/>
                <w:iCs/>
                <w:color w:val="000000" w:themeColor="text1"/>
                <w:kern w:val="0"/>
                <w:sz w:val="24"/>
                <w:szCs w:val="24"/>
                <w:lang w:val="en-US" w:eastAsia="zh-CN" w:bidi="ar-SA"/>
                <w14:textFill>
                  <w14:solidFill>
                    <w14:schemeClr w14:val="tx1"/>
                  </w14:solidFill>
                </w14:textFill>
              </w:rPr>
              <w:t>能</w:t>
            </w:r>
            <w:r>
              <w:rPr>
                <w:rFonts w:hint="default" w:ascii="Times New Roman" w:hAnsi="Times New Roman" w:eastAsia="宋体" w:cs="Times New Roman"/>
                <w:i w:val="0"/>
                <w:iCs/>
                <w:color w:val="000000" w:themeColor="text1"/>
                <w:kern w:val="0"/>
                <w:sz w:val="24"/>
                <w:szCs w:val="24"/>
                <w:lang w:val="en-US" w:eastAsia="zh-CN" w:bidi="ar-SA"/>
                <w14:textFill>
                  <w14:solidFill>
                    <w14:schemeClr w14:val="tx1"/>
                  </w14:solidFill>
                </w14:textFill>
              </w:rPr>
              <w:t>达到《大气污染物综合排放标准》（GB16297-1996）标准限值</w:t>
            </w:r>
            <w:r>
              <w:rPr>
                <w:rFonts w:hint="eastAsia" w:ascii="Times New Roman" w:hAnsi="Times New Roman" w:eastAsia="宋体" w:cs="Times New Roman"/>
                <w:i w:val="0"/>
                <w:iCs/>
                <w:color w:val="000000" w:themeColor="text1"/>
                <w:kern w:val="0"/>
                <w:sz w:val="24"/>
                <w:szCs w:val="24"/>
                <w:lang w:val="en-US" w:eastAsia="zh-CN" w:bidi="ar-SA"/>
                <w14:textFill>
                  <w14:solidFill>
                    <w14:schemeClr w14:val="tx1"/>
                  </w14:solidFill>
                </w14:textFill>
              </w:rPr>
              <w:t>；</w:t>
            </w:r>
            <w:r>
              <w:rPr>
                <w:rFonts w:hint="eastAsia" w:ascii="Times New Roman" w:hAnsi="宋体" w:eastAsia="宋体" w:cs="Times New Roman"/>
                <w:i w:val="0"/>
                <w:iCs/>
                <w:color w:val="000000" w:themeColor="text1"/>
                <w:kern w:val="0"/>
                <w:sz w:val="24"/>
                <w:szCs w:val="21"/>
                <w:lang w:val="en-US" w:eastAsia="zh-CN" w:bidi="ar-SA"/>
                <w14:textFill>
                  <w14:solidFill>
                    <w14:schemeClr w14:val="tx1"/>
                  </w14:solidFill>
                </w14:textFill>
              </w:rPr>
              <w:t>厂房外监控点</w:t>
            </w:r>
            <w:r>
              <w:rPr>
                <w:rFonts w:hint="default" w:ascii="Times New Roman" w:hAnsi="宋体" w:eastAsia="宋体" w:cs="Times New Roman"/>
                <w:i w:val="0"/>
                <w:iCs/>
                <w:color w:val="000000" w:themeColor="text1"/>
                <w:kern w:val="0"/>
                <w:sz w:val="24"/>
                <w:szCs w:val="21"/>
                <w:lang w:val="en-US" w:eastAsia="zh-CN" w:bidi="ar-SA"/>
                <w14:textFill>
                  <w14:solidFill>
                    <w14:schemeClr w14:val="tx1"/>
                  </w14:solidFill>
                </w14:textFill>
              </w:rPr>
              <w:t>非甲烷总烃</w:t>
            </w:r>
            <w:r>
              <w:rPr>
                <w:rFonts w:hint="eastAsia" w:ascii="Times New Roman" w:hAnsi="宋体" w:eastAsia="宋体" w:cs="Times New Roman"/>
                <w:i w:val="0"/>
                <w:iCs/>
                <w:color w:val="000000" w:themeColor="text1"/>
                <w:kern w:val="0"/>
                <w:sz w:val="24"/>
                <w:szCs w:val="21"/>
                <w:lang w:val="en-US" w:eastAsia="zh-CN" w:bidi="ar-SA"/>
                <w14:textFill>
                  <w14:solidFill>
                    <w14:schemeClr w14:val="tx1"/>
                  </w14:solidFill>
                </w14:textFill>
              </w:rPr>
              <w:t>满足</w:t>
            </w:r>
            <w:r>
              <w:rPr>
                <w:rFonts w:hint="default" w:ascii="Times New Roman" w:hAnsi="Times New Roman" w:eastAsia="宋体" w:cs="Times New Roman"/>
                <w:i w:val="0"/>
                <w:iCs/>
                <w:color w:val="000000" w:themeColor="text1"/>
                <w:kern w:val="0"/>
                <w:sz w:val="24"/>
                <w:szCs w:val="24"/>
                <w:highlight w:val="none"/>
                <w:lang w:val="en-US" w:eastAsia="zh-CN" w:bidi="ar-SA"/>
                <w14:textFill>
                  <w14:solidFill>
                    <w14:schemeClr w14:val="tx1"/>
                  </w14:solidFill>
                </w14:textFill>
              </w:rPr>
              <w:t>《挥发性有机物无组织排放控制标准》（GB37822-2019）附录A厂区内VOCs无组织排放限值</w:t>
            </w:r>
            <w:r>
              <w:rPr>
                <w:rFonts w:hint="eastAsia" w:ascii="Times New Roman" w:hAnsi="Times New Roman" w:eastAsia="宋体" w:cs="Times New Roman"/>
                <w:i w:val="0"/>
                <w:iCs/>
                <w:color w:val="000000" w:themeColor="text1"/>
                <w:kern w:val="0"/>
                <w:sz w:val="24"/>
                <w:szCs w:val="24"/>
                <w:lang w:val="en-US" w:eastAsia="zh-CN" w:bidi="ar-SA"/>
                <w14:textFill>
                  <w14:solidFill>
                    <w14:schemeClr w14:val="tx1"/>
                  </w14:solidFill>
                </w14:textFill>
              </w:rPr>
              <w:t>；</w:t>
            </w:r>
            <w:r>
              <w:rPr>
                <w:rFonts w:hint="default" w:ascii="Times New Roman" w:hAnsi="Times New Roman" w:eastAsia="宋体" w:cs="Times New Roman"/>
                <w:i w:val="0"/>
                <w:iCs/>
                <w:color w:val="000000" w:themeColor="text1"/>
                <w:kern w:val="0"/>
                <w:sz w:val="24"/>
                <w:szCs w:val="21"/>
                <w:lang w:val="en-US" w:eastAsia="zh-CN" w:bidi="ar-SA"/>
                <w14:textFill>
                  <w14:solidFill>
                    <w14:schemeClr w14:val="tx1"/>
                  </w14:solidFill>
                </w14:textFill>
              </w:rPr>
              <w:t>云南联帆建材科技有限公司无组织废气可做到达标排放</w:t>
            </w:r>
            <w:r>
              <w:rPr>
                <w:rFonts w:hint="default" w:ascii="Times New Roman" w:hAnsi="Times New Roman" w:eastAsia="宋体" w:cs="Times New Roman"/>
                <w:i w:val="0"/>
                <w:iCs/>
                <w:color w:val="000000" w:themeColor="text1"/>
                <w:kern w:val="0"/>
                <w:sz w:val="24"/>
                <w:szCs w:val="24"/>
                <w:lang w:val="en-US" w:eastAsia="zh-CN" w:bidi="ar-SA"/>
                <w14:textFill>
                  <w14:solidFill>
                    <w14:schemeClr w14:val="tx1"/>
                  </w14:solidFill>
                </w14:textFill>
              </w:rPr>
              <w:t>。</w:t>
            </w:r>
          </w:p>
          <w:p w14:paraId="6E970931">
            <w:pPr>
              <w:keepNext w:val="0"/>
              <w:keepLines w:val="0"/>
              <w:pageBreakBefore w:val="0"/>
              <w:widowControl/>
              <w:kinsoku/>
              <w:wordWrap w:val="0"/>
              <w:overflowPunct/>
              <w:topLinePunct w:val="0"/>
              <w:autoSpaceDE/>
              <w:autoSpaceDN/>
              <w:bidi w:val="0"/>
              <w:adjustRightInd/>
              <w:snapToGrid/>
              <w:spacing w:before="0" w:after="0" w:line="360" w:lineRule="auto"/>
              <w:ind w:left="0" w:leftChars="0" w:right="0" w:firstLine="482" w:firstLineChars="200"/>
              <w:jc w:val="both"/>
              <w:textAlignment w:val="auto"/>
              <w:rPr>
                <w:rFonts w:hint="default" w:ascii="Times New Roman" w:hAnsi="Times New Roman" w:eastAsia="宋体" w:cs="Times New Roman"/>
                <w:b/>
                <w:bCs/>
                <w:i w:val="0"/>
                <w:iCs/>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i w:val="0"/>
                <w:iCs/>
                <w:color w:val="000000" w:themeColor="text1"/>
                <w:kern w:val="2"/>
                <w:sz w:val="24"/>
                <w:szCs w:val="24"/>
                <w:highlight w:val="none"/>
                <w:lang w:val="en-US" w:eastAsia="zh-CN" w:bidi="ar-SA"/>
                <w14:textFill>
                  <w14:solidFill>
                    <w14:schemeClr w14:val="tx1"/>
                  </w14:solidFill>
                </w14:textFill>
              </w:rPr>
              <w:t>（2）废水</w:t>
            </w:r>
          </w:p>
          <w:p w14:paraId="5E04F6CA">
            <w:pPr>
              <w:keepNext w:val="0"/>
              <w:keepLines w:val="0"/>
              <w:pageBreakBefore w:val="0"/>
              <w:widowControl w:val="0"/>
              <w:kinsoku/>
              <w:wordWrap/>
              <w:overflowPunct/>
              <w:topLinePunct w:val="0"/>
              <w:autoSpaceDE/>
              <w:autoSpaceDN/>
              <w:bidi w:val="0"/>
              <w:adjustRightInd/>
              <w:snapToGrid/>
              <w:spacing w:line="360" w:lineRule="auto"/>
              <w:ind w:right="0" w:firstLine="482" w:firstLineChars="200"/>
              <w:textAlignment w:val="auto"/>
              <w:rPr>
                <w:rFonts w:hint="default" w:ascii="Times New Roman" w:hAnsi="Times New Roman" w:eastAsia="宋体" w:cs="Times New Roman"/>
                <w:b/>
                <w:bCs/>
                <w:color w:val="000000" w:themeColor="text1"/>
                <w:sz w:val="24"/>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1"/>
                <w:lang w:val="en-US" w:eastAsia="zh-CN"/>
                <w14:textFill>
                  <w14:solidFill>
                    <w14:schemeClr w14:val="tx1"/>
                  </w14:solidFill>
                </w14:textFill>
              </w:rPr>
              <w:t>（1）废水产生情况</w:t>
            </w:r>
          </w:p>
          <w:p w14:paraId="682C08CD">
            <w:pPr>
              <w:spacing w:line="360" w:lineRule="auto"/>
              <w:ind w:firstLine="480" w:firstLineChars="200"/>
              <w:rPr>
                <w:rFonts w:hint="default" w:ascii="Times New Roman" w:hAnsi="Times New Roman" w:eastAsia="宋体" w:cs="Times New Roman"/>
                <w:i w:val="0"/>
                <w:iCs w:val="0"/>
                <w:color w:val="000000" w:themeColor="text1"/>
                <w:sz w:val="24"/>
                <w:szCs w:val="24"/>
                <w:highlight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sz w:val="24"/>
                <w:szCs w:val="24"/>
                <w:highlight w:val="none"/>
                <w:lang w:val="en-US" w:eastAsia="zh-CN" w:bidi="ar"/>
                <w14:textFill>
                  <w14:solidFill>
                    <w14:schemeClr w14:val="tx1"/>
                  </w14:solidFill>
                </w14:textFill>
              </w:rPr>
              <w:t>厂区内</w:t>
            </w:r>
            <w:r>
              <w:rPr>
                <w:rFonts w:hint="default" w:ascii="Times New Roman" w:hAnsi="Times New Roman" w:eastAsia="宋体" w:cs="Times New Roman"/>
                <w:i w:val="0"/>
                <w:iCs w:val="0"/>
                <w:color w:val="000000" w:themeColor="text1"/>
                <w:sz w:val="24"/>
                <w:szCs w:val="24"/>
                <w:highlight w:val="none"/>
                <w:lang w:val="en-US" w:eastAsia="zh-CN" w:bidi="ar"/>
                <w14:textFill>
                  <w14:solidFill>
                    <w14:schemeClr w14:val="tx1"/>
                  </w14:solidFill>
                </w14:textFill>
              </w:rPr>
              <w:t>实行雨污分流制度，生产</w:t>
            </w:r>
            <w:r>
              <w:rPr>
                <w:rFonts w:hint="default" w:ascii="Times New Roman" w:hAnsi="Times New Roman" w:eastAsia="宋体" w:cs="Times New Roman"/>
                <w:i w:val="0"/>
                <w:iCs w:val="0"/>
                <w:color w:val="000000" w:themeColor="text1"/>
                <w:sz w:val="24"/>
                <w:szCs w:val="24"/>
                <w:highlight w:val="none"/>
                <w:lang w:val="zh-CN" w:eastAsia="zh-CN" w:bidi="ar"/>
                <w14:textFill>
                  <w14:solidFill>
                    <w14:schemeClr w14:val="tx1"/>
                  </w14:solidFill>
                </w14:textFill>
              </w:rPr>
              <w:t>用水主要为冷却水，</w:t>
            </w:r>
            <w:r>
              <w:rPr>
                <w:rFonts w:hint="default" w:ascii="Times New Roman" w:hAnsi="Times New Roman" w:eastAsia="宋体" w:cs="Times New Roman"/>
                <w:i w:val="0"/>
                <w:iCs w:val="0"/>
                <w:color w:val="000000" w:themeColor="text1"/>
                <w:sz w:val="24"/>
                <w:szCs w:val="24"/>
                <w:highlight w:val="none"/>
                <w:lang w:val="en-US" w:eastAsia="zh-CN" w:bidi="ar"/>
                <w14:textFill>
                  <w14:solidFill>
                    <w14:schemeClr w14:val="tx1"/>
                  </w14:solidFill>
                </w14:textFill>
              </w:rPr>
              <w:t>生活废水主要来自员工生活污水。</w:t>
            </w:r>
          </w:p>
          <w:p w14:paraId="6E023895">
            <w:pPr>
              <w:spacing w:line="360" w:lineRule="auto"/>
              <w:ind w:firstLine="482" w:firstLineChars="200"/>
              <w:rPr>
                <w:rFonts w:hint="default" w:ascii="Times New Roman" w:hAnsi="Times New Roman" w:eastAsia="宋体" w:cs="Times New Roman"/>
                <w:i w:val="0"/>
                <w:iCs w:val="0"/>
                <w:smallCaps w:val="0"/>
                <w:color w:val="000000" w:themeColor="text1"/>
                <w:kern w:val="2"/>
                <w:sz w:val="24"/>
                <w:szCs w:val="20"/>
                <w:highlight w:val="none"/>
                <w:lang w:val="en-US" w:eastAsia="zh-CN" w:bidi="ar"/>
                <w14:textFill>
                  <w14:solidFill>
                    <w14:schemeClr w14:val="tx1"/>
                  </w14:solidFill>
                </w14:textFill>
              </w:rPr>
            </w:pPr>
            <w:r>
              <w:rPr>
                <w:rFonts w:hint="default" w:ascii="Times New Roman" w:hAnsi="Times New Roman" w:eastAsia="宋体" w:cs="Times New Roman"/>
                <w:b/>
                <w:bCs/>
                <w:i w:val="0"/>
                <w:iCs w:val="0"/>
                <w:smallCaps w:val="0"/>
                <w:color w:val="000000" w:themeColor="text1"/>
                <w:kern w:val="2"/>
                <w:sz w:val="24"/>
                <w:szCs w:val="20"/>
                <w:highlight w:val="none"/>
                <w:lang w:val="en-US" w:eastAsia="zh-CN" w:bidi="ar"/>
                <w14:textFill>
                  <w14:solidFill>
                    <w14:schemeClr w14:val="tx1"/>
                  </w14:solidFill>
                </w14:textFill>
              </w:rPr>
              <w:t>生产用水：</w:t>
            </w:r>
            <w:r>
              <w:rPr>
                <w:rFonts w:hint="default" w:ascii="Times New Roman" w:hAnsi="Times New Roman" w:eastAsia="宋体" w:cs="Times New Roman"/>
                <w:i w:val="0"/>
                <w:iCs w:val="0"/>
                <w:color w:val="000000" w:themeColor="text1"/>
                <w:sz w:val="24"/>
                <w:szCs w:val="24"/>
                <w:highlight w:val="none"/>
                <w:lang w:val="en-US" w:eastAsia="zh-CN" w:bidi="ar"/>
                <w14:textFill>
                  <w14:solidFill>
                    <w14:schemeClr w14:val="tx1"/>
                  </w14:solidFill>
                </w14:textFill>
              </w:rPr>
              <w:t>项目</w:t>
            </w:r>
            <w:r>
              <w:rPr>
                <w:rFonts w:hint="default" w:ascii="Times New Roman" w:hAnsi="Times New Roman" w:eastAsia="宋体" w:cs="Times New Roman"/>
                <w:i w:val="0"/>
                <w:iCs w:val="0"/>
                <w:color w:val="000000" w:themeColor="text1"/>
                <w:sz w:val="24"/>
                <w:szCs w:val="24"/>
                <w:highlight w:val="none"/>
                <w:lang w:val="zh-CN" w:bidi="ar"/>
                <w14:textFill>
                  <w14:solidFill>
                    <w14:schemeClr w14:val="tx1"/>
                  </w14:solidFill>
                </w14:textFill>
              </w:rPr>
              <w:t>冷却水循环水量为</w:t>
            </w:r>
            <w:r>
              <w:rPr>
                <w:rFonts w:hint="default" w:ascii="Times New Roman" w:hAnsi="Times New Roman" w:eastAsia="宋体" w:cs="Times New Roman"/>
                <w:i w:val="0"/>
                <w:iCs w:val="0"/>
                <w:color w:val="000000" w:themeColor="text1"/>
                <w:sz w:val="24"/>
                <w:szCs w:val="24"/>
                <w:highlight w:val="none"/>
                <w:lang w:val="en-US" w:eastAsia="zh-CN" w:bidi="ar"/>
                <w14:textFill>
                  <w14:solidFill>
                    <w14:schemeClr w14:val="tx1"/>
                  </w14:solidFill>
                </w14:textFill>
              </w:rPr>
              <w:t>40</w:t>
            </w:r>
            <w:r>
              <w:rPr>
                <w:rFonts w:hint="default" w:ascii="Times New Roman" w:hAnsi="Times New Roman" w:eastAsia="宋体" w:cs="Times New Roman"/>
                <w:i w:val="0"/>
                <w:iCs w:val="0"/>
                <w:color w:val="000000" w:themeColor="text1"/>
                <w:sz w:val="24"/>
                <w:szCs w:val="24"/>
                <w:highlight w:val="none"/>
                <w:lang w:val="zh-CN" w:bidi="ar"/>
                <w14:textFill>
                  <w14:solidFill>
                    <w14:schemeClr w14:val="tx1"/>
                  </w14:solidFill>
                </w14:textFill>
              </w:rPr>
              <w:t>m</w:t>
            </w:r>
            <w:r>
              <w:rPr>
                <w:rFonts w:hint="default" w:ascii="Times New Roman" w:hAnsi="Times New Roman" w:eastAsia="宋体" w:cs="Times New Roman"/>
                <w:i w:val="0"/>
                <w:iCs w:val="0"/>
                <w:color w:val="000000" w:themeColor="text1"/>
                <w:sz w:val="24"/>
                <w:szCs w:val="24"/>
                <w:highlight w:val="none"/>
                <w:vertAlign w:val="superscript"/>
                <w:lang w:val="zh-CN" w:bidi="ar"/>
                <w14:textFill>
                  <w14:solidFill>
                    <w14:schemeClr w14:val="tx1"/>
                  </w14:solidFill>
                </w14:textFill>
              </w:rPr>
              <w:t>3</w:t>
            </w:r>
            <w:r>
              <w:rPr>
                <w:rFonts w:hint="default" w:ascii="Times New Roman" w:hAnsi="Times New Roman" w:eastAsia="宋体" w:cs="Times New Roman"/>
                <w:i w:val="0"/>
                <w:iCs w:val="0"/>
                <w:color w:val="000000" w:themeColor="text1"/>
                <w:sz w:val="24"/>
                <w:szCs w:val="24"/>
                <w:highlight w:val="none"/>
                <w:lang w:val="zh-CN" w:bidi="ar"/>
                <w14:textFill>
                  <w14:solidFill>
                    <w14:schemeClr w14:val="tx1"/>
                  </w14:solidFill>
                </w14:textFill>
              </w:rPr>
              <w:t>/h，循环水量为</w:t>
            </w:r>
            <w:r>
              <w:rPr>
                <w:rFonts w:hint="default" w:ascii="Times New Roman" w:hAnsi="Times New Roman" w:eastAsia="宋体" w:cs="Times New Roman"/>
                <w:i w:val="0"/>
                <w:iCs w:val="0"/>
                <w:color w:val="000000" w:themeColor="text1"/>
                <w:sz w:val="24"/>
                <w:szCs w:val="24"/>
                <w:highlight w:val="none"/>
                <w:lang w:val="en-US" w:eastAsia="zh-CN" w:bidi="ar"/>
                <w14:textFill>
                  <w14:solidFill>
                    <w14:schemeClr w14:val="tx1"/>
                  </w14:solidFill>
                </w14:textFill>
              </w:rPr>
              <w:t>960</w:t>
            </w:r>
            <w:r>
              <w:rPr>
                <w:rFonts w:hint="default" w:ascii="Times New Roman" w:hAnsi="Times New Roman" w:eastAsia="宋体" w:cs="Times New Roman"/>
                <w:i w:val="0"/>
                <w:iCs w:val="0"/>
                <w:color w:val="000000" w:themeColor="text1"/>
                <w:sz w:val="24"/>
                <w:szCs w:val="24"/>
                <w:highlight w:val="none"/>
                <w:lang w:val="zh-CN" w:bidi="ar"/>
                <w14:textFill>
                  <w14:solidFill>
                    <w14:schemeClr w14:val="tx1"/>
                  </w14:solidFill>
                </w14:textFill>
              </w:rPr>
              <w:t>m</w:t>
            </w:r>
            <w:r>
              <w:rPr>
                <w:rFonts w:hint="default" w:ascii="Times New Roman" w:hAnsi="Times New Roman" w:eastAsia="宋体" w:cs="Times New Roman"/>
                <w:i w:val="0"/>
                <w:iCs w:val="0"/>
                <w:color w:val="000000" w:themeColor="text1"/>
                <w:sz w:val="24"/>
                <w:szCs w:val="24"/>
                <w:highlight w:val="none"/>
                <w:vertAlign w:val="superscript"/>
                <w:lang w:val="zh-CN" w:bidi="ar"/>
                <w14:textFill>
                  <w14:solidFill>
                    <w14:schemeClr w14:val="tx1"/>
                  </w14:solidFill>
                </w14:textFill>
              </w:rPr>
              <w:t>3</w:t>
            </w:r>
            <w:r>
              <w:rPr>
                <w:rFonts w:hint="default" w:ascii="Times New Roman" w:hAnsi="Times New Roman" w:eastAsia="宋体" w:cs="Times New Roman"/>
                <w:i w:val="0"/>
                <w:iCs w:val="0"/>
                <w:color w:val="000000" w:themeColor="text1"/>
                <w:sz w:val="24"/>
                <w:szCs w:val="24"/>
                <w:highlight w:val="none"/>
                <w:lang w:val="zh-CN" w:bidi="ar"/>
                <w14:textFill>
                  <w14:solidFill>
                    <w14:schemeClr w14:val="tx1"/>
                  </w14:solidFill>
                </w14:textFill>
              </w:rPr>
              <w:t>/d，因蒸发损失，每天需补充新鲜水</w:t>
            </w:r>
            <w:r>
              <w:rPr>
                <w:rFonts w:hint="default" w:ascii="Times New Roman" w:hAnsi="Times New Roman" w:eastAsia="宋体" w:cs="Times New Roman"/>
                <w:i w:val="0"/>
                <w:iCs w:val="0"/>
                <w:color w:val="000000" w:themeColor="text1"/>
                <w:sz w:val="24"/>
                <w:szCs w:val="24"/>
                <w:highlight w:val="none"/>
                <w:lang w:val="en-US" w:eastAsia="zh-CN" w:bidi="ar"/>
                <w14:textFill>
                  <w14:solidFill>
                    <w14:schemeClr w14:val="tx1"/>
                  </w14:solidFill>
                </w14:textFill>
              </w:rPr>
              <w:t>1</w:t>
            </w:r>
            <w:r>
              <w:rPr>
                <w:rFonts w:hint="default" w:ascii="Times New Roman" w:hAnsi="Times New Roman" w:eastAsia="宋体" w:cs="Times New Roman"/>
                <w:i w:val="0"/>
                <w:iCs w:val="0"/>
                <w:color w:val="000000" w:themeColor="text1"/>
                <w:sz w:val="24"/>
                <w:szCs w:val="24"/>
                <w:highlight w:val="none"/>
                <w:lang w:val="zh-CN" w:bidi="ar"/>
                <w14:textFill>
                  <w14:solidFill>
                    <w14:schemeClr w14:val="tx1"/>
                  </w14:solidFill>
                </w14:textFill>
              </w:rPr>
              <w:t>m</w:t>
            </w:r>
            <w:r>
              <w:rPr>
                <w:rFonts w:hint="default" w:ascii="Times New Roman" w:hAnsi="Times New Roman" w:eastAsia="宋体" w:cs="Times New Roman"/>
                <w:i w:val="0"/>
                <w:iCs w:val="0"/>
                <w:color w:val="000000" w:themeColor="text1"/>
                <w:sz w:val="24"/>
                <w:szCs w:val="24"/>
                <w:highlight w:val="none"/>
                <w:vertAlign w:val="superscript"/>
                <w:lang w:val="zh-CN" w:bidi="ar"/>
                <w14:textFill>
                  <w14:solidFill>
                    <w14:schemeClr w14:val="tx1"/>
                  </w14:solidFill>
                </w14:textFill>
              </w:rPr>
              <w:t>3</w:t>
            </w:r>
            <w:r>
              <w:rPr>
                <w:rFonts w:hint="default" w:ascii="Times New Roman" w:hAnsi="Times New Roman" w:eastAsia="宋体" w:cs="Times New Roman"/>
                <w:i w:val="0"/>
                <w:iCs w:val="0"/>
                <w:color w:val="000000" w:themeColor="text1"/>
                <w:sz w:val="24"/>
                <w:szCs w:val="24"/>
                <w:highlight w:val="none"/>
                <w:lang w:val="zh-CN" w:bidi="ar"/>
                <w14:textFill>
                  <w14:solidFill>
                    <w14:schemeClr w14:val="tx1"/>
                  </w14:solidFill>
                </w14:textFill>
              </w:rPr>
              <w:t>。</w:t>
            </w:r>
          </w:p>
          <w:p w14:paraId="1AAD89A9">
            <w:pPr>
              <w:keepNext w:val="0"/>
              <w:keepLines w:val="0"/>
              <w:widowControl/>
              <w:suppressLineNumbers w:val="0"/>
              <w:adjustRightInd w:val="0"/>
              <w:snapToGrid w:val="0"/>
              <w:spacing w:before="0" w:beforeAutospacing="0" w:after="0" w:afterAutospacing="0" w:line="360" w:lineRule="auto"/>
              <w:ind w:left="0" w:right="0" w:firstLine="482" w:firstLineChars="200"/>
              <w:jc w:val="left"/>
              <w:rPr>
                <w:rFonts w:hint="default" w:ascii="Times New Roman" w:hAnsi="Times New Roman" w:eastAsia="宋体" w:cs="Times New Roman"/>
                <w:bCs/>
                <w:i w:val="0"/>
                <w:iCs w:val="0"/>
                <w:smallCaps w:val="0"/>
                <w:color w:val="000000" w:themeColor="text1"/>
                <w:sz w:val="24"/>
                <w:szCs w:val="20"/>
                <w:highlight w:val="none"/>
                <w:lang w:val="en-US"/>
                <w14:textFill>
                  <w14:solidFill>
                    <w14:schemeClr w14:val="tx1"/>
                  </w14:solidFill>
                </w14:textFill>
              </w:rPr>
            </w:pPr>
            <w:r>
              <w:rPr>
                <w:rFonts w:hint="default" w:ascii="Times New Roman" w:hAnsi="Times New Roman" w:eastAsia="宋体" w:cs="Times New Roman"/>
                <w:b/>
                <w:bCs/>
                <w:i w:val="0"/>
                <w:iCs w:val="0"/>
                <w:smallCaps w:val="0"/>
                <w:color w:val="000000" w:themeColor="text1"/>
                <w:kern w:val="2"/>
                <w:sz w:val="24"/>
                <w:szCs w:val="20"/>
                <w:highlight w:val="none"/>
                <w:lang w:val="en-US" w:eastAsia="zh-CN" w:bidi="ar"/>
                <w14:textFill>
                  <w14:solidFill>
                    <w14:schemeClr w14:val="tx1"/>
                  </w14:solidFill>
                </w14:textFill>
              </w:rPr>
              <w:t>生活污水：</w:t>
            </w:r>
            <w:r>
              <w:rPr>
                <w:rFonts w:hint="default" w:ascii="Times New Roman" w:hAnsi="Times New Roman" w:eastAsia="宋体" w:cs="Times New Roman"/>
                <w:i w:val="0"/>
                <w:iCs w:val="0"/>
                <w:smallCaps w:val="0"/>
                <w:color w:val="000000" w:themeColor="text1"/>
                <w:kern w:val="2"/>
                <w:sz w:val="24"/>
                <w:szCs w:val="20"/>
                <w:highlight w:val="none"/>
                <w:lang w:val="en-US" w:eastAsia="zh-CN" w:bidi="ar"/>
                <w14:textFill>
                  <w14:solidFill>
                    <w14:schemeClr w14:val="tx1"/>
                  </w14:solidFill>
                </w14:textFill>
              </w:rPr>
              <w:t>①盥洗废水</w:t>
            </w:r>
            <w:r>
              <w:rPr>
                <w:rFonts w:hint="default" w:ascii="Times New Roman" w:hAnsi="Times New Roman" w:eastAsia="宋体" w:cs="Times New Roman"/>
                <w:i w:val="0"/>
                <w:iCs w:val="0"/>
                <w:smallCaps w:val="0"/>
                <w:color w:val="000000" w:themeColor="text1"/>
                <w:kern w:val="0"/>
                <w:sz w:val="24"/>
                <w:szCs w:val="24"/>
                <w:highlight w:val="none"/>
                <w:lang w:val="en-US" w:eastAsia="zh-CN" w:bidi="ar"/>
                <w14:textFill>
                  <w14:solidFill>
                    <w14:schemeClr w14:val="tx1"/>
                  </w14:solidFill>
                </w14:textFill>
              </w:rPr>
              <w:t>住宿员工盥洗用水为1.4m</w:t>
            </w:r>
            <w:r>
              <w:rPr>
                <w:rFonts w:hint="default" w:ascii="Times New Roman" w:hAnsi="Times New Roman" w:eastAsia="宋体" w:cs="Times New Roman"/>
                <w:i w:val="0"/>
                <w:iCs w:val="0"/>
                <w:smallCaps w:val="0"/>
                <w:color w:val="000000" w:themeColor="text1"/>
                <w:kern w:val="0"/>
                <w:sz w:val="24"/>
                <w:szCs w:val="24"/>
                <w:highlight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smallCaps w:val="0"/>
                <w:color w:val="000000" w:themeColor="text1"/>
                <w:kern w:val="0"/>
                <w:sz w:val="24"/>
                <w:szCs w:val="24"/>
                <w:highlight w:val="none"/>
                <w:lang w:val="en-US" w:eastAsia="zh-CN" w:bidi="ar"/>
                <w14:textFill>
                  <w14:solidFill>
                    <w14:schemeClr w14:val="tx1"/>
                  </w14:solidFill>
                </w14:textFill>
              </w:rPr>
              <w:t>/d，污水量为1.12m</w:t>
            </w:r>
            <w:r>
              <w:rPr>
                <w:rFonts w:hint="default" w:ascii="Times New Roman" w:hAnsi="Times New Roman" w:eastAsia="宋体" w:cs="Times New Roman"/>
                <w:i w:val="0"/>
                <w:iCs w:val="0"/>
                <w:smallCaps w:val="0"/>
                <w:color w:val="000000" w:themeColor="text1"/>
                <w:kern w:val="0"/>
                <w:sz w:val="24"/>
                <w:szCs w:val="24"/>
                <w:highlight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smallCaps w:val="0"/>
                <w:color w:val="000000" w:themeColor="text1"/>
                <w:kern w:val="0"/>
                <w:sz w:val="24"/>
                <w:szCs w:val="24"/>
                <w:highlight w:val="none"/>
                <w:lang w:val="en-US" w:eastAsia="zh-CN" w:bidi="ar"/>
                <w14:textFill>
                  <w14:solidFill>
                    <w14:schemeClr w14:val="tx1"/>
                  </w14:solidFill>
                </w14:textFill>
              </w:rPr>
              <w:t>/d</w:t>
            </w:r>
            <w:r>
              <w:rPr>
                <w:rFonts w:hint="default" w:ascii="Times New Roman" w:hAnsi="Times New Roman" w:eastAsia="宋体" w:cs="Times New Roman"/>
                <w:i w:val="0"/>
                <w:iCs w:val="0"/>
                <w:smallCaps w:val="0"/>
                <w:color w:val="000000" w:themeColor="text1"/>
                <w:kern w:val="2"/>
                <w:sz w:val="24"/>
                <w:szCs w:val="24"/>
                <w:highlight w:val="none"/>
                <w:lang w:val="en-US" w:eastAsia="zh-CN" w:bidi="ar"/>
                <w14:textFill>
                  <w14:solidFill>
                    <w14:schemeClr w14:val="tx1"/>
                  </w14:solidFill>
                </w14:textFill>
              </w:rPr>
              <w:t>。</w:t>
            </w:r>
            <w:r>
              <w:rPr>
                <w:rFonts w:hint="default" w:ascii="Times New Roman" w:hAnsi="Times New Roman" w:eastAsia="宋体" w:cs="Times New Roman"/>
                <w:i w:val="0"/>
                <w:iCs w:val="0"/>
                <w:smallCaps w:val="0"/>
                <w:color w:val="000000" w:themeColor="text1"/>
                <w:kern w:val="2"/>
                <w:sz w:val="24"/>
                <w:szCs w:val="24"/>
                <w:lang w:val="en-US" w:eastAsia="zh-CN" w:bidi="ar"/>
                <w14:textFill>
                  <w14:solidFill>
                    <w14:schemeClr w14:val="tx1"/>
                  </w14:solidFill>
                </w14:textFill>
              </w:rPr>
              <w:t>非住宿员工日常用水主要为洗手水和冲厕水，用水量为0.3m</w:t>
            </w:r>
            <w:r>
              <w:rPr>
                <w:rFonts w:hint="default" w:ascii="Times New Roman" w:hAnsi="Times New Roman" w:eastAsia="宋体" w:cs="Times New Roman"/>
                <w:i w:val="0"/>
                <w:iCs w:val="0"/>
                <w:smallCaps w:val="0"/>
                <w:color w:val="000000" w:themeColor="text1"/>
                <w:kern w:val="2"/>
                <w:sz w:val="24"/>
                <w:szCs w:val="24"/>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smallCaps w:val="0"/>
                <w:color w:val="000000" w:themeColor="text1"/>
                <w:kern w:val="2"/>
                <w:sz w:val="24"/>
                <w:szCs w:val="24"/>
                <w:lang w:val="en-US" w:eastAsia="zh-CN" w:bidi="ar"/>
                <w14:textFill>
                  <w14:solidFill>
                    <w14:schemeClr w14:val="tx1"/>
                  </w14:solidFill>
                </w14:textFill>
              </w:rPr>
              <w:t>/d，废水产生量为0.24m</w:t>
            </w:r>
            <w:r>
              <w:rPr>
                <w:rFonts w:hint="default" w:ascii="Times New Roman" w:hAnsi="Times New Roman" w:eastAsia="宋体" w:cs="Times New Roman"/>
                <w:i w:val="0"/>
                <w:iCs w:val="0"/>
                <w:smallCaps w:val="0"/>
                <w:color w:val="000000" w:themeColor="text1"/>
                <w:kern w:val="2"/>
                <w:sz w:val="24"/>
                <w:szCs w:val="24"/>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smallCaps w:val="0"/>
                <w:color w:val="000000" w:themeColor="text1"/>
                <w:kern w:val="2"/>
                <w:sz w:val="24"/>
                <w:szCs w:val="24"/>
                <w:lang w:val="en-US" w:eastAsia="zh-CN" w:bidi="ar"/>
                <w14:textFill>
                  <w14:solidFill>
                    <w14:schemeClr w14:val="tx1"/>
                  </w14:solidFill>
                </w14:textFill>
              </w:rPr>
              <w:t>/d。</w:t>
            </w:r>
            <w:r>
              <w:rPr>
                <w:rFonts w:hint="default" w:ascii="Times New Roman" w:hAnsi="Times New Roman" w:eastAsia="宋体" w:cs="Times New Roman"/>
                <w:i w:val="0"/>
                <w:iCs w:val="0"/>
                <w:smallCaps w:val="0"/>
                <w:color w:val="000000" w:themeColor="text1"/>
                <w:kern w:val="2"/>
                <w:sz w:val="24"/>
                <w:szCs w:val="20"/>
                <w:highlight w:val="none"/>
                <w:lang w:val="en-US" w:eastAsia="zh-CN" w:bidi="ar"/>
                <w14:textFill>
                  <w14:solidFill>
                    <w14:schemeClr w14:val="tx1"/>
                  </w14:solidFill>
                </w14:textFill>
              </w:rPr>
              <w:t>②食堂餐饮废水活用水量0.6m</w:t>
            </w:r>
            <w:r>
              <w:rPr>
                <w:rFonts w:hint="default" w:ascii="Times New Roman" w:hAnsi="Times New Roman" w:eastAsia="宋体" w:cs="Times New Roman"/>
                <w:i w:val="0"/>
                <w:iCs w:val="0"/>
                <w:smallCaps w:val="0"/>
                <w:color w:val="000000" w:themeColor="text1"/>
                <w:kern w:val="2"/>
                <w:sz w:val="24"/>
                <w:szCs w:val="20"/>
                <w:highlight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smallCaps w:val="0"/>
                <w:color w:val="000000" w:themeColor="text1"/>
                <w:kern w:val="2"/>
                <w:sz w:val="24"/>
                <w:szCs w:val="20"/>
                <w:highlight w:val="none"/>
                <w:lang w:val="en-US" w:eastAsia="zh-CN" w:bidi="ar"/>
                <w14:textFill>
                  <w14:solidFill>
                    <w14:schemeClr w14:val="tx1"/>
                  </w14:solidFill>
                </w14:textFill>
              </w:rPr>
              <w:t>/d，食堂餐饮废水产生量为0.48m</w:t>
            </w:r>
            <w:r>
              <w:rPr>
                <w:rFonts w:hint="default" w:ascii="Times New Roman" w:hAnsi="Times New Roman" w:eastAsia="宋体" w:cs="Times New Roman"/>
                <w:i w:val="0"/>
                <w:iCs w:val="0"/>
                <w:smallCaps w:val="0"/>
                <w:color w:val="000000" w:themeColor="text1"/>
                <w:kern w:val="2"/>
                <w:sz w:val="24"/>
                <w:szCs w:val="20"/>
                <w:highlight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smallCaps w:val="0"/>
                <w:color w:val="000000" w:themeColor="text1"/>
                <w:kern w:val="2"/>
                <w:sz w:val="24"/>
                <w:szCs w:val="20"/>
                <w:highlight w:val="none"/>
                <w:lang w:val="en-US" w:eastAsia="zh-CN" w:bidi="ar"/>
                <w14:textFill>
                  <w14:solidFill>
                    <w14:schemeClr w14:val="tx1"/>
                  </w14:solidFill>
                </w14:textFill>
              </w:rPr>
              <w:t>/d。</w:t>
            </w:r>
            <w:r>
              <w:rPr>
                <w:rFonts w:hint="default" w:ascii="Times New Roman" w:hAnsi="Times New Roman" w:eastAsia="宋体" w:cs="Times New Roman"/>
                <w:i w:val="0"/>
                <w:iCs w:val="0"/>
                <w:smallCaps w:val="0"/>
                <w:color w:val="000000" w:themeColor="text1"/>
                <w:kern w:val="0"/>
                <w:sz w:val="24"/>
                <w:szCs w:val="24"/>
                <w:highlight w:val="none"/>
                <w:lang w:val="en-US" w:eastAsia="zh-CN" w:bidi="ar"/>
                <w14:textFill>
                  <w14:solidFill>
                    <w14:schemeClr w14:val="tx1"/>
                  </w14:solidFill>
                </w14:textFill>
              </w:rPr>
              <w:t>项目</w:t>
            </w:r>
            <w:r>
              <w:rPr>
                <w:rFonts w:hint="default" w:ascii="Times New Roman" w:hAnsi="Times New Roman" w:eastAsia="宋体" w:cs="Times New Roman"/>
                <w:i w:val="0"/>
                <w:iCs w:val="0"/>
                <w:smallCaps w:val="0"/>
                <w:color w:val="000000" w:themeColor="text1"/>
                <w:kern w:val="2"/>
                <w:sz w:val="24"/>
                <w:szCs w:val="20"/>
                <w:highlight w:val="none"/>
                <w:lang w:val="en-US" w:eastAsia="zh-CN" w:bidi="ar"/>
                <w14:textFill>
                  <w14:solidFill>
                    <w14:schemeClr w14:val="tx1"/>
                  </w14:solidFill>
                </w14:textFill>
              </w:rPr>
              <w:t>盥洗废水、餐饮废水</w:t>
            </w:r>
            <w:r>
              <w:rPr>
                <w:rFonts w:hint="default" w:ascii="Times New Roman" w:hAnsi="Times New Roman" w:eastAsia="宋体" w:cs="Times New Roman"/>
                <w:bCs/>
                <w:i w:val="0"/>
                <w:iCs w:val="0"/>
                <w:smallCaps w:val="0"/>
                <w:color w:val="000000" w:themeColor="text1"/>
                <w:kern w:val="2"/>
                <w:sz w:val="24"/>
                <w:szCs w:val="20"/>
                <w:highlight w:val="none"/>
                <w:lang w:val="en-US" w:eastAsia="zh-CN" w:bidi="ar"/>
                <w14:textFill>
                  <w14:solidFill>
                    <w14:schemeClr w14:val="tx1"/>
                  </w14:solidFill>
                </w14:textFill>
              </w:rPr>
              <w:t>主要污染物为COD、BOD</w:t>
            </w:r>
            <w:r>
              <w:rPr>
                <w:rFonts w:hint="default" w:ascii="Times New Roman" w:hAnsi="Times New Roman" w:eastAsia="宋体" w:cs="Times New Roman"/>
                <w:bCs/>
                <w:i w:val="0"/>
                <w:iCs w:val="0"/>
                <w:smallCaps w:val="0"/>
                <w:color w:val="000000" w:themeColor="text1"/>
                <w:kern w:val="2"/>
                <w:sz w:val="24"/>
                <w:szCs w:val="20"/>
                <w:highlight w:val="none"/>
                <w:vertAlign w:val="subscript"/>
                <w:lang w:val="en-US" w:eastAsia="zh-CN" w:bidi="ar"/>
                <w14:textFill>
                  <w14:solidFill>
                    <w14:schemeClr w14:val="tx1"/>
                  </w14:solidFill>
                </w14:textFill>
              </w:rPr>
              <w:t>5</w:t>
            </w:r>
            <w:r>
              <w:rPr>
                <w:rFonts w:hint="default" w:ascii="Times New Roman" w:hAnsi="Times New Roman" w:eastAsia="宋体" w:cs="Times New Roman"/>
                <w:bCs/>
                <w:i w:val="0"/>
                <w:iCs w:val="0"/>
                <w:smallCaps w:val="0"/>
                <w:color w:val="000000" w:themeColor="text1"/>
                <w:kern w:val="2"/>
                <w:sz w:val="24"/>
                <w:szCs w:val="20"/>
                <w:highlight w:val="none"/>
                <w:lang w:val="en-US" w:eastAsia="zh-CN" w:bidi="ar"/>
                <w14:textFill>
                  <w14:solidFill>
                    <w14:schemeClr w14:val="tx1"/>
                  </w14:solidFill>
                </w14:textFill>
              </w:rPr>
              <w:t>、SS、总磷、氨氮和动植物油</w:t>
            </w:r>
            <w:r>
              <w:rPr>
                <w:rFonts w:hint="default" w:ascii="Times New Roman" w:hAnsi="Times New Roman" w:eastAsia="宋体" w:cs="Times New Roman"/>
                <w:i w:val="0"/>
                <w:iCs w:val="0"/>
                <w:smallCaps w:val="0"/>
                <w:color w:val="000000" w:themeColor="text1"/>
                <w:kern w:val="0"/>
                <w:sz w:val="24"/>
                <w:szCs w:val="24"/>
                <w:highlight w:val="none"/>
                <w:lang w:val="en-US" w:eastAsia="zh-CN" w:bidi="ar"/>
                <w14:textFill>
                  <w14:solidFill>
                    <w14:schemeClr w14:val="tx1"/>
                  </w14:solidFill>
                </w14:textFill>
              </w:rPr>
              <w:t>。</w:t>
            </w:r>
          </w:p>
          <w:p w14:paraId="6FD407CB">
            <w:pPr>
              <w:spacing w:line="360" w:lineRule="auto"/>
              <w:ind w:firstLine="482" w:firstLineChars="200"/>
              <w:rPr>
                <w:rFonts w:hint="default" w:ascii="Times New Roman" w:hAnsi="Times New Roman" w:eastAsia="宋体" w:cs="Times New Roman"/>
                <w:i w:val="0"/>
                <w:iCs w:val="0"/>
                <w:color w:val="000000" w:themeColor="text1"/>
                <w:kern w:val="0"/>
                <w:sz w:val="24"/>
                <w:szCs w:val="24"/>
                <w:highlight w:val="none"/>
                <w:lang w:bidi="ar"/>
                <w14:textFill>
                  <w14:solidFill>
                    <w14:schemeClr w14:val="tx1"/>
                  </w14:solidFill>
                </w14:textFill>
              </w:rPr>
            </w:pPr>
            <w:r>
              <w:rPr>
                <w:rFonts w:hint="default" w:ascii="Times New Roman" w:hAnsi="Times New Roman" w:eastAsia="宋体" w:cs="Times New Roman"/>
                <w:b/>
                <w:bCs/>
                <w:i w:val="0"/>
                <w:iCs w:val="0"/>
                <w:color w:val="000000" w:themeColor="text1"/>
                <w:sz w:val="24"/>
                <w:szCs w:val="21"/>
                <w:highlight w:val="none"/>
                <w14:textFill>
                  <w14:solidFill>
                    <w14:schemeClr w14:val="tx1"/>
                  </w14:solidFill>
                </w14:textFill>
              </w:rPr>
              <w:t>绿化用水</w:t>
            </w:r>
            <w:r>
              <w:rPr>
                <w:rFonts w:hint="default" w:ascii="Times New Roman" w:hAnsi="Times New Roman" w:eastAsia="宋体" w:cs="Times New Roman"/>
                <w:b/>
                <w:bCs/>
                <w:i w:val="0"/>
                <w:iCs w:val="0"/>
                <w:color w:val="000000" w:themeColor="text1"/>
                <w:sz w:val="24"/>
                <w:szCs w:val="21"/>
                <w:highlight w:val="none"/>
                <w:lang w:eastAsia="zh-CN"/>
                <w14:textFill>
                  <w14:solidFill>
                    <w14:schemeClr w14:val="tx1"/>
                  </w14:solidFill>
                </w14:textFill>
              </w:rPr>
              <w:t>：</w:t>
            </w:r>
            <w:r>
              <w:rPr>
                <w:rFonts w:hint="default" w:ascii="Times New Roman" w:hAnsi="Times New Roman" w:eastAsia="宋体" w:cs="Times New Roman"/>
                <w:i w:val="0"/>
                <w:iCs w:val="0"/>
                <w:color w:val="000000" w:themeColor="text1"/>
                <w:sz w:val="24"/>
                <w:szCs w:val="21"/>
                <w:highlight w:val="none"/>
                <w:lang w:val="en-US" w:eastAsia="zh-CN"/>
                <w14:textFill>
                  <w14:solidFill>
                    <w14:schemeClr w14:val="tx1"/>
                  </w14:solidFill>
                </w14:textFill>
              </w:rPr>
              <w:t>项目</w:t>
            </w:r>
            <w:r>
              <w:rPr>
                <w:rFonts w:hint="default" w:ascii="Times New Roman" w:hAnsi="Times New Roman" w:eastAsia="宋体" w:cs="Times New Roman"/>
                <w:i w:val="0"/>
                <w:iCs w:val="0"/>
                <w:color w:val="000000" w:themeColor="text1"/>
                <w:kern w:val="0"/>
                <w:sz w:val="24"/>
                <w:szCs w:val="24"/>
                <w:highlight w:val="none"/>
                <w:lang w:bidi="ar"/>
                <w14:textFill>
                  <w14:solidFill>
                    <w14:schemeClr w14:val="tx1"/>
                  </w14:solidFill>
                </w14:textFill>
              </w:rPr>
              <w:t>晴天绿化用水量为</w:t>
            </w:r>
            <w:r>
              <w:rPr>
                <w:rFonts w:hint="default" w:ascii="Times New Roman" w:hAnsi="Times New Roman" w:eastAsia="宋体" w:cs="Times New Roman"/>
                <w:i w:val="0"/>
                <w:iCs w:val="0"/>
                <w:color w:val="000000" w:themeColor="text1"/>
                <w:kern w:val="0"/>
                <w:sz w:val="24"/>
                <w:szCs w:val="24"/>
                <w:highlight w:val="none"/>
                <w:lang w:val="en-US" w:eastAsia="zh-CN" w:bidi="ar"/>
                <w14:textFill>
                  <w14:solidFill>
                    <w14:schemeClr w14:val="tx1"/>
                  </w14:solidFill>
                </w14:textFill>
              </w:rPr>
              <w:t>1.562</w:t>
            </w:r>
            <w:r>
              <w:rPr>
                <w:rFonts w:hint="default" w:ascii="Times New Roman" w:hAnsi="Times New Roman" w:eastAsia="宋体" w:cs="Times New Roman"/>
                <w:i w:val="0"/>
                <w:iCs w:val="0"/>
                <w:color w:val="000000" w:themeColor="text1"/>
                <w:kern w:val="0"/>
                <w:sz w:val="24"/>
                <w:szCs w:val="24"/>
                <w:highlight w:val="none"/>
                <w:lang w:bidi="ar"/>
                <w14:textFill>
                  <w14:solidFill>
                    <w14:schemeClr w14:val="tx1"/>
                  </w14:solidFill>
                </w14:textFill>
              </w:rPr>
              <w:t>m</w:t>
            </w:r>
            <w:r>
              <w:rPr>
                <w:rFonts w:hint="default" w:ascii="Times New Roman" w:hAnsi="Times New Roman" w:eastAsia="宋体" w:cs="Times New Roman"/>
                <w:i w:val="0"/>
                <w:iCs w:val="0"/>
                <w:color w:val="000000" w:themeColor="text1"/>
                <w:kern w:val="0"/>
                <w:sz w:val="24"/>
                <w:szCs w:val="24"/>
                <w:highlight w:val="none"/>
                <w:vertAlign w:val="superscript"/>
                <w:lang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4"/>
                <w:szCs w:val="24"/>
                <w:highlight w:val="none"/>
                <w:lang w:bidi="ar"/>
                <w14:textFill>
                  <w14:solidFill>
                    <w14:schemeClr w14:val="tx1"/>
                  </w14:solidFill>
                </w14:textFill>
              </w:rPr>
              <w:t>/d。</w:t>
            </w:r>
            <w:r>
              <w:rPr>
                <w:rFonts w:hint="default" w:ascii="Times New Roman" w:hAnsi="Times New Roman" w:eastAsia="宋体" w:cs="Times New Roman"/>
                <w:i w:val="0"/>
                <w:iCs w:val="0"/>
                <w:color w:val="000000" w:themeColor="text1"/>
                <w:sz w:val="24"/>
                <w:szCs w:val="24"/>
                <w:highlight w:val="none"/>
                <w14:textFill>
                  <w14:solidFill>
                    <w14:schemeClr w14:val="tx1"/>
                  </w14:solidFill>
                </w14:textFill>
              </w:rPr>
              <w:t>非雨天</w:t>
            </w:r>
            <w:r>
              <w:rPr>
                <w:rFonts w:hint="default" w:ascii="Times New Roman" w:hAnsi="Times New Roman" w:eastAsia="宋体" w:cs="Times New Roman"/>
                <w:i w:val="0"/>
                <w:iCs w:val="0"/>
                <w:color w:val="000000" w:themeColor="text1"/>
                <w:kern w:val="0"/>
                <w:sz w:val="24"/>
                <w:szCs w:val="24"/>
                <w:highlight w:val="none"/>
                <w:lang w:bidi="ar"/>
                <w14:textFill>
                  <w14:solidFill>
                    <w14:schemeClr w14:val="tx1"/>
                  </w14:solidFill>
                </w14:textFill>
              </w:rPr>
              <w:t>绿化用水量为</w:t>
            </w:r>
            <w:r>
              <w:rPr>
                <w:rFonts w:hint="default" w:ascii="Times New Roman" w:hAnsi="Times New Roman" w:eastAsia="宋体" w:cs="Times New Roman"/>
                <w:i w:val="0"/>
                <w:iCs w:val="0"/>
                <w:color w:val="000000" w:themeColor="text1"/>
                <w:kern w:val="0"/>
                <w:sz w:val="24"/>
                <w:szCs w:val="24"/>
                <w:highlight w:val="none"/>
                <w:lang w:val="en-US" w:eastAsia="zh-CN" w:bidi="ar"/>
                <w14:textFill>
                  <w14:solidFill>
                    <w14:schemeClr w14:val="tx1"/>
                  </w14:solidFill>
                </w14:textFill>
              </w:rPr>
              <w:t>328.073</w:t>
            </w:r>
            <w:r>
              <w:rPr>
                <w:rFonts w:hint="default" w:ascii="Times New Roman" w:hAnsi="Times New Roman" w:eastAsia="宋体" w:cs="Times New Roman"/>
                <w:i w:val="0"/>
                <w:iCs w:val="0"/>
                <w:color w:val="000000" w:themeColor="text1"/>
                <w:kern w:val="0"/>
                <w:sz w:val="24"/>
                <w:szCs w:val="24"/>
                <w:highlight w:val="none"/>
                <w:lang w:bidi="ar"/>
                <w14:textFill>
                  <w14:solidFill>
                    <w14:schemeClr w14:val="tx1"/>
                  </w14:solidFill>
                </w14:textFill>
              </w:rPr>
              <w:t>m</w:t>
            </w:r>
            <w:r>
              <w:rPr>
                <w:rFonts w:hint="default" w:ascii="Times New Roman" w:hAnsi="Times New Roman" w:eastAsia="宋体" w:cs="Times New Roman"/>
                <w:i w:val="0"/>
                <w:iCs w:val="0"/>
                <w:color w:val="000000" w:themeColor="text1"/>
                <w:kern w:val="0"/>
                <w:sz w:val="24"/>
                <w:szCs w:val="24"/>
                <w:highlight w:val="none"/>
                <w:vertAlign w:val="superscript"/>
                <w:lang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4"/>
                <w:szCs w:val="24"/>
                <w:highlight w:val="none"/>
                <w:lang w:bidi="ar"/>
                <w14:textFill>
                  <w14:solidFill>
                    <w14:schemeClr w14:val="tx1"/>
                  </w14:solidFill>
                </w14:textFill>
              </w:rPr>
              <w:t>/a，水源来自于</w:t>
            </w:r>
            <w:r>
              <w:rPr>
                <w:rFonts w:hint="default" w:ascii="Times New Roman" w:hAnsi="Times New Roman" w:eastAsia="宋体" w:cs="Times New Roman"/>
                <w:i w:val="0"/>
                <w:iCs w:val="0"/>
                <w:color w:val="000000" w:themeColor="text1"/>
                <w:kern w:val="0"/>
                <w:sz w:val="24"/>
                <w:szCs w:val="24"/>
                <w:highlight w:val="none"/>
                <w:lang w:eastAsia="zh-CN" w:bidi="ar"/>
                <w14:textFill>
                  <w14:solidFill>
                    <w14:schemeClr w14:val="tx1"/>
                  </w14:solidFill>
                </w14:textFill>
              </w:rPr>
              <w:t>一体化污水处理设施</w:t>
            </w:r>
            <w:r>
              <w:rPr>
                <w:rFonts w:hint="default" w:ascii="Times New Roman" w:hAnsi="Times New Roman" w:eastAsia="宋体" w:cs="Times New Roman"/>
                <w:i w:val="0"/>
                <w:iCs w:val="0"/>
                <w:color w:val="000000" w:themeColor="text1"/>
                <w:kern w:val="0"/>
                <w:sz w:val="24"/>
                <w:szCs w:val="24"/>
                <w:highlight w:val="none"/>
                <w:lang w:bidi="ar"/>
                <w14:textFill>
                  <w14:solidFill>
                    <w14:schemeClr w14:val="tx1"/>
                  </w14:solidFill>
                </w14:textFill>
              </w:rPr>
              <w:t>出水。</w:t>
            </w:r>
          </w:p>
          <w:p w14:paraId="05F4EBDB">
            <w:pPr>
              <w:keepNext w:val="0"/>
              <w:keepLines w:val="0"/>
              <w:pageBreakBefore w:val="0"/>
              <w:widowControl/>
              <w:kinsoku/>
              <w:wordWrap w:val="0"/>
              <w:overflowPunct/>
              <w:topLinePunct w:val="0"/>
              <w:autoSpaceDE/>
              <w:autoSpaceDN/>
              <w:bidi w:val="0"/>
              <w:adjustRightInd/>
              <w:snapToGrid/>
              <w:spacing w:before="0" w:after="0" w:line="360" w:lineRule="auto"/>
              <w:ind w:left="0" w:leftChars="0" w:right="0" w:firstLine="482" w:firstLineChars="200"/>
              <w:jc w:val="both"/>
              <w:textAlignment w:val="auto"/>
              <w:rPr>
                <w:rFonts w:hint="default" w:ascii="Times New Roman" w:hAnsi="Times New Roman" w:eastAsia="宋体" w:cs="Times New Roman"/>
                <w:i w:val="0"/>
                <w:i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val="0"/>
                <w:i w:val="0"/>
                <w:iCs w:val="0"/>
                <w:color w:val="000000" w:themeColor="text1"/>
                <w:sz w:val="24"/>
                <w:szCs w:val="24"/>
                <w:highlight w:val="none"/>
                <w:lang w:val="en-US" w:eastAsia="zh-CN" w:bidi="ar-SA"/>
                <w14:textFill>
                  <w14:solidFill>
                    <w14:schemeClr w14:val="tx1"/>
                  </w14:solidFill>
                </w14:textFill>
              </w:rPr>
              <w:t>道路硬化区清扫用水</w:t>
            </w:r>
            <w:r>
              <w:rPr>
                <w:rFonts w:hint="default" w:ascii="Times New Roman" w:hAnsi="Times New Roman" w:eastAsia="宋体" w:cs="Times New Roman"/>
                <w:bCs/>
                <w:i w:val="0"/>
                <w:iCs w:val="0"/>
                <w:color w:val="000000" w:themeColor="text1"/>
                <w:sz w:val="24"/>
                <w:szCs w:val="24"/>
                <w:highlight w:val="none"/>
                <w:lang w:val="en-US" w:eastAsia="zh-CN" w:bidi="ar-SA"/>
                <w14:textFill>
                  <w14:solidFill>
                    <w14:schemeClr w14:val="tx1"/>
                  </w14:solidFill>
                </w14:textFill>
              </w:rPr>
              <w:t>：</w:t>
            </w:r>
            <w:r>
              <w:rPr>
                <w:rFonts w:hint="default" w:ascii="Times New Roman" w:hAnsi="Times New Roman" w:eastAsia="宋体" w:cs="Times New Roman"/>
                <w:i w:val="0"/>
                <w:iCs w:val="0"/>
                <w:color w:val="000000" w:themeColor="text1"/>
                <w:kern w:val="0"/>
                <w:sz w:val="24"/>
                <w:szCs w:val="24"/>
                <w:highlight w:val="none"/>
                <w:lang w:val="en-US" w:eastAsia="zh-CN" w:bidi="ar"/>
                <w14:textFill>
                  <w14:solidFill>
                    <w14:schemeClr w14:val="tx1"/>
                  </w14:solidFill>
                </w14:textFill>
              </w:rPr>
              <w:t>项目非雨天道路硬化区清扫用水量为240m</w:t>
            </w:r>
            <w:r>
              <w:rPr>
                <w:rFonts w:hint="default" w:ascii="Times New Roman" w:hAnsi="Times New Roman" w:eastAsia="宋体" w:cs="Times New Roman"/>
                <w:i w:val="0"/>
                <w:iCs w:val="0"/>
                <w:color w:val="000000" w:themeColor="text1"/>
                <w:kern w:val="0"/>
                <w:sz w:val="24"/>
                <w:szCs w:val="24"/>
                <w:highlight w:val="none"/>
                <w:vertAlign w:val="superscript"/>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4"/>
                <w:szCs w:val="24"/>
                <w:highlight w:val="none"/>
                <w:lang w:val="en-US" w:eastAsia="zh-CN" w:bidi="ar"/>
                <w14:textFill>
                  <w14:solidFill>
                    <w14:schemeClr w14:val="tx1"/>
                  </w14:solidFill>
                </w14:textFill>
              </w:rPr>
              <w:t>/a。水源来自于一体化污水处理设施出水。</w:t>
            </w:r>
          </w:p>
          <w:p w14:paraId="0A1B0A7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right="0" w:rightChars="0"/>
              <w:textAlignment w:val="auto"/>
              <w:rPr>
                <w:rFonts w:hint="default" w:ascii="Times New Roman" w:hAnsi="Times New Roman" w:eastAsia="宋体" w:cs="Times New Roman"/>
                <w:color w:val="000000" w:themeColor="text1"/>
                <w:sz w:val="24"/>
                <w:szCs w:val="24"/>
                <w:lang w:val="zh-CN"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zh-CN" w:eastAsia="zh-CN"/>
                <w14:textFill>
                  <w14:solidFill>
                    <w14:schemeClr w14:val="tx1"/>
                  </w14:solidFill>
                </w14:textFill>
              </w:rPr>
              <w:t>（</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szCs w:val="24"/>
                <w:lang w:val="zh-CN" w:eastAsia="zh-CN"/>
                <w14:textFill>
                  <w14:solidFill>
                    <w14:schemeClr w14:val="tx1"/>
                  </w14:solidFill>
                </w14:textFill>
              </w:rPr>
              <w:t>）污水配套环保治理设施</w:t>
            </w:r>
          </w:p>
          <w:p w14:paraId="786B29E5">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mallCaps w:val="0"/>
                <w:color w:val="000000" w:themeColor="text1"/>
                <w:kern w:val="2"/>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云南联帆建材科技有限公司实际建成的废水处理措施如下：</w:t>
            </w:r>
          </w:p>
          <w:p w14:paraId="627317BC">
            <w:pPr>
              <w:spacing w:line="360" w:lineRule="auto"/>
              <w:ind w:firstLine="480" w:firstLineChars="200"/>
              <w:contextualSpacing/>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冷却水池：项目设有一座冷却水池50</w:t>
            </w:r>
            <w:r>
              <w:rPr>
                <w:rFonts w:hint="default" w:ascii="Times New Roman" w:hAnsi="Times New Roman" w:eastAsia="宋体" w:cs="Times New Roman"/>
                <w:color w:val="000000" w:themeColor="text1"/>
                <w:kern w:val="0"/>
                <w:sz w:val="24"/>
                <w:szCs w:val="24"/>
                <w:highlight w:val="none"/>
                <w:lang w:val="zh-CN" w:bidi="ar"/>
                <w14:textFill>
                  <w14:solidFill>
                    <w14:schemeClr w14:val="tx1"/>
                  </w14:solidFill>
                </w14:textFill>
              </w:rPr>
              <w:t>m</w:t>
            </w:r>
            <w:r>
              <w:rPr>
                <w:rFonts w:hint="default" w:ascii="Times New Roman" w:hAnsi="Times New Roman" w:eastAsia="宋体" w:cs="Times New Roman"/>
                <w:color w:val="000000" w:themeColor="text1"/>
                <w:kern w:val="0"/>
                <w:sz w:val="24"/>
                <w:szCs w:val="24"/>
                <w:highlight w:val="none"/>
                <w:vertAlign w:val="superscript"/>
                <w:lang w:val="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用</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于</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生产冷却水循环使用。</w:t>
            </w:r>
          </w:p>
          <w:p w14:paraId="053EB916">
            <w:pPr>
              <w:spacing w:line="360" w:lineRule="auto"/>
              <w:ind w:firstLine="480" w:firstLineChars="200"/>
              <w:contextualSpacing/>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隔油池：项目设有一座1.5m</w:t>
            </w:r>
            <w:r>
              <w:rPr>
                <w:rFonts w:hint="default" w:ascii="Times New Roman" w:hAnsi="Times New Roman" w:eastAsia="宋体" w:cs="Times New Roman"/>
                <w:color w:val="000000" w:themeColor="text1"/>
                <w:kern w:val="0"/>
                <w:sz w:val="24"/>
                <w:szCs w:val="24"/>
                <w:highlight w:val="none"/>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的隔油池，用于</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预</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处理食堂废水。</w:t>
            </w:r>
          </w:p>
          <w:p w14:paraId="6C1F62E5">
            <w:pPr>
              <w:spacing w:line="360" w:lineRule="auto"/>
              <w:ind w:firstLine="480" w:firstLineChars="200"/>
              <w:contextualSpacing/>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化粪池：项目设有2m</w:t>
            </w:r>
            <w:r>
              <w:rPr>
                <w:rFonts w:hint="default" w:ascii="Times New Roman" w:hAnsi="Times New Roman" w:eastAsia="宋体" w:cs="Times New Roman"/>
                <w:color w:val="000000" w:themeColor="text1"/>
                <w:kern w:val="0"/>
                <w:sz w:val="24"/>
                <w:szCs w:val="24"/>
                <w:highlight w:val="none"/>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的化粪池，对生活废水进行预处理。</w:t>
            </w:r>
          </w:p>
          <w:p w14:paraId="477307B3">
            <w:pPr>
              <w:spacing w:line="360" w:lineRule="auto"/>
              <w:ind w:firstLine="480" w:firstLineChars="200"/>
              <w:contextualSpacing/>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一体化污水处理设施：1套，处理能力为8m</w:t>
            </w:r>
            <w:r>
              <w:rPr>
                <w:rFonts w:hint="default" w:ascii="Times New Roman" w:hAnsi="Times New Roman" w:eastAsia="宋体" w:cs="Times New Roman"/>
                <w:color w:val="000000" w:themeColor="text1"/>
                <w:kern w:val="0"/>
                <w:sz w:val="24"/>
                <w:szCs w:val="24"/>
                <w:highlight w:val="none"/>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/d的污水处理设施，</w:t>
            </w:r>
            <w:r>
              <w:rPr>
                <w:rFonts w:ascii="Times New Roman" w:hAnsi="Times New Roman" w:eastAsia="宋体" w:cs="Times New Roman"/>
                <w:color w:val="000000" w:themeColor="text1"/>
                <w:sz w:val="24"/>
                <w:szCs w:val="24"/>
                <w14:textFill>
                  <w14:solidFill>
                    <w14:schemeClr w14:val="tx1"/>
                  </w14:solidFill>
                </w14:textFill>
              </w:rPr>
              <w:t>处理工艺使用</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调节池+A/O+MBR膜生物反应器+紫外线消毒</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ascii="Times New Roman" w:hAnsi="Times New Roman" w:eastAsia="宋体" w:cs="Times New Roman"/>
                <w:color w:val="000000" w:themeColor="text1"/>
                <w:sz w:val="24"/>
                <w:szCs w:val="24"/>
                <w14:textFill>
                  <w14:solidFill>
                    <w14:schemeClr w14:val="tx1"/>
                  </w14:solidFill>
                </w14:textFill>
              </w:rPr>
              <w:t>工艺</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用</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于</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水处理生活废水。</w:t>
            </w:r>
          </w:p>
          <w:p w14:paraId="6996BE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right="0" w:rightChars="0"/>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（3）污水处置去向</w:t>
            </w:r>
          </w:p>
          <w:p w14:paraId="09189503">
            <w:pPr>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生产时产生的</w:t>
            </w:r>
            <w:r>
              <w:rPr>
                <w:rFonts w:hint="default" w:ascii="Times New Roman" w:hAnsi="Times New Roman" w:eastAsia="宋体" w:cs="Times New Roman"/>
                <w:color w:val="000000" w:themeColor="text1"/>
                <w:sz w:val="24"/>
                <w:szCs w:val="24"/>
                <w:highlight w:val="none"/>
                <w:lang w:val="zh-CN" w:bidi="ar"/>
                <w14:textFill>
                  <w14:solidFill>
                    <w14:schemeClr w14:val="tx1"/>
                  </w14:solidFill>
                </w14:textFill>
              </w:rPr>
              <w:t>冷却水循环使用不外排，通过管道流入冷却</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塔；食堂废水经隔油池处理后与其他生活污水一起经化粪池处理后，最终进入自建的</w:t>
            </w:r>
            <w:r>
              <w:rPr>
                <w:rFonts w:hint="default" w:ascii="Times New Roman" w:hAnsi="Times New Roman" w:eastAsia="宋体" w:cs="Times New Roman"/>
                <w:color w:val="000000" w:themeColor="text1"/>
                <w:sz w:val="24"/>
                <w:szCs w:val="24"/>
                <w:highlight w:val="none"/>
                <w:lang w:val="zh-CN" w:eastAsia="zh-CN" w:bidi="ar"/>
                <w14:textFill>
                  <w14:solidFill>
                    <w14:schemeClr w14:val="tx1"/>
                  </w14:solidFill>
                </w14:textFill>
              </w:rPr>
              <w:t>一体化污水处理设施</w:t>
            </w:r>
            <w:r>
              <w:rPr>
                <w:rFonts w:hint="default" w:ascii="Times New Roman" w:hAnsi="Times New Roman" w:eastAsia="宋体" w:cs="Times New Roman"/>
                <w:color w:val="000000" w:themeColor="text1"/>
                <w:sz w:val="24"/>
                <w:szCs w:val="24"/>
                <w:highlight w:val="none"/>
                <w:lang w:val="zh-CN" w:bidi="ar"/>
                <w14:textFill>
                  <w14:solidFill>
                    <w14:schemeClr w14:val="tx1"/>
                  </w14:solidFill>
                </w14:textFill>
              </w:rPr>
              <w:t>处理</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达标后晴天回用于</w:t>
            </w:r>
            <w:r>
              <w:rPr>
                <w:rFonts w:hint="default" w:ascii="Times New Roman" w:hAnsi="Times New Roman" w:eastAsia="宋体" w:cs="Times New Roman"/>
                <w:color w:val="000000" w:themeColor="text1"/>
                <w:sz w:val="24"/>
                <w:szCs w:val="24"/>
                <w:highlight w:val="none"/>
                <w:lang w:val="zh-CN" w:bidi="ar"/>
                <w14:textFill>
                  <w14:solidFill>
                    <w14:schemeClr w14:val="tx1"/>
                  </w14:solidFill>
                </w14:textFill>
              </w:rPr>
              <w:t>绿化及道路洒水降尘，</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不外排，雨天暂存于回用水池。</w:t>
            </w:r>
          </w:p>
          <w:p w14:paraId="25FC26AF">
            <w:pPr>
              <w:keepNext w:val="0"/>
              <w:keepLines w:val="0"/>
              <w:pageBreakBefore w:val="0"/>
              <w:widowControl/>
              <w:kinsoku/>
              <w:wordWrap w:val="0"/>
              <w:overflowPunct/>
              <w:topLinePunct w:val="0"/>
              <w:autoSpaceDE/>
              <w:autoSpaceDN/>
              <w:bidi w:val="0"/>
              <w:adjustRightInd/>
              <w:snapToGrid/>
              <w:spacing w:before="0" w:after="0" w:line="360" w:lineRule="auto"/>
              <w:ind w:left="0" w:leftChars="0" w:right="0" w:firstLine="480" w:firstLineChars="200"/>
              <w:jc w:val="both"/>
              <w:textAlignment w:val="auto"/>
              <w:rPr>
                <w:rFonts w:hint="default"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t>本次联帆科技</w:t>
            </w:r>
            <w:r>
              <w:rPr>
                <w:rFonts w:hint="eastAsia"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t>废水</w:t>
            </w:r>
            <w:r>
              <w:rPr>
                <w:rFonts w:hint="default"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t>达标情况采用项目验收监测数据，云南环普检测科技有限公司于2022年</w:t>
            </w:r>
            <w:r>
              <w:rPr>
                <w:rFonts w:hint="eastAsia"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t>8月24日、2022年8月25日对自建污水处理站出口水质进行了监测，监测结果如下：</w:t>
            </w:r>
          </w:p>
          <w:p w14:paraId="1769174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表</w:t>
            </w: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2-16</w:t>
            </w:r>
            <w:r>
              <w:rPr>
                <w:rFonts w:hint="default" w:ascii="Times New Roman" w:hAnsi="Times New Roman" w:eastAsia="宋体" w:cs="Times New Roman"/>
                <w:b/>
                <w:color w:val="000000" w:themeColor="text1"/>
                <w:sz w:val="21"/>
                <w:szCs w:val="21"/>
                <w14:textFill>
                  <w14:solidFill>
                    <w14:schemeClr w14:val="tx1"/>
                  </w14:solidFill>
                </w14:textFill>
              </w:rPr>
              <w:t xml:space="preserve">   废水排放口监测结果     单位：mg/L（除pH为无量纲）</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665"/>
              <w:gridCol w:w="665"/>
              <w:gridCol w:w="665"/>
              <w:gridCol w:w="665"/>
              <w:gridCol w:w="665"/>
              <w:gridCol w:w="665"/>
              <w:gridCol w:w="665"/>
              <w:gridCol w:w="670"/>
              <w:gridCol w:w="774"/>
              <w:gridCol w:w="508"/>
            </w:tblGrid>
            <w:tr w14:paraId="5261A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981" w:type="pct"/>
                  <w:vMerge w:val="restart"/>
                  <w:tcBorders>
                    <w:tl2br w:val="single" w:color="auto" w:sz="4" w:space="0"/>
                  </w:tcBorders>
                  <w:noWrap w:val="0"/>
                  <w:vAlign w:val="center"/>
                </w:tcPr>
                <w:p w14:paraId="1408E06C">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jc w:val="righ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时间</w:t>
                  </w:r>
                </w:p>
                <w:p w14:paraId="31DE733B">
                  <w:pPr>
                    <w:keepNext w:val="0"/>
                    <w:keepLines w:val="0"/>
                    <w:pageBreakBefore w:val="0"/>
                    <w:kinsoku/>
                    <w:wordWrap/>
                    <w:overflowPunct/>
                    <w:topLinePunct w:val="0"/>
                    <w:autoSpaceDE/>
                    <w:autoSpaceDN/>
                    <w:bidi w:val="0"/>
                    <w:adjustRightInd/>
                    <w:snapToGrid/>
                    <w:spacing w:line="240" w:lineRule="auto"/>
                    <w:ind w:left="0" w:leftChars="0" w:right="0" w:rightChars="0" w:firstLine="0"/>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检测项目</w:t>
                  </w:r>
                </w:p>
              </w:tc>
              <w:tc>
                <w:tcPr>
                  <w:tcW w:w="1617" w:type="pct"/>
                  <w:gridSpan w:val="4"/>
                  <w:noWrap w:val="0"/>
                  <w:vAlign w:val="center"/>
                </w:tcPr>
                <w:p w14:paraId="5332054B">
                  <w:pPr>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2022.08.24</w:t>
                  </w:r>
                </w:p>
              </w:tc>
              <w:tc>
                <w:tcPr>
                  <w:tcW w:w="1620" w:type="pct"/>
                  <w:gridSpan w:val="4"/>
                  <w:noWrap w:val="0"/>
                  <w:vAlign w:val="center"/>
                </w:tcPr>
                <w:p w14:paraId="02E050E9">
                  <w:pPr>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2022.08.25</w:t>
                  </w:r>
                </w:p>
              </w:tc>
              <w:tc>
                <w:tcPr>
                  <w:tcW w:w="470" w:type="pct"/>
                  <w:vMerge w:val="restart"/>
                  <w:noWrap w:val="0"/>
                  <w:vAlign w:val="center"/>
                </w:tcPr>
                <w:p w14:paraId="46A037E6">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标准值</w:t>
                  </w:r>
                </w:p>
              </w:tc>
              <w:tc>
                <w:tcPr>
                  <w:tcW w:w="308" w:type="pct"/>
                  <w:vMerge w:val="restart"/>
                  <w:noWrap w:val="0"/>
                  <w:vAlign w:val="center"/>
                </w:tcPr>
                <w:p w14:paraId="6BD00AA8">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达标情况</w:t>
                  </w:r>
                </w:p>
              </w:tc>
            </w:tr>
            <w:tr w14:paraId="47969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1" w:type="pct"/>
                  <w:vMerge w:val="continue"/>
                  <w:tcBorders>
                    <w:tl2br w:val="single" w:color="auto" w:sz="4" w:space="0"/>
                  </w:tcBorders>
                  <w:noWrap w:val="0"/>
                  <w:vAlign w:val="center"/>
                </w:tcPr>
                <w:p w14:paraId="236A1D98">
                  <w:pPr>
                    <w:keepNext w:val="0"/>
                    <w:keepLines w:val="0"/>
                    <w:pageBreakBefore w:val="0"/>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04" w:type="pct"/>
                  <w:noWrap w:val="0"/>
                  <w:vAlign w:val="center"/>
                </w:tcPr>
                <w:p w14:paraId="78DC5454">
                  <w:pPr>
                    <w:keepNext w:val="0"/>
                    <w:keepLines w:val="0"/>
                    <w:pageBreakBefore w:val="0"/>
                    <w:tabs>
                      <w:tab w:val="left" w:pos="540"/>
                    </w:tabs>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第一次</w:t>
                  </w:r>
                </w:p>
              </w:tc>
              <w:tc>
                <w:tcPr>
                  <w:tcW w:w="404" w:type="pct"/>
                  <w:noWrap w:val="0"/>
                  <w:vAlign w:val="center"/>
                </w:tcPr>
                <w:p w14:paraId="590BDEF5">
                  <w:pPr>
                    <w:keepNext w:val="0"/>
                    <w:keepLines w:val="0"/>
                    <w:pageBreakBefore w:val="0"/>
                    <w:tabs>
                      <w:tab w:val="left" w:pos="540"/>
                    </w:tabs>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第二次</w:t>
                  </w:r>
                </w:p>
              </w:tc>
              <w:tc>
                <w:tcPr>
                  <w:tcW w:w="404" w:type="pct"/>
                  <w:noWrap w:val="0"/>
                  <w:vAlign w:val="center"/>
                </w:tcPr>
                <w:p w14:paraId="326974AD">
                  <w:pPr>
                    <w:keepNext w:val="0"/>
                    <w:keepLines w:val="0"/>
                    <w:pageBreakBefore w:val="0"/>
                    <w:tabs>
                      <w:tab w:val="left" w:pos="540"/>
                    </w:tabs>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第三次</w:t>
                  </w:r>
                </w:p>
              </w:tc>
              <w:tc>
                <w:tcPr>
                  <w:tcW w:w="404" w:type="pct"/>
                  <w:noWrap w:val="0"/>
                  <w:vAlign w:val="center"/>
                </w:tcPr>
                <w:p w14:paraId="02EC6918">
                  <w:pPr>
                    <w:keepNext w:val="0"/>
                    <w:keepLines w:val="0"/>
                    <w:pageBreakBefore w:val="0"/>
                    <w:tabs>
                      <w:tab w:val="left" w:pos="540"/>
                    </w:tabs>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第四次</w:t>
                  </w:r>
                </w:p>
              </w:tc>
              <w:tc>
                <w:tcPr>
                  <w:tcW w:w="404" w:type="pct"/>
                  <w:noWrap w:val="0"/>
                  <w:vAlign w:val="center"/>
                </w:tcPr>
                <w:p w14:paraId="58AF6016">
                  <w:pPr>
                    <w:keepNext w:val="0"/>
                    <w:keepLines w:val="0"/>
                    <w:pageBreakBefore w:val="0"/>
                    <w:tabs>
                      <w:tab w:val="left" w:pos="540"/>
                    </w:tabs>
                    <w:kinsoku/>
                    <w:wordWrap/>
                    <w:overflowPunct/>
                    <w:topLinePunct w:val="0"/>
                    <w:autoSpaceDE/>
                    <w:autoSpaceDN/>
                    <w:bidi w:val="0"/>
                    <w:adjustRightInd/>
                    <w:snapToGrid/>
                    <w:spacing w:line="240" w:lineRule="auto"/>
                    <w:ind w:left="-105" w:leftChars="-50" w:right="-105" w:rightChars="-50" w:firstLine="0" w:firstLine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第一次</w:t>
                  </w:r>
                </w:p>
              </w:tc>
              <w:tc>
                <w:tcPr>
                  <w:tcW w:w="404" w:type="pct"/>
                  <w:noWrap w:val="0"/>
                  <w:vAlign w:val="center"/>
                </w:tcPr>
                <w:p w14:paraId="7FC1A4CF">
                  <w:pPr>
                    <w:keepNext w:val="0"/>
                    <w:keepLines w:val="0"/>
                    <w:pageBreakBefore w:val="0"/>
                    <w:tabs>
                      <w:tab w:val="left" w:pos="540"/>
                    </w:tabs>
                    <w:kinsoku/>
                    <w:wordWrap/>
                    <w:overflowPunct/>
                    <w:topLinePunct w:val="0"/>
                    <w:autoSpaceDE/>
                    <w:autoSpaceDN/>
                    <w:bidi w:val="0"/>
                    <w:adjustRightInd/>
                    <w:snapToGrid/>
                    <w:spacing w:line="240" w:lineRule="auto"/>
                    <w:ind w:left="-105" w:leftChars="-50" w:right="-105" w:rightChars="-50" w:firstLine="0" w:firstLine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第二次</w:t>
                  </w:r>
                </w:p>
              </w:tc>
              <w:tc>
                <w:tcPr>
                  <w:tcW w:w="404" w:type="pct"/>
                  <w:noWrap w:val="0"/>
                  <w:vAlign w:val="center"/>
                </w:tcPr>
                <w:p w14:paraId="2BD9313D">
                  <w:pPr>
                    <w:keepNext w:val="0"/>
                    <w:keepLines w:val="0"/>
                    <w:pageBreakBefore w:val="0"/>
                    <w:tabs>
                      <w:tab w:val="left" w:pos="540"/>
                    </w:tabs>
                    <w:kinsoku/>
                    <w:wordWrap/>
                    <w:overflowPunct/>
                    <w:topLinePunct w:val="0"/>
                    <w:autoSpaceDE/>
                    <w:autoSpaceDN/>
                    <w:bidi w:val="0"/>
                    <w:adjustRightInd/>
                    <w:snapToGrid/>
                    <w:spacing w:line="240" w:lineRule="auto"/>
                    <w:ind w:left="-105" w:leftChars="-50" w:right="-105" w:rightChars="-50" w:firstLine="0" w:firstLine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第三次</w:t>
                  </w:r>
                </w:p>
              </w:tc>
              <w:tc>
                <w:tcPr>
                  <w:tcW w:w="407" w:type="pct"/>
                  <w:noWrap w:val="0"/>
                  <w:vAlign w:val="center"/>
                </w:tcPr>
                <w:p w14:paraId="0CC54512">
                  <w:pPr>
                    <w:keepNext w:val="0"/>
                    <w:keepLines w:val="0"/>
                    <w:pageBreakBefore w:val="0"/>
                    <w:tabs>
                      <w:tab w:val="left" w:pos="540"/>
                    </w:tabs>
                    <w:kinsoku/>
                    <w:wordWrap/>
                    <w:overflowPunct/>
                    <w:topLinePunct w:val="0"/>
                    <w:autoSpaceDE/>
                    <w:autoSpaceDN/>
                    <w:bidi w:val="0"/>
                    <w:adjustRightInd/>
                    <w:snapToGrid/>
                    <w:spacing w:line="240" w:lineRule="auto"/>
                    <w:ind w:left="-105" w:leftChars="-50" w:right="-105" w:rightChars="-50" w:firstLine="0" w:firstLine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第四次</w:t>
                  </w:r>
                </w:p>
              </w:tc>
              <w:tc>
                <w:tcPr>
                  <w:tcW w:w="470" w:type="pct"/>
                  <w:vMerge w:val="continue"/>
                  <w:noWrap w:val="0"/>
                  <w:vAlign w:val="center"/>
                </w:tcPr>
                <w:p w14:paraId="5FE36F93">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308" w:type="pct"/>
                  <w:vMerge w:val="continue"/>
                  <w:noWrap w:val="0"/>
                  <w:vAlign w:val="center"/>
                </w:tcPr>
                <w:p w14:paraId="75D1145E">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r>
            <w:tr w14:paraId="69F71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1" w:type="pct"/>
                  <w:noWrap w:val="0"/>
                  <w:vAlign w:val="center"/>
                </w:tcPr>
                <w:p w14:paraId="56BD351B">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pH（无量纲）</w:t>
                  </w:r>
                </w:p>
              </w:tc>
              <w:tc>
                <w:tcPr>
                  <w:tcW w:w="404" w:type="pct"/>
                  <w:noWrap w:val="0"/>
                  <w:vAlign w:val="center"/>
                </w:tcPr>
                <w:p w14:paraId="1BD73381">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8.48</w:t>
                  </w:r>
                </w:p>
              </w:tc>
              <w:tc>
                <w:tcPr>
                  <w:tcW w:w="404" w:type="pct"/>
                  <w:noWrap w:val="0"/>
                  <w:vAlign w:val="center"/>
                </w:tcPr>
                <w:p w14:paraId="6A52A862">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8.57</w:t>
                  </w:r>
                </w:p>
              </w:tc>
              <w:tc>
                <w:tcPr>
                  <w:tcW w:w="404" w:type="pct"/>
                  <w:noWrap w:val="0"/>
                  <w:vAlign w:val="center"/>
                </w:tcPr>
                <w:p w14:paraId="423B9238">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8.52</w:t>
                  </w:r>
                </w:p>
              </w:tc>
              <w:tc>
                <w:tcPr>
                  <w:tcW w:w="404" w:type="pct"/>
                  <w:noWrap w:val="0"/>
                  <w:vAlign w:val="center"/>
                </w:tcPr>
                <w:p w14:paraId="0555A17C">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8.59</w:t>
                  </w:r>
                </w:p>
              </w:tc>
              <w:tc>
                <w:tcPr>
                  <w:tcW w:w="404" w:type="pct"/>
                  <w:noWrap w:val="0"/>
                  <w:vAlign w:val="center"/>
                </w:tcPr>
                <w:p w14:paraId="4723047D">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8.53</w:t>
                  </w:r>
                </w:p>
              </w:tc>
              <w:tc>
                <w:tcPr>
                  <w:tcW w:w="404" w:type="pct"/>
                  <w:noWrap w:val="0"/>
                  <w:vAlign w:val="center"/>
                </w:tcPr>
                <w:p w14:paraId="52052001">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8.50</w:t>
                  </w:r>
                </w:p>
              </w:tc>
              <w:tc>
                <w:tcPr>
                  <w:tcW w:w="404" w:type="pct"/>
                  <w:noWrap w:val="0"/>
                  <w:vAlign w:val="center"/>
                </w:tcPr>
                <w:p w14:paraId="7626C5DA">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8.59</w:t>
                  </w:r>
                </w:p>
              </w:tc>
              <w:tc>
                <w:tcPr>
                  <w:tcW w:w="407" w:type="pct"/>
                  <w:noWrap w:val="0"/>
                  <w:vAlign w:val="center"/>
                </w:tcPr>
                <w:p w14:paraId="5AAEB30C">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8.56</w:t>
                  </w:r>
                </w:p>
              </w:tc>
              <w:tc>
                <w:tcPr>
                  <w:tcW w:w="470" w:type="pct"/>
                  <w:noWrap w:val="0"/>
                  <w:vAlign w:val="center"/>
                </w:tcPr>
                <w:p w14:paraId="68423D61">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6.0~9.0</w:t>
                  </w:r>
                </w:p>
              </w:tc>
              <w:tc>
                <w:tcPr>
                  <w:tcW w:w="308" w:type="pct"/>
                  <w:noWrap w:val="0"/>
                  <w:vAlign w:val="center"/>
                </w:tcPr>
                <w:p w14:paraId="6FF74EAA">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达标</w:t>
                  </w:r>
                </w:p>
              </w:tc>
            </w:tr>
            <w:tr w14:paraId="1D24A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981" w:type="pct"/>
                  <w:noWrap w:val="0"/>
                  <w:vAlign w:val="center"/>
                </w:tcPr>
                <w:p w14:paraId="6CD0F08E">
                  <w:pPr>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化学需氧量（mg/L）</w:t>
                  </w:r>
                </w:p>
              </w:tc>
              <w:tc>
                <w:tcPr>
                  <w:tcW w:w="404" w:type="pct"/>
                  <w:noWrap w:val="0"/>
                  <w:vAlign w:val="center"/>
                </w:tcPr>
                <w:p w14:paraId="79AD14E1">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19</w:t>
                  </w:r>
                </w:p>
              </w:tc>
              <w:tc>
                <w:tcPr>
                  <w:tcW w:w="404" w:type="pct"/>
                  <w:noWrap w:val="0"/>
                  <w:vAlign w:val="center"/>
                </w:tcPr>
                <w:p w14:paraId="33CD04E6">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22</w:t>
                  </w:r>
                </w:p>
              </w:tc>
              <w:tc>
                <w:tcPr>
                  <w:tcW w:w="404" w:type="pct"/>
                  <w:noWrap w:val="0"/>
                  <w:vAlign w:val="center"/>
                </w:tcPr>
                <w:p w14:paraId="211062CE">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24</w:t>
                  </w:r>
                </w:p>
              </w:tc>
              <w:tc>
                <w:tcPr>
                  <w:tcW w:w="404" w:type="pct"/>
                  <w:noWrap w:val="0"/>
                  <w:vAlign w:val="center"/>
                </w:tcPr>
                <w:p w14:paraId="1D226BAC">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w:t>
                  </w:r>
                </w:p>
              </w:tc>
              <w:tc>
                <w:tcPr>
                  <w:tcW w:w="404" w:type="pct"/>
                  <w:noWrap w:val="0"/>
                  <w:vAlign w:val="center"/>
                </w:tcPr>
                <w:p w14:paraId="1E6D371E">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22</w:t>
                  </w:r>
                </w:p>
              </w:tc>
              <w:tc>
                <w:tcPr>
                  <w:tcW w:w="404" w:type="pct"/>
                  <w:noWrap w:val="0"/>
                  <w:vAlign w:val="center"/>
                </w:tcPr>
                <w:p w14:paraId="68F11845">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24</w:t>
                  </w:r>
                </w:p>
              </w:tc>
              <w:tc>
                <w:tcPr>
                  <w:tcW w:w="404" w:type="pct"/>
                  <w:noWrap w:val="0"/>
                  <w:vAlign w:val="center"/>
                </w:tcPr>
                <w:p w14:paraId="27279830">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26</w:t>
                  </w:r>
                </w:p>
              </w:tc>
              <w:tc>
                <w:tcPr>
                  <w:tcW w:w="407" w:type="pct"/>
                  <w:noWrap w:val="0"/>
                  <w:vAlign w:val="center"/>
                </w:tcPr>
                <w:p w14:paraId="54A5317A">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21</w:t>
                  </w:r>
                </w:p>
              </w:tc>
              <w:tc>
                <w:tcPr>
                  <w:tcW w:w="470" w:type="pct"/>
                  <w:noWrap w:val="0"/>
                  <w:vAlign w:val="center"/>
                </w:tcPr>
                <w:p w14:paraId="05166F87">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50</w:t>
                  </w:r>
                </w:p>
              </w:tc>
              <w:tc>
                <w:tcPr>
                  <w:tcW w:w="308" w:type="pct"/>
                  <w:noWrap w:val="0"/>
                  <w:vAlign w:val="center"/>
                </w:tcPr>
                <w:p w14:paraId="5BD52EA7">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达标</w:t>
                  </w:r>
                </w:p>
              </w:tc>
            </w:tr>
            <w:tr w14:paraId="7091A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981" w:type="pct"/>
                  <w:noWrap w:val="0"/>
                  <w:vAlign w:val="center"/>
                </w:tcPr>
                <w:p w14:paraId="7143ABE2">
                  <w:pPr>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五日生化需氧量（mg/L）</w:t>
                  </w:r>
                </w:p>
              </w:tc>
              <w:tc>
                <w:tcPr>
                  <w:tcW w:w="404" w:type="pct"/>
                  <w:noWrap w:val="0"/>
                  <w:vAlign w:val="center"/>
                </w:tcPr>
                <w:p w14:paraId="575390E6">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6.0</w:t>
                  </w:r>
                </w:p>
              </w:tc>
              <w:tc>
                <w:tcPr>
                  <w:tcW w:w="404" w:type="pct"/>
                  <w:noWrap w:val="0"/>
                  <w:vAlign w:val="center"/>
                </w:tcPr>
                <w:p w14:paraId="5EC1CB5A">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7.0</w:t>
                  </w:r>
                </w:p>
              </w:tc>
              <w:tc>
                <w:tcPr>
                  <w:tcW w:w="404" w:type="pct"/>
                  <w:noWrap w:val="0"/>
                  <w:vAlign w:val="center"/>
                </w:tcPr>
                <w:p w14:paraId="25536944">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7.7</w:t>
                  </w:r>
                </w:p>
              </w:tc>
              <w:tc>
                <w:tcPr>
                  <w:tcW w:w="404" w:type="pct"/>
                  <w:noWrap w:val="0"/>
                  <w:vAlign w:val="center"/>
                </w:tcPr>
                <w:p w14:paraId="1C8E7AE6">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7.3</w:t>
                  </w:r>
                </w:p>
              </w:tc>
              <w:tc>
                <w:tcPr>
                  <w:tcW w:w="404" w:type="pct"/>
                  <w:noWrap w:val="0"/>
                  <w:vAlign w:val="center"/>
                </w:tcPr>
                <w:p w14:paraId="1765FCE8">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7.0</w:t>
                  </w:r>
                </w:p>
              </w:tc>
              <w:tc>
                <w:tcPr>
                  <w:tcW w:w="404" w:type="pct"/>
                  <w:noWrap w:val="0"/>
                  <w:vAlign w:val="center"/>
                </w:tcPr>
                <w:p w14:paraId="1B82BE07">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7.8</w:t>
                  </w:r>
                </w:p>
              </w:tc>
              <w:tc>
                <w:tcPr>
                  <w:tcW w:w="404" w:type="pct"/>
                  <w:noWrap w:val="0"/>
                  <w:vAlign w:val="center"/>
                </w:tcPr>
                <w:p w14:paraId="1792ABE8">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8.3</w:t>
                  </w:r>
                </w:p>
              </w:tc>
              <w:tc>
                <w:tcPr>
                  <w:tcW w:w="407" w:type="pct"/>
                  <w:noWrap w:val="0"/>
                  <w:vAlign w:val="center"/>
                </w:tcPr>
                <w:p w14:paraId="4DCEACE9">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6.6</w:t>
                  </w:r>
                </w:p>
              </w:tc>
              <w:tc>
                <w:tcPr>
                  <w:tcW w:w="470" w:type="pct"/>
                  <w:noWrap w:val="0"/>
                  <w:vAlign w:val="center"/>
                </w:tcPr>
                <w:p w14:paraId="42DACAC0">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w:t>
                  </w:r>
                </w:p>
              </w:tc>
              <w:tc>
                <w:tcPr>
                  <w:tcW w:w="308" w:type="pct"/>
                  <w:noWrap w:val="0"/>
                  <w:vAlign w:val="center"/>
                </w:tcPr>
                <w:p w14:paraId="38D754D8">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43A65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981" w:type="pct"/>
                  <w:noWrap w:val="0"/>
                  <w:vAlign w:val="center"/>
                </w:tcPr>
                <w:p w14:paraId="7AE2C17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悬浮物（mg/L）</w:t>
                  </w:r>
                </w:p>
              </w:tc>
              <w:tc>
                <w:tcPr>
                  <w:tcW w:w="404" w:type="pct"/>
                  <w:noWrap w:val="0"/>
                  <w:vAlign w:val="center"/>
                </w:tcPr>
                <w:p w14:paraId="779DA3CD">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6</w:t>
                  </w:r>
                </w:p>
              </w:tc>
              <w:tc>
                <w:tcPr>
                  <w:tcW w:w="404" w:type="pct"/>
                  <w:noWrap w:val="0"/>
                  <w:vAlign w:val="center"/>
                </w:tcPr>
                <w:p w14:paraId="1CD00181">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w:t>
                  </w:r>
                </w:p>
              </w:tc>
              <w:tc>
                <w:tcPr>
                  <w:tcW w:w="404" w:type="pct"/>
                  <w:noWrap w:val="0"/>
                  <w:vAlign w:val="center"/>
                </w:tcPr>
                <w:p w14:paraId="3188DBA2">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8</w:t>
                  </w:r>
                </w:p>
              </w:tc>
              <w:tc>
                <w:tcPr>
                  <w:tcW w:w="404" w:type="pct"/>
                  <w:noWrap w:val="0"/>
                  <w:vAlign w:val="center"/>
                </w:tcPr>
                <w:p w14:paraId="59778817">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w:t>
                  </w:r>
                </w:p>
              </w:tc>
              <w:tc>
                <w:tcPr>
                  <w:tcW w:w="404" w:type="pct"/>
                  <w:noWrap w:val="0"/>
                  <w:vAlign w:val="center"/>
                </w:tcPr>
                <w:p w14:paraId="6BB10ADC">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404" w:type="pct"/>
                  <w:noWrap w:val="0"/>
                  <w:vAlign w:val="center"/>
                </w:tcPr>
                <w:p w14:paraId="52C3B307">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w:t>
                  </w:r>
                </w:p>
              </w:tc>
              <w:tc>
                <w:tcPr>
                  <w:tcW w:w="404" w:type="pct"/>
                  <w:noWrap w:val="0"/>
                  <w:vAlign w:val="center"/>
                </w:tcPr>
                <w:p w14:paraId="550E8535">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8</w:t>
                  </w:r>
                </w:p>
              </w:tc>
              <w:tc>
                <w:tcPr>
                  <w:tcW w:w="407" w:type="pct"/>
                  <w:noWrap w:val="0"/>
                  <w:vAlign w:val="center"/>
                </w:tcPr>
                <w:p w14:paraId="68D2F0E9">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6</w:t>
                  </w:r>
                </w:p>
              </w:tc>
              <w:tc>
                <w:tcPr>
                  <w:tcW w:w="470" w:type="pct"/>
                  <w:noWrap w:val="0"/>
                  <w:vAlign w:val="center"/>
                </w:tcPr>
                <w:p w14:paraId="60C77F1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c>
                <w:tcPr>
                  <w:tcW w:w="308" w:type="pct"/>
                  <w:noWrap w:val="0"/>
                  <w:vAlign w:val="center"/>
                </w:tcPr>
                <w:p w14:paraId="2DF2FAD4">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达标</w:t>
                  </w:r>
                </w:p>
              </w:tc>
            </w:tr>
            <w:tr w14:paraId="33F21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981" w:type="pct"/>
                  <w:noWrap w:val="0"/>
                  <w:vAlign w:val="center"/>
                </w:tcPr>
                <w:p w14:paraId="24FB1D79">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氨氮（mg/L）</w:t>
                  </w:r>
                </w:p>
              </w:tc>
              <w:tc>
                <w:tcPr>
                  <w:tcW w:w="404" w:type="pct"/>
                  <w:noWrap w:val="0"/>
                  <w:vAlign w:val="center"/>
                </w:tcPr>
                <w:p w14:paraId="6198D8D6">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4.25</w:t>
                  </w:r>
                </w:p>
              </w:tc>
              <w:tc>
                <w:tcPr>
                  <w:tcW w:w="404" w:type="pct"/>
                  <w:noWrap w:val="0"/>
                  <w:vAlign w:val="center"/>
                </w:tcPr>
                <w:p w14:paraId="33E16977">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4.12</w:t>
                  </w:r>
                </w:p>
              </w:tc>
              <w:tc>
                <w:tcPr>
                  <w:tcW w:w="404" w:type="pct"/>
                  <w:noWrap w:val="0"/>
                  <w:vAlign w:val="center"/>
                </w:tcPr>
                <w:p w14:paraId="0291016B">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4.29</w:t>
                  </w:r>
                </w:p>
              </w:tc>
              <w:tc>
                <w:tcPr>
                  <w:tcW w:w="404" w:type="pct"/>
                  <w:noWrap w:val="0"/>
                  <w:vAlign w:val="center"/>
                </w:tcPr>
                <w:p w14:paraId="527E4C97">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4.26</w:t>
                  </w:r>
                </w:p>
              </w:tc>
              <w:tc>
                <w:tcPr>
                  <w:tcW w:w="404" w:type="pct"/>
                  <w:noWrap w:val="0"/>
                  <w:vAlign w:val="center"/>
                </w:tcPr>
                <w:p w14:paraId="0027FE7C">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4.36</w:t>
                  </w:r>
                </w:p>
              </w:tc>
              <w:tc>
                <w:tcPr>
                  <w:tcW w:w="404" w:type="pct"/>
                  <w:noWrap w:val="0"/>
                  <w:vAlign w:val="center"/>
                </w:tcPr>
                <w:p w14:paraId="3BE2D374">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4.17</w:t>
                  </w:r>
                </w:p>
              </w:tc>
              <w:tc>
                <w:tcPr>
                  <w:tcW w:w="404" w:type="pct"/>
                  <w:noWrap w:val="0"/>
                  <w:vAlign w:val="center"/>
                </w:tcPr>
                <w:p w14:paraId="69ADB58C">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4.28</w:t>
                  </w:r>
                </w:p>
              </w:tc>
              <w:tc>
                <w:tcPr>
                  <w:tcW w:w="407" w:type="pct"/>
                  <w:noWrap w:val="0"/>
                  <w:vAlign w:val="center"/>
                </w:tcPr>
                <w:p w14:paraId="68F9FFEA">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4.20</w:t>
                  </w:r>
                </w:p>
              </w:tc>
              <w:tc>
                <w:tcPr>
                  <w:tcW w:w="470" w:type="pct"/>
                  <w:noWrap w:val="0"/>
                  <w:vAlign w:val="center"/>
                </w:tcPr>
                <w:p w14:paraId="24130944">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8</w:t>
                  </w:r>
                </w:p>
              </w:tc>
              <w:tc>
                <w:tcPr>
                  <w:tcW w:w="308" w:type="pct"/>
                  <w:noWrap w:val="0"/>
                  <w:vAlign w:val="center"/>
                </w:tcPr>
                <w:p w14:paraId="4D7D2888">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达标</w:t>
                  </w:r>
                </w:p>
              </w:tc>
            </w:tr>
            <w:tr w14:paraId="0396B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981" w:type="pct"/>
                  <w:noWrap w:val="0"/>
                  <w:vAlign w:val="center"/>
                </w:tcPr>
                <w:p w14:paraId="65E89ADC">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总磷（mg/L）</w:t>
                  </w:r>
                </w:p>
              </w:tc>
              <w:tc>
                <w:tcPr>
                  <w:tcW w:w="404" w:type="pct"/>
                  <w:noWrap w:val="0"/>
                  <w:vAlign w:val="center"/>
                </w:tcPr>
                <w:p w14:paraId="4F3E9A1C">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0.41</w:t>
                  </w:r>
                </w:p>
              </w:tc>
              <w:tc>
                <w:tcPr>
                  <w:tcW w:w="404" w:type="pct"/>
                  <w:noWrap w:val="0"/>
                  <w:vAlign w:val="center"/>
                </w:tcPr>
                <w:p w14:paraId="282EF5F8">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0.46</w:t>
                  </w:r>
                </w:p>
              </w:tc>
              <w:tc>
                <w:tcPr>
                  <w:tcW w:w="404" w:type="pct"/>
                  <w:noWrap w:val="0"/>
                  <w:vAlign w:val="center"/>
                </w:tcPr>
                <w:p w14:paraId="0D624F2D">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0.44</w:t>
                  </w:r>
                </w:p>
              </w:tc>
              <w:tc>
                <w:tcPr>
                  <w:tcW w:w="404" w:type="pct"/>
                  <w:noWrap w:val="0"/>
                  <w:vAlign w:val="center"/>
                </w:tcPr>
                <w:p w14:paraId="49DEEE97">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0.39</w:t>
                  </w:r>
                </w:p>
              </w:tc>
              <w:tc>
                <w:tcPr>
                  <w:tcW w:w="404" w:type="pct"/>
                  <w:noWrap w:val="0"/>
                  <w:vAlign w:val="center"/>
                </w:tcPr>
                <w:p w14:paraId="1AE404D6">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0.44</w:t>
                  </w:r>
                </w:p>
              </w:tc>
              <w:tc>
                <w:tcPr>
                  <w:tcW w:w="404" w:type="pct"/>
                  <w:noWrap w:val="0"/>
                  <w:vAlign w:val="center"/>
                </w:tcPr>
                <w:p w14:paraId="66372CF2">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0.40</w:t>
                  </w:r>
                </w:p>
              </w:tc>
              <w:tc>
                <w:tcPr>
                  <w:tcW w:w="404" w:type="pct"/>
                  <w:noWrap w:val="0"/>
                  <w:vAlign w:val="center"/>
                </w:tcPr>
                <w:p w14:paraId="40CB5BC9">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0.37</w:t>
                  </w:r>
                </w:p>
              </w:tc>
              <w:tc>
                <w:tcPr>
                  <w:tcW w:w="407" w:type="pct"/>
                  <w:noWrap w:val="0"/>
                  <w:vAlign w:val="center"/>
                </w:tcPr>
                <w:p w14:paraId="31F9A02F">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0.45</w:t>
                  </w:r>
                </w:p>
              </w:tc>
              <w:tc>
                <w:tcPr>
                  <w:tcW w:w="470" w:type="pct"/>
                  <w:noWrap w:val="0"/>
                  <w:vAlign w:val="center"/>
                </w:tcPr>
                <w:p w14:paraId="634638F3">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0.5</w:t>
                  </w:r>
                </w:p>
              </w:tc>
              <w:tc>
                <w:tcPr>
                  <w:tcW w:w="308" w:type="pct"/>
                  <w:noWrap w:val="0"/>
                  <w:vAlign w:val="center"/>
                </w:tcPr>
                <w:p w14:paraId="06A8C6D4">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6418E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981" w:type="pct"/>
                  <w:noWrap w:val="0"/>
                  <w:vAlign w:val="center"/>
                </w:tcPr>
                <w:p w14:paraId="34FF61F0">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动植物油（mg/L）</w:t>
                  </w:r>
                </w:p>
              </w:tc>
              <w:tc>
                <w:tcPr>
                  <w:tcW w:w="404" w:type="pct"/>
                  <w:noWrap w:val="0"/>
                  <w:vAlign w:val="center"/>
                </w:tcPr>
                <w:p w14:paraId="73F67AA4">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0.66</w:t>
                  </w:r>
                </w:p>
              </w:tc>
              <w:tc>
                <w:tcPr>
                  <w:tcW w:w="404" w:type="pct"/>
                  <w:noWrap w:val="0"/>
                  <w:vAlign w:val="center"/>
                </w:tcPr>
                <w:p w14:paraId="4A3E6FED">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0.71</w:t>
                  </w:r>
                </w:p>
              </w:tc>
              <w:tc>
                <w:tcPr>
                  <w:tcW w:w="404" w:type="pct"/>
                  <w:noWrap w:val="0"/>
                  <w:vAlign w:val="center"/>
                </w:tcPr>
                <w:p w14:paraId="11E1E990">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0.69</w:t>
                  </w:r>
                </w:p>
              </w:tc>
              <w:tc>
                <w:tcPr>
                  <w:tcW w:w="404" w:type="pct"/>
                  <w:noWrap w:val="0"/>
                  <w:vAlign w:val="center"/>
                </w:tcPr>
                <w:p w14:paraId="07F1E806">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0.68</w:t>
                  </w:r>
                </w:p>
              </w:tc>
              <w:tc>
                <w:tcPr>
                  <w:tcW w:w="404" w:type="pct"/>
                  <w:noWrap w:val="0"/>
                  <w:vAlign w:val="center"/>
                </w:tcPr>
                <w:p w14:paraId="4383E68F">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0.70</w:t>
                  </w:r>
                </w:p>
              </w:tc>
              <w:tc>
                <w:tcPr>
                  <w:tcW w:w="404" w:type="pct"/>
                  <w:noWrap w:val="0"/>
                  <w:vAlign w:val="center"/>
                </w:tcPr>
                <w:p w14:paraId="01C54693">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0.66</w:t>
                  </w:r>
                </w:p>
              </w:tc>
              <w:tc>
                <w:tcPr>
                  <w:tcW w:w="404" w:type="pct"/>
                  <w:noWrap w:val="0"/>
                  <w:vAlign w:val="center"/>
                </w:tcPr>
                <w:p w14:paraId="4B4B9897">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0.67</w:t>
                  </w:r>
                </w:p>
              </w:tc>
              <w:tc>
                <w:tcPr>
                  <w:tcW w:w="407" w:type="pct"/>
                  <w:noWrap w:val="0"/>
                  <w:vAlign w:val="center"/>
                </w:tcPr>
                <w:p w14:paraId="7B46BE74">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0.69</w:t>
                  </w:r>
                </w:p>
              </w:tc>
              <w:tc>
                <w:tcPr>
                  <w:tcW w:w="470" w:type="pct"/>
                  <w:noWrap w:val="0"/>
                  <w:vAlign w:val="center"/>
                </w:tcPr>
                <w:p w14:paraId="293E2612">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308" w:type="pct"/>
                  <w:noWrap w:val="0"/>
                  <w:vAlign w:val="center"/>
                </w:tcPr>
                <w:p w14:paraId="441D09E2">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达标</w:t>
                  </w:r>
                </w:p>
              </w:tc>
            </w:tr>
            <w:tr w14:paraId="059D3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981" w:type="pct"/>
                  <w:noWrap w:val="0"/>
                  <w:vAlign w:val="center"/>
                </w:tcPr>
                <w:p w14:paraId="76D2E04A">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色度（度）</w:t>
                  </w:r>
                </w:p>
              </w:tc>
              <w:tc>
                <w:tcPr>
                  <w:tcW w:w="404" w:type="pct"/>
                  <w:noWrap w:val="0"/>
                  <w:vAlign w:val="center"/>
                </w:tcPr>
                <w:p w14:paraId="3E1F68F9">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w:t>
                  </w:r>
                </w:p>
              </w:tc>
              <w:tc>
                <w:tcPr>
                  <w:tcW w:w="404" w:type="pct"/>
                  <w:noWrap w:val="0"/>
                  <w:vAlign w:val="center"/>
                </w:tcPr>
                <w:p w14:paraId="43D9B870">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15</w:t>
                  </w:r>
                </w:p>
              </w:tc>
              <w:tc>
                <w:tcPr>
                  <w:tcW w:w="404" w:type="pct"/>
                  <w:noWrap w:val="0"/>
                  <w:vAlign w:val="center"/>
                </w:tcPr>
                <w:p w14:paraId="2E55A067">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15</w:t>
                  </w:r>
                </w:p>
              </w:tc>
              <w:tc>
                <w:tcPr>
                  <w:tcW w:w="404" w:type="pct"/>
                  <w:noWrap w:val="0"/>
                  <w:vAlign w:val="center"/>
                </w:tcPr>
                <w:p w14:paraId="50FD9C92">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w:t>
                  </w:r>
                </w:p>
              </w:tc>
              <w:tc>
                <w:tcPr>
                  <w:tcW w:w="404" w:type="pct"/>
                  <w:noWrap w:val="0"/>
                  <w:vAlign w:val="center"/>
                </w:tcPr>
                <w:p w14:paraId="3DA57D76">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15</w:t>
                  </w:r>
                </w:p>
              </w:tc>
              <w:tc>
                <w:tcPr>
                  <w:tcW w:w="404" w:type="pct"/>
                  <w:noWrap w:val="0"/>
                  <w:vAlign w:val="center"/>
                </w:tcPr>
                <w:p w14:paraId="18A1B378">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w:t>
                  </w:r>
                </w:p>
              </w:tc>
              <w:tc>
                <w:tcPr>
                  <w:tcW w:w="404" w:type="pct"/>
                  <w:noWrap w:val="0"/>
                  <w:vAlign w:val="center"/>
                </w:tcPr>
                <w:p w14:paraId="6045D7A0">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15</w:t>
                  </w:r>
                </w:p>
              </w:tc>
              <w:tc>
                <w:tcPr>
                  <w:tcW w:w="407" w:type="pct"/>
                  <w:noWrap w:val="0"/>
                  <w:vAlign w:val="center"/>
                </w:tcPr>
                <w:p w14:paraId="1DCD00BA">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w:t>
                  </w:r>
                </w:p>
              </w:tc>
              <w:tc>
                <w:tcPr>
                  <w:tcW w:w="470" w:type="pct"/>
                  <w:noWrap w:val="0"/>
                  <w:vAlign w:val="center"/>
                </w:tcPr>
                <w:p w14:paraId="11D6650E">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≤30</w:t>
                  </w:r>
                </w:p>
              </w:tc>
              <w:tc>
                <w:tcPr>
                  <w:tcW w:w="308" w:type="pct"/>
                  <w:noWrap w:val="0"/>
                  <w:vAlign w:val="center"/>
                </w:tcPr>
                <w:p w14:paraId="1E530055">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达标</w:t>
                  </w:r>
                </w:p>
              </w:tc>
            </w:tr>
            <w:tr w14:paraId="3CECB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981" w:type="pct"/>
                  <w:noWrap w:val="0"/>
                  <w:vAlign w:val="center"/>
                </w:tcPr>
                <w:p w14:paraId="52997951">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嗅</w:t>
                  </w:r>
                </w:p>
              </w:tc>
              <w:tc>
                <w:tcPr>
                  <w:tcW w:w="404" w:type="pct"/>
                  <w:noWrap w:val="0"/>
                  <w:vAlign w:val="center"/>
                </w:tcPr>
                <w:p w14:paraId="34CD48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无不快感</w:t>
                  </w:r>
                </w:p>
              </w:tc>
              <w:tc>
                <w:tcPr>
                  <w:tcW w:w="404" w:type="pct"/>
                  <w:noWrap w:val="0"/>
                  <w:vAlign w:val="center"/>
                </w:tcPr>
                <w:p w14:paraId="138788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无不快感</w:t>
                  </w:r>
                </w:p>
              </w:tc>
              <w:tc>
                <w:tcPr>
                  <w:tcW w:w="404" w:type="pct"/>
                  <w:noWrap w:val="0"/>
                  <w:vAlign w:val="center"/>
                </w:tcPr>
                <w:p w14:paraId="594006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无不快感</w:t>
                  </w:r>
                </w:p>
              </w:tc>
              <w:tc>
                <w:tcPr>
                  <w:tcW w:w="404" w:type="pct"/>
                  <w:noWrap w:val="0"/>
                  <w:vAlign w:val="center"/>
                </w:tcPr>
                <w:p w14:paraId="67C856B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无不快感</w:t>
                  </w:r>
                </w:p>
              </w:tc>
              <w:tc>
                <w:tcPr>
                  <w:tcW w:w="404" w:type="pct"/>
                  <w:noWrap w:val="0"/>
                  <w:vAlign w:val="center"/>
                </w:tcPr>
                <w:p w14:paraId="7D38039E">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无不快感</w:t>
                  </w:r>
                </w:p>
              </w:tc>
              <w:tc>
                <w:tcPr>
                  <w:tcW w:w="404" w:type="pct"/>
                  <w:noWrap w:val="0"/>
                  <w:vAlign w:val="center"/>
                </w:tcPr>
                <w:p w14:paraId="66981C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无不快感</w:t>
                  </w:r>
                </w:p>
              </w:tc>
              <w:tc>
                <w:tcPr>
                  <w:tcW w:w="404" w:type="pct"/>
                  <w:noWrap w:val="0"/>
                  <w:vAlign w:val="center"/>
                </w:tcPr>
                <w:p w14:paraId="2477B6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无不快感</w:t>
                  </w:r>
                </w:p>
              </w:tc>
              <w:tc>
                <w:tcPr>
                  <w:tcW w:w="407" w:type="pct"/>
                  <w:noWrap w:val="0"/>
                  <w:vAlign w:val="center"/>
                </w:tcPr>
                <w:p w14:paraId="3D110D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无不快感</w:t>
                  </w:r>
                </w:p>
              </w:tc>
              <w:tc>
                <w:tcPr>
                  <w:tcW w:w="470" w:type="pct"/>
                  <w:noWrap w:val="0"/>
                  <w:vAlign w:val="center"/>
                </w:tcPr>
                <w:p w14:paraId="46102B76">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无不快感</w:t>
                  </w:r>
                </w:p>
              </w:tc>
              <w:tc>
                <w:tcPr>
                  <w:tcW w:w="308" w:type="pct"/>
                  <w:noWrap w:val="0"/>
                  <w:vAlign w:val="center"/>
                </w:tcPr>
                <w:p w14:paraId="6BD01E16">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达标</w:t>
                  </w:r>
                </w:p>
              </w:tc>
            </w:tr>
            <w:tr w14:paraId="23B3F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981" w:type="pct"/>
                  <w:noWrap w:val="0"/>
                  <w:vAlign w:val="center"/>
                </w:tcPr>
                <w:p w14:paraId="6CEC6252">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浊度（NTU）</w:t>
                  </w:r>
                </w:p>
              </w:tc>
              <w:tc>
                <w:tcPr>
                  <w:tcW w:w="404" w:type="pct"/>
                  <w:noWrap w:val="0"/>
                  <w:vAlign w:val="center"/>
                </w:tcPr>
                <w:p w14:paraId="3F6D036A">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1L</w:t>
                  </w:r>
                </w:p>
              </w:tc>
              <w:tc>
                <w:tcPr>
                  <w:tcW w:w="404" w:type="pct"/>
                  <w:noWrap w:val="0"/>
                  <w:vAlign w:val="center"/>
                </w:tcPr>
                <w:p w14:paraId="31A09F2B">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1L</w:t>
                  </w:r>
                </w:p>
              </w:tc>
              <w:tc>
                <w:tcPr>
                  <w:tcW w:w="404" w:type="pct"/>
                  <w:noWrap w:val="0"/>
                  <w:vAlign w:val="center"/>
                </w:tcPr>
                <w:p w14:paraId="676972FD">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1L</w:t>
                  </w:r>
                </w:p>
              </w:tc>
              <w:tc>
                <w:tcPr>
                  <w:tcW w:w="404" w:type="pct"/>
                  <w:noWrap w:val="0"/>
                  <w:vAlign w:val="center"/>
                </w:tcPr>
                <w:p w14:paraId="42770697">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1L</w:t>
                  </w:r>
                </w:p>
              </w:tc>
              <w:tc>
                <w:tcPr>
                  <w:tcW w:w="404" w:type="pct"/>
                  <w:noWrap w:val="0"/>
                  <w:vAlign w:val="center"/>
                </w:tcPr>
                <w:p w14:paraId="30D3B11D">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1L</w:t>
                  </w:r>
                </w:p>
              </w:tc>
              <w:tc>
                <w:tcPr>
                  <w:tcW w:w="404" w:type="pct"/>
                  <w:noWrap w:val="0"/>
                  <w:vAlign w:val="center"/>
                </w:tcPr>
                <w:p w14:paraId="1811FA30">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1L</w:t>
                  </w:r>
                </w:p>
              </w:tc>
              <w:tc>
                <w:tcPr>
                  <w:tcW w:w="404" w:type="pct"/>
                  <w:noWrap w:val="0"/>
                  <w:vAlign w:val="center"/>
                </w:tcPr>
                <w:p w14:paraId="47878C95">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1L</w:t>
                  </w:r>
                </w:p>
              </w:tc>
              <w:tc>
                <w:tcPr>
                  <w:tcW w:w="407" w:type="pct"/>
                  <w:noWrap w:val="0"/>
                  <w:vAlign w:val="center"/>
                </w:tcPr>
                <w:p w14:paraId="51E11826">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1L</w:t>
                  </w:r>
                </w:p>
              </w:tc>
              <w:tc>
                <w:tcPr>
                  <w:tcW w:w="470" w:type="pct"/>
                  <w:noWrap w:val="0"/>
                  <w:vAlign w:val="center"/>
                </w:tcPr>
                <w:p w14:paraId="4F011FF1">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≤10MTU</w:t>
                  </w:r>
                </w:p>
              </w:tc>
              <w:tc>
                <w:tcPr>
                  <w:tcW w:w="308" w:type="pct"/>
                  <w:noWrap w:val="0"/>
                  <w:vAlign w:val="center"/>
                </w:tcPr>
                <w:p w14:paraId="231B93C4">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达标</w:t>
                  </w:r>
                </w:p>
              </w:tc>
            </w:tr>
            <w:tr w14:paraId="49164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981" w:type="pct"/>
                  <w:noWrap w:val="0"/>
                  <w:vAlign w:val="center"/>
                </w:tcPr>
                <w:p w14:paraId="0745F9A7">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阴离子表面活性剂（mg/L）</w:t>
                  </w:r>
                </w:p>
              </w:tc>
              <w:tc>
                <w:tcPr>
                  <w:tcW w:w="404" w:type="pct"/>
                  <w:noWrap w:val="0"/>
                  <w:vAlign w:val="center"/>
                </w:tcPr>
                <w:p w14:paraId="428B66B2">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0.25</w:t>
                  </w:r>
                </w:p>
              </w:tc>
              <w:tc>
                <w:tcPr>
                  <w:tcW w:w="404" w:type="pct"/>
                  <w:noWrap w:val="0"/>
                  <w:vAlign w:val="center"/>
                </w:tcPr>
                <w:p w14:paraId="4552D73F">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0.31</w:t>
                  </w:r>
                </w:p>
              </w:tc>
              <w:tc>
                <w:tcPr>
                  <w:tcW w:w="404" w:type="pct"/>
                  <w:noWrap w:val="0"/>
                  <w:vAlign w:val="center"/>
                </w:tcPr>
                <w:p w14:paraId="1E97BDC4">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0.27</w:t>
                  </w:r>
                </w:p>
              </w:tc>
              <w:tc>
                <w:tcPr>
                  <w:tcW w:w="404" w:type="pct"/>
                  <w:noWrap w:val="0"/>
                  <w:vAlign w:val="center"/>
                </w:tcPr>
                <w:p w14:paraId="5BF94FB6">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0.28</w:t>
                  </w:r>
                </w:p>
              </w:tc>
              <w:tc>
                <w:tcPr>
                  <w:tcW w:w="404" w:type="pct"/>
                  <w:noWrap w:val="0"/>
                  <w:vAlign w:val="center"/>
                </w:tcPr>
                <w:p w14:paraId="39E8366D">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0.27</w:t>
                  </w:r>
                </w:p>
              </w:tc>
              <w:tc>
                <w:tcPr>
                  <w:tcW w:w="404" w:type="pct"/>
                  <w:noWrap w:val="0"/>
                  <w:vAlign w:val="center"/>
                </w:tcPr>
                <w:p w14:paraId="4D8BB38D">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0.32</w:t>
                  </w:r>
                </w:p>
              </w:tc>
              <w:tc>
                <w:tcPr>
                  <w:tcW w:w="404" w:type="pct"/>
                  <w:noWrap w:val="0"/>
                  <w:vAlign w:val="center"/>
                </w:tcPr>
                <w:p w14:paraId="5ADBE1BD">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0.33</w:t>
                  </w:r>
                </w:p>
              </w:tc>
              <w:tc>
                <w:tcPr>
                  <w:tcW w:w="407" w:type="pct"/>
                  <w:noWrap w:val="0"/>
                  <w:vAlign w:val="center"/>
                </w:tcPr>
                <w:p w14:paraId="317AE185">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0.29</w:t>
                  </w:r>
                </w:p>
              </w:tc>
              <w:tc>
                <w:tcPr>
                  <w:tcW w:w="470" w:type="pct"/>
                  <w:noWrap w:val="0"/>
                  <w:vAlign w:val="center"/>
                </w:tcPr>
                <w:p w14:paraId="1ED56936">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≤0.5</w:t>
                  </w:r>
                </w:p>
              </w:tc>
              <w:tc>
                <w:tcPr>
                  <w:tcW w:w="308" w:type="pct"/>
                  <w:noWrap w:val="0"/>
                  <w:vAlign w:val="center"/>
                </w:tcPr>
                <w:p w14:paraId="7B7976BF">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达标</w:t>
                  </w:r>
                </w:p>
              </w:tc>
            </w:tr>
            <w:tr w14:paraId="34F10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981" w:type="pct"/>
                  <w:noWrap w:val="0"/>
                  <w:vAlign w:val="center"/>
                </w:tcPr>
                <w:p w14:paraId="46EE2461">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溶解性总固体（mg/L）</w:t>
                  </w:r>
                </w:p>
              </w:tc>
              <w:tc>
                <w:tcPr>
                  <w:tcW w:w="404" w:type="pct"/>
                  <w:noWrap w:val="0"/>
                  <w:vAlign w:val="center"/>
                </w:tcPr>
                <w:p w14:paraId="2C06C4FA">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168</w:t>
                  </w:r>
                </w:p>
              </w:tc>
              <w:tc>
                <w:tcPr>
                  <w:tcW w:w="404" w:type="pct"/>
                  <w:noWrap w:val="0"/>
                  <w:vAlign w:val="center"/>
                </w:tcPr>
                <w:p w14:paraId="34876945">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149</w:t>
                  </w:r>
                </w:p>
              </w:tc>
              <w:tc>
                <w:tcPr>
                  <w:tcW w:w="404" w:type="pct"/>
                  <w:noWrap w:val="0"/>
                  <w:vAlign w:val="center"/>
                </w:tcPr>
                <w:p w14:paraId="11691C8E">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155</w:t>
                  </w:r>
                </w:p>
              </w:tc>
              <w:tc>
                <w:tcPr>
                  <w:tcW w:w="404" w:type="pct"/>
                  <w:noWrap w:val="0"/>
                  <w:vAlign w:val="center"/>
                </w:tcPr>
                <w:p w14:paraId="7CEC051E">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170</w:t>
                  </w:r>
                </w:p>
              </w:tc>
              <w:tc>
                <w:tcPr>
                  <w:tcW w:w="404" w:type="pct"/>
                  <w:noWrap w:val="0"/>
                  <w:vAlign w:val="center"/>
                </w:tcPr>
                <w:p w14:paraId="4B00B8E7">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144</w:t>
                  </w:r>
                </w:p>
              </w:tc>
              <w:tc>
                <w:tcPr>
                  <w:tcW w:w="404" w:type="pct"/>
                  <w:noWrap w:val="0"/>
                  <w:vAlign w:val="center"/>
                </w:tcPr>
                <w:p w14:paraId="1E8ACBA9">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152</w:t>
                  </w:r>
                </w:p>
              </w:tc>
              <w:tc>
                <w:tcPr>
                  <w:tcW w:w="404" w:type="pct"/>
                  <w:noWrap w:val="0"/>
                  <w:vAlign w:val="center"/>
                </w:tcPr>
                <w:p w14:paraId="51E6A53A">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163</w:t>
                  </w:r>
                </w:p>
              </w:tc>
              <w:tc>
                <w:tcPr>
                  <w:tcW w:w="407" w:type="pct"/>
                  <w:noWrap w:val="0"/>
                  <w:vAlign w:val="center"/>
                </w:tcPr>
                <w:p w14:paraId="75E33CC7">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157</w:t>
                  </w:r>
                </w:p>
              </w:tc>
              <w:tc>
                <w:tcPr>
                  <w:tcW w:w="470" w:type="pct"/>
                  <w:noWrap w:val="0"/>
                  <w:vAlign w:val="center"/>
                </w:tcPr>
                <w:p w14:paraId="4CF92D17">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 xml:space="preserve">  ≤1000</w:t>
                  </w:r>
                </w:p>
              </w:tc>
              <w:tc>
                <w:tcPr>
                  <w:tcW w:w="308" w:type="pct"/>
                  <w:noWrap w:val="0"/>
                  <w:vAlign w:val="center"/>
                </w:tcPr>
                <w:p w14:paraId="3A4E4D95">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达标</w:t>
                  </w:r>
                </w:p>
              </w:tc>
            </w:tr>
            <w:tr w14:paraId="38DA4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981" w:type="pct"/>
                  <w:noWrap w:val="0"/>
                  <w:vAlign w:val="center"/>
                </w:tcPr>
                <w:p w14:paraId="047E9EC4">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溶解氧（mg/L）</w:t>
                  </w:r>
                </w:p>
              </w:tc>
              <w:tc>
                <w:tcPr>
                  <w:tcW w:w="404" w:type="pct"/>
                  <w:noWrap w:val="0"/>
                  <w:vAlign w:val="center"/>
                </w:tcPr>
                <w:p w14:paraId="52D16B59">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2.3</w:t>
                  </w:r>
                </w:p>
              </w:tc>
              <w:tc>
                <w:tcPr>
                  <w:tcW w:w="404" w:type="pct"/>
                  <w:noWrap w:val="0"/>
                  <w:vAlign w:val="center"/>
                </w:tcPr>
                <w:p w14:paraId="24C63129">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2.4</w:t>
                  </w:r>
                </w:p>
              </w:tc>
              <w:tc>
                <w:tcPr>
                  <w:tcW w:w="404" w:type="pct"/>
                  <w:noWrap w:val="0"/>
                  <w:vAlign w:val="center"/>
                </w:tcPr>
                <w:p w14:paraId="03BC8482">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2.4</w:t>
                  </w:r>
                </w:p>
              </w:tc>
              <w:tc>
                <w:tcPr>
                  <w:tcW w:w="404" w:type="pct"/>
                  <w:noWrap w:val="0"/>
                  <w:vAlign w:val="center"/>
                </w:tcPr>
                <w:p w14:paraId="47C23C2D">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2.6</w:t>
                  </w:r>
                </w:p>
              </w:tc>
              <w:tc>
                <w:tcPr>
                  <w:tcW w:w="404" w:type="pct"/>
                  <w:noWrap w:val="0"/>
                  <w:vAlign w:val="center"/>
                </w:tcPr>
                <w:p w14:paraId="3E64A56D">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2.5</w:t>
                  </w:r>
                </w:p>
              </w:tc>
              <w:tc>
                <w:tcPr>
                  <w:tcW w:w="404" w:type="pct"/>
                  <w:noWrap w:val="0"/>
                  <w:vAlign w:val="center"/>
                </w:tcPr>
                <w:p w14:paraId="4D8AA3E5">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2.4</w:t>
                  </w:r>
                </w:p>
              </w:tc>
              <w:tc>
                <w:tcPr>
                  <w:tcW w:w="404" w:type="pct"/>
                  <w:noWrap w:val="0"/>
                  <w:vAlign w:val="center"/>
                </w:tcPr>
                <w:p w14:paraId="3650E23D">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2.3</w:t>
                  </w:r>
                </w:p>
              </w:tc>
              <w:tc>
                <w:tcPr>
                  <w:tcW w:w="407" w:type="pct"/>
                  <w:noWrap w:val="0"/>
                  <w:vAlign w:val="center"/>
                </w:tcPr>
                <w:p w14:paraId="16C7DACC">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2.3</w:t>
                  </w:r>
                </w:p>
              </w:tc>
              <w:tc>
                <w:tcPr>
                  <w:tcW w:w="470" w:type="pct"/>
                  <w:noWrap w:val="0"/>
                  <w:vAlign w:val="center"/>
                </w:tcPr>
                <w:p w14:paraId="23B77174">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≥2</w:t>
                  </w:r>
                </w:p>
              </w:tc>
              <w:tc>
                <w:tcPr>
                  <w:tcW w:w="308" w:type="pct"/>
                  <w:noWrap w:val="0"/>
                  <w:vAlign w:val="center"/>
                </w:tcPr>
                <w:p w14:paraId="0C8F61C7">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达标</w:t>
                  </w:r>
                </w:p>
              </w:tc>
            </w:tr>
            <w:tr w14:paraId="4BE1A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981" w:type="pct"/>
                  <w:noWrap w:val="0"/>
                  <w:vAlign w:val="center"/>
                </w:tcPr>
                <w:p w14:paraId="4327F179">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总氯（mg/L）</w:t>
                  </w:r>
                </w:p>
              </w:tc>
              <w:tc>
                <w:tcPr>
                  <w:tcW w:w="404" w:type="pct"/>
                  <w:noWrap w:val="0"/>
                  <w:vAlign w:val="center"/>
                </w:tcPr>
                <w:p w14:paraId="4C92F9DC">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1.09</w:t>
                  </w:r>
                </w:p>
              </w:tc>
              <w:tc>
                <w:tcPr>
                  <w:tcW w:w="404" w:type="pct"/>
                  <w:noWrap w:val="0"/>
                  <w:vAlign w:val="center"/>
                </w:tcPr>
                <w:p w14:paraId="6A59FC79">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1.01</w:t>
                  </w:r>
                </w:p>
              </w:tc>
              <w:tc>
                <w:tcPr>
                  <w:tcW w:w="404" w:type="pct"/>
                  <w:noWrap w:val="0"/>
                  <w:vAlign w:val="center"/>
                </w:tcPr>
                <w:p w14:paraId="1B676E55">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1.21</w:t>
                  </w:r>
                </w:p>
              </w:tc>
              <w:tc>
                <w:tcPr>
                  <w:tcW w:w="404" w:type="pct"/>
                  <w:noWrap w:val="0"/>
                  <w:vAlign w:val="center"/>
                </w:tcPr>
                <w:p w14:paraId="4CC7B795">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1.14</w:t>
                  </w:r>
                </w:p>
              </w:tc>
              <w:tc>
                <w:tcPr>
                  <w:tcW w:w="404" w:type="pct"/>
                  <w:noWrap w:val="0"/>
                  <w:vAlign w:val="center"/>
                </w:tcPr>
                <w:p w14:paraId="4E6F78C4">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1.16</w:t>
                  </w:r>
                </w:p>
              </w:tc>
              <w:tc>
                <w:tcPr>
                  <w:tcW w:w="404" w:type="pct"/>
                  <w:noWrap w:val="0"/>
                  <w:vAlign w:val="center"/>
                </w:tcPr>
                <w:p w14:paraId="03DCBC6D">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1.08</w:t>
                  </w:r>
                </w:p>
              </w:tc>
              <w:tc>
                <w:tcPr>
                  <w:tcW w:w="404" w:type="pct"/>
                  <w:noWrap w:val="0"/>
                  <w:vAlign w:val="center"/>
                </w:tcPr>
                <w:p w14:paraId="26430628">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1.28</w:t>
                  </w:r>
                </w:p>
              </w:tc>
              <w:tc>
                <w:tcPr>
                  <w:tcW w:w="407" w:type="pct"/>
                  <w:noWrap w:val="0"/>
                  <w:vAlign w:val="center"/>
                </w:tcPr>
                <w:p w14:paraId="1ACA0422">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1.12</w:t>
                  </w:r>
                </w:p>
              </w:tc>
              <w:tc>
                <w:tcPr>
                  <w:tcW w:w="470" w:type="pct"/>
                  <w:noWrap w:val="0"/>
                  <w:vAlign w:val="center"/>
                </w:tcPr>
                <w:p w14:paraId="78F756C3">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≥1.0</w:t>
                  </w:r>
                </w:p>
              </w:tc>
              <w:tc>
                <w:tcPr>
                  <w:tcW w:w="308" w:type="pct"/>
                  <w:noWrap w:val="0"/>
                  <w:vAlign w:val="center"/>
                </w:tcPr>
                <w:p w14:paraId="49934459">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达标</w:t>
                  </w:r>
                </w:p>
              </w:tc>
            </w:tr>
            <w:tr w14:paraId="60CEA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981" w:type="pct"/>
                  <w:noWrap w:val="0"/>
                  <w:vAlign w:val="center"/>
                </w:tcPr>
                <w:p w14:paraId="1A0A3F35">
                  <w:pPr>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大肠埃希氏菌（MPN/100mL）</w:t>
                  </w:r>
                </w:p>
              </w:tc>
              <w:tc>
                <w:tcPr>
                  <w:tcW w:w="404" w:type="pct"/>
                  <w:noWrap w:val="0"/>
                  <w:vAlign w:val="center"/>
                </w:tcPr>
                <w:p w14:paraId="4B7E7A9D">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未检出</w:t>
                  </w:r>
                </w:p>
              </w:tc>
              <w:tc>
                <w:tcPr>
                  <w:tcW w:w="404" w:type="pct"/>
                  <w:noWrap w:val="0"/>
                  <w:vAlign w:val="center"/>
                </w:tcPr>
                <w:p w14:paraId="3C9D7192">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未检出</w:t>
                  </w:r>
                </w:p>
              </w:tc>
              <w:tc>
                <w:tcPr>
                  <w:tcW w:w="404" w:type="pct"/>
                  <w:noWrap w:val="0"/>
                  <w:vAlign w:val="center"/>
                </w:tcPr>
                <w:p w14:paraId="3723190C">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未检出</w:t>
                  </w:r>
                </w:p>
              </w:tc>
              <w:tc>
                <w:tcPr>
                  <w:tcW w:w="404" w:type="pct"/>
                  <w:noWrap w:val="0"/>
                  <w:vAlign w:val="center"/>
                </w:tcPr>
                <w:p w14:paraId="1C77F601">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未检出</w:t>
                  </w:r>
                </w:p>
              </w:tc>
              <w:tc>
                <w:tcPr>
                  <w:tcW w:w="404" w:type="pct"/>
                  <w:noWrap w:val="0"/>
                  <w:vAlign w:val="center"/>
                </w:tcPr>
                <w:p w14:paraId="2CCD0260">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未检出</w:t>
                  </w:r>
                </w:p>
              </w:tc>
              <w:tc>
                <w:tcPr>
                  <w:tcW w:w="404" w:type="pct"/>
                  <w:noWrap w:val="0"/>
                  <w:vAlign w:val="center"/>
                </w:tcPr>
                <w:p w14:paraId="46013953">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未检出</w:t>
                  </w:r>
                </w:p>
              </w:tc>
              <w:tc>
                <w:tcPr>
                  <w:tcW w:w="404" w:type="pct"/>
                  <w:noWrap w:val="0"/>
                  <w:vAlign w:val="center"/>
                </w:tcPr>
                <w:p w14:paraId="04145908">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未检出</w:t>
                  </w:r>
                </w:p>
              </w:tc>
              <w:tc>
                <w:tcPr>
                  <w:tcW w:w="407" w:type="pct"/>
                  <w:noWrap w:val="0"/>
                  <w:vAlign w:val="center"/>
                </w:tcPr>
                <w:p w14:paraId="4D82726C">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未检出</w:t>
                  </w:r>
                </w:p>
              </w:tc>
              <w:tc>
                <w:tcPr>
                  <w:tcW w:w="470" w:type="pct"/>
                  <w:noWrap w:val="0"/>
                  <w:vAlign w:val="center"/>
                </w:tcPr>
                <w:p w14:paraId="0D46E190">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无</w:t>
                  </w:r>
                </w:p>
              </w:tc>
              <w:tc>
                <w:tcPr>
                  <w:tcW w:w="308" w:type="pct"/>
                  <w:noWrap w:val="0"/>
                  <w:vAlign w:val="center"/>
                </w:tcPr>
                <w:p w14:paraId="3045E6E9">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达标</w:t>
                  </w:r>
                </w:p>
              </w:tc>
            </w:tr>
            <w:tr w14:paraId="2BA1E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5000" w:type="pct"/>
                  <w:gridSpan w:val="11"/>
                  <w:noWrap w:val="0"/>
                  <w:vAlign w:val="center"/>
                </w:tcPr>
                <w:p w14:paraId="708A7EFC">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备注：“检出限+L”表示检测结果低于方法检出限。</w:t>
                  </w:r>
                </w:p>
              </w:tc>
            </w:tr>
          </w:tbl>
          <w:p w14:paraId="42AB1839">
            <w:pPr>
              <w:keepNext w:val="0"/>
              <w:keepLines w:val="0"/>
              <w:pageBreakBefore w:val="0"/>
              <w:widowControl/>
              <w:kinsoku/>
              <w:wordWrap w:val="0"/>
              <w:overflowPunct/>
              <w:topLinePunct w:val="0"/>
              <w:autoSpaceDE/>
              <w:autoSpaceDN/>
              <w:bidi w:val="0"/>
              <w:adjustRightInd/>
              <w:snapToGrid/>
              <w:spacing w:before="0" w:after="0" w:line="360" w:lineRule="auto"/>
              <w:ind w:left="0" w:leftChars="0" w:right="0" w:firstLine="480" w:firstLineChars="200"/>
              <w:jc w:val="both"/>
              <w:textAlignment w:val="auto"/>
              <w:rPr>
                <w:rFonts w:hint="default" w:ascii="Times New Roman" w:hAnsi="Times New Roman" w:eastAsia="宋体" w:cs="Times New Roman"/>
                <w:i w:val="0"/>
                <w:i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i w:val="0"/>
                <w:iCs/>
                <w:color w:val="000000" w:themeColor="text1"/>
                <w:kern w:val="2"/>
                <w:sz w:val="24"/>
                <w:szCs w:val="21"/>
                <w:lang w:val="en-US" w:eastAsia="zh-CN" w:bidi="ar"/>
                <w14:textFill>
                  <w14:solidFill>
                    <w14:schemeClr w14:val="tx1"/>
                  </w14:solidFill>
                </w14:textFill>
              </w:rPr>
              <w:t>根据表</w:t>
            </w:r>
            <w:r>
              <w:rPr>
                <w:rFonts w:hint="eastAsia" w:ascii="Times New Roman" w:hAnsi="Times New Roman" w:eastAsia="宋体" w:cs="Times New Roman"/>
                <w:i w:val="0"/>
                <w:iCs/>
                <w:color w:val="000000" w:themeColor="text1"/>
                <w:kern w:val="2"/>
                <w:sz w:val="24"/>
                <w:szCs w:val="21"/>
                <w:lang w:val="en-US" w:eastAsia="zh-CN" w:bidi="ar"/>
                <w14:textFill>
                  <w14:solidFill>
                    <w14:schemeClr w14:val="tx1"/>
                  </w14:solidFill>
                </w14:textFill>
              </w:rPr>
              <w:t>2-15</w:t>
            </w:r>
            <w:r>
              <w:rPr>
                <w:rFonts w:hint="default" w:ascii="Times New Roman" w:hAnsi="Times New Roman" w:eastAsia="宋体" w:cs="Times New Roman"/>
                <w:i w:val="0"/>
                <w:iCs/>
                <w:color w:val="000000" w:themeColor="text1"/>
                <w:kern w:val="2"/>
                <w:sz w:val="24"/>
                <w:szCs w:val="21"/>
                <w:lang w:val="en-US" w:eastAsia="zh-CN" w:bidi="ar"/>
                <w14:textFill>
                  <w14:solidFill>
                    <w14:schemeClr w14:val="tx1"/>
                  </w14:solidFill>
                </w14:textFill>
              </w:rPr>
              <w:t>监测结果，</w:t>
            </w:r>
            <w:r>
              <w:rPr>
                <w:rFonts w:hint="eastAsia" w:ascii="Times New Roman" w:hAnsi="Times New Roman" w:eastAsia="宋体" w:cs="Times New Roman"/>
                <w:i w:val="0"/>
                <w:iCs/>
                <w:color w:val="000000" w:themeColor="text1"/>
                <w:kern w:val="2"/>
                <w:sz w:val="24"/>
                <w:szCs w:val="21"/>
                <w:lang w:val="en-US" w:eastAsia="zh-CN" w:bidi="ar"/>
                <w14:textFill>
                  <w14:solidFill>
                    <w14:schemeClr w14:val="tx1"/>
                  </w14:solidFill>
                </w14:textFill>
              </w:rPr>
              <w:t>经污水处理站处理后的出水水质</w:t>
            </w:r>
            <w:r>
              <w:rPr>
                <w:rFonts w:hint="default" w:ascii="Times New Roman" w:hAnsi="Times New Roman" w:eastAsia="宋体" w:cs="Times New Roman"/>
                <w:i w:val="0"/>
                <w:iCs/>
                <w:color w:val="000000" w:themeColor="text1"/>
                <w:kern w:val="2"/>
                <w:sz w:val="24"/>
                <w:szCs w:val="21"/>
                <w:lang w:val="en-US" w:eastAsia="zh-CN" w:bidi="ar"/>
                <w14:textFill>
                  <w14:solidFill>
                    <w14:schemeClr w14:val="tx1"/>
                  </w14:solidFill>
                </w14:textFill>
              </w:rPr>
              <w:t>可满足《城市污水再生利用城市杂用水水质（GB/T18920-2020）标准。</w:t>
            </w:r>
          </w:p>
          <w:p w14:paraId="044B20AF">
            <w:pPr>
              <w:keepNext w:val="0"/>
              <w:keepLines w:val="0"/>
              <w:pageBreakBefore w:val="0"/>
              <w:widowControl w:val="0"/>
              <w:kinsoku/>
              <w:wordWrap/>
              <w:overflowPunct/>
              <w:topLinePunct w:val="0"/>
              <w:autoSpaceDE/>
              <w:autoSpaceDN/>
              <w:bidi w:val="0"/>
              <w:adjustRightInd/>
              <w:snapToGrid/>
              <w:spacing w:before="0" w:after="0" w:line="360" w:lineRule="auto"/>
              <w:ind w:firstLine="482" w:firstLineChars="200"/>
              <w:jc w:val="left"/>
              <w:textAlignment w:val="auto"/>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（3）噪声</w:t>
            </w:r>
          </w:p>
          <w:p w14:paraId="681634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i w:val="0"/>
                <w:iCs w:val="0"/>
                <w:color w:val="000000" w:themeColor="text1"/>
                <w:sz w:val="24"/>
                <w:szCs w:val="24"/>
                <w:lang w:eastAsia="zh-CN" w:bidi="ar"/>
                <w14:textFill>
                  <w14:solidFill>
                    <w14:schemeClr w14:val="tx1"/>
                  </w14:solidFill>
                </w14:textFill>
              </w:rPr>
            </w:pPr>
            <w:r>
              <w:rPr>
                <w:rFonts w:hint="default" w:ascii="Times New Roman" w:hAnsi="Times New Roman" w:eastAsia="宋体" w:cs="Times New Roman"/>
                <w:i w:val="0"/>
                <w:iCs w:val="0"/>
                <w:color w:val="000000" w:themeColor="text1"/>
                <w:sz w:val="24"/>
                <w:szCs w:val="24"/>
                <w14:textFill>
                  <w14:solidFill>
                    <w14:schemeClr w14:val="tx1"/>
                  </w14:solidFill>
                </w14:textFill>
              </w:rPr>
              <w:t>项目噪声源主要</w:t>
            </w:r>
            <w:r>
              <w:rPr>
                <w:rFonts w:hint="default" w:ascii="Times New Roman" w:hAnsi="Times New Roman" w:eastAsia="宋体" w:cs="Times New Roman"/>
                <w:i w:val="0"/>
                <w:iCs w:val="0"/>
                <w:color w:val="000000" w:themeColor="text1"/>
                <w:sz w:val="24"/>
                <w:szCs w:val="24"/>
                <w:lang w:val="en-US"/>
                <w14:textFill>
                  <w14:solidFill>
                    <w14:schemeClr w14:val="tx1"/>
                  </w14:solidFill>
                </w14:textFill>
              </w:rPr>
              <w:t>为拌料机、挤出机、</w:t>
            </w:r>
            <w:r>
              <w:rPr>
                <w:rFonts w:hint="default" w:ascii="Times New Roman" w:hAnsi="Times New Roman" w:eastAsia="宋体" w:cs="Times New Roman"/>
                <w:i w:val="0"/>
                <w:iCs w:val="0"/>
                <w:color w:val="000000" w:themeColor="text1"/>
                <w:sz w:val="24"/>
                <w:szCs w:val="24"/>
                <w:lang w:val="en-US" w:eastAsia="zh-CN"/>
                <w14:textFill>
                  <w14:solidFill>
                    <w14:schemeClr w14:val="tx1"/>
                  </w14:solidFill>
                </w14:textFill>
              </w:rPr>
              <w:t>切割机、</w:t>
            </w:r>
            <w:r>
              <w:rPr>
                <w:rFonts w:hint="default" w:ascii="Times New Roman" w:hAnsi="Times New Roman" w:eastAsia="宋体" w:cs="Times New Roman"/>
                <w:i w:val="0"/>
                <w:iCs w:val="0"/>
                <w:color w:val="000000" w:themeColor="text1"/>
                <w:sz w:val="24"/>
                <w:szCs w:val="24"/>
                <w:lang w:val="en-US"/>
                <w14:textFill>
                  <w14:solidFill>
                    <w14:schemeClr w14:val="tx1"/>
                  </w14:solidFill>
                </w14:textFill>
              </w:rPr>
              <w:t>破碎机</w:t>
            </w:r>
            <w:r>
              <w:rPr>
                <w:rFonts w:hint="default" w:ascii="Times New Roman" w:hAnsi="Times New Roman" w:eastAsia="宋体" w:cs="Times New Roman"/>
                <w:i w:val="0"/>
                <w:iCs w:val="0"/>
                <w:color w:val="000000" w:themeColor="text1"/>
                <w:sz w:val="24"/>
                <w:szCs w:val="24"/>
                <w14:textFill>
                  <w14:solidFill>
                    <w14:schemeClr w14:val="tx1"/>
                  </w14:solidFill>
                </w14:textFill>
              </w:rPr>
              <w:t>等设备运行产生</w:t>
            </w:r>
            <w:r>
              <w:rPr>
                <w:rFonts w:hint="default" w:ascii="Times New Roman" w:hAnsi="Times New Roman" w:eastAsia="宋体" w:cs="Times New Roman"/>
                <w:i w:val="0"/>
                <w:iCs w:val="0"/>
                <w:color w:val="000000" w:themeColor="text1"/>
                <w:sz w:val="24"/>
                <w:szCs w:val="24"/>
                <w:lang w:eastAsia="zh-CN"/>
                <w14:textFill>
                  <w14:solidFill>
                    <w14:schemeClr w14:val="tx1"/>
                  </w14:solidFill>
                </w14:textFill>
              </w:rPr>
              <w:t>，工程</w:t>
            </w:r>
            <w:r>
              <w:rPr>
                <w:rFonts w:hint="default" w:ascii="Times New Roman" w:hAnsi="Times New Roman" w:eastAsia="宋体" w:cs="Times New Roman"/>
                <w:i w:val="0"/>
                <w:iCs w:val="0"/>
                <w:color w:val="000000" w:themeColor="text1"/>
                <w:sz w:val="24"/>
                <w:szCs w:val="24"/>
                <w:lang w:bidi="ar"/>
                <w14:textFill>
                  <w14:solidFill>
                    <w14:schemeClr w14:val="tx1"/>
                  </w14:solidFill>
                </w14:textFill>
              </w:rPr>
              <w:t>选用低噪声设备，并安装减震垫等减振措施，采用封闭厂房隔声等降低噪声影响</w:t>
            </w:r>
            <w:r>
              <w:rPr>
                <w:rFonts w:hint="default" w:ascii="Times New Roman" w:hAnsi="Times New Roman" w:eastAsia="宋体" w:cs="Times New Roman"/>
                <w:i w:val="0"/>
                <w:iCs w:val="0"/>
                <w:color w:val="000000" w:themeColor="text1"/>
                <w:sz w:val="24"/>
                <w:szCs w:val="24"/>
                <w:lang w:eastAsia="zh-CN" w:bidi="ar"/>
                <w14:textFill>
                  <w14:solidFill>
                    <w14:schemeClr w14:val="tx1"/>
                  </w14:solidFill>
                </w14:textFill>
              </w:rPr>
              <w:t>。</w:t>
            </w:r>
          </w:p>
          <w:p w14:paraId="62A046C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i w:val="0"/>
                <w:iCs w:val="0"/>
                <w:color w:val="000000" w:themeColor="text1"/>
                <w:sz w:val="24"/>
                <w:szCs w:val="24"/>
                <w14:textFill>
                  <w14:solidFill>
                    <w14:schemeClr w14:val="tx1"/>
                  </w14:solidFill>
                </w14:textFill>
              </w:rPr>
            </w:pPr>
            <w:r>
              <w:rPr>
                <w:rFonts w:hint="default" w:ascii="Times New Roman" w:hAnsi="Times New Roman" w:eastAsia="宋体" w:cs="Times New Roman"/>
                <w:b w:val="0"/>
                <w:bCs w:val="0"/>
                <w:i w:val="0"/>
                <w:iCs w:val="0"/>
                <w:color w:val="000000" w:themeColor="text1"/>
                <w:sz w:val="24"/>
                <w:szCs w:val="24"/>
                <w14:textFill>
                  <w14:solidFill>
                    <w14:schemeClr w14:val="tx1"/>
                  </w14:solidFill>
                </w14:textFill>
              </w:rPr>
              <w:t>云南环普检测科技有限公司</w:t>
            </w:r>
            <w:r>
              <w:rPr>
                <w:rFonts w:hint="default" w:ascii="Times New Roman" w:hAnsi="Times New Roman" w:eastAsia="宋体" w:cs="Times New Roman"/>
                <w:b w:val="0"/>
                <w:bCs w:val="0"/>
                <w:i w:val="0"/>
                <w:iCs w:val="0"/>
                <w:color w:val="000000" w:themeColor="text1"/>
                <w:spacing w:val="3"/>
                <w:sz w:val="24"/>
                <w:szCs w:val="24"/>
                <w14:textFill>
                  <w14:solidFill>
                    <w14:schemeClr w14:val="tx1"/>
                  </w14:solidFill>
                </w14:textFill>
              </w:rPr>
              <w:t>于</w:t>
            </w:r>
            <w:r>
              <w:rPr>
                <w:rFonts w:hint="default" w:ascii="Times New Roman" w:hAnsi="Times New Roman" w:eastAsia="宋体" w:cs="Times New Roman"/>
                <w:b w:val="0"/>
                <w:bCs w:val="0"/>
                <w:i w:val="0"/>
                <w:iCs w:val="0"/>
                <w:color w:val="000000" w:themeColor="text1"/>
                <w:spacing w:val="3"/>
                <w:sz w:val="24"/>
                <w:szCs w:val="24"/>
                <w:lang w:val="en-US" w:eastAsia="zh-CN"/>
                <w14:textFill>
                  <w14:solidFill>
                    <w14:schemeClr w14:val="tx1"/>
                  </w14:solidFill>
                </w14:textFill>
              </w:rPr>
              <w:t>2022年8月24日、2022年8月25日</w:t>
            </w:r>
            <w:r>
              <w:rPr>
                <w:rFonts w:hint="default" w:ascii="Times New Roman" w:hAnsi="Times New Roman" w:eastAsia="宋体" w:cs="Times New Roman"/>
                <w:b w:val="0"/>
                <w:bCs w:val="0"/>
                <w:i w:val="0"/>
                <w:iCs w:val="0"/>
                <w:color w:val="000000" w:themeColor="text1"/>
                <w:spacing w:val="2"/>
                <w:sz w:val="24"/>
                <w:szCs w:val="24"/>
                <w14:textFill>
                  <w14:solidFill>
                    <w14:schemeClr w14:val="tx1"/>
                  </w14:solidFill>
                </w14:textFill>
              </w:rPr>
              <w:t>对</w:t>
            </w:r>
            <w:r>
              <w:rPr>
                <w:rFonts w:hint="default" w:ascii="Times New Roman" w:hAnsi="Times New Roman" w:eastAsia="宋体" w:cs="Times New Roman"/>
                <w:b w:val="0"/>
                <w:bCs w:val="0"/>
                <w:i w:val="0"/>
                <w:iCs w:val="0"/>
                <w:color w:val="000000" w:themeColor="text1"/>
                <w:spacing w:val="2"/>
                <w:sz w:val="24"/>
                <w:szCs w:val="24"/>
                <w:lang w:val="en-US" w:eastAsia="zh-CN"/>
                <w14:textFill>
                  <w14:solidFill>
                    <w14:schemeClr w14:val="tx1"/>
                  </w14:solidFill>
                </w14:textFill>
              </w:rPr>
              <w:t>云南联帆建材科技有限公司</w:t>
            </w:r>
            <w:r>
              <w:rPr>
                <w:rFonts w:hint="default" w:ascii="Times New Roman" w:hAnsi="Times New Roman" w:eastAsia="宋体" w:cs="Times New Roman"/>
                <w:i w:val="0"/>
                <w:iCs w:val="0"/>
                <w:color w:val="000000" w:themeColor="text1"/>
                <w:sz w:val="24"/>
                <w:szCs w:val="24"/>
                <w14:textFill>
                  <w14:solidFill>
                    <w14:schemeClr w14:val="tx1"/>
                  </w14:solidFill>
                </w14:textFill>
              </w:rPr>
              <w:t>厂界噪声</w:t>
            </w:r>
            <w:r>
              <w:rPr>
                <w:rFonts w:hint="eastAsia" w:ascii="Times New Roman" w:hAnsi="Times New Roman" w:eastAsia="宋体" w:cs="Times New Roman"/>
                <w:i w:val="0"/>
                <w:iCs w:val="0"/>
                <w:color w:val="000000" w:themeColor="text1"/>
                <w:sz w:val="24"/>
                <w:szCs w:val="24"/>
                <w:lang w:eastAsia="zh-CN"/>
                <w14:textFill>
                  <w14:solidFill>
                    <w14:schemeClr w14:val="tx1"/>
                  </w14:solidFill>
                </w14:textFill>
              </w:rPr>
              <w:t>进行了</w:t>
            </w:r>
            <w:r>
              <w:rPr>
                <w:rFonts w:hint="eastAsia" w:ascii="Times New Roman" w:hAnsi="Times New Roman" w:eastAsia="宋体" w:cs="Times New Roman"/>
                <w:i w:val="0"/>
                <w:iCs w:val="0"/>
                <w:color w:val="000000" w:themeColor="text1"/>
                <w:sz w:val="24"/>
                <w:szCs w:val="24"/>
                <w:lang w:val="en-US" w:eastAsia="zh-CN"/>
                <w14:textFill>
                  <w14:solidFill>
                    <w14:schemeClr w14:val="tx1"/>
                  </w14:solidFill>
                </w14:textFill>
              </w:rPr>
              <w:t>监测</w:t>
            </w:r>
            <w:r>
              <w:rPr>
                <w:rFonts w:hint="eastAsia" w:ascii="Times New Roman" w:hAnsi="Times New Roman" w:eastAsia="宋体" w:cs="Times New Roman"/>
                <w:i w:val="0"/>
                <w:iCs w:val="0"/>
                <w:color w:val="000000" w:themeColor="text1"/>
                <w:sz w:val="24"/>
                <w:szCs w:val="24"/>
                <w:lang w:eastAsia="zh-CN"/>
                <w14:textFill>
                  <w14:solidFill>
                    <w14:schemeClr w14:val="tx1"/>
                  </w14:solidFill>
                </w14:textFill>
              </w:rPr>
              <w:t>，</w:t>
            </w:r>
            <w:r>
              <w:rPr>
                <w:rFonts w:hint="default" w:ascii="Times New Roman" w:hAnsi="Times New Roman" w:eastAsia="宋体" w:cs="Times New Roman"/>
                <w:i w:val="0"/>
                <w:iCs w:val="0"/>
                <w:color w:val="000000" w:themeColor="text1"/>
                <w:sz w:val="24"/>
                <w:szCs w:val="24"/>
                <w14:textFill>
                  <w14:solidFill>
                    <w14:schemeClr w14:val="tx1"/>
                  </w14:solidFill>
                </w14:textFill>
              </w:rPr>
              <w:t>监测结果见</w:t>
            </w:r>
            <w:r>
              <w:rPr>
                <w:rFonts w:hint="eastAsia" w:ascii="Times New Roman" w:hAnsi="Times New Roman" w:eastAsia="宋体" w:cs="Times New Roman"/>
                <w:i w:val="0"/>
                <w:iCs w:val="0"/>
                <w:color w:val="000000" w:themeColor="text1"/>
                <w:sz w:val="24"/>
                <w:szCs w:val="24"/>
                <w:lang w:eastAsia="zh-CN"/>
                <w14:textFill>
                  <w14:solidFill>
                    <w14:schemeClr w14:val="tx1"/>
                  </w14:solidFill>
                </w14:textFill>
              </w:rPr>
              <w:t>下表</w:t>
            </w:r>
            <w:r>
              <w:rPr>
                <w:rFonts w:hint="default" w:ascii="Times New Roman" w:hAnsi="Times New Roman" w:eastAsia="宋体" w:cs="Times New Roman"/>
                <w:i w:val="0"/>
                <w:iCs w:val="0"/>
                <w:color w:val="000000" w:themeColor="text1"/>
                <w:sz w:val="24"/>
                <w:szCs w:val="24"/>
                <w14:textFill>
                  <w14:solidFill>
                    <w14:schemeClr w14:val="tx1"/>
                  </w14:solidFill>
                </w14:textFill>
              </w:rPr>
              <w:t>。</w:t>
            </w:r>
          </w:p>
          <w:p w14:paraId="47A51A5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color w:val="000000" w:themeColor="text1"/>
                <w:sz w:val="21"/>
                <w:szCs w:val="21"/>
                <w:lang w:bidi="ar"/>
                <w14:textFill>
                  <w14:solidFill>
                    <w14:schemeClr w14:val="tx1"/>
                  </w14:solidFill>
                </w14:textFill>
              </w:rPr>
            </w:pPr>
            <w:r>
              <w:rPr>
                <w:rFonts w:hint="default" w:ascii="Times New Roman" w:hAnsi="Times New Roman" w:eastAsia="宋体" w:cs="Times New Roman"/>
                <w:b/>
                <w:color w:val="000000" w:themeColor="text1"/>
                <w:sz w:val="21"/>
                <w:szCs w:val="21"/>
                <w:lang w:bidi="ar"/>
                <w14:textFill>
                  <w14:solidFill>
                    <w14:schemeClr w14:val="tx1"/>
                  </w14:solidFill>
                </w14:textFill>
              </w:rPr>
              <w:t>表</w:t>
            </w:r>
            <w:r>
              <w:rPr>
                <w:rFonts w:hint="eastAsia" w:ascii="Times New Roman" w:hAnsi="Times New Roman" w:eastAsia="宋体" w:cs="Times New Roman"/>
                <w:b/>
                <w:color w:val="000000" w:themeColor="text1"/>
                <w:sz w:val="21"/>
                <w:szCs w:val="21"/>
                <w:lang w:val="en-US" w:eastAsia="zh-CN" w:bidi="ar"/>
                <w14:textFill>
                  <w14:solidFill>
                    <w14:schemeClr w14:val="tx1"/>
                  </w14:solidFill>
                </w14:textFill>
              </w:rPr>
              <w:t>2-17</w:t>
            </w:r>
            <w:r>
              <w:rPr>
                <w:rFonts w:hint="default" w:ascii="Times New Roman" w:hAnsi="Times New Roman" w:eastAsia="宋体" w:cs="Times New Roman"/>
                <w:b/>
                <w:color w:val="000000" w:themeColor="text1"/>
                <w:sz w:val="21"/>
                <w:szCs w:val="21"/>
                <w:lang w:bidi="ar"/>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 xml:space="preserve"> 厂界噪声排放标准 </w:t>
            </w:r>
            <w:r>
              <w:rPr>
                <w:rFonts w:hint="default" w:ascii="Times New Roman" w:hAnsi="Times New Roman" w:eastAsia="宋体" w:cs="Times New Roman"/>
                <w:b/>
                <w:color w:val="000000" w:themeColor="text1"/>
                <w:sz w:val="21"/>
                <w:szCs w:val="21"/>
                <w:lang w:bidi="ar"/>
                <w14:textFill>
                  <w14:solidFill>
                    <w14:schemeClr w14:val="tx1"/>
                  </w14:solidFill>
                </w14:textFill>
              </w:rPr>
              <w:t xml:space="preserve">    单位：dB（A）</w:t>
            </w:r>
          </w:p>
          <w:tbl>
            <w:tblPr>
              <w:tblStyle w:val="31"/>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096"/>
              <w:gridCol w:w="1826"/>
              <w:gridCol w:w="1406"/>
              <w:gridCol w:w="1544"/>
              <w:gridCol w:w="1339"/>
            </w:tblGrid>
            <w:tr w14:paraId="58B53D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77" w:type="pct"/>
                  <w:tcBorders>
                    <w:top w:val="single" w:color="auto" w:sz="8" w:space="0"/>
                    <w:bottom w:val="single" w:color="auto" w:sz="8" w:space="0"/>
                    <w:tl2br w:val="single" w:color="auto" w:sz="4" w:space="0"/>
                  </w:tcBorders>
                  <w:noWrap w:val="0"/>
                  <w:vAlign w:val="center"/>
                </w:tcPr>
                <w:p w14:paraId="65F8B6E9">
                  <w:pPr>
                    <w:tabs>
                      <w:tab w:val="left" w:pos="780"/>
                    </w:tabs>
                    <w:spacing w:line="240" w:lineRule="auto"/>
                    <w:jc w:val="right"/>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时间</w:t>
                  </w:r>
                </w:p>
                <w:p w14:paraId="2167F40A">
                  <w:pPr>
                    <w:tabs>
                      <w:tab w:val="left" w:pos="780"/>
                    </w:tabs>
                    <w:spacing w:line="240" w:lineRule="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点位</w:t>
                  </w:r>
                </w:p>
              </w:tc>
              <w:tc>
                <w:tcPr>
                  <w:tcW w:w="1112" w:type="pct"/>
                  <w:tcBorders>
                    <w:bottom w:val="single" w:color="auto" w:sz="8" w:space="0"/>
                  </w:tcBorders>
                  <w:noWrap w:val="0"/>
                  <w:vAlign w:val="center"/>
                </w:tcPr>
                <w:p w14:paraId="5DB106E9">
                  <w:pPr>
                    <w:spacing w:line="240" w:lineRule="auto"/>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20</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22.08.24</w:t>
                  </w:r>
                </w:p>
                <w:p w14:paraId="749DB580">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昼间</w:t>
                  </w:r>
                </w:p>
              </w:tc>
              <w:tc>
                <w:tcPr>
                  <w:tcW w:w="856" w:type="pct"/>
                  <w:tcBorders>
                    <w:bottom w:val="single" w:color="auto" w:sz="8" w:space="0"/>
                  </w:tcBorders>
                  <w:noWrap w:val="0"/>
                  <w:vAlign w:val="center"/>
                </w:tcPr>
                <w:p w14:paraId="176D2822">
                  <w:pPr>
                    <w:spacing w:line="240" w:lineRule="auto"/>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20</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22.08.24</w:t>
                  </w:r>
                </w:p>
                <w:p w14:paraId="5FBAB36D">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夜间</w:t>
                  </w:r>
                </w:p>
              </w:tc>
              <w:tc>
                <w:tcPr>
                  <w:tcW w:w="940" w:type="pct"/>
                  <w:tcBorders>
                    <w:bottom w:val="single" w:color="auto" w:sz="8" w:space="0"/>
                  </w:tcBorders>
                  <w:noWrap w:val="0"/>
                  <w:vAlign w:val="center"/>
                </w:tcPr>
                <w:p w14:paraId="40C3BED9">
                  <w:pPr>
                    <w:spacing w:line="240" w:lineRule="auto"/>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20</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22.08.25</w:t>
                  </w:r>
                </w:p>
                <w:p w14:paraId="209DC1A1">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昼间</w:t>
                  </w:r>
                </w:p>
              </w:tc>
              <w:tc>
                <w:tcPr>
                  <w:tcW w:w="815" w:type="pct"/>
                  <w:tcBorders>
                    <w:bottom w:val="single" w:color="auto" w:sz="8" w:space="0"/>
                  </w:tcBorders>
                  <w:noWrap w:val="0"/>
                  <w:vAlign w:val="center"/>
                </w:tcPr>
                <w:p w14:paraId="77AE724E">
                  <w:pPr>
                    <w:spacing w:line="240" w:lineRule="auto"/>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20</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22.08.25</w:t>
                  </w:r>
                </w:p>
                <w:p w14:paraId="16F099BD">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夜间</w:t>
                  </w:r>
                </w:p>
              </w:tc>
            </w:tr>
            <w:tr w14:paraId="6ACB46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1277" w:type="pct"/>
                  <w:tcBorders>
                    <w:top w:val="single" w:color="auto" w:sz="8" w:space="0"/>
                  </w:tcBorders>
                  <w:noWrap w:val="0"/>
                  <w:vAlign w:val="center"/>
                </w:tcPr>
                <w:p w14:paraId="47D1E0C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厂</w:t>
                  </w:r>
                  <w:r>
                    <w:rPr>
                      <w:rFonts w:hint="default" w:ascii="Times New Roman" w:hAnsi="Times New Roman" w:eastAsia="宋体" w:cs="Times New Roman"/>
                      <w:color w:val="000000" w:themeColor="text1"/>
                      <w:sz w:val="21"/>
                      <w:szCs w:val="21"/>
                      <w14:textFill>
                        <w14:solidFill>
                          <w14:schemeClr w14:val="tx1"/>
                        </w14:solidFill>
                      </w14:textFill>
                    </w:rPr>
                    <w:t>界</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东</w:t>
                  </w:r>
                </w:p>
              </w:tc>
              <w:tc>
                <w:tcPr>
                  <w:tcW w:w="1112" w:type="pct"/>
                  <w:tcBorders>
                    <w:top w:val="single" w:color="auto" w:sz="8" w:space="0"/>
                  </w:tcBorders>
                  <w:noWrap w:val="0"/>
                  <w:vAlign w:val="center"/>
                </w:tcPr>
                <w:p w14:paraId="106977A7">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52</w:t>
                  </w:r>
                </w:p>
              </w:tc>
              <w:tc>
                <w:tcPr>
                  <w:tcW w:w="856" w:type="pct"/>
                  <w:tcBorders>
                    <w:top w:val="single" w:color="auto" w:sz="8" w:space="0"/>
                  </w:tcBorders>
                  <w:noWrap w:val="0"/>
                  <w:vAlign w:val="center"/>
                </w:tcPr>
                <w:p w14:paraId="766013AE">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46</w:t>
                  </w:r>
                </w:p>
              </w:tc>
              <w:tc>
                <w:tcPr>
                  <w:tcW w:w="940" w:type="pct"/>
                  <w:tcBorders>
                    <w:top w:val="single" w:color="auto" w:sz="8" w:space="0"/>
                  </w:tcBorders>
                  <w:noWrap w:val="0"/>
                  <w:vAlign w:val="center"/>
                </w:tcPr>
                <w:p w14:paraId="15439CAE">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56</w:t>
                  </w:r>
                </w:p>
              </w:tc>
              <w:tc>
                <w:tcPr>
                  <w:tcW w:w="815" w:type="pct"/>
                  <w:tcBorders>
                    <w:top w:val="single" w:color="auto" w:sz="8" w:space="0"/>
                  </w:tcBorders>
                  <w:noWrap w:val="0"/>
                  <w:vAlign w:val="center"/>
                </w:tcPr>
                <w:p w14:paraId="04E93149">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46</w:t>
                  </w:r>
                </w:p>
              </w:tc>
            </w:tr>
            <w:tr w14:paraId="74FEF1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77" w:type="pct"/>
                  <w:noWrap w:val="0"/>
                  <w:vAlign w:val="center"/>
                </w:tcPr>
                <w:p w14:paraId="560E818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厂界南</w:t>
                  </w:r>
                </w:p>
              </w:tc>
              <w:tc>
                <w:tcPr>
                  <w:tcW w:w="1112" w:type="pct"/>
                  <w:noWrap w:val="0"/>
                  <w:vAlign w:val="center"/>
                </w:tcPr>
                <w:p w14:paraId="460A85B5">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60</w:t>
                  </w:r>
                </w:p>
              </w:tc>
              <w:tc>
                <w:tcPr>
                  <w:tcW w:w="856" w:type="pct"/>
                  <w:noWrap w:val="0"/>
                  <w:vAlign w:val="center"/>
                </w:tcPr>
                <w:p w14:paraId="1D7473F1">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51</w:t>
                  </w:r>
                </w:p>
              </w:tc>
              <w:tc>
                <w:tcPr>
                  <w:tcW w:w="940" w:type="pct"/>
                  <w:noWrap w:val="0"/>
                  <w:vAlign w:val="center"/>
                </w:tcPr>
                <w:p w14:paraId="1E243E4A">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59</w:t>
                  </w:r>
                </w:p>
              </w:tc>
              <w:tc>
                <w:tcPr>
                  <w:tcW w:w="815" w:type="pct"/>
                  <w:noWrap w:val="0"/>
                  <w:vAlign w:val="center"/>
                </w:tcPr>
                <w:p w14:paraId="18A828E5">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51</w:t>
                  </w:r>
                </w:p>
              </w:tc>
            </w:tr>
            <w:tr w14:paraId="2E420E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77" w:type="pct"/>
                  <w:noWrap w:val="0"/>
                  <w:vAlign w:val="center"/>
                </w:tcPr>
                <w:p w14:paraId="291CDF55">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厂界</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西</w:t>
                  </w:r>
                </w:p>
              </w:tc>
              <w:tc>
                <w:tcPr>
                  <w:tcW w:w="1112" w:type="pct"/>
                  <w:noWrap w:val="0"/>
                  <w:vAlign w:val="center"/>
                </w:tcPr>
                <w:p w14:paraId="06A45CD4">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63</w:t>
                  </w:r>
                </w:p>
              </w:tc>
              <w:tc>
                <w:tcPr>
                  <w:tcW w:w="856" w:type="pct"/>
                  <w:noWrap w:val="0"/>
                  <w:vAlign w:val="center"/>
                </w:tcPr>
                <w:p w14:paraId="228612D0">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52</w:t>
                  </w:r>
                </w:p>
              </w:tc>
              <w:tc>
                <w:tcPr>
                  <w:tcW w:w="940" w:type="pct"/>
                  <w:noWrap w:val="0"/>
                  <w:vAlign w:val="center"/>
                </w:tcPr>
                <w:p w14:paraId="2813BE67">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64</w:t>
                  </w:r>
                </w:p>
              </w:tc>
              <w:tc>
                <w:tcPr>
                  <w:tcW w:w="815" w:type="pct"/>
                  <w:noWrap w:val="0"/>
                  <w:vAlign w:val="center"/>
                </w:tcPr>
                <w:p w14:paraId="73EABA07">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53</w:t>
                  </w:r>
                </w:p>
              </w:tc>
            </w:tr>
            <w:tr w14:paraId="5BD667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77" w:type="pct"/>
                  <w:noWrap w:val="0"/>
                  <w:vAlign w:val="center"/>
                </w:tcPr>
                <w:p w14:paraId="19D5AB2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厂界北</w:t>
                  </w:r>
                </w:p>
              </w:tc>
              <w:tc>
                <w:tcPr>
                  <w:tcW w:w="1112" w:type="pct"/>
                  <w:noWrap w:val="0"/>
                  <w:vAlign w:val="center"/>
                </w:tcPr>
                <w:p w14:paraId="0FBF42A1">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61</w:t>
                  </w:r>
                </w:p>
              </w:tc>
              <w:tc>
                <w:tcPr>
                  <w:tcW w:w="856" w:type="pct"/>
                  <w:noWrap w:val="0"/>
                  <w:vAlign w:val="center"/>
                </w:tcPr>
                <w:p w14:paraId="5E0D982D">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53</w:t>
                  </w:r>
                </w:p>
              </w:tc>
              <w:tc>
                <w:tcPr>
                  <w:tcW w:w="940" w:type="pct"/>
                  <w:noWrap w:val="0"/>
                  <w:vAlign w:val="center"/>
                </w:tcPr>
                <w:p w14:paraId="741DCCC6">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62</w:t>
                  </w:r>
                </w:p>
              </w:tc>
              <w:tc>
                <w:tcPr>
                  <w:tcW w:w="815" w:type="pct"/>
                  <w:noWrap w:val="0"/>
                  <w:vAlign w:val="center"/>
                </w:tcPr>
                <w:p w14:paraId="105E0F09">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52</w:t>
                  </w:r>
                </w:p>
              </w:tc>
            </w:tr>
            <w:tr w14:paraId="6F1B90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77" w:type="pct"/>
                  <w:noWrap w:val="0"/>
                  <w:vAlign w:val="center"/>
                </w:tcPr>
                <w:p w14:paraId="2E0F9DF5">
                  <w:pPr>
                    <w:tabs>
                      <w:tab w:val="left" w:pos="780"/>
                    </w:tabs>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执行标准</w:t>
                  </w:r>
                </w:p>
              </w:tc>
              <w:tc>
                <w:tcPr>
                  <w:tcW w:w="1112" w:type="pct"/>
                  <w:noWrap w:val="0"/>
                  <w:vAlign w:val="center"/>
                </w:tcPr>
                <w:p w14:paraId="548BD36C">
                  <w:pPr>
                    <w:tabs>
                      <w:tab w:val="left" w:pos="780"/>
                    </w:tabs>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≤65</w:t>
                  </w:r>
                </w:p>
              </w:tc>
              <w:tc>
                <w:tcPr>
                  <w:tcW w:w="856" w:type="pct"/>
                  <w:noWrap w:val="0"/>
                  <w:vAlign w:val="center"/>
                </w:tcPr>
                <w:p w14:paraId="7D535990">
                  <w:pPr>
                    <w:tabs>
                      <w:tab w:val="left" w:pos="780"/>
                    </w:tabs>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≤55</w:t>
                  </w:r>
                </w:p>
              </w:tc>
              <w:tc>
                <w:tcPr>
                  <w:tcW w:w="940" w:type="pct"/>
                  <w:noWrap w:val="0"/>
                  <w:vAlign w:val="center"/>
                </w:tcPr>
                <w:p w14:paraId="43350F1C">
                  <w:pPr>
                    <w:tabs>
                      <w:tab w:val="left" w:pos="780"/>
                    </w:tabs>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≤65</w:t>
                  </w:r>
                </w:p>
              </w:tc>
              <w:tc>
                <w:tcPr>
                  <w:tcW w:w="815" w:type="pct"/>
                  <w:noWrap w:val="0"/>
                  <w:vAlign w:val="center"/>
                </w:tcPr>
                <w:p w14:paraId="08129E1F">
                  <w:pPr>
                    <w:tabs>
                      <w:tab w:val="left" w:pos="780"/>
                    </w:tabs>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≤55</w:t>
                  </w:r>
                </w:p>
              </w:tc>
            </w:tr>
            <w:tr w14:paraId="5F72D4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77" w:type="pct"/>
                  <w:noWrap w:val="0"/>
                  <w:vAlign w:val="center"/>
                </w:tcPr>
                <w:p w14:paraId="2A80E914">
                  <w:pPr>
                    <w:tabs>
                      <w:tab w:val="left" w:pos="780"/>
                    </w:tabs>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达标情况</w:t>
                  </w:r>
                </w:p>
              </w:tc>
              <w:tc>
                <w:tcPr>
                  <w:tcW w:w="1112" w:type="pct"/>
                  <w:noWrap w:val="0"/>
                  <w:vAlign w:val="center"/>
                </w:tcPr>
                <w:p w14:paraId="06127987">
                  <w:pPr>
                    <w:tabs>
                      <w:tab w:val="left" w:pos="780"/>
                    </w:tabs>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856" w:type="pct"/>
                  <w:noWrap w:val="0"/>
                  <w:vAlign w:val="center"/>
                </w:tcPr>
                <w:p w14:paraId="07758184">
                  <w:pPr>
                    <w:tabs>
                      <w:tab w:val="left" w:pos="780"/>
                    </w:tabs>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940" w:type="pct"/>
                  <w:noWrap w:val="0"/>
                  <w:vAlign w:val="center"/>
                </w:tcPr>
                <w:p w14:paraId="2D6F4CE4">
                  <w:pPr>
                    <w:tabs>
                      <w:tab w:val="left" w:pos="780"/>
                    </w:tabs>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815" w:type="pct"/>
                  <w:noWrap w:val="0"/>
                  <w:vAlign w:val="center"/>
                </w:tcPr>
                <w:p w14:paraId="1832D805">
                  <w:pPr>
                    <w:tabs>
                      <w:tab w:val="left" w:pos="780"/>
                    </w:tabs>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bl>
          <w:p w14:paraId="48A372E9">
            <w:pPr>
              <w:keepNext w:val="0"/>
              <w:keepLines w:val="0"/>
              <w:pageBreakBefore w:val="0"/>
              <w:widowControl/>
              <w:kinsoku/>
              <w:wordWrap w:val="0"/>
              <w:overflowPunct/>
              <w:topLinePunct w:val="0"/>
              <w:autoSpaceDE/>
              <w:autoSpaceDN/>
              <w:bidi w:val="0"/>
              <w:adjustRightInd/>
              <w:snapToGrid/>
              <w:spacing w:before="0" w:after="0" w:line="360" w:lineRule="auto"/>
              <w:ind w:left="0" w:leftChars="0" w:right="0" w:firstLine="480" w:firstLineChars="200"/>
              <w:jc w:val="both"/>
              <w:textAlignment w:val="auto"/>
              <w:rPr>
                <w:rFonts w:hint="default" w:ascii="Times New Roman" w:hAnsi="Times New Roman" w:eastAsia="宋体" w:cs="Times New Roman"/>
                <w:i w:val="0"/>
                <w:iCs/>
                <w:color w:val="000000" w:themeColor="text1"/>
                <w:kern w:val="2"/>
                <w:sz w:val="24"/>
                <w:szCs w:val="21"/>
                <w:lang w:val="en-US" w:eastAsia="zh-CN" w:bidi="ar"/>
                <w14:textFill>
                  <w14:solidFill>
                    <w14:schemeClr w14:val="tx1"/>
                  </w14:solidFill>
                </w14:textFill>
              </w:rPr>
            </w:pPr>
            <w:r>
              <w:rPr>
                <w:rFonts w:hint="default" w:ascii="Times New Roman" w:hAnsi="Times New Roman" w:eastAsia="宋体" w:cs="Times New Roman"/>
                <w:i w:val="0"/>
                <w:iCs/>
                <w:color w:val="000000" w:themeColor="text1"/>
                <w:kern w:val="2"/>
                <w:sz w:val="24"/>
                <w:szCs w:val="21"/>
                <w:lang w:val="en-US" w:eastAsia="zh-CN" w:bidi="ar"/>
                <w14:textFill>
                  <w14:solidFill>
                    <w14:schemeClr w14:val="tx1"/>
                  </w14:solidFill>
                </w14:textFill>
              </w:rPr>
              <w:t>从监测结果来看，东、南、西、北厂界噪声均达到《工业企业厂界环境噪声排放标准》（GB12348-2008）中3类标准，厂界噪声做到达标排放。</w:t>
            </w:r>
          </w:p>
          <w:p w14:paraId="3EFA7AFD">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sz w:val="24"/>
                <w:szCs w:val="21"/>
                <w:lang w:val="zh-CN"/>
                <w14:textFill>
                  <w14:solidFill>
                    <w14:schemeClr w14:val="tx1"/>
                  </w14:solidFill>
                </w14:textFill>
              </w:rPr>
            </w:pPr>
            <w:r>
              <w:rPr>
                <w:rFonts w:hint="eastAsia" w:ascii="Times New Roman" w:hAnsi="Times New Roman" w:eastAsia="宋体" w:cs="Times New Roman"/>
                <w:b/>
                <w:bCs/>
                <w:color w:val="000000" w:themeColor="text1"/>
                <w:sz w:val="24"/>
                <w:szCs w:val="21"/>
                <w:lang w:val="zh-CN"/>
                <w14:textFill>
                  <w14:solidFill>
                    <w14:schemeClr w14:val="tx1"/>
                  </w14:solidFill>
                </w14:textFill>
              </w:rPr>
              <w:t>（</w:t>
            </w:r>
            <w:r>
              <w:rPr>
                <w:rFonts w:hint="eastAsia" w:ascii="Times New Roman" w:hAnsi="Times New Roman" w:eastAsia="宋体" w:cs="Times New Roman"/>
                <w:b/>
                <w:bCs/>
                <w:color w:val="000000" w:themeColor="text1"/>
                <w:sz w:val="24"/>
                <w:szCs w:val="21"/>
                <w:lang w:val="en-US" w:eastAsia="zh-CN"/>
                <w14:textFill>
                  <w14:solidFill>
                    <w14:schemeClr w14:val="tx1"/>
                  </w14:solidFill>
                </w14:textFill>
              </w:rPr>
              <w:t>4</w:t>
            </w:r>
            <w:r>
              <w:rPr>
                <w:rFonts w:hint="eastAsia" w:ascii="Times New Roman" w:hAnsi="Times New Roman" w:eastAsia="宋体" w:cs="Times New Roman"/>
                <w:b/>
                <w:bCs/>
                <w:color w:val="000000" w:themeColor="text1"/>
                <w:sz w:val="24"/>
                <w:szCs w:val="21"/>
                <w:lang w:val="zh-CN"/>
                <w14:textFill>
                  <w14:solidFill>
                    <w14:schemeClr w14:val="tx1"/>
                  </w14:solidFill>
                </w14:textFill>
              </w:rPr>
              <w:t>）</w:t>
            </w:r>
            <w:r>
              <w:rPr>
                <w:rFonts w:hint="default" w:ascii="Times New Roman" w:hAnsi="Times New Roman" w:eastAsia="宋体" w:cs="Times New Roman"/>
                <w:b/>
                <w:bCs/>
                <w:color w:val="000000" w:themeColor="text1"/>
                <w:sz w:val="24"/>
                <w:szCs w:val="21"/>
                <w:lang w:val="zh-CN"/>
                <w14:textFill>
                  <w14:solidFill>
                    <w14:schemeClr w14:val="tx1"/>
                  </w14:solidFill>
                </w14:textFill>
              </w:rPr>
              <w:t>固体废物</w:t>
            </w:r>
          </w:p>
          <w:p w14:paraId="439FD3DD">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smallCaps w:val="0"/>
                <w:color w:val="000000" w:themeColor="text1"/>
                <w:sz w:val="24"/>
                <w:szCs w:val="24"/>
                <w:highlight w:val="none"/>
                <w:lang w:val="en-US"/>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经现场调查，</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云南联帆建材科技有限公司</w:t>
            </w:r>
            <w:r>
              <w:rPr>
                <w:rFonts w:hint="default" w:ascii="Times New Roman" w:hAnsi="Times New Roman" w:eastAsia="宋体" w:cs="Times New Roman"/>
                <w:color w:val="000000" w:themeColor="text1"/>
                <w:sz w:val="24"/>
                <w:szCs w:val="24"/>
                <w:highlight w:val="none"/>
                <w14:textFill>
                  <w14:solidFill>
                    <w14:schemeClr w14:val="tx1"/>
                  </w14:solidFill>
                </w14:textFill>
              </w:rPr>
              <w:t>生产过程中产生的固体废物主要为生产固废、危险废弃物和生活固废。生产固废</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废包装袋、边角料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及</w:t>
            </w:r>
            <w:r>
              <w:rPr>
                <w:rFonts w:hint="default" w:ascii="Times New Roman" w:hAnsi="Times New Roman" w:eastAsia="宋体" w:cs="Times New Roman"/>
                <w:color w:val="000000" w:themeColor="text1"/>
                <w:sz w:val="24"/>
                <w:szCs w:val="24"/>
                <w:highlight w:val="none"/>
                <w14:textFill>
                  <w14:solidFill>
                    <w14:schemeClr w14:val="tx1"/>
                  </w14:solidFill>
                </w14:textFill>
              </w:rPr>
              <w:t>不合格产品、</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除尘器收集</w:t>
            </w:r>
            <w:r>
              <w:rPr>
                <w:rFonts w:hint="default" w:ascii="Times New Roman" w:hAnsi="Times New Roman" w:eastAsia="宋体" w:cs="Times New Roman"/>
                <w:color w:val="000000" w:themeColor="text1"/>
                <w:sz w:val="24"/>
                <w:szCs w:val="24"/>
                <w:highlight w:val="none"/>
                <w14:textFill>
                  <w14:solidFill>
                    <w14:schemeClr w14:val="tx1"/>
                  </w14:solidFill>
                </w14:textFill>
              </w:rPr>
              <w:t>粉尘</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；生活固废</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生活垃圾</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化粪池及</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一体化污水处理设施</w:t>
            </w:r>
            <w:r>
              <w:rPr>
                <w:rFonts w:hint="default" w:ascii="Times New Roman" w:hAnsi="Times New Roman" w:eastAsia="宋体" w:cs="Times New Roman"/>
                <w:color w:val="000000" w:themeColor="text1"/>
                <w:sz w:val="24"/>
                <w:szCs w:val="24"/>
                <w:highlight w:val="none"/>
                <w14:textFill>
                  <w14:solidFill>
                    <w14:schemeClr w14:val="tx1"/>
                  </w14:solidFill>
                </w14:textFill>
              </w:rPr>
              <w:t>产生的污泥</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smallCaps w:val="0"/>
                <w:color w:val="000000" w:themeColor="text1"/>
                <w:kern w:val="2"/>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危险废弃物</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w:t>
            </w:r>
            <w:r>
              <w:rPr>
                <w:rFonts w:hint="default" w:ascii="Times New Roman" w:hAnsi="Times New Roman" w:eastAsia="宋体" w:cs="Times New Roman"/>
                <w:color w:val="000000" w:themeColor="text1"/>
                <w:sz w:val="24"/>
                <w:szCs w:val="24"/>
                <w:highlight w:val="none"/>
                <w14:textFill>
                  <w14:solidFill>
                    <w14:schemeClr w14:val="tx1"/>
                  </w14:solidFill>
                </w14:textFill>
              </w:rPr>
              <w:t>活性炭</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废机油</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0C6069F9">
            <w:pPr>
              <w:keepNext w:val="0"/>
              <w:keepLines w:val="0"/>
              <w:widowControl w:val="0"/>
              <w:suppressLineNumbers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smallCaps w:val="0"/>
                <w:color w:val="000000" w:themeColor="text1"/>
                <w:sz w:val="24"/>
                <w:szCs w:val="24"/>
                <w:highlight w:val="none"/>
                <w:lang w:val="en-US"/>
                <w14:textFill>
                  <w14:solidFill>
                    <w14:schemeClr w14:val="tx1"/>
                  </w14:solidFill>
                </w14:textFill>
              </w:rPr>
            </w:pPr>
            <w:r>
              <w:rPr>
                <w:rFonts w:hint="default" w:ascii="Times New Roman" w:hAnsi="Times New Roman" w:eastAsia="宋体" w:cs="Times New Roman"/>
                <w:b/>
                <w:bCs w:val="0"/>
                <w:smallCaps w:val="0"/>
                <w:color w:val="000000" w:themeColor="text1"/>
                <w:kern w:val="2"/>
                <w:sz w:val="24"/>
                <w:szCs w:val="24"/>
                <w:highlight w:val="none"/>
                <w:lang w:val="en-US" w:eastAsia="zh-CN" w:bidi="ar"/>
                <w14:textFill>
                  <w14:solidFill>
                    <w14:schemeClr w14:val="tx1"/>
                  </w14:solidFill>
                </w14:textFill>
              </w:rPr>
              <w:t>1）生产固废</w:t>
            </w:r>
          </w:p>
          <w:p w14:paraId="4824DDCE">
            <w:pPr>
              <w:spacing w:line="360" w:lineRule="auto"/>
              <w:ind w:firstLine="480" w:firstLineChars="200"/>
              <w:rPr>
                <w:rFonts w:hint="default" w:ascii="Times New Roman" w:hAnsi="Times New Roman" w:eastAsia="宋体" w:cs="Times New Roman"/>
                <w:color w:val="000000" w:themeColor="text1"/>
                <w:sz w:val="24"/>
                <w:szCs w:val="24"/>
                <w:highlight w:val="none"/>
                <w:lang w:bidi="ar"/>
                <w14:textFill>
                  <w14:solidFill>
                    <w14:schemeClr w14:val="tx1"/>
                  </w14:solidFill>
                </w14:textFill>
              </w:rPr>
            </w:pPr>
            <w:r>
              <w:rPr>
                <w:rFonts w:hint="default" w:ascii="Times New Roman" w:hAnsi="Times New Roman" w:eastAsia="宋体" w:cs="Times New Roman"/>
                <w:color w:val="000000" w:themeColor="text1"/>
                <w:sz w:val="24"/>
                <w:szCs w:val="24"/>
                <w:highlight w:val="none"/>
                <w:lang w:bidi="ar"/>
                <w14:textFill>
                  <w14:solidFill>
                    <w14:schemeClr w14:val="tx1"/>
                  </w14:solidFill>
                </w14:textFill>
              </w:rPr>
              <w:t>①</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w:t>
            </w:r>
            <w:r>
              <w:rPr>
                <w:rFonts w:hint="default" w:ascii="Times New Roman" w:hAnsi="Times New Roman" w:eastAsia="宋体" w:cs="Times New Roman"/>
                <w:color w:val="000000" w:themeColor="text1"/>
                <w:sz w:val="24"/>
                <w:szCs w:val="24"/>
                <w:highlight w:val="none"/>
                <w14:textFill>
                  <w14:solidFill>
                    <w14:schemeClr w14:val="tx1"/>
                  </w14:solidFill>
                </w14:textFill>
              </w:rPr>
              <w:t>包装袋</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bidi="ar"/>
                <w14:textFill>
                  <w14:solidFill>
                    <w14:schemeClr w14:val="tx1"/>
                  </w14:solidFill>
                </w14:textFill>
              </w:rPr>
              <w:t>原料废包装袋，产生量为</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0.5</w:t>
            </w:r>
            <w:r>
              <w:rPr>
                <w:rFonts w:hint="default" w:ascii="Times New Roman" w:hAnsi="Times New Roman" w:eastAsia="宋体" w:cs="Times New Roman"/>
                <w:color w:val="000000" w:themeColor="text1"/>
                <w:sz w:val="24"/>
                <w:szCs w:val="24"/>
                <w:highlight w:val="none"/>
                <w:lang w:bidi="ar"/>
                <w14:textFill>
                  <w14:solidFill>
                    <w14:schemeClr w14:val="tx1"/>
                  </w14:solidFill>
                </w14:textFill>
              </w:rPr>
              <w:t>t/a，统一收集后可回收利用的在厂区内重复使用，不可利用的外售回收商资源化利用处置。</w:t>
            </w:r>
          </w:p>
          <w:p w14:paraId="21315F89">
            <w:pPr>
              <w:spacing w:line="360" w:lineRule="auto"/>
              <w:ind w:firstLine="480" w:firstLineChars="200"/>
              <w:rPr>
                <w:rFonts w:hint="default" w:ascii="Times New Roman" w:hAnsi="Times New Roman" w:eastAsia="宋体" w:cs="Times New Roman"/>
                <w:color w:val="000000" w:themeColor="text1"/>
                <w:sz w:val="24"/>
                <w:szCs w:val="24"/>
                <w:highlight w:val="none"/>
                <w:lang w:bidi="ar"/>
                <w14:textFill>
                  <w14:solidFill>
                    <w14:schemeClr w14:val="tx1"/>
                  </w14:solidFill>
                </w14:textFill>
              </w:rPr>
            </w:pPr>
            <w:r>
              <w:rPr>
                <w:rFonts w:hint="default" w:ascii="Times New Roman" w:hAnsi="Times New Roman" w:eastAsia="宋体" w:cs="Times New Roman"/>
                <w:color w:val="000000" w:themeColor="text1"/>
                <w:sz w:val="24"/>
                <w:szCs w:val="24"/>
                <w:highlight w:val="none"/>
                <w:lang w:bidi="ar"/>
                <w14:textFill>
                  <w14:solidFill>
                    <w14:schemeClr w14:val="tx1"/>
                  </w14:solidFill>
                </w14:textFill>
              </w:rPr>
              <w:t>②</w:t>
            </w:r>
            <w:r>
              <w:rPr>
                <w:rFonts w:hint="default" w:ascii="Times New Roman" w:hAnsi="Times New Roman" w:eastAsia="宋体" w:cs="Times New Roman"/>
                <w:color w:val="000000" w:themeColor="text1"/>
                <w:sz w:val="24"/>
                <w:szCs w:val="21"/>
                <w:highlight w:val="none"/>
                <w14:textFill>
                  <w14:solidFill>
                    <w14:schemeClr w14:val="tx1"/>
                  </w14:solidFill>
                </w14:textFill>
              </w:rPr>
              <w:t>边角料及不合格产品</w:t>
            </w:r>
            <w:r>
              <w:rPr>
                <w:rFonts w:hint="default" w:ascii="Times New Roman" w:hAnsi="Times New Roman" w:eastAsia="宋体" w:cs="Times New Roman"/>
                <w:color w:val="000000" w:themeColor="text1"/>
                <w:sz w:val="24"/>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1"/>
                <w:highlight w:val="none"/>
                <w:lang w:val="en-US" w:eastAsia="zh-CN"/>
                <w14:textFill>
                  <w14:solidFill>
                    <w14:schemeClr w14:val="tx1"/>
                  </w14:solidFill>
                </w14:textFill>
              </w:rPr>
              <w:t>不合格品及边角料产生量为8t/a</w:t>
            </w:r>
            <w:r>
              <w:rPr>
                <w:rFonts w:hint="default" w:ascii="Times New Roman" w:hAnsi="Times New Roman" w:eastAsia="宋体" w:cs="Times New Roman"/>
                <w:color w:val="000000" w:themeColor="text1"/>
                <w:sz w:val="24"/>
                <w:szCs w:val="24"/>
                <w:highlight w:val="none"/>
                <w:lang w:bidi="ar"/>
                <w14:textFill>
                  <w14:solidFill>
                    <w14:schemeClr w14:val="tx1"/>
                  </w14:solidFill>
                </w14:textFill>
              </w:rPr>
              <w:t>，分类收集后</w:t>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经破碎</w:t>
            </w:r>
            <w:r>
              <w:rPr>
                <w:rFonts w:hint="default" w:ascii="Times New Roman" w:hAnsi="Times New Roman" w:eastAsia="宋体" w:cs="Times New Roman"/>
                <w:snapToGrid w:val="0"/>
                <w:color w:val="000000" w:themeColor="text1"/>
                <w:sz w:val="24"/>
                <w:szCs w:val="24"/>
                <w:highlight w:val="none"/>
                <w:lang w:val="en-US" w:eastAsia="zh-CN"/>
                <w14:textFill>
                  <w14:solidFill>
                    <w14:schemeClr w14:val="tx1"/>
                  </w14:solidFill>
                </w14:textFill>
              </w:rPr>
              <w:t>后作为原料</w:t>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返回生产线</w:t>
            </w:r>
            <w:r>
              <w:rPr>
                <w:rFonts w:hint="default" w:ascii="Times New Roman" w:hAnsi="Times New Roman" w:eastAsia="宋体" w:cs="Times New Roman"/>
                <w:snapToGrid w:val="0"/>
                <w:color w:val="000000" w:themeColor="text1"/>
                <w:sz w:val="24"/>
                <w:szCs w:val="24"/>
                <w:highlight w:val="none"/>
                <w:lang w:val="en-US" w:eastAsia="zh-CN"/>
                <w14:textFill>
                  <w14:solidFill>
                    <w14:schemeClr w14:val="tx1"/>
                  </w14:solidFill>
                </w14:textFill>
              </w:rPr>
              <w:t>使用</w:t>
            </w:r>
            <w:r>
              <w:rPr>
                <w:rFonts w:hint="default" w:ascii="Times New Roman" w:hAnsi="Times New Roman" w:eastAsia="宋体" w:cs="Times New Roman"/>
                <w:color w:val="000000" w:themeColor="text1"/>
                <w:sz w:val="24"/>
                <w:szCs w:val="24"/>
                <w:highlight w:val="none"/>
                <w:lang w:bidi="ar"/>
                <w14:textFill>
                  <w14:solidFill>
                    <w14:schemeClr w14:val="tx1"/>
                  </w14:solidFill>
                </w14:textFill>
              </w:rPr>
              <w:t>。</w:t>
            </w:r>
          </w:p>
          <w:p w14:paraId="4A19079D">
            <w:pPr>
              <w:spacing w:line="360" w:lineRule="auto"/>
              <w:ind w:firstLine="480" w:firstLineChars="200"/>
              <w:rPr>
                <w:rFonts w:hint="default" w:ascii="Times New Roman" w:hAnsi="Times New Roman" w:eastAsia="宋体" w:cs="Times New Roman"/>
                <w:color w:val="000000" w:themeColor="text1"/>
                <w:sz w:val="24"/>
                <w:szCs w:val="24"/>
                <w:highlight w:val="none"/>
                <w:lang w:bidi="ar"/>
                <w14:textFill>
                  <w14:solidFill>
                    <w14:schemeClr w14:val="tx1"/>
                  </w14:solidFill>
                </w14:textFill>
              </w:rPr>
            </w:pPr>
            <w:r>
              <w:rPr>
                <w:rFonts w:hint="default" w:ascii="Times New Roman" w:hAnsi="Times New Roman" w:eastAsia="宋体" w:cs="Times New Roman"/>
                <w:color w:val="000000" w:themeColor="text1"/>
                <w:sz w:val="24"/>
                <w:szCs w:val="24"/>
                <w:highlight w:val="none"/>
                <w:lang w:bidi="ar"/>
                <w14:textFill>
                  <w14:solidFill>
                    <w14:schemeClr w14:val="tx1"/>
                  </w14:solidFill>
                </w14:textFill>
              </w:rPr>
              <w:t>③</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除尘器收集</w:t>
            </w:r>
            <w:r>
              <w:rPr>
                <w:rFonts w:hint="default" w:ascii="Times New Roman" w:hAnsi="Times New Roman" w:eastAsia="宋体" w:cs="Times New Roman"/>
                <w:color w:val="000000" w:themeColor="text1"/>
                <w:sz w:val="24"/>
                <w:szCs w:val="24"/>
                <w:highlight w:val="none"/>
                <w14:textFill>
                  <w14:solidFill>
                    <w14:schemeClr w14:val="tx1"/>
                  </w14:solidFill>
                </w14:textFill>
              </w:rPr>
              <w:t>粉尘</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除尘器收集粉尘量</w:t>
            </w:r>
            <w:r>
              <w:rPr>
                <w:rFonts w:hint="default" w:ascii="Times New Roman" w:hAnsi="Times New Roman" w:eastAsia="宋体" w:cs="Times New Roman"/>
                <w:color w:val="000000" w:themeColor="text1"/>
                <w:sz w:val="24"/>
                <w:szCs w:val="24"/>
                <w:highlight w:val="none"/>
                <w:lang w:bidi="ar"/>
                <w14:textFill>
                  <w14:solidFill>
                    <w14:schemeClr w14:val="tx1"/>
                  </w14:solidFill>
                </w14:textFill>
              </w:rPr>
              <w:t>为</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2.4</w:t>
            </w:r>
            <w:r>
              <w:rPr>
                <w:rFonts w:hint="default" w:ascii="Times New Roman" w:hAnsi="Times New Roman" w:eastAsia="宋体" w:cs="Times New Roman"/>
                <w:color w:val="000000" w:themeColor="text1"/>
                <w:sz w:val="24"/>
                <w:szCs w:val="24"/>
                <w:highlight w:val="none"/>
                <w:lang w:bidi="ar"/>
                <w14:textFill>
                  <w14:solidFill>
                    <w14:schemeClr w14:val="tx1"/>
                  </w14:solidFill>
                </w14:textFill>
              </w:rPr>
              <w:t>t/a</w:t>
            </w:r>
            <w:r>
              <w:rPr>
                <w:rFonts w:hint="default" w:ascii="Times New Roman" w:hAnsi="Times New Roman" w:eastAsia="宋体" w:cs="Times New Roman"/>
                <w:color w:val="000000" w:themeColor="text1"/>
                <w:sz w:val="24"/>
                <w:szCs w:val="24"/>
                <w:highlight w:val="none"/>
                <w:lang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收集后返回生产线作为原料使用</w:t>
            </w:r>
            <w:r>
              <w:rPr>
                <w:rFonts w:hint="default" w:ascii="Times New Roman" w:hAnsi="Times New Roman" w:eastAsia="宋体" w:cs="Times New Roman"/>
                <w:color w:val="000000" w:themeColor="text1"/>
                <w:sz w:val="24"/>
                <w:szCs w:val="24"/>
                <w:highlight w:val="none"/>
                <w:lang w:bidi="ar"/>
                <w14:textFill>
                  <w14:solidFill>
                    <w14:schemeClr w14:val="tx1"/>
                  </w14:solidFill>
                </w14:textFill>
              </w:rPr>
              <w:t>。</w:t>
            </w:r>
          </w:p>
          <w:p w14:paraId="3928B500">
            <w:pPr>
              <w:keepNext w:val="0"/>
              <w:keepLines w:val="0"/>
              <w:widowControl w:val="0"/>
              <w:suppressLineNumbers w:val="0"/>
              <w:spacing w:before="0" w:beforeAutospacing="0" w:after="0" w:afterAutospacing="0" w:line="360" w:lineRule="auto"/>
              <w:ind w:left="0" w:right="0" w:firstLine="472" w:firstLineChars="196"/>
              <w:jc w:val="both"/>
              <w:rPr>
                <w:rFonts w:hint="default" w:ascii="Times New Roman" w:hAnsi="Times New Roman" w:eastAsia="宋体" w:cs="Times New Roman"/>
                <w:b/>
                <w:bCs w:val="0"/>
                <w:smallCaps w:val="0"/>
                <w:color w:val="000000" w:themeColor="text1"/>
                <w:sz w:val="24"/>
                <w:szCs w:val="24"/>
                <w:highlight w:val="none"/>
                <w:lang w:val="en-US"/>
                <w14:textFill>
                  <w14:solidFill>
                    <w14:schemeClr w14:val="tx1"/>
                  </w14:solidFill>
                </w14:textFill>
              </w:rPr>
            </w:pPr>
            <w:r>
              <w:rPr>
                <w:rFonts w:hint="default" w:ascii="Times New Roman" w:hAnsi="Times New Roman" w:eastAsia="宋体" w:cs="Times New Roman"/>
                <w:b/>
                <w:bCs w:val="0"/>
                <w:smallCaps w:val="0"/>
                <w:color w:val="000000" w:themeColor="text1"/>
                <w:kern w:val="2"/>
                <w:sz w:val="24"/>
                <w:szCs w:val="24"/>
                <w:highlight w:val="none"/>
                <w:lang w:val="en-US" w:eastAsia="zh-CN" w:bidi="ar"/>
                <w14:textFill>
                  <w14:solidFill>
                    <w14:schemeClr w14:val="tx1"/>
                  </w14:solidFill>
                </w14:textFill>
              </w:rPr>
              <w:t>（2）生活固废</w:t>
            </w:r>
          </w:p>
          <w:p w14:paraId="7969FDA3">
            <w:pPr>
              <w:spacing w:line="360" w:lineRule="auto"/>
              <w:ind w:firstLine="480" w:firstLineChars="200"/>
              <w:rPr>
                <w:rFonts w:hint="default" w:ascii="Times New Roman" w:hAnsi="Times New Roman" w:eastAsia="宋体" w:cs="Times New Roman"/>
                <w:smallCaps w:val="0"/>
                <w:color w:val="000000" w:themeColor="text1"/>
                <w:kern w:val="2"/>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①生活垃圾</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smallCaps w:val="0"/>
                <w:color w:val="000000" w:themeColor="text1"/>
                <w:kern w:val="2"/>
                <w:sz w:val="24"/>
                <w:szCs w:val="24"/>
                <w:highlight w:val="none"/>
                <w:lang w:val="en-US" w:eastAsia="zh-CN" w:bidi="ar"/>
                <w14:textFill>
                  <w14:solidFill>
                    <w14:schemeClr w14:val="tx1"/>
                  </w14:solidFill>
                </w14:textFill>
              </w:rPr>
              <w:t>生活垃圾产生量为21kg/d（6.3t/a），</w:t>
            </w:r>
            <w:r>
              <w:rPr>
                <w:rFonts w:hint="eastAsia" w:ascii="Times New Roman" w:hAnsi="Times New Roman" w:eastAsia="宋体" w:cs="Times New Roman"/>
                <w:smallCaps w:val="0"/>
                <w:color w:val="000000" w:themeColor="text1"/>
                <w:kern w:val="2"/>
                <w:sz w:val="24"/>
                <w:szCs w:val="24"/>
                <w:highlight w:val="none"/>
                <w:lang w:val="en-US" w:eastAsia="zh-CN" w:bidi="ar"/>
                <w14:textFill>
                  <w14:solidFill>
                    <w14:schemeClr w14:val="tx1"/>
                  </w14:solidFill>
                </w14:textFill>
              </w:rPr>
              <w:t>进行</w:t>
            </w:r>
            <w:r>
              <w:rPr>
                <w:rFonts w:hint="default" w:ascii="Times New Roman" w:hAnsi="Times New Roman" w:eastAsia="宋体" w:cs="Times New Roman"/>
                <w:smallCaps w:val="0"/>
                <w:color w:val="000000" w:themeColor="text1"/>
                <w:kern w:val="2"/>
                <w:sz w:val="24"/>
                <w:szCs w:val="20"/>
                <w:highlight w:val="none"/>
                <w:lang w:val="en-US" w:eastAsia="zh-CN" w:bidi="ar"/>
                <w14:textFill>
                  <w14:solidFill>
                    <w14:schemeClr w14:val="tx1"/>
                  </w14:solidFill>
                </w14:textFill>
              </w:rPr>
              <w:t>分类</w:t>
            </w:r>
            <w:r>
              <w:rPr>
                <w:rFonts w:hint="eastAsia" w:ascii="Times New Roman" w:hAnsi="Times New Roman" w:eastAsia="宋体" w:cs="Times New Roman"/>
                <w:smallCaps w:val="0"/>
                <w:color w:val="000000" w:themeColor="text1"/>
                <w:kern w:val="2"/>
                <w:sz w:val="24"/>
                <w:szCs w:val="20"/>
                <w:highlight w:val="none"/>
                <w:lang w:val="en-US" w:eastAsia="zh-CN" w:bidi="ar"/>
                <w14:textFill>
                  <w14:solidFill>
                    <w14:schemeClr w14:val="tx1"/>
                  </w14:solidFill>
                </w14:textFill>
              </w:rPr>
              <w:t>垃圾桶收集</w:t>
            </w:r>
            <w:r>
              <w:rPr>
                <w:rFonts w:hint="default" w:ascii="Times New Roman" w:hAnsi="Times New Roman" w:eastAsia="宋体" w:cs="Times New Roman"/>
                <w:smallCaps w:val="0"/>
                <w:color w:val="000000" w:themeColor="text1"/>
                <w:kern w:val="2"/>
                <w:sz w:val="24"/>
                <w:szCs w:val="20"/>
                <w:highlight w:val="none"/>
                <w:lang w:val="en-US" w:eastAsia="zh-CN" w:bidi="ar"/>
                <w14:textFill>
                  <w14:solidFill>
                    <w14:schemeClr w14:val="tx1"/>
                  </w14:solidFill>
                </w14:textFill>
              </w:rPr>
              <w:t>，委托环卫部门及时清运</w:t>
            </w:r>
            <w:r>
              <w:rPr>
                <w:rFonts w:hint="default" w:ascii="Times New Roman" w:hAnsi="Times New Roman" w:eastAsia="宋体" w:cs="Times New Roman"/>
                <w:smallCaps w:val="0"/>
                <w:color w:val="000000" w:themeColor="text1"/>
                <w:kern w:val="2"/>
                <w:sz w:val="24"/>
                <w:szCs w:val="24"/>
                <w:highlight w:val="none"/>
                <w:lang w:val="en-US" w:eastAsia="zh-CN" w:bidi="ar"/>
                <w14:textFill>
                  <w14:solidFill>
                    <w14:schemeClr w14:val="tx1"/>
                  </w14:solidFill>
                </w14:textFill>
              </w:rPr>
              <w:t>。</w:t>
            </w:r>
          </w:p>
          <w:p w14:paraId="5E979341">
            <w:pPr>
              <w:spacing w:line="360" w:lineRule="auto"/>
              <w:ind w:firstLine="480" w:firstLineChars="200"/>
              <w:rPr>
                <w:rFonts w:hint="default" w:ascii="Times New Roman" w:hAnsi="Times New Roman" w:eastAsia="宋体" w:cs="Times New Roman"/>
                <w:color w:val="000000" w:themeColor="text1"/>
                <w:sz w:val="24"/>
                <w:szCs w:val="21"/>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②化粪池污泥</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1"/>
                <w:highlight w:val="none"/>
                <w14:textFill>
                  <w14:solidFill>
                    <w14:schemeClr w14:val="tx1"/>
                  </w14:solidFill>
                </w14:textFill>
              </w:rPr>
              <w:t>化粪池污泥产生量</w:t>
            </w:r>
            <w:r>
              <w:rPr>
                <w:rFonts w:hint="default" w:ascii="Times New Roman" w:hAnsi="Times New Roman" w:eastAsia="宋体" w:cs="Times New Roman"/>
                <w:color w:val="000000" w:themeColor="text1"/>
                <w:sz w:val="24"/>
                <w:szCs w:val="21"/>
                <w:highlight w:val="none"/>
                <w:lang w:val="en-US" w:eastAsia="zh-CN"/>
                <w14:textFill>
                  <w14:solidFill>
                    <w14:schemeClr w14:val="tx1"/>
                  </w14:solidFill>
                </w14:textFill>
              </w:rPr>
              <w:t>为0.8</w:t>
            </w:r>
            <w:r>
              <w:rPr>
                <w:rFonts w:hint="default" w:ascii="Times New Roman" w:hAnsi="Times New Roman" w:eastAsia="宋体" w:cs="Times New Roman"/>
                <w:color w:val="000000" w:themeColor="text1"/>
                <w:sz w:val="24"/>
                <w:szCs w:val="21"/>
                <w:highlight w:val="none"/>
                <w14:textFill>
                  <w14:solidFill>
                    <w14:schemeClr w14:val="tx1"/>
                  </w14:solidFill>
                </w14:textFill>
              </w:rPr>
              <w:t>t/a，委托环卫部门定期清掏清运处置。</w:t>
            </w:r>
          </w:p>
          <w:p w14:paraId="10190AAF">
            <w:pPr>
              <w:spacing w:line="360" w:lineRule="auto"/>
              <w:ind w:firstLine="480" w:firstLineChars="200"/>
              <w:rPr>
                <w:rFonts w:hint="default" w:ascii="Times New Roman" w:hAnsi="Times New Roman" w:eastAsia="宋体" w:cs="Times New Roman"/>
                <w:smallCaps w:val="0"/>
                <w:color w:val="000000" w:themeColor="text1"/>
                <w:kern w:val="2"/>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③</w:t>
            </w:r>
            <w:r>
              <w:rPr>
                <w:rFonts w:hint="default" w:ascii="Times New Roman" w:hAnsi="Times New Roman" w:eastAsia="宋体" w:cs="Times New Roman"/>
                <w:color w:val="000000" w:themeColor="text1"/>
                <w:sz w:val="24"/>
                <w:szCs w:val="21"/>
                <w:highlight w:val="none"/>
                <w:lang w:eastAsia="zh-CN"/>
                <w14:textFill>
                  <w14:solidFill>
                    <w14:schemeClr w14:val="tx1"/>
                  </w14:solidFill>
                </w14:textFill>
              </w:rPr>
              <w:t>一体化污水处理设施</w:t>
            </w:r>
            <w:r>
              <w:rPr>
                <w:rFonts w:hint="default" w:ascii="Times New Roman" w:hAnsi="Times New Roman" w:eastAsia="宋体" w:cs="Times New Roman"/>
                <w:color w:val="000000" w:themeColor="text1"/>
                <w:sz w:val="24"/>
                <w:szCs w:val="21"/>
                <w:highlight w:val="none"/>
                <w14:textFill>
                  <w14:solidFill>
                    <w14:schemeClr w14:val="tx1"/>
                  </w14:solidFill>
                </w14:textFill>
              </w:rPr>
              <w:t>污泥</w:t>
            </w:r>
            <w:r>
              <w:rPr>
                <w:rFonts w:hint="default" w:ascii="Times New Roman" w:hAnsi="Times New Roman" w:eastAsia="宋体" w:cs="Times New Roman"/>
                <w:color w:val="000000" w:themeColor="text1"/>
                <w:sz w:val="24"/>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1"/>
                <w:highlight w:val="none"/>
                <w14:textFill>
                  <w14:solidFill>
                    <w14:schemeClr w14:val="tx1"/>
                  </w14:solidFill>
                </w14:textFill>
              </w:rPr>
              <w:t>污泥产生量约为</w:t>
            </w:r>
            <w:r>
              <w:rPr>
                <w:rFonts w:hint="default" w:ascii="Times New Roman" w:hAnsi="Times New Roman" w:eastAsia="宋体" w:cs="Times New Roman"/>
                <w:color w:val="000000" w:themeColor="text1"/>
                <w:sz w:val="24"/>
                <w:szCs w:val="21"/>
                <w:highlight w:val="none"/>
                <w:lang w:val="en-US" w:eastAsia="zh-CN"/>
                <w14:textFill>
                  <w14:solidFill>
                    <w14:schemeClr w14:val="tx1"/>
                  </w14:solidFill>
                </w14:textFill>
              </w:rPr>
              <w:t>0.5</w:t>
            </w:r>
            <w:r>
              <w:rPr>
                <w:rFonts w:hint="default" w:ascii="Times New Roman" w:hAnsi="Times New Roman" w:eastAsia="宋体" w:cs="Times New Roman"/>
                <w:color w:val="000000" w:themeColor="text1"/>
                <w:sz w:val="24"/>
                <w:szCs w:val="21"/>
                <w:highlight w:val="none"/>
                <w14:textFill>
                  <w14:solidFill>
                    <w14:schemeClr w14:val="tx1"/>
                  </w14:solidFill>
                </w14:textFill>
              </w:rPr>
              <w:t>t/a，同化粪池污泥一同委托环卫部门定期抽吸清运处置。</w:t>
            </w:r>
          </w:p>
          <w:p w14:paraId="22EE0C0A">
            <w:pPr>
              <w:keepNext w:val="0"/>
              <w:keepLines w:val="0"/>
              <w:widowControl w:val="0"/>
              <w:suppressLineNumbers w:val="0"/>
              <w:spacing w:before="0" w:beforeAutospacing="0" w:after="0" w:afterAutospacing="0" w:line="360" w:lineRule="auto"/>
              <w:ind w:left="0" w:right="0" w:firstLine="472" w:firstLineChars="196"/>
              <w:jc w:val="both"/>
              <w:rPr>
                <w:rFonts w:hint="default" w:ascii="Times New Roman" w:hAnsi="Times New Roman" w:eastAsia="宋体" w:cs="Times New Roman"/>
                <w:b/>
                <w:bCs w:val="0"/>
                <w:smallCaps w:val="0"/>
                <w:color w:val="000000" w:themeColor="text1"/>
                <w:sz w:val="24"/>
                <w:szCs w:val="24"/>
                <w:highlight w:val="none"/>
                <w:lang w:val="en-US"/>
                <w14:textFill>
                  <w14:solidFill>
                    <w14:schemeClr w14:val="tx1"/>
                  </w14:solidFill>
                </w14:textFill>
              </w:rPr>
            </w:pPr>
            <w:r>
              <w:rPr>
                <w:rFonts w:hint="default" w:ascii="Times New Roman" w:hAnsi="Times New Roman" w:eastAsia="宋体" w:cs="Times New Roman"/>
                <w:b/>
                <w:bCs w:val="0"/>
                <w:smallCaps w:val="0"/>
                <w:color w:val="000000" w:themeColor="text1"/>
                <w:kern w:val="2"/>
                <w:sz w:val="24"/>
                <w:szCs w:val="24"/>
                <w:highlight w:val="none"/>
                <w:lang w:val="en-US" w:eastAsia="zh-CN" w:bidi="ar"/>
                <w14:textFill>
                  <w14:solidFill>
                    <w14:schemeClr w14:val="tx1"/>
                  </w14:solidFill>
                </w14:textFill>
              </w:rPr>
              <w:t>（3）危险固废</w:t>
            </w:r>
          </w:p>
          <w:p w14:paraId="1F32034E">
            <w:pPr>
              <w:spacing w:line="360" w:lineRule="auto"/>
              <w:ind w:firstLine="480" w:firstLineChars="200"/>
              <w:rPr>
                <w:rFonts w:hint="default" w:ascii="Times New Roman" w:hAnsi="Times New Roman" w:eastAsia="宋体" w:cs="Times New Roman"/>
                <w:smallCaps w:val="0"/>
                <w:color w:val="000000" w:themeColor="text1"/>
                <w:sz w:val="24"/>
                <w:szCs w:val="21"/>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①</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废活性炭：</w:t>
            </w:r>
            <w:r>
              <w:rPr>
                <w:rFonts w:hint="default" w:ascii="Times New Roman" w:hAnsi="Times New Roman" w:eastAsia="宋体" w:cs="Times New Roman"/>
                <w:color w:val="000000" w:themeColor="text1"/>
                <w:sz w:val="24"/>
                <w:szCs w:val="24"/>
                <w:highlight w:val="none"/>
                <w14:textFill>
                  <w14:solidFill>
                    <w14:schemeClr w14:val="tx1"/>
                  </w14:solidFill>
                </w14:textFill>
              </w:rPr>
              <w:t>活性炭</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产生</w:t>
            </w:r>
            <w:r>
              <w:rPr>
                <w:rFonts w:hint="default" w:ascii="Times New Roman" w:hAnsi="Times New Roman" w:eastAsia="宋体" w:cs="Times New Roman"/>
                <w:color w:val="000000" w:themeColor="text1"/>
                <w:sz w:val="24"/>
                <w:szCs w:val="24"/>
                <w:highlight w:val="none"/>
                <w14:textFill>
                  <w14:solidFill>
                    <w14:schemeClr w14:val="tx1"/>
                  </w14:solidFill>
                </w14:textFill>
              </w:rPr>
              <w:t>量为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0.5</w:t>
            </w:r>
            <w:r>
              <w:rPr>
                <w:rFonts w:hint="default" w:ascii="Times New Roman" w:hAnsi="Times New Roman" w:eastAsia="宋体" w:cs="Times New Roman"/>
                <w:color w:val="000000" w:themeColor="text1"/>
                <w:sz w:val="24"/>
                <w:szCs w:val="24"/>
                <w:highlight w:val="none"/>
                <w14:textFill>
                  <w14:solidFill>
                    <w14:schemeClr w14:val="tx1"/>
                  </w14:solidFill>
                </w14:textFill>
              </w:rPr>
              <w:t>t/a，</w:t>
            </w:r>
            <w:r>
              <w:rPr>
                <w:rFonts w:hint="default" w:ascii="Times New Roman" w:hAnsi="Times New Roman" w:eastAsia="宋体" w:cs="Times New Roman"/>
                <w:bCs/>
                <w:color w:val="000000" w:themeColor="text1"/>
                <w:sz w:val="24"/>
                <w:szCs w:val="21"/>
                <w:highlight w:val="none"/>
                <w14:textFill>
                  <w14:solidFill>
                    <w14:schemeClr w14:val="tx1"/>
                  </w14:solidFill>
                </w14:textFill>
              </w:rPr>
              <w:t>收集后暂存于</w:t>
            </w:r>
            <w:r>
              <w:rPr>
                <w:rFonts w:hint="eastAsia" w:ascii="Times New Roman" w:hAnsi="Times New Roman" w:eastAsia="宋体" w:cs="Times New Roman"/>
                <w:bCs/>
                <w:color w:val="000000" w:themeColor="text1"/>
                <w:sz w:val="24"/>
                <w:szCs w:val="21"/>
                <w:highlight w:val="none"/>
                <w:lang w:eastAsia="zh-CN"/>
                <w14:textFill>
                  <w14:solidFill>
                    <w14:schemeClr w14:val="tx1"/>
                  </w14:solidFill>
                </w14:textFill>
              </w:rPr>
              <w:t>危险废物贮存间</w:t>
            </w:r>
            <w:r>
              <w:rPr>
                <w:rFonts w:hint="default" w:ascii="Times New Roman" w:hAnsi="Times New Roman" w:eastAsia="宋体" w:cs="Times New Roman"/>
                <w:bCs/>
                <w:color w:val="000000" w:themeColor="text1"/>
                <w:sz w:val="24"/>
                <w:szCs w:val="21"/>
                <w:highlight w:val="none"/>
                <w14:textFill>
                  <w14:solidFill>
                    <w14:schemeClr w14:val="tx1"/>
                  </w14:solidFill>
                </w14:textFill>
              </w:rPr>
              <w:t>，并委托</w:t>
            </w:r>
            <w:r>
              <w:rPr>
                <w:rFonts w:hint="eastAsia" w:ascii="Times New Roman" w:hAnsi="Times New Roman" w:eastAsia="宋体" w:cs="Times New Roman"/>
                <w:bCs/>
                <w:color w:val="000000" w:themeColor="text1"/>
                <w:sz w:val="24"/>
                <w:szCs w:val="21"/>
                <w:highlight w:val="none"/>
                <w:lang w:val="en-US" w:eastAsia="zh-CN"/>
                <w14:textFill>
                  <w14:solidFill>
                    <w14:schemeClr w14:val="tx1"/>
                  </w14:solidFill>
                </w14:textFill>
              </w:rPr>
              <w:t>有资质的单位</w:t>
            </w:r>
            <w:r>
              <w:rPr>
                <w:rFonts w:hint="default" w:ascii="Times New Roman" w:hAnsi="Times New Roman" w:eastAsia="宋体" w:cs="Times New Roman"/>
                <w:bCs/>
                <w:color w:val="000000" w:themeColor="text1"/>
                <w:sz w:val="24"/>
                <w:szCs w:val="21"/>
                <w:highlight w:val="none"/>
                <w14:textFill>
                  <w14:solidFill>
                    <w14:schemeClr w14:val="tx1"/>
                  </w14:solidFill>
                </w14:textFill>
              </w:rPr>
              <w:t>处</w:t>
            </w:r>
            <w:r>
              <w:rPr>
                <w:rFonts w:hint="default" w:ascii="Times New Roman" w:hAnsi="Times New Roman" w:eastAsia="宋体" w:cs="Times New Roman"/>
                <w:bCs/>
                <w:color w:val="000000" w:themeColor="text1"/>
                <w:sz w:val="24"/>
                <w:szCs w:val="21"/>
                <w:highlight w:val="none"/>
                <w:lang w:val="en-US" w:eastAsia="zh-CN"/>
                <w14:textFill>
                  <w14:solidFill>
                    <w14:schemeClr w14:val="tx1"/>
                  </w14:solidFill>
                </w14:textFill>
              </w:rPr>
              <w:t>理</w:t>
            </w:r>
            <w:r>
              <w:rPr>
                <w:rFonts w:hint="default" w:ascii="Times New Roman" w:hAnsi="Times New Roman" w:eastAsia="宋体" w:cs="Times New Roman"/>
                <w:smallCaps w:val="0"/>
                <w:color w:val="000000" w:themeColor="text1"/>
                <w:sz w:val="24"/>
                <w:szCs w:val="21"/>
                <w:highlight w:val="none"/>
                <w14:textFill>
                  <w14:solidFill>
                    <w14:schemeClr w14:val="tx1"/>
                  </w14:solidFill>
                </w14:textFill>
              </w:rPr>
              <w:t>。</w:t>
            </w:r>
          </w:p>
          <w:p w14:paraId="2F37DE17">
            <w:pPr>
              <w:spacing w:line="360" w:lineRule="auto"/>
              <w:ind w:firstLine="480" w:firstLineChars="200"/>
              <w:rPr>
                <w:rFonts w:hint="default" w:ascii="Times New Roman" w:hAnsi="Times New Roman" w:eastAsia="宋体" w:cs="Times New Roman"/>
                <w:color w:val="000000" w:themeColor="text1"/>
                <w:sz w:val="24"/>
                <w:szCs w:val="24"/>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②废润滑油：</w:t>
            </w:r>
            <w:r>
              <w:rPr>
                <w:rFonts w:hint="default" w:ascii="Times New Roman" w:hAnsi="Times New Roman" w:eastAsia="宋体" w:cs="Times New Roman"/>
                <w:color w:val="000000" w:themeColor="text1"/>
                <w:sz w:val="24"/>
                <w:szCs w:val="24"/>
                <w:highlight w:val="none"/>
                <w:lang w:val="zh-CN" w:eastAsia="zh-CN"/>
                <w14:textFill>
                  <w14:solidFill>
                    <w14:schemeClr w14:val="tx1"/>
                  </w14:solidFill>
                </w14:textFill>
              </w:rPr>
              <w:t>废润滑油产生量为0.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02</w:t>
            </w:r>
            <w:r>
              <w:rPr>
                <w:rFonts w:hint="default" w:ascii="Times New Roman" w:hAnsi="Times New Roman" w:eastAsia="宋体" w:cs="Times New Roman"/>
                <w:color w:val="000000" w:themeColor="text1"/>
                <w:sz w:val="24"/>
                <w:szCs w:val="24"/>
                <w:highlight w:val="none"/>
                <w:lang w:val="zh-CN" w:eastAsia="zh-CN"/>
                <w14:textFill>
                  <w14:solidFill>
                    <w14:schemeClr w14:val="tx1"/>
                  </w14:solidFill>
                </w14:textFill>
              </w:rPr>
              <w:t>t/a。</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收集后暂存于</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危险废物贮存间</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z w:val="24"/>
                <w:szCs w:val="21"/>
                <w:highlight w:val="none"/>
                <w14:textFill>
                  <w14:solidFill>
                    <w14:schemeClr w14:val="tx1"/>
                  </w14:solidFill>
                </w14:textFill>
              </w:rPr>
              <w:t>并委托</w:t>
            </w:r>
            <w:r>
              <w:rPr>
                <w:rFonts w:hint="eastAsia" w:ascii="Times New Roman" w:hAnsi="Times New Roman" w:eastAsia="宋体" w:cs="Times New Roman"/>
                <w:bCs/>
                <w:color w:val="000000" w:themeColor="text1"/>
                <w:sz w:val="24"/>
                <w:szCs w:val="21"/>
                <w:highlight w:val="none"/>
                <w:lang w:val="en-US" w:eastAsia="zh-CN"/>
                <w14:textFill>
                  <w14:solidFill>
                    <w14:schemeClr w14:val="tx1"/>
                  </w14:solidFill>
                </w14:textFill>
              </w:rPr>
              <w:t>有资质的单位</w:t>
            </w:r>
            <w:r>
              <w:rPr>
                <w:rFonts w:hint="default" w:ascii="Times New Roman" w:hAnsi="Times New Roman" w:eastAsia="宋体" w:cs="Times New Roman"/>
                <w:bCs/>
                <w:color w:val="000000" w:themeColor="text1"/>
                <w:sz w:val="24"/>
                <w:szCs w:val="21"/>
                <w:highlight w:val="none"/>
                <w14:textFill>
                  <w14:solidFill>
                    <w14:schemeClr w14:val="tx1"/>
                  </w14:solidFill>
                </w14:textFill>
              </w:rPr>
              <w:t>处</w:t>
            </w:r>
            <w:r>
              <w:rPr>
                <w:rFonts w:hint="default" w:ascii="Times New Roman" w:hAnsi="Times New Roman" w:eastAsia="宋体" w:cs="Times New Roman"/>
                <w:bCs/>
                <w:color w:val="000000" w:themeColor="text1"/>
                <w:sz w:val="24"/>
                <w:szCs w:val="21"/>
                <w:highlight w:val="none"/>
                <w:lang w:val="en-US" w:eastAsia="zh-CN"/>
                <w14:textFill>
                  <w14:solidFill>
                    <w14:schemeClr w14:val="tx1"/>
                  </w14:solidFill>
                </w14:textFill>
              </w:rPr>
              <w:t>理</w:t>
            </w:r>
            <w:r>
              <w:rPr>
                <w:rFonts w:hint="default" w:ascii="Times New Roman" w:hAnsi="Times New Roman" w:eastAsia="宋体" w:cs="Times New Roman"/>
                <w:smallCaps w:val="0"/>
                <w:color w:val="000000" w:themeColor="text1"/>
                <w:sz w:val="24"/>
                <w:szCs w:val="21"/>
                <w:highlight w:val="none"/>
                <w14:textFill>
                  <w14:solidFill>
                    <w14:schemeClr w14:val="tx1"/>
                  </w14:solidFill>
                </w14:textFill>
              </w:rPr>
              <w:t>。</w:t>
            </w:r>
          </w:p>
          <w:p w14:paraId="48A52E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smallCaps w:val="0"/>
                <w:color w:val="000000" w:themeColor="text1"/>
                <w:szCs w:val="21"/>
                <w:highlight w:val="none"/>
                <w:lang w:val="en-US"/>
                <w14:textFill>
                  <w14:solidFill>
                    <w14:schemeClr w14:val="tx1"/>
                  </w14:solidFill>
                </w14:textFill>
              </w:rPr>
            </w:pPr>
            <w:r>
              <w:rPr>
                <w:rFonts w:hint="default" w:ascii="Times New Roman" w:hAnsi="Times New Roman" w:eastAsia="宋体" w:cs="Times New Roman"/>
                <w:b/>
                <w:bCs w:val="0"/>
                <w:smallCaps w:val="0"/>
                <w:color w:val="000000" w:themeColor="text1"/>
                <w:kern w:val="2"/>
                <w:sz w:val="21"/>
                <w:szCs w:val="21"/>
                <w:highlight w:val="none"/>
                <w:lang w:val="en-US" w:eastAsia="zh-CN" w:bidi="ar"/>
                <w14:textFill>
                  <w14:solidFill>
                    <w14:schemeClr w14:val="tx1"/>
                  </w14:solidFill>
                </w14:textFill>
              </w:rPr>
              <w:t>表</w:t>
            </w:r>
            <w:r>
              <w:rPr>
                <w:rFonts w:hint="eastAsia" w:ascii="Times New Roman" w:hAnsi="Times New Roman" w:eastAsia="宋体" w:cs="Times New Roman"/>
                <w:b/>
                <w:bCs w:val="0"/>
                <w:smallCaps w:val="0"/>
                <w:color w:val="000000" w:themeColor="text1"/>
                <w:kern w:val="2"/>
                <w:sz w:val="21"/>
                <w:szCs w:val="21"/>
                <w:highlight w:val="none"/>
                <w:lang w:val="en-US" w:eastAsia="zh-CN" w:bidi="ar"/>
                <w14:textFill>
                  <w14:solidFill>
                    <w14:schemeClr w14:val="tx1"/>
                  </w14:solidFill>
                </w14:textFill>
              </w:rPr>
              <w:t xml:space="preserve">2-18  </w:t>
            </w:r>
            <w:r>
              <w:rPr>
                <w:rFonts w:hint="default" w:ascii="Times New Roman" w:hAnsi="Times New Roman" w:eastAsia="宋体" w:cs="Times New Roman"/>
                <w:b/>
                <w:bCs w:val="0"/>
                <w:smallCaps w:val="0"/>
                <w:color w:val="000000" w:themeColor="text1"/>
                <w:kern w:val="2"/>
                <w:sz w:val="21"/>
                <w:szCs w:val="21"/>
                <w:highlight w:val="none"/>
                <w:lang w:val="en-US" w:eastAsia="zh-CN" w:bidi="ar"/>
                <w14:textFill>
                  <w14:solidFill>
                    <w14:schemeClr w14:val="tx1"/>
                  </w14:solidFill>
                </w14:textFill>
              </w:rPr>
              <w:t>项目固废产生及处置情况一览表</w:t>
            </w:r>
          </w:p>
          <w:tbl>
            <w:tblPr>
              <w:tblStyle w:val="31"/>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2564"/>
              <w:gridCol w:w="1023"/>
              <w:gridCol w:w="1089"/>
              <w:gridCol w:w="2868"/>
            </w:tblGrid>
            <w:tr w14:paraId="2D804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14:paraId="5EB4785F">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b/>
                      <w:bCs w:val="0"/>
                      <w:smallCaps w:val="0"/>
                      <w:color w:val="000000" w:themeColor="text1"/>
                      <w:kern w:val="0"/>
                      <w:sz w:val="21"/>
                      <w:szCs w:val="21"/>
                      <w:highlight w:val="none"/>
                      <w:vertAlign w:val="baseline"/>
                      <w:lang w:val="en-US"/>
                      <w14:textFill>
                        <w14:solidFill>
                          <w14:schemeClr w14:val="tx1"/>
                        </w14:solidFill>
                      </w14:textFill>
                    </w:rPr>
                  </w:pPr>
                  <w:r>
                    <w:rPr>
                      <w:rFonts w:hint="default" w:ascii="Times New Roman" w:hAnsi="Times New Roman" w:eastAsia="宋体" w:cs="Times New Roman"/>
                      <w:b/>
                      <w:bCs w:val="0"/>
                      <w:smallCaps w:val="0"/>
                      <w:color w:val="000000" w:themeColor="text1"/>
                      <w:kern w:val="0"/>
                      <w:sz w:val="21"/>
                      <w:szCs w:val="21"/>
                      <w:highlight w:val="none"/>
                      <w:vertAlign w:val="baseline"/>
                      <w:lang w:val="en-US" w:eastAsia="zh-CN" w:bidi="ar"/>
                      <w14:textFill>
                        <w14:solidFill>
                          <w14:schemeClr w14:val="tx1"/>
                        </w14:solidFill>
                      </w14:textFill>
                    </w:rPr>
                    <w:t>序号</w:t>
                  </w:r>
                </w:p>
              </w:tc>
              <w:tc>
                <w:tcPr>
                  <w:tcW w:w="2564" w:type="dxa"/>
                  <w:tcBorders>
                    <w:top w:val="single" w:color="auto" w:sz="4" w:space="0"/>
                    <w:left w:val="single" w:color="auto" w:sz="4" w:space="0"/>
                    <w:bottom w:val="single" w:color="auto" w:sz="4" w:space="0"/>
                    <w:right w:val="single" w:color="auto" w:sz="4" w:space="0"/>
                  </w:tcBorders>
                  <w:noWrap w:val="0"/>
                  <w:vAlign w:val="center"/>
                </w:tcPr>
                <w:p w14:paraId="164C8126">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b/>
                      <w:bCs w:val="0"/>
                      <w:smallCaps w:val="0"/>
                      <w:color w:val="000000" w:themeColor="text1"/>
                      <w:kern w:val="0"/>
                      <w:sz w:val="21"/>
                      <w:szCs w:val="21"/>
                      <w:highlight w:val="none"/>
                      <w:vertAlign w:val="baseline"/>
                      <w:lang w:val="en-US"/>
                      <w14:textFill>
                        <w14:solidFill>
                          <w14:schemeClr w14:val="tx1"/>
                        </w14:solidFill>
                      </w14:textFill>
                    </w:rPr>
                  </w:pPr>
                  <w:r>
                    <w:rPr>
                      <w:rFonts w:hint="default" w:ascii="Times New Roman" w:hAnsi="Times New Roman" w:eastAsia="宋体" w:cs="Times New Roman"/>
                      <w:b/>
                      <w:bCs w:val="0"/>
                      <w:smallCaps w:val="0"/>
                      <w:color w:val="000000" w:themeColor="text1"/>
                      <w:kern w:val="0"/>
                      <w:sz w:val="21"/>
                      <w:szCs w:val="21"/>
                      <w:highlight w:val="none"/>
                      <w:vertAlign w:val="baseline"/>
                      <w:lang w:val="en-US" w:eastAsia="zh-CN" w:bidi="ar"/>
                      <w14:textFill>
                        <w14:solidFill>
                          <w14:schemeClr w14:val="tx1"/>
                        </w14:solidFill>
                      </w14:textFill>
                    </w:rPr>
                    <w:t>名称</w:t>
                  </w:r>
                </w:p>
              </w:tc>
              <w:tc>
                <w:tcPr>
                  <w:tcW w:w="1023" w:type="dxa"/>
                  <w:tcBorders>
                    <w:top w:val="single" w:color="auto" w:sz="4" w:space="0"/>
                    <w:left w:val="single" w:color="auto" w:sz="4" w:space="0"/>
                    <w:bottom w:val="single" w:color="auto" w:sz="4" w:space="0"/>
                    <w:right w:val="single" w:color="auto" w:sz="4" w:space="0"/>
                  </w:tcBorders>
                  <w:noWrap w:val="0"/>
                  <w:vAlign w:val="center"/>
                </w:tcPr>
                <w:p w14:paraId="4750655B">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b/>
                      <w:bCs w:val="0"/>
                      <w:smallCaps w:val="0"/>
                      <w:color w:val="000000" w:themeColor="text1"/>
                      <w:kern w:val="0"/>
                      <w:sz w:val="21"/>
                      <w:szCs w:val="21"/>
                      <w:highlight w:val="none"/>
                      <w:vertAlign w:val="baseline"/>
                      <w:lang w:val="en-US"/>
                      <w14:textFill>
                        <w14:solidFill>
                          <w14:schemeClr w14:val="tx1"/>
                        </w14:solidFill>
                      </w14:textFill>
                    </w:rPr>
                  </w:pPr>
                  <w:r>
                    <w:rPr>
                      <w:rFonts w:hint="default" w:ascii="Times New Roman" w:hAnsi="Times New Roman" w:eastAsia="宋体" w:cs="Times New Roman"/>
                      <w:b/>
                      <w:bCs w:val="0"/>
                      <w:smallCaps w:val="0"/>
                      <w:color w:val="000000" w:themeColor="text1"/>
                      <w:kern w:val="0"/>
                      <w:sz w:val="21"/>
                      <w:szCs w:val="21"/>
                      <w:highlight w:val="none"/>
                      <w:vertAlign w:val="baseline"/>
                      <w:lang w:val="en-US" w:eastAsia="zh-CN" w:bidi="ar"/>
                      <w14:textFill>
                        <w14:solidFill>
                          <w14:schemeClr w14:val="tx1"/>
                        </w14:solidFill>
                      </w14:textFill>
                    </w:rPr>
                    <w:t>性质</w:t>
                  </w:r>
                </w:p>
              </w:tc>
              <w:tc>
                <w:tcPr>
                  <w:tcW w:w="1089" w:type="dxa"/>
                  <w:tcBorders>
                    <w:top w:val="single" w:color="auto" w:sz="4" w:space="0"/>
                    <w:left w:val="single" w:color="auto" w:sz="4" w:space="0"/>
                    <w:bottom w:val="single" w:color="auto" w:sz="4" w:space="0"/>
                    <w:right w:val="single" w:color="auto" w:sz="4" w:space="0"/>
                  </w:tcBorders>
                  <w:noWrap w:val="0"/>
                  <w:vAlign w:val="center"/>
                </w:tcPr>
                <w:p w14:paraId="1D8CC756">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b/>
                      <w:bCs w:val="0"/>
                      <w:smallCaps w:val="0"/>
                      <w:color w:val="000000" w:themeColor="text1"/>
                      <w:kern w:val="0"/>
                      <w:sz w:val="21"/>
                      <w:szCs w:val="21"/>
                      <w:highlight w:val="none"/>
                      <w:vertAlign w:val="baseline"/>
                      <w:lang w:val="en-US"/>
                      <w14:textFill>
                        <w14:solidFill>
                          <w14:schemeClr w14:val="tx1"/>
                        </w14:solidFill>
                      </w14:textFill>
                    </w:rPr>
                  </w:pPr>
                  <w:r>
                    <w:rPr>
                      <w:rFonts w:hint="default" w:ascii="Times New Roman" w:hAnsi="Times New Roman" w:eastAsia="宋体" w:cs="Times New Roman"/>
                      <w:b/>
                      <w:bCs w:val="0"/>
                      <w:smallCaps w:val="0"/>
                      <w:color w:val="000000" w:themeColor="text1"/>
                      <w:kern w:val="0"/>
                      <w:sz w:val="21"/>
                      <w:szCs w:val="21"/>
                      <w:highlight w:val="none"/>
                      <w:vertAlign w:val="baseline"/>
                      <w:lang w:val="en-US" w:eastAsia="zh-CN" w:bidi="ar"/>
                      <w14:textFill>
                        <w14:solidFill>
                          <w14:schemeClr w14:val="tx1"/>
                        </w14:solidFill>
                      </w14:textFill>
                    </w:rPr>
                    <w:t>产生量（t/a）</w:t>
                  </w:r>
                </w:p>
              </w:tc>
              <w:tc>
                <w:tcPr>
                  <w:tcW w:w="2868" w:type="dxa"/>
                  <w:tcBorders>
                    <w:top w:val="single" w:color="auto" w:sz="4" w:space="0"/>
                    <w:left w:val="single" w:color="auto" w:sz="4" w:space="0"/>
                    <w:bottom w:val="single" w:color="auto" w:sz="4" w:space="0"/>
                    <w:right w:val="single" w:color="auto" w:sz="4" w:space="0"/>
                  </w:tcBorders>
                  <w:noWrap w:val="0"/>
                  <w:vAlign w:val="center"/>
                </w:tcPr>
                <w:p w14:paraId="35E15EA6">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b/>
                      <w:bCs w:val="0"/>
                      <w:smallCaps w:val="0"/>
                      <w:color w:val="000000" w:themeColor="text1"/>
                      <w:kern w:val="0"/>
                      <w:sz w:val="21"/>
                      <w:szCs w:val="21"/>
                      <w:highlight w:val="none"/>
                      <w:vertAlign w:val="baseline"/>
                      <w:lang w:val="en-US"/>
                      <w14:textFill>
                        <w14:solidFill>
                          <w14:schemeClr w14:val="tx1"/>
                        </w14:solidFill>
                      </w14:textFill>
                    </w:rPr>
                  </w:pPr>
                  <w:r>
                    <w:rPr>
                      <w:rFonts w:hint="default" w:ascii="Times New Roman" w:hAnsi="Times New Roman" w:eastAsia="宋体" w:cs="Times New Roman"/>
                      <w:b/>
                      <w:bCs w:val="0"/>
                      <w:smallCaps w:val="0"/>
                      <w:color w:val="000000" w:themeColor="text1"/>
                      <w:kern w:val="0"/>
                      <w:sz w:val="21"/>
                      <w:szCs w:val="21"/>
                      <w:highlight w:val="none"/>
                      <w:vertAlign w:val="baseline"/>
                      <w:lang w:val="en-US" w:eastAsia="zh-CN" w:bidi="ar"/>
                      <w14:textFill>
                        <w14:solidFill>
                          <w14:schemeClr w14:val="tx1"/>
                        </w14:solidFill>
                      </w14:textFill>
                    </w:rPr>
                    <w:t>处置方式</w:t>
                  </w:r>
                </w:p>
              </w:tc>
            </w:tr>
            <w:tr w14:paraId="5CB5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14:paraId="1C3FE51B">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bCs/>
                      <w:smallCaps w:val="0"/>
                      <w:color w:val="000000" w:themeColor="text1"/>
                      <w:kern w:val="0"/>
                      <w:sz w:val="21"/>
                      <w:szCs w:val="21"/>
                      <w:highlight w:val="none"/>
                      <w:vertAlign w:val="baseline"/>
                      <w:lang w:val="en-US"/>
                      <w14:textFill>
                        <w14:solidFill>
                          <w14:schemeClr w14:val="tx1"/>
                        </w14:solidFill>
                      </w14:textFill>
                    </w:rPr>
                  </w:pPr>
                  <w:r>
                    <w:rPr>
                      <w:rFonts w:hint="default" w:ascii="Times New Roman" w:hAnsi="Times New Roman" w:eastAsia="宋体" w:cs="Times New Roman"/>
                      <w:bCs/>
                      <w:smallCaps w:val="0"/>
                      <w:color w:val="000000" w:themeColor="text1"/>
                      <w:kern w:val="0"/>
                      <w:sz w:val="21"/>
                      <w:szCs w:val="21"/>
                      <w:highlight w:val="none"/>
                      <w:vertAlign w:val="baseline"/>
                      <w:lang w:val="en-US" w:eastAsia="zh-CN" w:bidi="ar"/>
                      <w14:textFill>
                        <w14:solidFill>
                          <w14:schemeClr w14:val="tx1"/>
                        </w14:solidFill>
                      </w14:textFill>
                    </w:rPr>
                    <w:t>1</w:t>
                  </w:r>
                </w:p>
              </w:tc>
              <w:tc>
                <w:tcPr>
                  <w:tcW w:w="2564" w:type="dxa"/>
                  <w:tcBorders>
                    <w:top w:val="single" w:color="auto" w:sz="4" w:space="0"/>
                    <w:left w:val="single" w:color="auto" w:sz="4" w:space="0"/>
                    <w:bottom w:val="single" w:color="auto" w:sz="4" w:space="0"/>
                    <w:right w:val="single" w:color="auto" w:sz="4" w:space="0"/>
                  </w:tcBorders>
                  <w:noWrap w:val="0"/>
                  <w:vAlign w:val="center"/>
                </w:tcPr>
                <w:p w14:paraId="4806BD94">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废包装袋</w:t>
                  </w:r>
                </w:p>
              </w:tc>
              <w:tc>
                <w:tcPr>
                  <w:tcW w:w="1023" w:type="dxa"/>
                  <w:vMerge w:val="restart"/>
                  <w:tcBorders>
                    <w:top w:val="single" w:color="auto" w:sz="4" w:space="0"/>
                    <w:left w:val="single" w:color="auto" w:sz="4" w:space="0"/>
                    <w:right w:val="single" w:color="auto" w:sz="4" w:space="0"/>
                  </w:tcBorders>
                  <w:noWrap w:val="0"/>
                  <w:vAlign w:val="center"/>
                </w:tcPr>
                <w:p w14:paraId="3D04BBF2">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bCs/>
                      <w:smallCaps w:val="0"/>
                      <w:color w:val="000000" w:themeColor="text1"/>
                      <w:kern w:val="0"/>
                      <w:sz w:val="21"/>
                      <w:szCs w:val="21"/>
                      <w:highlight w:val="none"/>
                      <w:vertAlign w:val="baseline"/>
                      <w:lang w:val="en-US"/>
                      <w14:textFill>
                        <w14:solidFill>
                          <w14:schemeClr w14:val="tx1"/>
                        </w14:solidFill>
                      </w14:textFill>
                    </w:rPr>
                  </w:pPr>
                  <w:r>
                    <w:rPr>
                      <w:rFonts w:hint="default" w:ascii="Times New Roman" w:hAnsi="Times New Roman" w:eastAsia="宋体" w:cs="Times New Roman"/>
                      <w:bCs/>
                      <w:smallCaps w:val="0"/>
                      <w:color w:val="000000" w:themeColor="text1"/>
                      <w:kern w:val="0"/>
                      <w:sz w:val="21"/>
                      <w:szCs w:val="21"/>
                      <w:highlight w:val="none"/>
                      <w:vertAlign w:val="baseline"/>
                      <w:lang w:val="en-US" w:eastAsia="zh-CN" w:bidi="ar"/>
                      <w14:textFill>
                        <w14:solidFill>
                          <w14:schemeClr w14:val="tx1"/>
                        </w14:solidFill>
                      </w14:textFill>
                    </w:rPr>
                    <w:t>一般固废</w:t>
                  </w:r>
                </w:p>
              </w:tc>
              <w:tc>
                <w:tcPr>
                  <w:tcW w:w="1089" w:type="dxa"/>
                  <w:tcBorders>
                    <w:top w:val="single" w:color="auto" w:sz="4" w:space="0"/>
                    <w:left w:val="single" w:color="auto" w:sz="4" w:space="0"/>
                    <w:bottom w:val="single" w:color="auto" w:sz="4" w:space="0"/>
                    <w:right w:val="single" w:color="auto" w:sz="4" w:space="0"/>
                  </w:tcBorders>
                  <w:noWrap w:val="0"/>
                  <w:vAlign w:val="center"/>
                </w:tcPr>
                <w:p w14:paraId="1BAD987C">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0.5</w:t>
                  </w:r>
                </w:p>
              </w:tc>
              <w:tc>
                <w:tcPr>
                  <w:tcW w:w="2868" w:type="dxa"/>
                  <w:tcBorders>
                    <w:top w:val="single" w:color="auto" w:sz="4" w:space="0"/>
                    <w:left w:val="single" w:color="auto" w:sz="4" w:space="0"/>
                    <w:bottom w:val="single" w:color="auto" w:sz="4" w:space="0"/>
                    <w:right w:val="single" w:color="auto" w:sz="4" w:space="0"/>
                  </w:tcBorders>
                  <w:noWrap w:val="0"/>
                  <w:vAlign w:val="center"/>
                </w:tcPr>
                <w:p w14:paraId="3F51E40D">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统一收集后可回收利用的在厂区内重复使用，不可利用的外售回收商资源化利用处置</w:t>
                  </w:r>
                </w:p>
              </w:tc>
            </w:tr>
            <w:tr w14:paraId="14E8A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14:paraId="5767019A">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bCs/>
                      <w:smallCaps w:val="0"/>
                      <w:color w:val="000000" w:themeColor="text1"/>
                      <w:kern w:val="0"/>
                      <w:sz w:val="21"/>
                      <w:szCs w:val="21"/>
                      <w:highlight w:val="none"/>
                      <w:vertAlign w:val="baseline"/>
                      <w:lang w:val="en-US"/>
                      <w14:textFill>
                        <w14:solidFill>
                          <w14:schemeClr w14:val="tx1"/>
                        </w14:solidFill>
                      </w14:textFill>
                    </w:rPr>
                  </w:pPr>
                  <w:r>
                    <w:rPr>
                      <w:rFonts w:hint="default" w:ascii="Times New Roman" w:hAnsi="Times New Roman" w:eastAsia="宋体" w:cs="Times New Roman"/>
                      <w:bCs/>
                      <w:smallCaps w:val="0"/>
                      <w:color w:val="000000" w:themeColor="text1"/>
                      <w:kern w:val="0"/>
                      <w:sz w:val="21"/>
                      <w:szCs w:val="21"/>
                      <w:highlight w:val="none"/>
                      <w:vertAlign w:val="baseline"/>
                      <w:lang w:val="en-US" w:eastAsia="zh-CN" w:bidi="ar"/>
                      <w14:textFill>
                        <w14:solidFill>
                          <w14:schemeClr w14:val="tx1"/>
                        </w14:solidFill>
                      </w14:textFill>
                    </w:rPr>
                    <w:t>2</w:t>
                  </w:r>
                </w:p>
              </w:tc>
              <w:tc>
                <w:tcPr>
                  <w:tcW w:w="2564" w:type="dxa"/>
                  <w:tcBorders>
                    <w:top w:val="single" w:color="auto" w:sz="4" w:space="0"/>
                    <w:left w:val="single" w:color="auto" w:sz="4" w:space="0"/>
                    <w:bottom w:val="single" w:color="auto" w:sz="4" w:space="0"/>
                    <w:right w:val="single" w:color="auto" w:sz="4" w:space="0"/>
                  </w:tcBorders>
                  <w:noWrap w:val="0"/>
                  <w:vAlign w:val="center"/>
                </w:tcPr>
                <w:p w14:paraId="59A7E498">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边角料及不合格产品</w:t>
                  </w:r>
                </w:p>
              </w:tc>
              <w:tc>
                <w:tcPr>
                  <w:tcW w:w="1023" w:type="dxa"/>
                  <w:vMerge w:val="continue"/>
                  <w:tcBorders>
                    <w:left w:val="single" w:color="auto" w:sz="4" w:space="0"/>
                    <w:right w:val="single" w:color="auto" w:sz="4" w:space="0"/>
                  </w:tcBorders>
                  <w:noWrap w:val="0"/>
                  <w:vAlign w:val="center"/>
                </w:tcPr>
                <w:p w14:paraId="3EFB0C6D">
                  <w:pPr>
                    <w:rPr>
                      <w:rFonts w:hint="default" w:ascii="Times New Roman" w:hAnsi="Times New Roman" w:eastAsia="宋体" w:cs="Times New Roman"/>
                      <w:smallCaps w:val="0"/>
                      <w:color w:val="000000" w:themeColor="text1"/>
                      <w:kern w:val="2"/>
                      <w:sz w:val="21"/>
                      <w:szCs w:val="21"/>
                      <w:highlight w:val="none"/>
                      <w14:textFill>
                        <w14:solidFill>
                          <w14:schemeClr w14:val="tx1"/>
                        </w14:solidFill>
                      </w14:textFill>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7BF1B73E">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8</w:t>
                  </w:r>
                </w:p>
              </w:tc>
              <w:tc>
                <w:tcPr>
                  <w:tcW w:w="2868" w:type="dxa"/>
                  <w:tcBorders>
                    <w:top w:val="single" w:color="auto" w:sz="4" w:space="0"/>
                    <w:left w:val="single" w:color="auto" w:sz="4" w:space="0"/>
                    <w:bottom w:val="single" w:color="auto" w:sz="4" w:space="0"/>
                    <w:right w:val="single" w:color="auto" w:sz="4" w:space="0"/>
                  </w:tcBorders>
                  <w:noWrap w:val="0"/>
                  <w:vAlign w:val="center"/>
                </w:tcPr>
                <w:p w14:paraId="0AA7918A">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分类收集后经破碎后作为原料返回生产线使用</w:t>
                  </w:r>
                </w:p>
              </w:tc>
            </w:tr>
            <w:tr w14:paraId="1969E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14:paraId="4707553A">
                  <w:pPr>
                    <w:keepNext w:val="0"/>
                    <w:keepLines w:val="0"/>
                    <w:widowControl w:val="0"/>
                    <w:suppressLineNumbers w:val="0"/>
                    <w:adjustRightInd w:val="0"/>
                    <w:snapToGrid w:val="0"/>
                    <w:spacing w:before="0" w:beforeAutospacing="0" w:after="0" w:afterAutospacing="0"/>
                    <w:ind w:left="0" w:leftChars="0" w:right="0" w:rightChars="0"/>
                    <w:jc w:val="center"/>
                    <w:textAlignment w:val="baseline"/>
                    <w:rPr>
                      <w:rFonts w:hint="default" w:ascii="Times New Roman" w:hAnsi="Times New Roman" w:eastAsia="宋体" w:cs="Times New Roman"/>
                      <w:bCs/>
                      <w:smallCaps w:val="0"/>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Cs/>
                      <w:smallCaps w:val="0"/>
                      <w:color w:val="000000" w:themeColor="text1"/>
                      <w:kern w:val="0"/>
                      <w:sz w:val="21"/>
                      <w:szCs w:val="21"/>
                      <w:highlight w:val="none"/>
                      <w:vertAlign w:val="baseline"/>
                      <w:lang w:val="en-US" w:eastAsia="zh-CN" w:bidi="ar"/>
                      <w14:textFill>
                        <w14:solidFill>
                          <w14:schemeClr w14:val="tx1"/>
                        </w14:solidFill>
                      </w14:textFill>
                    </w:rPr>
                    <w:t>3</w:t>
                  </w:r>
                </w:p>
              </w:tc>
              <w:tc>
                <w:tcPr>
                  <w:tcW w:w="2564" w:type="dxa"/>
                  <w:tcBorders>
                    <w:top w:val="single" w:color="auto" w:sz="4" w:space="0"/>
                    <w:left w:val="single" w:color="auto" w:sz="4" w:space="0"/>
                    <w:bottom w:val="single" w:color="auto" w:sz="4" w:space="0"/>
                    <w:right w:val="single" w:color="auto" w:sz="4" w:space="0"/>
                  </w:tcBorders>
                  <w:noWrap w:val="0"/>
                  <w:vAlign w:val="center"/>
                </w:tcPr>
                <w:p w14:paraId="5DA0A0AF">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除尘器收集粉尘</w:t>
                  </w:r>
                </w:p>
              </w:tc>
              <w:tc>
                <w:tcPr>
                  <w:tcW w:w="1023" w:type="dxa"/>
                  <w:vMerge w:val="continue"/>
                  <w:tcBorders>
                    <w:left w:val="single" w:color="auto" w:sz="4" w:space="0"/>
                    <w:right w:val="single" w:color="auto" w:sz="4" w:space="0"/>
                  </w:tcBorders>
                  <w:noWrap w:val="0"/>
                  <w:vAlign w:val="center"/>
                </w:tcPr>
                <w:p w14:paraId="70DF296D">
                  <w:pPr>
                    <w:rPr>
                      <w:rFonts w:hint="default" w:ascii="Times New Roman" w:hAnsi="Times New Roman" w:eastAsia="宋体" w:cs="Times New Roman"/>
                      <w:smallCaps w:val="0"/>
                      <w:color w:val="000000" w:themeColor="text1"/>
                      <w:kern w:val="2"/>
                      <w:sz w:val="21"/>
                      <w:szCs w:val="21"/>
                      <w:highlight w:val="none"/>
                      <w14:textFill>
                        <w14:solidFill>
                          <w14:schemeClr w14:val="tx1"/>
                        </w14:solidFill>
                      </w14:textFill>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3CC309D6">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2.4</w:t>
                  </w:r>
                </w:p>
              </w:tc>
              <w:tc>
                <w:tcPr>
                  <w:tcW w:w="2868" w:type="dxa"/>
                  <w:tcBorders>
                    <w:top w:val="single" w:color="auto" w:sz="4" w:space="0"/>
                    <w:left w:val="single" w:color="auto" w:sz="4" w:space="0"/>
                    <w:bottom w:val="single" w:color="auto" w:sz="4" w:space="0"/>
                    <w:right w:val="single" w:color="auto" w:sz="4" w:space="0"/>
                  </w:tcBorders>
                  <w:noWrap w:val="0"/>
                  <w:vAlign w:val="center"/>
                </w:tcPr>
                <w:p w14:paraId="5FAC148F">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收集后返回生产线作为原料使用</w:t>
                  </w:r>
                </w:p>
              </w:tc>
            </w:tr>
            <w:tr w14:paraId="66BB1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14:paraId="12FD7EB9">
                  <w:pPr>
                    <w:keepNext w:val="0"/>
                    <w:keepLines w:val="0"/>
                    <w:widowControl w:val="0"/>
                    <w:suppressLineNumbers w:val="0"/>
                    <w:adjustRightInd w:val="0"/>
                    <w:snapToGrid w:val="0"/>
                    <w:spacing w:before="0" w:beforeAutospacing="0" w:after="0" w:afterAutospacing="0"/>
                    <w:ind w:left="0" w:leftChars="0" w:right="0" w:rightChars="0"/>
                    <w:jc w:val="center"/>
                    <w:textAlignment w:val="baseline"/>
                    <w:rPr>
                      <w:rFonts w:hint="default" w:ascii="Times New Roman" w:hAnsi="Times New Roman" w:eastAsia="宋体" w:cs="Times New Roman"/>
                      <w:bCs/>
                      <w:smallCaps w:val="0"/>
                      <w:color w:val="000000" w:themeColor="text1"/>
                      <w:kern w:val="0"/>
                      <w:sz w:val="21"/>
                      <w:szCs w:val="21"/>
                      <w:highlight w:val="none"/>
                      <w:vertAlign w:val="baseline"/>
                      <w:lang w:val="en-US"/>
                      <w14:textFill>
                        <w14:solidFill>
                          <w14:schemeClr w14:val="tx1"/>
                        </w14:solidFill>
                      </w14:textFill>
                    </w:rPr>
                  </w:pPr>
                  <w:r>
                    <w:rPr>
                      <w:rFonts w:hint="default" w:ascii="Times New Roman" w:hAnsi="Times New Roman" w:eastAsia="宋体" w:cs="Times New Roman"/>
                      <w:bCs/>
                      <w:smallCaps w:val="0"/>
                      <w:color w:val="000000" w:themeColor="text1"/>
                      <w:kern w:val="0"/>
                      <w:sz w:val="21"/>
                      <w:szCs w:val="21"/>
                      <w:highlight w:val="none"/>
                      <w:vertAlign w:val="baseline"/>
                      <w:lang w:val="en-US" w:eastAsia="zh-CN" w:bidi="ar"/>
                      <w14:textFill>
                        <w14:solidFill>
                          <w14:schemeClr w14:val="tx1"/>
                        </w14:solidFill>
                      </w14:textFill>
                    </w:rPr>
                    <w:t>4</w:t>
                  </w:r>
                </w:p>
              </w:tc>
              <w:tc>
                <w:tcPr>
                  <w:tcW w:w="2564" w:type="dxa"/>
                  <w:tcBorders>
                    <w:top w:val="single" w:color="auto" w:sz="4" w:space="0"/>
                    <w:left w:val="single" w:color="auto" w:sz="4" w:space="0"/>
                    <w:bottom w:val="single" w:color="auto" w:sz="4" w:space="0"/>
                    <w:right w:val="single" w:color="auto" w:sz="4" w:space="0"/>
                  </w:tcBorders>
                  <w:noWrap w:val="0"/>
                  <w:vAlign w:val="center"/>
                </w:tcPr>
                <w:p w14:paraId="4140A24B">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生活垃圾</w:t>
                  </w:r>
                </w:p>
              </w:tc>
              <w:tc>
                <w:tcPr>
                  <w:tcW w:w="1023" w:type="dxa"/>
                  <w:vMerge w:val="restart"/>
                  <w:tcBorders>
                    <w:top w:val="single" w:color="auto" w:sz="4" w:space="0"/>
                    <w:left w:val="single" w:color="auto" w:sz="4" w:space="0"/>
                    <w:right w:val="single" w:color="auto" w:sz="4" w:space="0"/>
                  </w:tcBorders>
                  <w:noWrap w:val="0"/>
                  <w:vAlign w:val="center"/>
                </w:tcPr>
                <w:p w14:paraId="1B9F8BEB">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bCs/>
                      <w:smallCaps w:val="0"/>
                      <w:color w:val="000000" w:themeColor="text1"/>
                      <w:kern w:val="0"/>
                      <w:sz w:val="21"/>
                      <w:szCs w:val="21"/>
                      <w:highlight w:val="none"/>
                      <w:vertAlign w:val="baseline"/>
                      <w:lang w:val="en-US"/>
                      <w14:textFill>
                        <w14:solidFill>
                          <w14:schemeClr w14:val="tx1"/>
                        </w14:solidFill>
                      </w14:textFill>
                    </w:rPr>
                  </w:pPr>
                  <w:r>
                    <w:rPr>
                      <w:rFonts w:hint="default" w:ascii="Times New Roman" w:hAnsi="Times New Roman" w:eastAsia="宋体" w:cs="Times New Roman"/>
                      <w:bCs/>
                      <w:smallCaps w:val="0"/>
                      <w:color w:val="000000" w:themeColor="text1"/>
                      <w:kern w:val="0"/>
                      <w:sz w:val="21"/>
                      <w:szCs w:val="21"/>
                      <w:highlight w:val="none"/>
                      <w:vertAlign w:val="baseline"/>
                      <w:lang w:val="en-US" w:eastAsia="zh-CN" w:bidi="ar"/>
                      <w14:textFill>
                        <w14:solidFill>
                          <w14:schemeClr w14:val="tx1"/>
                        </w14:solidFill>
                      </w14:textFill>
                    </w:rPr>
                    <w:t>生活固废</w:t>
                  </w:r>
                </w:p>
              </w:tc>
              <w:tc>
                <w:tcPr>
                  <w:tcW w:w="1089" w:type="dxa"/>
                  <w:tcBorders>
                    <w:top w:val="single" w:color="auto" w:sz="4" w:space="0"/>
                    <w:left w:val="single" w:color="auto" w:sz="4" w:space="0"/>
                    <w:bottom w:val="single" w:color="auto" w:sz="4" w:space="0"/>
                    <w:right w:val="single" w:color="auto" w:sz="4" w:space="0"/>
                  </w:tcBorders>
                  <w:noWrap w:val="0"/>
                  <w:vAlign w:val="center"/>
                </w:tcPr>
                <w:p w14:paraId="0C52CA75">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7.5</w:t>
                  </w:r>
                </w:p>
              </w:tc>
              <w:tc>
                <w:tcPr>
                  <w:tcW w:w="2868" w:type="dxa"/>
                  <w:tcBorders>
                    <w:top w:val="single" w:color="auto" w:sz="4" w:space="0"/>
                    <w:left w:val="single" w:color="auto" w:sz="4" w:space="0"/>
                    <w:bottom w:val="single" w:color="auto" w:sz="4" w:space="0"/>
                    <w:right w:val="single" w:color="auto" w:sz="4" w:space="0"/>
                  </w:tcBorders>
                  <w:noWrap w:val="0"/>
                  <w:vAlign w:val="center"/>
                </w:tcPr>
                <w:p w14:paraId="6BA8A2C8">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委托环卫部门及时清运</w:t>
                  </w:r>
                </w:p>
              </w:tc>
            </w:tr>
            <w:tr w14:paraId="087E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14:paraId="451731F8">
                  <w:pPr>
                    <w:keepNext w:val="0"/>
                    <w:keepLines w:val="0"/>
                    <w:widowControl w:val="0"/>
                    <w:suppressLineNumbers w:val="0"/>
                    <w:adjustRightInd w:val="0"/>
                    <w:snapToGrid w:val="0"/>
                    <w:spacing w:before="0" w:beforeAutospacing="0" w:after="0" w:afterAutospacing="0"/>
                    <w:ind w:left="0" w:leftChars="0" w:right="0" w:rightChars="0"/>
                    <w:jc w:val="center"/>
                    <w:textAlignment w:val="baseline"/>
                    <w:rPr>
                      <w:rFonts w:hint="default" w:ascii="Times New Roman" w:hAnsi="Times New Roman" w:eastAsia="宋体" w:cs="Times New Roman"/>
                      <w:bCs/>
                      <w:smallCaps w:val="0"/>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Cs/>
                      <w:smallCaps w:val="0"/>
                      <w:color w:val="000000" w:themeColor="text1"/>
                      <w:kern w:val="0"/>
                      <w:sz w:val="21"/>
                      <w:szCs w:val="21"/>
                      <w:highlight w:val="none"/>
                      <w:vertAlign w:val="baseline"/>
                      <w:lang w:val="en-US" w:eastAsia="zh-CN"/>
                      <w14:textFill>
                        <w14:solidFill>
                          <w14:schemeClr w14:val="tx1"/>
                        </w14:solidFill>
                      </w14:textFill>
                    </w:rPr>
                    <w:t>5</w:t>
                  </w:r>
                </w:p>
              </w:tc>
              <w:tc>
                <w:tcPr>
                  <w:tcW w:w="2564" w:type="dxa"/>
                  <w:tcBorders>
                    <w:top w:val="single" w:color="auto" w:sz="4" w:space="0"/>
                    <w:left w:val="single" w:color="auto" w:sz="4" w:space="0"/>
                    <w:bottom w:val="single" w:color="auto" w:sz="4" w:space="0"/>
                    <w:right w:val="single" w:color="auto" w:sz="4" w:space="0"/>
                  </w:tcBorders>
                  <w:noWrap w:val="0"/>
                  <w:vAlign w:val="center"/>
                </w:tcPr>
                <w:p w14:paraId="5DF41CA8">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化粪池污泥</w:t>
                  </w:r>
                </w:p>
              </w:tc>
              <w:tc>
                <w:tcPr>
                  <w:tcW w:w="1023" w:type="dxa"/>
                  <w:vMerge w:val="continue"/>
                  <w:tcBorders>
                    <w:left w:val="single" w:color="auto" w:sz="4" w:space="0"/>
                    <w:right w:val="single" w:color="auto" w:sz="4" w:space="0"/>
                  </w:tcBorders>
                  <w:noWrap w:val="0"/>
                  <w:vAlign w:val="center"/>
                </w:tcPr>
                <w:p w14:paraId="5ACF6F76">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bCs/>
                      <w:smallCaps w:val="0"/>
                      <w:color w:val="000000" w:themeColor="text1"/>
                      <w:kern w:val="0"/>
                      <w:sz w:val="21"/>
                      <w:szCs w:val="21"/>
                      <w:highlight w:val="none"/>
                      <w:vertAlign w:val="baseline"/>
                      <w:lang w:val="en-US" w:eastAsia="zh-CN" w:bidi="ar"/>
                      <w14:textFill>
                        <w14:solidFill>
                          <w14:schemeClr w14:val="tx1"/>
                        </w14:solidFill>
                      </w14:textFill>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5848812F">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0.8</w:t>
                  </w:r>
                </w:p>
              </w:tc>
              <w:tc>
                <w:tcPr>
                  <w:tcW w:w="2868" w:type="dxa"/>
                  <w:vMerge w:val="restart"/>
                  <w:tcBorders>
                    <w:top w:val="single" w:color="auto" w:sz="4" w:space="0"/>
                    <w:left w:val="single" w:color="auto" w:sz="4" w:space="0"/>
                    <w:right w:val="single" w:color="auto" w:sz="4" w:space="0"/>
                  </w:tcBorders>
                  <w:noWrap w:val="0"/>
                  <w:vAlign w:val="center"/>
                </w:tcPr>
                <w:p w14:paraId="4C484191">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委托环卫部门定期清掏清运处置</w:t>
                  </w:r>
                </w:p>
              </w:tc>
            </w:tr>
            <w:tr w14:paraId="44D5A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14:paraId="601718AA">
                  <w:pPr>
                    <w:keepNext w:val="0"/>
                    <w:keepLines w:val="0"/>
                    <w:widowControl w:val="0"/>
                    <w:suppressLineNumbers w:val="0"/>
                    <w:adjustRightInd w:val="0"/>
                    <w:snapToGrid w:val="0"/>
                    <w:spacing w:before="0" w:beforeAutospacing="0" w:after="0" w:afterAutospacing="0"/>
                    <w:ind w:left="0" w:leftChars="0" w:right="0" w:rightChars="0"/>
                    <w:jc w:val="center"/>
                    <w:textAlignment w:val="baseline"/>
                    <w:rPr>
                      <w:rFonts w:hint="default" w:ascii="Times New Roman" w:hAnsi="Times New Roman" w:eastAsia="宋体" w:cs="Times New Roman"/>
                      <w:bCs/>
                      <w:smallCaps w:val="0"/>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Cs/>
                      <w:smallCaps w:val="0"/>
                      <w:color w:val="000000" w:themeColor="text1"/>
                      <w:kern w:val="0"/>
                      <w:sz w:val="21"/>
                      <w:szCs w:val="21"/>
                      <w:highlight w:val="none"/>
                      <w:vertAlign w:val="baseline"/>
                      <w:lang w:val="en-US" w:eastAsia="zh-CN" w:bidi="ar"/>
                      <w14:textFill>
                        <w14:solidFill>
                          <w14:schemeClr w14:val="tx1"/>
                        </w14:solidFill>
                      </w14:textFill>
                    </w:rPr>
                    <w:t>6</w:t>
                  </w:r>
                </w:p>
              </w:tc>
              <w:tc>
                <w:tcPr>
                  <w:tcW w:w="2564" w:type="dxa"/>
                  <w:tcBorders>
                    <w:top w:val="single" w:color="auto" w:sz="4" w:space="0"/>
                    <w:left w:val="single" w:color="auto" w:sz="4" w:space="0"/>
                    <w:bottom w:val="single" w:color="auto" w:sz="4" w:space="0"/>
                    <w:right w:val="single" w:color="auto" w:sz="4" w:space="0"/>
                  </w:tcBorders>
                  <w:noWrap w:val="0"/>
                  <w:vAlign w:val="center"/>
                </w:tcPr>
                <w:p w14:paraId="2EF6BD65">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一体化污水处理设施污泥</w:t>
                  </w:r>
                </w:p>
              </w:tc>
              <w:tc>
                <w:tcPr>
                  <w:tcW w:w="1023" w:type="dxa"/>
                  <w:vMerge w:val="continue"/>
                  <w:tcBorders>
                    <w:left w:val="single" w:color="auto" w:sz="4" w:space="0"/>
                    <w:bottom w:val="single" w:color="auto" w:sz="4" w:space="0"/>
                    <w:right w:val="single" w:color="auto" w:sz="4" w:space="0"/>
                  </w:tcBorders>
                  <w:noWrap w:val="0"/>
                  <w:vAlign w:val="center"/>
                </w:tcPr>
                <w:p w14:paraId="2DB9017A">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bCs/>
                      <w:smallCaps w:val="0"/>
                      <w:color w:val="000000" w:themeColor="text1"/>
                      <w:kern w:val="0"/>
                      <w:sz w:val="21"/>
                      <w:szCs w:val="21"/>
                      <w:highlight w:val="none"/>
                      <w:vertAlign w:val="baseline"/>
                      <w:lang w:val="en-US" w:eastAsia="zh-CN" w:bidi="ar"/>
                      <w14:textFill>
                        <w14:solidFill>
                          <w14:schemeClr w14:val="tx1"/>
                        </w14:solidFill>
                      </w14:textFill>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16BD189F">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0.5</w:t>
                  </w:r>
                </w:p>
              </w:tc>
              <w:tc>
                <w:tcPr>
                  <w:tcW w:w="2868" w:type="dxa"/>
                  <w:vMerge w:val="continue"/>
                  <w:tcBorders>
                    <w:left w:val="single" w:color="auto" w:sz="4" w:space="0"/>
                    <w:bottom w:val="single" w:color="auto" w:sz="4" w:space="0"/>
                    <w:right w:val="single" w:color="auto" w:sz="4" w:space="0"/>
                  </w:tcBorders>
                  <w:noWrap w:val="0"/>
                  <w:vAlign w:val="center"/>
                </w:tcPr>
                <w:p w14:paraId="6C6E400B">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p>
              </w:tc>
            </w:tr>
            <w:tr w14:paraId="62BB1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14:paraId="7E629A6B">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bCs/>
                      <w:smallCaps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Cs/>
                      <w:smallCaps w:val="0"/>
                      <w:color w:val="000000" w:themeColor="text1"/>
                      <w:kern w:val="0"/>
                      <w:sz w:val="21"/>
                      <w:szCs w:val="21"/>
                      <w:highlight w:val="none"/>
                      <w:vertAlign w:val="baseline"/>
                      <w:lang w:val="en-US" w:eastAsia="zh-CN"/>
                      <w14:textFill>
                        <w14:solidFill>
                          <w14:schemeClr w14:val="tx1"/>
                        </w14:solidFill>
                      </w14:textFill>
                    </w:rPr>
                    <w:t>7</w:t>
                  </w:r>
                </w:p>
              </w:tc>
              <w:tc>
                <w:tcPr>
                  <w:tcW w:w="2564" w:type="dxa"/>
                  <w:tcBorders>
                    <w:top w:val="single" w:color="auto" w:sz="4" w:space="0"/>
                    <w:left w:val="single" w:color="auto" w:sz="4" w:space="0"/>
                    <w:bottom w:val="single" w:color="auto" w:sz="4" w:space="0"/>
                    <w:right w:val="single" w:color="auto" w:sz="4" w:space="0"/>
                  </w:tcBorders>
                  <w:noWrap w:val="0"/>
                  <w:vAlign w:val="center"/>
                </w:tcPr>
                <w:p w14:paraId="1A3640B9">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废活性炭</w:t>
                  </w:r>
                </w:p>
              </w:tc>
              <w:tc>
                <w:tcPr>
                  <w:tcW w:w="1023" w:type="dxa"/>
                  <w:vMerge w:val="restart"/>
                  <w:tcBorders>
                    <w:top w:val="single" w:color="auto" w:sz="4" w:space="0"/>
                    <w:left w:val="single" w:color="auto" w:sz="4" w:space="0"/>
                    <w:right w:val="single" w:color="auto" w:sz="4" w:space="0"/>
                  </w:tcBorders>
                  <w:noWrap w:val="0"/>
                  <w:vAlign w:val="center"/>
                </w:tcPr>
                <w:p w14:paraId="23DFC86C">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bCs/>
                      <w:smallCaps w:val="0"/>
                      <w:color w:val="000000" w:themeColor="text1"/>
                      <w:kern w:val="0"/>
                      <w:sz w:val="21"/>
                      <w:szCs w:val="21"/>
                      <w:highlight w:val="none"/>
                      <w:vertAlign w:val="baseline"/>
                      <w:lang w:val="en-US"/>
                      <w14:textFill>
                        <w14:solidFill>
                          <w14:schemeClr w14:val="tx1"/>
                        </w14:solidFill>
                      </w14:textFill>
                    </w:rPr>
                  </w:pPr>
                  <w:r>
                    <w:rPr>
                      <w:rFonts w:hint="default" w:ascii="Times New Roman" w:hAnsi="Times New Roman" w:eastAsia="宋体" w:cs="Times New Roman"/>
                      <w:bCs/>
                      <w:smallCaps w:val="0"/>
                      <w:color w:val="000000" w:themeColor="text1"/>
                      <w:kern w:val="0"/>
                      <w:sz w:val="21"/>
                      <w:szCs w:val="21"/>
                      <w:highlight w:val="none"/>
                      <w:vertAlign w:val="baseline"/>
                      <w:lang w:val="en-US" w:eastAsia="zh-CN" w:bidi="ar"/>
                      <w14:textFill>
                        <w14:solidFill>
                          <w14:schemeClr w14:val="tx1"/>
                        </w14:solidFill>
                      </w14:textFill>
                    </w:rPr>
                    <w:t>危险废物</w:t>
                  </w:r>
                </w:p>
              </w:tc>
              <w:tc>
                <w:tcPr>
                  <w:tcW w:w="1089" w:type="dxa"/>
                  <w:tcBorders>
                    <w:top w:val="single" w:color="auto" w:sz="4" w:space="0"/>
                    <w:left w:val="single" w:color="auto" w:sz="4" w:space="0"/>
                    <w:bottom w:val="single" w:color="auto" w:sz="4" w:space="0"/>
                    <w:right w:val="single" w:color="auto" w:sz="4" w:space="0"/>
                  </w:tcBorders>
                  <w:noWrap w:val="0"/>
                  <w:vAlign w:val="center"/>
                </w:tcPr>
                <w:p w14:paraId="1DF53595">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0.5</w:t>
                  </w:r>
                </w:p>
              </w:tc>
              <w:tc>
                <w:tcPr>
                  <w:tcW w:w="2868" w:type="dxa"/>
                  <w:vMerge w:val="restart"/>
                  <w:tcBorders>
                    <w:top w:val="single" w:color="auto" w:sz="4" w:space="0"/>
                    <w:left w:val="single" w:color="auto" w:sz="4" w:space="0"/>
                    <w:right w:val="single" w:color="auto" w:sz="4" w:space="0"/>
                  </w:tcBorders>
                  <w:noWrap w:val="0"/>
                  <w:vAlign w:val="center"/>
                </w:tcPr>
                <w:p w14:paraId="1B44C1EC">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暂存于危废间内，委托</w:t>
                  </w:r>
                  <w:r>
                    <w:rPr>
                      <w:rFonts w:hint="eastAsia"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有资质的单位</w:t>
                  </w: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处理。</w:t>
                  </w:r>
                </w:p>
              </w:tc>
            </w:tr>
            <w:tr w14:paraId="1AC3B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14:paraId="63B4376D">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bCs/>
                      <w:smallCaps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Cs/>
                      <w:smallCaps w:val="0"/>
                      <w:color w:val="000000" w:themeColor="text1"/>
                      <w:kern w:val="0"/>
                      <w:sz w:val="21"/>
                      <w:szCs w:val="21"/>
                      <w:highlight w:val="none"/>
                      <w:vertAlign w:val="baseline"/>
                      <w:lang w:val="en-US" w:eastAsia="zh-CN"/>
                      <w14:textFill>
                        <w14:solidFill>
                          <w14:schemeClr w14:val="tx1"/>
                        </w14:solidFill>
                      </w14:textFill>
                    </w:rPr>
                    <w:t>8</w:t>
                  </w:r>
                </w:p>
              </w:tc>
              <w:tc>
                <w:tcPr>
                  <w:tcW w:w="2564" w:type="dxa"/>
                  <w:tcBorders>
                    <w:top w:val="single" w:color="auto" w:sz="4" w:space="0"/>
                    <w:left w:val="single" w:color="auto" w:sz="4" w:space="0"/>
                    <w:bottom w:val="single" w:color="auto" w:sz="4" w:space="0"/>
                    <w:right w:val="single" w:color="auto" w:sz="4" w:space="0"/>
                  </w:tcBorders>
                  <w:noWrap w:val="0"/>
                  <w:vAlign w:val="center"/>
                </w:tcPr>
                <w:p w14:paraId="1EE634CA">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废机油</w:t>
                  </w:r>
                </w:p>
              </w:tc>
              <w:tc>
                <w:tcPr>
                  <w:tcW w:w="1023" w:type="dxa"/>
                  <w:vMerge w:val="continue"/>
                  <w:tcBorders>
                    <w:left w:val="single" w:color="auto" w:sz="4" w:space="0"/>
                    <w:right w:val="single" w:color="auto" w:sz="4" w:space="0"/>
                  </w:tcBorders>
                  <w:noWrap w:val="0"/>
                  <w:vAlign w:val="center"/>
                </w:tcPr>
                <w:p w14:paraId="23BF088C">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bCs/>
                      <w:smallCaps w:val="0"/>
                      <w:color w:val="000000" w:themeColor="text1"/>
                      <w:kern w:val="0"/>
                      <w:sz w:val="21"/>
                      <w:szCs w:val="21"/>
                      <w:highlight w:val="none"/>
                      <w:vertAlign w:val="baseline"/>
                      <w:lang w:val="en-US" w:eastAsia="zh-CN" w:bidi="ar"/>
                      <w14:textFill>
                        <w14:solidFill>
                          <w14:schemeClr w14:val="tx1"/>
                        </w14:solidFill>
                      </w14:textFill>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5027D7DC">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t>0.02</w:t>
                  </w:r>
                </w:p>
              </w:tc>
              <w:tc>
                <w:tcPr>
                  <w:tcW w:w="2868" w:type="dxa"/>
                  <w:vMerge w:val="continue"/>
                  <w:tcBorders>
                    <w:left w:val="single" w:color="auto" w:sz="4" w:space="0"/>
                    <w:right w:val="single" w:color="auto" w:sz="4" w:space="0"/>
                  </w:tcBorders>
                  <w:noWrap w:val="0"/>
                  <w:vAlign w:val="center"/>
                </w:tcPr>
                <w:p w14:paraId="27FC24E5">
                  <w:pPr>
                    <w:keepNext w:val="0"/>
                    <w:keepLines w:val="0"/>
                    <w:widowControl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宋体" w:cs="Times New Roman"/>
                      <w:smallCaps w:val="0"/>
                      <w:color w:val="000000" w:themeColor="text1"/>
                      <w:kern w:val="2"/>
                      <w:sz w:val="21"/>
                      <w:szCs w:val="21"/>
                      <w:highlight w:val="none"/>
                      <w:vertAlign w:val="baseline"/>
                      <w:lang w:val="en-US" w:eastAsia="zh-CN" w:bidi="ar"/>
                      <w14:textFill>
                        <w14:solidFill>
                          <w14:schemeClr w14:val="tx1"/>
                        </w14:solidFill>
                      </w14:textFill>
                    </w:rPr>
                  </w:pPr>
                </w:p>
              </w:tc>
            </w:tr>
          </w:tbl>
          <w:p w14:paraId="1D46FF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mallCaps w:val="0"/>
                <w:color w:val="000000" w:themeColor="text1"/>
                <w:kern w:val="2"/>
                <w:sz w:val="24"/>
                <w:szCs w:val="24"/>
                <w:highlight w:val="none"/>
                <w:lang w:val="en-US" w:eastAsia="zh-CN" w:bidi="ar"/>
                <w14:textFill>
                  <w14:solidFill>
                    <w14:schemeClr w14:val="tx1"/>
                  </w14:solidFill>
                </w14:textFill>
              </w:rPr>
            </w:pP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综上，云南联帆建材科技有限公司废气、废水、噪声与固废均满足相关排放标准，经现场踏勘与资料核查确认云南联帆建材科技有限公司原有环保设施运行正常。</w:t>
            </w:r>
          </w:p>
          <w:p w14:paraId="1982BD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4、项目租用车间现状</w:t>
            </w:r>
          </w:p>
          <w:p w14:paraId="5FF064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cs="Times New Roman"/>
                <w:b w:val="0"/>
                <w:bCs/>
                <w:color w:val="000000" w:themeColor="text1"/>
                <w:sz w:val="24"/>
                <w:lang w:val="en-US" w:eastAsia="zh-CN"/>
                <w14:textFill>
                  <w14:solidFill>
                    <w14:schemeClr w14:val="tx1"/>
                  </w14:solidFill>
                </w14:textFill>
              </w:rPr>
              <w:t>本项目所租用厂房为云南联帆建材科技有限公司生产车间，生产车间属于钢架结构，建筑面积6565.28m</w:t>
            </w:r>
            <w:r>
              <w:rPr>
                <w:rFonts w:hint="eastAsia" w:cs="Times New Roman"/>
                <w:b w:val="0"/>
                <w:bCs/>
                <w:color w:val="000000" w:themeColor="text1"/>
                <w:sz w:val="24"/>
                <w:vertAlign w:val="superscript"/>
                <w:lang w:val="en-US" w:eastAsia="zh-CN"/>
                <w14:textFill>
                  <w14:solidFill>
                    <w14:schemeClr w14:val="tx1"/>
                  </w14:solidFill>
                </w14:textFill>
              </w:rPr>
              <w:t>2</w:t>
            </w:r>
            <w:r>
              <w:rPr>
                <w:rFonts w:hint="eastAsia" w:cs="Times New Roman"/>
                <w:b w:val="0"/>
                <w:bCs/>
                <w:color w:val="000000" w:themeColor="text1"/>
                <w:sz w:val="24"/>
                <w:lang w:val="en-US" w:eastAsia="zh-CN"/>
                <w14:textFill>
                  <w14:solidFill>
                    <w14:schemeClr w14:val="tx1"/>
                  </w14:solidFill>
                </w14:textFill>
              </w:rPr>
              <w:t>，主要分为PVC原料仓库、生产区、成品仓库、破碎车间、工具间，生产区布设有8条PVC生产线。本项目租用区域已与联帆科技公司其他8条PVC生产线所在的生产车间采用隔板进行全封闭物理隔离，实现了空间上的完全独立。租用区域为成品仓库，不涉及任何生产性污染源，而联帆科技公司的主要产污环节集中于其生产车间，因此，通过上述封闭隔断措施，可有效杜绝双方作业活动的交叉影响。</w:t>
            </w:r>
          </w:p>
          <w:p w14:paraId="0A0842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i w:val="0"/>
                <w:iCs/>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综上，项目所使用车间不存在历史环境遗留问题。</w:t>
            </w:r>
          </w:p>
        </w:tc>
      </w:tr>
    </w:tbl>
    <w:p w14:paraId="396828BC">
      <w:pPr>
        <w:pStyle w:val="26"/>
        <w:jc w:val="center"/>
        <w:rPr>
          <w:rFonts w:hint="default" w:ascii="Times New Roman" w:hAnsi="Times New Roman" w:cs="Times New Roman"/>
          <w:snapToGrid w:val="0"/>
          <w:color w:val="000000" w:themeColor="text1"/>
          <w:szCs w:val="24"/>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39D59721">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Cs w:val="24"/>
          <w14:textFill>
            <w14:solidFill>
              <w14:schemeClr w14:val="tx1"/>
            </w14:solidFill>
          </w14:textFill>
        </w:rPr>
      </w:pPr>
      <w:bookmarkStart w:id="13" w:name="_Toc14856"/>
      <w:bookmarkStart w:id="14" w:name="_Toc25393"/>
      <w:r>
        <w:rPr>
          <w:rFonts w:hint="default" w:ascii="Times New Roman" w:hAnsi="Times New Roman" w:cs="Times New Roman"/>
          <w:snapToGrid w:val="0"/>
          <w:color w:val="000000" w:themeColor="text1"/>
          <w:szCs w:val="24"/>
          <w14:textFill>
            <w14:solidFill>
              <w14:schemeClr w14:val="tx1"/>
            </w14:solidFill>
          </w14:textFill>
        </w:rPr>
        <w:t>三、区域环境质量现状、环境保护目标及评价标准</w:t>
      </w:r>
      <w:bookmarkEnd w:id="13"/>
      <w:bookmarkEnd w:id="14"/>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57"/>
        <w:gridCol w:w="8278"/>
      </w:tblGrid>
      <w:tr w14:paraId="753492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2" w:hRule="atLeast"/>
          <w:jc w:val="center"/>
        </w:trPr>
        <w:tc>
          <w:tcPr>
            <w:tcW w:w="557" w:type="dxa"/>
            <w:vAlign w:val="center"/>
          </w:tcPr>
          <w:p w14:paraId="4EE95CEA">
            <w:pPr>
              <w:adjustRightInd w:val="0"/>
              <w:snapToGrid w:val="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区域</w:t>
            </w:r>
          </w:p>
          <w:p w14:paraId="798E3921">
            <w:pPr>
              <w:adjustRightInd w:val="0"/>
              <w:snapToGrid w:val="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环境</w:t>
            </w:r>
          </w:p>
          <w:p w14:paraId="12959EF5">
            <w:pPr>
              <w:adjustRightInd w:val="0"/>
              <w:snapToGrid w:val="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质量</w:t>
            </w:r>
          </w:p>
          <w:p w14:paraId="0947A2AE">
            <w:pPr>
              <w:adjustRightInd w:val="0"/>
              <w:snapToGrid w:val="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现状</w:t>
            </w:r>
          </w:p>
        </w:tc>
        <w:tc>
          <w:tcPr>
            <w:tcW w:w="8268" w:type="dxa"/>
            <w:vAlign w:val="center"/>
          </w:tcPr>
          <w:p w14:paraId="07EA3458">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color w:val="000000" w:themeColor="text1"/>
                <w:sz w:val="24"/>
                <w14:textFill>
                  <w14:solidFill>
                    <w14:schemeClr w14:val="tx1"/>
                  </w14:solidFill>
                </w14:textFill>
              </w:rPr>
            </w:pPr>
            <w:r>
              <w:rPr>
                <w:rFonts w:hint="eastAsia" w:cs="Times New Roman"/>
                <w:b/>
                <w:color w:val="000000" w:themeColor="text1"/>
                <w:sz w:val="24"/>
                <w:lang w:val="en-US" w:eastAsia="zh-CN"/>
                <w14:textFill>
                  <w14:solidFill>
                    <w14:schemeClr w14:val="tx1"/>
                  </w14:solidFill>
                </w14:textFill>
              </w:rPr>
              <w:t>1、</w:t>
            </w:r>
            <w:r>
              <w:rPr>
                <w:rFonts w:hint="default" w:ascii="Times New Roman" w:hAnsi="Times New Roman" w:cs="Times New Roman"/>
                <w:b/>
                <w:color w:val="000000" w:themeColor="text1"/>
                <w:sz w:val="24"/>
                <w14:textFill>
                  <w14:solidFill>
                    <w14:schemeClr w14:val="tx1"/>
                  </w14:solidFill>
                </w14:textFill>
              </w:rPr>
              <w:t>环境空气质量现状</w:t>
            </w:r>
          </w:p>
          <w:p w14:paraId="0BFF4956">
            <w:pPr>
              <w:spacing w:line="360" w:lineRule="auto"/>
              <w:ind w:firstLine="480" w:firstLineChars="200"/>
              <w:rPr>
                <w:rFonts w:hint="eastAsia" w:ascii="Times New Roman" w:hAnsi="Times New Roman" w:eastAsia="宋体" w:cs="Times New Roman"/>
                <w:color w:val="000000" w:themeColor="text1"/>
                <w:sz w:val="24"/>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eastAsia="zh-CN"/>
                <w14:textFill>
                  <w14:solidFill>
                    <w14:schemeClr w14:val="tx1"/>
                  </w14:solidFill>
                </w14:textFill>
              </w:rPr>
              <w:t>项目所在地为</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易门产业园区麦子田片区</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，根据大气环境功能区划，区域环境空气为《环境空气质量标准》（GB3095-20</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26</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）中的二类区，执行《环境空气质量标准》（GB3095-20</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26</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表1过渡阶段二级浓度限值和表2二级浓度限值</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。本项目大气环境评价等级为二级评价，大气环境影响评价范围为项目厂界外边长5km的矩形区域，评价范围内涉及易门县翠柏自然保护区，</w:t>
            </w:r>
            <w:r>
              <w:rPr>
                <w:rFonts w:hint="eastAsia" w:cs="Times New Roman"/>
                <w:color w:val="000000" w:themeColor="text1"/>
                <w:sz w:val="24"/>
                <w:highlight w:val="none"/>
                <w:lang w:val="en-US" w:eastAsia="zh-CN"/>
                <w14:textFill>
                  <w14:solidFill>
                    <w14:schemeClr w14:val="tx1"/>
                  </w14:solidFill>
                </w14:textFill>
              </w:rPr>
              <w:t>执行</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《环境空气质量标准》（GB3095-20</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26</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表1过渡阶段</w:t>
            </w:r>
            <w:r>
              <w:rPr>
                <w:rFonts w:hint="eastAsia" w:cs="Times New Roman"/>
                <w:color w:val="000000" w:themeColor="text1"/>
                <w:sz w:val="24"/>
                <w:highlight w:val="none"/>
                <w:lang w:val="en-US" w:eastAsia="zh-CN"/>
                <w14:textFill>
                  <w14:solidFill>
                    <w14:schemeClr w14:val="tx1"/>
                  </w14:solidFill>
                </w14:textFill>
              </w:rPr>
              <w:t>一</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级浓度限值和表2</w:t>
            </w:r>
            <w:r>
              <w:rPr>
                <w:rFonts w:hint="eastAsia" w:cs="Times New Roman"/>
                <w:color w:val="000000" w:themeColor="text1"/>
                <w:sz w:val="24"/>
                <w:highlight w:val="none"/>
                <w:lang w:val="en-US" w:eastAsia="zh-CN"/>
                <w14:textFill>
                  <w14:solidFill>
                    <w14:schemeClr w14:val="tx1"/>
                  </w14:solidFill>
                </w14:textFill>
              </w:rPr>
              <w:t>一</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级浓度限值</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p>
          <w:p w14:paraId="69436342">
            <w:pPr>
              <w:spacing w:line="360" w:lineRule="auto"/>
              <w:ind w:firstLine="482" w:firstLineChars="200"/>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eastAsia="zh-CN"/>
                <w14:textFill>
                  <w14:solidFill>
                    <w14:schemeClr w14:val="tx1"/>
                  </w14:solidFill>
                </w14:textFill>
              </w:rPr>
              <w:t>（</w:t>
            </w:r>
            <w:r>
              <w:rPr>
                <w:rFonts w:hint="eastAsia" w:cs="Times New Roman"/>
                <w:b/>
                <w:bCs/>
                <w:color w:val="000000" w:themeColor="text1"/>
                <w:sz w:val="24"/>
                <w:highlight w:val="none"/>
                <w:lang w:val="en-US" w:eastAsia="zh-CN"/>
                <w14:textFill>
                  <w14:solidFill>
                    <w14:schemeClr w14:val="tx1"/>
                  </w14:solidFill>
                </w14:textFill>
              </w:rPr>
              <w:t>1</w:t>
            </w:r>
            <w:r>
              <w:rPr>
                <w:rFonts w:hint="eastAsia" w:cs="Times New Roman"/>
                <w:b/>
                <w:bCs/>
                <w:color w:val="000000" w:themeColor="text1"/>
                <w:sz w:val="24"/>
                <w:highlight w:val="none"/>
                <w:lang w:eastAsia="zh-CN"/>
                <w14:textFill>
                  <w14:solidFill>
                    <w14:schemeClr w14:val="tx1"/>
                  </w14:solidFill>
                </w14:textFill>
              </w:rPr>
              <w:t>）</w:t>
            </w:r>
            <w:r>
              <w:rPr>
                <w:rFonts w:hint="eastAsia" w:cs="Times New Roman"/>
                <w:b/>
                <w:bCs/>
                <w:color w:val="000000" w:themeColor="text1"/>
                <w:sz w:val="24"/>
                <w:highlight w:val="none"/>
                <w:lang w:val="en-US" w:eastAsia="zh-CN"/>
                <w14:textFill>
                  <w14:solidFill>
                    <w14:schemeClr w14:val="tx1"/>
                  </w14:solidFill>
                </w14:textFill>
              </w:rPr>
              <w:t>达标区判定</w:t>
            </w:r>
          </w:p>
          <w:p w14:paraId="7E1E75D1">
            <w:pPr>
              <w:spacing w:line="360" w:lineRule="auto"/>
              <w:ind w:firstLine="482" w:firstLineChars="200"/>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1）一类区</w:t>
            </w:r>
          </w:p>
          <w:p w14:paraId="70E73E31">
            <w:pPr>
              <w:spacing w:line="360" w:lineRule="auto"/>
              <w:ind w:firstLine="480" w:firstLineChars="200"/>
              <w:rPr>
                <w:rFonts w:ascii="Times New Roman" w:hAnsi="Times New Roman" w:eastAsia="宋体" w:cs="Times New Roman"/>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sz w:val="24"/>
                <w:highlight w:val="none"/>
                <w14:textFill>
                  <w14:solidFill>
                    <w14:schemeClr w14:val="tx1"/>
                  </w14:solidFill>
                </w14:textFill>
              </w:rPr>
              <w:t>项目大气评价范围内涉及翠柏自然保护区，</w:t>
            </w:r>
            <w:r>
              <w:rPr>
                <w:rFonts w:hint="eastAsia" w:cs="Times New Roman"/>
                <w:color w:val="000000" w:themeColor="text1"/>
                <w:sz w:val="24"/>
                <w:highlight w:val="none"/>
                <w:lang w:val="en-US" w:eastAsia="zh-CN"/>
                <w14:textFill>
                  <w14:solidFill>
                    <w14:schemeClr w14:val="tx1"/>
                  </w14:solidFill>
                </w14:textFill>
              </w:rPr>
              <w:t>翠柏保护区位于本项目东北侧与西北侧，距离分别为1.80km与2.40km，东北侧翠柏保护区位于本项目下风向，</w:t>
            </w:r>
            <w:r>
              <w:rPr>
                <w:rFonts w:hint="eastAsia" w:ascii="Times New Roman" w:hAnsi="Times New Roman" w:eastAsia="宋体" w:cs="Times New Roman"/>
                <w:color w:val="000000" w:themeColor="text1"/>
                <w:sz w:val="24"/>
                <w:highlight w:val="none"/>
                <w14:textFill>
                  <w14:solidFill>
                    <w14:schemeClr w14:val="tx1"/>
                  </w14:solidFill>
                </w14:textFill>
              </w:rPr>
              <w:t>本项目</w:t>
            </w:r>
            <w:r>
              <w:rPr>
                <w:rFonts w:ascii="Times New Roman" w:hAnsi="Times New Roman" w:eastAsia="宋体" w:cs="Times New Roman"/>
                <w:color w:val="000000" w:themeColor="text1"/>
                <w:sz w:val="24"/>
                <w:highlight w:val="none"/>
                <w14:textFill>
                  <w14:solidFill>
                    <w14:schemeClr w14:val="tx1"/>
                  </w14:solidFill>
                </w14:textFill>
              </w:rPr>
              <w:t>对</w:t>
            </w:r>
            <w:r>
              <w:rPr>
                <w:rFonts w:hint="eastAsia" w:ascii="Times New Roman" w:hAnsi="Times New Roman" w:eastAsia="宋体" w:cs="Times New Roman"/>
                <w:color w:val="000000" w:themeColor="text1"/>
                <w:sz w:val="24"/>
                <w:highlight w:val="none"/>
                <w14:textFill>
                  <w14:solidFill>
                    <w14:schemeClr w14:val="tx1"/>
                  </w14:solidFill>
                </w14:textFill>
              </w:rPr>
              <w:t>涉及的</w:t>
            </w:r>
            <w:r>
              <w:rPr>
                <w:rFonts w:ascii="Times New Roman" w:hAnsi="Times New Roman" w:eastAsia="宋体" w:cs="Times New Roman"/>
                <w:color w:val="000000" w:themeColor="text1"/>
                <w:sz w:val="24"/>
                <w:highlight w:val="none"/>
                <w14:textFill>
                  <w14:solidFill>
                    <w14:schemeClr w14:val="tx1"/>
                  </w14:solidFill>
                </w14:textFill>
              </w:rPr>
              <w:t>翠柏自然保护区</w:t>
            </w:r>
            <w:r>
              <w:rPr>
                <w:rFonts w:hint="eastAsia" w:ascii="Times New Roman" w:hAnsi="Times New Roman" w:eastAsia="宋体" w:cs="Times New Roman"/>
                <w:color w:val="000000" w:themeColor="text1"/>
                <w:sz w:val="24"/>
                <w:highlight w:val="none"/>
                <w14:textFill>
                  <w14:solidFill>
                    <w14:schemeClr w14:val="tx1"/>
                  </w14:solidFill>
                </w14:textFill>
              </w:rPr>
              <w:t>基本</w:t>
            </w:r>
            <w:r>
              <w:rPr>
                <w:rFonts w:ascii="Times New Roman" w:hAnsi="Times New Roman" w:eastAsia="宋体" w:cs="Times New Roman"/>
                <w:color w:val="000000" w:themeColor="text1"/>
                <w:sz w:val="24"/>
                <w:highlight w:val="none"/>
                <w14:textFill>
                  <w14:solidFill>
                    <w14:schemeClr w14:val="tx1"/>
                  </w14:solidFill>
                </w14:textFill>
              </w:rPr>
              <w:t>污染物及其他污染物</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进行环境质量现状监测</w:t>
            </w:r>
            <w:r>
              <w:rPr>
                <w:rFonts w:hint="eastAsia" w:ascii="Times New Roman" w:hAnsi="Times New Roman" w:eastAsia="宋体" w:cs="Times New Roman"/>
                <w:color w:val="000000" w:themeColor="text1"/>
                <w:sz w:val="24"/>
                <w:highlight w:val="none"/>
                <w14:textFill>
                  <w14:solidFill>
                    <w14:schemeClr w14:val="tx1"/>
                  </w14:solidFill>
                </w14:textFill>
              </w:rPr>
              <w:t>。</w:t>
            </w:r>
          </w:p>
          <w:p w14:paraId="7C9A0789">
            <w:pPr>
              <w:spacing w:line="360" w:lineRule="auto"/>
              <w:ind w:firstLine="480" w:firstLineChars="200"/>
              <w:rPr>
                <w:rFonts w:ascii="Times New Roman" w:hAnsi="Times New Roman" w:eastAsia="宋体"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本次评价委托</w:t>
            </w:r>
            <w:r>
              <w:rPr>
                <w:rFonts w:hint="eastAsia" w:cs="Times New Roman"/>
                <w:color w:val="000000" w:themeColor="text1"/>
                <w:sz w:val="24"/>
                <w:highlight w:val="none"/>
                <w:lang w:val="en-US" w:eastAsia="zh-CN"/>
                <w14:textFill>
                  <w14:solidFill>
                    <w14:schemeClr w14:val="tx1"/>
                  </w14:solidFill>
                </w14:textFill>
              </w:rPr>
              <w:t>云南天倪检测有限公司</w:t>
            </w:r>
            <w:r>
              <w:rPr>
                <w:rFonts w:ascii="Times New Roman" w:hAnsi="Times New Roman" w:eastAsia="宋体" w:cs="Times New Roman"/>
                <w:color w:val="000000" w:themeColor="text1"/>
                <w:sz w:val="24"/>
                <w:highlight w:val="none"/>
                <w14:textFill>
                  <w14:solidFill>
                    <w14:schemeClr w14:val="tx1"/>
                  </w14:solidFill>
                </w14:textFill>
              </w:rPr>
              <w:t>对翠柏自然保护区的</w:t>
            </w:r>
            <w:r>
              <w:rPr>
                <w:rFonts w:hint="eastAsia" w:ascii="Times New Roman" w:hAnsi="Times New Roman" w:eastAsia="宋体" w:cs="Times New Roman"/>
                <w:color w:val="000000" w:themeColor="text1"/>
                <w:sz w:val="24"/>
                <w:highlight w:val="none"/>
                <w14:textFill>
                  <w14:solidFill>
                    <w14:schemeClr w14:val="tx1"/>
                  </w14:solidFill>
                </w14:textFill>
              </w:rPr>
              <w:t>二氧化硫、二氧化氮、一氧化氮、PM</w:t>
            </w:r>
            <w:r>
              <w:rPr>
                <w:rFonts w:hint="eastAsia" w:ascii="Times New Roman" w:hAnsi="Times New Roman" w:eastAsia="宋体" w:cs="Times New Roman"/>
                <w:color w:val="000000" w:themeColor="text1"/>
                <w:sz w:val="24"/>
                <w:highlight w:val="none"/>
                <w:vertAlign w:val="subscript"/>
                <w14:textFill>
                  <w14:solidFill>
                    <w14:schemeClr w14:val="tx1"/>
                  </w14:solidFill>
                </w14:textFill>
              </w:rPr>
              <w:t>10</w:t>
            </w:r>
            <w:r>
              <w:rPr>
                <w:rFonts w:hint="eastAsia" w:ascii="Times New Roman" w:hAnsi="Times New Roman" w:eastAsia="宋体" w:cs="Times New Roman"/>
                <w:color w:val="000000" w:themeColor="text1"/>
                <w:sz w:val="24"/>
                <w:highlight w:val="none"/>
                <w14:textFill>
                  <w14:solidFill>
                    <w14:schemeClr w14:val="tx1"/>
                  </w14:solidFill>
                </w14:textFill>
              </w:rPr>
              <w:t>、PM</w:t>
            </w:r>
            <w:r>
              <w:rPr>
                <w:rFonts w:hint="eastAsia" w:ascii="Times New Roman" w:hAnsi="Times New Roman" w:eastAsia="宋体" w:cs="Times New Roman"/>
                <w:color w:val="000000" w:themeColor="text1"/>
                <w:sz w:val="24"/>
                <w:highlight w:val="none"/>
                <w:vertAlign w:val="subscript"/>
                <w14:textFill>
                  <w14:solidFill>
                    <w14:schemeClr w14:val="tx1"/>
                  </w14:solidFill>
                </w14:textFill>
              </w:rPr>
              <w:t>2.5</w:t>
            </w:r>
            <w:r>
              <w:rPr>
                <w:rFonts w:hint="eastAsia" w:ascii="Times New Roman" w:hAnsi="Times New Roman" w:eastAsia="宋体" w:cs="Times New Roman"/>
                <w:color w:val="000000" w:themeColor="text1"/>
                <w:sz w:val="24"/>
                <w:highlight w:val="none"/>
                <w14:textFill>
                  <w14:solidFill>
                    <w14:schemeClr w14:val="tx1"/>
                  </w14:solidFill>
                </w14:textFill>
              </w:rPr>
              <w:t>、TSP、臭氧、</w:t>
            </w:r>
            <w:r>
              <w:rPr>
                <w:rFonts w:hint="eastAsia" w:cs="Times New Roman"/>
                <w:color w:val="000000" w:themeColor="text1"/>
                <w:sz w:val="24"/>
                <w:highlight w:val="none"/>
                <w:lang w:val="en-US" w:eastAsia="zh-CN"/>
                <w14:textFill>
                  <w14:solidFill>
                    <w14:schemeClr w14:val="tx1"/>
                  </w14:solidFill>
                </w14:textFill>
              </w:rPr>
              <w:t>非甲烷总烃、甲醛</w:t>
            </w:r>
            <w:r>
              <w:rPr>
                <w:rFonts w:ascii="Times New Roman" w:hAnsi="Times New Roman" w:eastAsia="宋体" w:cs="Times New Roman"/>
                <w:color w:val="000000" w:themeColor="text1"/>
                <w:sz w:val="24"/>
                <w:highlight w:val="none"/>
                <w14:textFill>
                  <w14:solidFill>
                    <w14:schemeClr w14:val="tx1"/>
                  </w14:solidFill>
                </w14:textFill>
              </w:rPr>
              <w:t>共</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9</w:t>
            </w:r>
            <w:r>
              <w:rPr>
                <w:rFonts w:ascii="Times New Roman" w:hAnsi="Times New Roman" w:eastAsia="宋体" w:cs="Times New Roman"/>
                <w:color w:val="000000" w:themeColor="text1"/>
                <w:sz w:val="24"/>
                <w:highlight w:val="none"/>
                <w14:textFill>
                  <w14:solidFill>
                    <w14:schemeClr w14:val="tx1"/>
                  </w14:solidFill>
                </w14:textFill>
              </w:rPr>
              <w:t>项污染物进行了补充监测，具体如下：</w:t>
            </w:r>
          </w:p>
          <w:p w14:paraId="35E8C4BE">
            <w:pPr>
              <w:spacing w:line="360" w:lineRule="auto"/>
              <w:ind w:firstLine="480" w:firstLineChars="200"/>
              <w:rPr>
                <w:rFonts w:ascii="Times New Roman" w:hAnsi="Times New Roman" w:eastAsia="宋体"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监测项目：</w:t>
            </w:r>
            <w:r>
              <w:rPr>
                <w:rFonts w:hint="eastAsia" w:ascii="Times New Roman" w:hAnsi="Times New Roman" w:eastAsia="宋体" w:cs="Times New Roman"/>
                <w:color w:val="000000" w:themeColor="text1"/>
                <w:sz w:val="24"/>
                <w:highlight w:val="none"/>
                <w14:textFill>
                  <w14:solidFill>
                    <w14:schemeClr w14:val="tx1"/>
                  </w14:solidFill>
                </w14:textFill>
              </w:rPr>
              <w:t>二氧化硫、二氧化氮、一氧化氮、PM</w:t>
            </w:r>
            <w:r>
              <w:rPr>
                <w:rFonts w:hint="eastAsia" w:ascii="Times New Roman" w:hAnsi="Times New Roman" w:eastAsia="宋体" w:cs="Times New Roman"/>
                <w:color w:val="000000" w:themeColor="text1"/>
                <w:sz w:val="24"/>
                <w:highlight w:val="none"/>
                <w:vertAlign w:val="subscript"/>
                <w14:textFill>
                  <w14:solidFill>
                    <w14:schemeClr w14:val="tx1"/>
                  </w14:solidFill>
                </w14:textFill>
              </w:rPr>
              <w:t>10</w:t>
            </w:r>
            <w:r>
              <w:rPr>
                <w:rFonts w:hint="eastAsia" w:ascii="Times New Roman" w:hAnsi="Times New Roman" w:eastAsia="宋体" w:cs="Times New Roman"/>
                <w:color w:val="000000" w:themeColor="text1"/>
                <w:sz w:val="24"/>
                <w:highlight w:val="none"/>
                <w14:textFill>
                  <w14:solidFill>
                    <w14:schemeClr w14:val="tx1"/>
                  </w14:solidFill>
                </w14:textFill>
              </w:rPr>
              <w:t>、PM</w:t>
            </w:r>
            <w:r>
              <w:rPr>
                <w:rFonts w:hint="eastAsia" w:ascii="Times New Roman" w:hAnsi="Times New Roman" w:eastAsia="宋体" w:cs="Times New Roman"/>
                <w:color w:val="000000" w:themeColor="text1"/>
                <w:sz w:val="24"/>
                <w:highlight w:val="none"/>
                <w:vertAlign w:val="subscript"/>
                <w14:textFill>
                  <w14:solidFill>
                    <w14:schemeClr w14:val="tx1"/>
                  </w14:solidFill>
                </w14:textFill>
              </w:rPr>
              <w:t>2.5</w:t>
            </w:r>
            <w:r>
              <w:rPr>
                <w:rFonts w:hint="eastAsia" w:ascii="Times New Roman" w:hAnsi="Times New Roman" w:eastAsia="宋体" w:cs="Times New Roman"/>
                <w:color w:val="000000" w:themeColor="text1"/>
                <w:sz w:val="24"/>
                <w:highlight w:val="none"/>
                <w14:textFill>
                  <w14:solidFill>
                    <w14:schemeClr w14:val="tx1"/>
                  </w14:solidFill>
                </w14:textFill>
              </w:rPr>
              <w:t>、TSP、</w:t>
            </w:r>
            <w:r>
              <w:rPr>
                <w:rFonts w:hint="eastAsia" w:cs="Times New Roman"/>
                <w:color w:val="000000" w:themeColor="text1"/>
                <w:sz w:val="24"/>
                <w:highlight w:val="none"/>
                <w:lang w:val="en-US" w:eastAsia="zh-CN"/>
                <w14:textFill>
                  <w14:solidFill>
                    <w14:schemeClr w14:val="tx1"/>
                  </w14:solidFill>
                </w14:textFill>
              </w:rPr>
              <w:t>臭氧、</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非甲烷总烃、甲醛</w:t>
            </w:r>
            <w:r>
              <w:rPr>
                <w:rFonts w:ascii="Times New Roman" w:hAnsi="Times New Roman" w:eastAsia="宋体" w:cs="Times New Roman"/>
                <w:color w:val="000000" w:themeColor="text1"/>
                <w:sz w:val="24"/>
                <w:highlight w:val="none"/>
                <w14:textFill>
                  <w14:solidFill>
                    <w14:schemeClr w14:val="tx1"/>
                  </w14:solidFill>
                </w14:textFill>
              </w:rPr>
              <w:t>共</w:t>
            </w:r>
            <w:r>
              <w:rPr>
                <w:rFonts w:hint="eastAsia" w:ascii="Times New Roman" w:hAnsi="Times New Roman" w:eastAsia="宋体" w:cs="Times New Roman"/>
                <w:color w:val="000000" w:themeColor="text1"/>
                <w:sz w:val="24"/>
                <w:highlight w:val="none"/>
                <w14:textFill>
                  <w14:solidFill>
                    <w14:schemeClr w14:val="tx1"/>
                  </w14:solidFill>
                </w14:textFill>
              </w:rPr>
              <w:t>9</w:t>
            </w:r>
            <w:r>
              <w:rPr>
                <w:rFonts w:ascii="Times New Roman" w:hAnsi="Times New Roman" w:eastAsia="宋体" w:cs="Times New Roman"/>
                <w:color w:val="000000" w:themeColor="text1"/>
                <w:sz w:val="24"/>
                <w:highlight w:val="none"/>
                <w14:textFill>
                  <w14:solidFill>
                    <w14:schemeClr w14:val="tx1"/>
                  </w14:solidFill>
                </w14:textFill>
              </w:rPr>
              <w:t>项；</w:t>
            </w:r>
          </w:p>
          <w:p w14:paraId="349EC4AD">
            <w:pPr>
              <w:spacing w:line="360" w:lineRule="auto"/>
              <w:ind w:firstLine="480" w:firstLineChars="200"/>
              <w:rPr>
                <w:rFonts w:ascii="Times New Roman" w:hAnsi="Times New Roman" w:eastAsia="宋体"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监测点位：现状监测共设1个点</w:t>
            </w:r>
            <w:r>
              <w:rPr>
                <w:rFonts w:hint="eastAsia" w:cs="Times New Roman"/>
                <w:color w:val="000000" w:themeColor="text1"/>
                <w:sz w:val="24"/>
                <w:highlight w:val="none"/>
                <w:lang w:val="en-US" w:eastAsia="zh-CN"/>
                <w14:textFill>
                  <w14:solidFill>
                    <w14:schemeClr w14:val="tx1"/>
                  </w14:solidFill>
                </w14:textFill>
              </w:rPr>
              <w:t>A2（位于本项目下风向）</w:t>
            </w:r>
            <w:r>
              <w:rPr>
                <w:rFonts w:ascii="Times New Roman" w:hAnsi="Times New Roman" w:eastAsia="宋体" w:cs="Times New Roman"/>
                <w:color w:val="000000" w:themeColor="text1"/>
                <w:sz w:val="24"/>
                <w:highlight w:val="none"/>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监测点经纬度为（E102°14′27.7122″、N24°47′20.0383″）</w:t>
            </w:r>
            <w:r>
              <w:rPr>
                <w:rFonts w:hint="eastAsia" w:ascii="Times New Roman" w:hAnsi="Times New Roman" w:eastAsia="宋体" w:cs="Times New Roman"/>
                <w:color w:val="000000" w:themeColor="text1"/>
                <w:sz w:val="24"/>
                <w:highlight w:val="none"/>
                <w14:textFill>
                  <w14:solidFill>
                    <w14:schemeClr w14:val="tx1"/>
                  </w14:solidFill>
                </w14:textFill>
              </w:rPr>
              <w:t>位于</w:t>
            </w:r>
            <w:r>
              <w:rPr>
                <w:rFonts w:ascii="Times New Roman" w:hAnsi="Times New Roman" w:eastAsia="宋体" w:cs="Times New Roman"/>
                <w:color w:val="000000" w:themeColor="text1"/>
                <w:sz w:val="24"/>
                <w:highlight w:val="none"/>
                <w14:textFill>
                  <w14:solidFill>
                    <w14:schemeClr w14:val="tx1"/>
                  </w14:solidFill>
                </w14:textFill>
              </w:rPr>
              <w:t>翠柏自然保护区</w:t>
            </w:r>
            <w:r>
              <w:rPr>
                <w:rFonts w:hint="eastAsia" w:ascii="Times New Roman" w:hAnsi="Times New Roman" w:eastAsia="宋体" w:cs="Times New Roman"/>
                <w:color w:val="000000" w:themeColor="text1"/>
                <w:sz w:val="24"/>
                <w:highlight w:val="none"/>
                <w14:textFill>
                  <w14:solidFill>
                    <w14:schemeClr w14:val="tx1"/>
                  </w14:solidFill>
                </w14:textFill>
              </w:rPr>
              <w:t>范围</w:t>
            </w:r>
            <w:r>
              <w:rPr>
                <w:rFonts w:ascii="Times New Roman" w:hAnsi="Times New Roman" w:eastAsia="宋体" w:cs="Times New Roman"/>
                <w:color w:val="000000" w:themeColor="text1"/>
                <w:sz w:val="24"/>
                <w:highlight w:val="none"/>
                <w14:textFill>
                  <w14:solidFill>
                    <w14:schemeClr w14:val="tx1"/>
                  </w14:solidFill>
                </w14:textFill>
              </w:rPr>
              <w:t>内</w:t>
            </w:r>
            <w:r>
              <w:rPr>
                <w:rFonts w:hint="eastAsia" w:ascii="Times New Roman" w:hAnsi="Times New Roman" w:eastAsia="宋体" w:cs="Times New Roman"/>
                <w:color w:val="000000" w:themeColor="text1"/>
                <w:sz w:val="24"/>
                <w:highlight w:val="none"/>
                <w14:textFill>
                  <w14:solidFill>
                    <w14:schemeClr w14:val="tx1"/>
                  </w14:solidFill>
                </w14:textFill>
              </w:rPr>
              <w:t>（监测点</w:t>
            </w:r>
            <w:r>
              <w:rPr>
                <w:rFonts w:ascii="Times New Roman" w:hAnsi="Times New Roman" w:eastAsia="宋体" w:cs="Times New Roman"/>
                <w:color w:val="000000" w:themeColor="text1"/>
                <w:sz w:val="24"/>
                <w:highlight w:val="none"/>
                <w14:textFill>
                  <w14:solidFill>
                    <w14:schemeClr w14:val="tx1"/>
                  </w14:solidFill>
                </w14:textFill>
              </w:rPr>
              <w:t>设置于不</w:t>
            </w:r>
            <w:r>
              <w:rPr>
                <w:rFonts w:hint="eastAsia" w:ascii="Times New Roman" w:hAnsi="Times New Roman" w:eastAsia="宋体" w:cs="Times New Roman"/>
                <w:color w:val="000000" w:themeColor="text1"/>
                <w:sz w:val="24"/>
                <w:highlight w:val="none"/>
                <w14:textFill>
                  <w14:solidFill>
                    <w14:schemeClr w14:val="tx1"/>
                  </w14:solidFill>
                </w14:textFill>
              </w:rPr>
              <w:t>受</w:t>
            </w:r>
            <w:r>
              <w:rPr>
                <w:rFonts w:ascii="Times New Roman" w:hAnsi="Times New Roman" w:eastAsia="宋体" w:cs="Times New Roman"/>
                <w:color w:val="000000" w:themeColor="text1"/>
                <w:sz w:val="24"/>
                <w:highlight w:val="none"/>
                <w14:textFill>
                  <w14:solidFill>
                    <w14:schemeClr w14:val="tx1"/>
                  </w14:solidFill>
                </w14:textFill>
              </w:rPr>
              <w:t>人为活动影响的</w:t>
            </w:r>
            <w:r>
              <w:rPr>
                <w:rFonts w:hint="eastAsia" w:ascii="Times New Roman" w:hAnsi="Times New Roman" w:eastAsia="宋体" w:cs="Times New Roman"/>
                <w:color w:val="000000" w:themeColor="text1"/>
                <w:sz w:val="24"/>
                <w:highlight w:val="none"/>
                <w14:textFill>
                  <w14:solidFill>
                    <w14:schemeClr w14:val="tx1"/>
                  </w14:solidFill>
                </w14:textFill>
              </w:rPr>
              <w:t>区域）</w:t>
            </w:r>
            <w:r>
              <w:rPr>
                <w:rFonts w:ascii="Times New Roman" w:hAnsi="Times New Roman" w:eastAsia="宋体" w:cs="Times New Roman"/>
                <w:color w:val="000000" w:themeColor="text1"/>
                <w:sz w:val="24"/>
                <w:highlight w:val="none"/>
                <w14:textFill>
                  <w14:solidFill>
                    <w14:schemeClr w14:val="tx1"/>
                  </w14:solidFill>
                </w14:textFill>
              </w:rPr>
              <w:t>。</w:t>
            </w:r>
          </w:p>
          <w:p w14:paraId="58AEDA3F">
            <w:pPr>
              <w:spacing w:line="360" w:lineRule="auto"/>
              <w:ind w:firstLine="480" w:firstLineChars="200"/>
              <w:rPr>
                <w:rFonts w:ascii="Times New Roman" w:hAnsi="Times New Roman" w:eastAsia="宋体" w:cs="Times New Roman"/>
                <w:color w:val="000000" w:themeColor="text1"/>
                <w:sz w:val="24"/>
                <w:highlight w:val="none"/>
                <w14:textFill>
                  <w14:solidFill>
                    <w14:schemeClr w14:val="tx1"/>
                  </w14:solidFill>
                </w14:textFill>
              </w:rPr>
            </w:pPr>
          </w:p>
          <w:p w14:paraId="69630AB5">
            <w:pPr>
              <w:spacing w:line="360" w:lineRule="auto"/>
              <w:ind w:firstLine="480" w:firstLineChars="200"/>
              <w:rPr>
                <w:rFonts w:ascii="Times New Roman" w:hAnsi="Times New Roman" w:eastAsia="宋体" w:cs="Times New Roman"/>
                <w:color w:val="000000" w:themeColor="text1"/>
                <w:sz w:val="24"/>
                <w:highlight w:val="none"/>
                <w14:textFill>
                  <w14:solidFill>
                    <w14:schemeClr w14:val="tx1"/>
                  </w14:solidFill>
                </w14:textFill>
              </w:rPr>
            </w:pPr>
          </w:p>
          <w:p w14:paraId="0E5133A1">
            <w:pPr>
              <w:spacing w:line="360" w:lineRule="auto"/>
              <w:ind w:firstLine="480" w:firstLineChars="200"/>
              <w:rPr>
                <w:rFonts w:ascii="Times New Roman" w:hAnsi="Times New Roman" w:eastAsia="宋体" w:cs="Times New Roman"/>
                <w:color w:val="000000" w:themeColor="text1"/>
                <w:sz w:val="24"/>
                <w:highlight w:val="none"/>
                <w14:textFill>
                  <w14:solidFill>
                    <w14:schemeClr w14:val="tx1"/>
                  </w14:solidFill>
                </w14:textFill>
              </w:rPr>
            </w:pPr>
          </w:p>
          <w:p w14:paraId="5B94F45E">
            <w:pPr>
              <w:spacing w:line="360" w:lineRule="auto"/>
              <w:ind w:firstLine="480" w:firstLineChars="200"/>
              <w:rPr>
                <w:rFonts w:ascii="Times New Roman" w:hAnsi="Times New Roman" w:eastAsia="宋体" w:cs="Times New Roman"/>
                <w:color w:val="000000" w:themeColor="text1"/>
                <w:sz w:val="24"/>
                <w:highlight w:val="none"/>
                <w14:textFill>
                  <w14:solidFill>
                    <w14:schemeClr w14:val="tx1"/>
                  </w14:solidFill>
                </w14:textFill>
              </w:rPr>
            </w:pPr>
          </w:p>
          <w:p w14:paraId="5964B057">
            <w:pPr>
              <w:spacing w:line="360" w:lineRule="auto"/>
              <w:ind w:firstLine="480" w:firstLineChars="200"/>
              <w:rPr>
                <w:rFonts w:ascii="Times New Roman" w:hAnsi="Times New Roman" w:eastAsia="宋体" w:cs="Times New Roman"/>
                <w:color w:val="000000" w:themeColor="text1"/>
                <w:sz w:val="24"/>
                <w:highlight w:val="none"/>
                <w14:textFill>
                  <w14:solidFill>
                    <w14:schemeClr w14:val="tx1"/>
                  </w14:solidFill>
                </w14:textFill>
              </w:rPr>
            </w:pPr>
          </w:p>
          <w:p w14:paraId="224A329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宋体" w:cs="Times New Roman"/>
                <w:color w:val="000000" w:themeColor="text1"/>
                <w:sz w:val="24"/>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eastAsia="zh-CN"/>
                <w14:textFill>
                  <w14:solidFill>
                    <w14:schemeClr w14:val="tx1"/>
                  </w14:solidFill>
                </w14:textFill>
              </w:rPr>
              <w:drawing>
                <wp:inline distT="0" distB="0" distL="114300" distR="114300">
                  <wp:extent cx="4554855" cy="3304540"/>
                  <wp:effectExtent l="0" t="0" r="17145" b="10160"/>
                  <wp:docPr id="30" name="图片 30" descr="监测点位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监测点位图2"/>
                          <pic:cNvPicPr>
                            <a:picLocks noChangeAspect="1"/>
                          </pic:cNvPicPr>
                        </pic:nvPicPr>
                        <pic:blipFill>
                          <a:blip r:embed="rId16"/>
                          <a:stretch>
                            <a:fillRect/>
                          </a:stretch>
                        </pic:blipFill>
                        <pic:spPr>
                          <a:xfrm>
                            <a:off x="0" y="0"/>
                            <a:ext cx="4554855" cy="3304540"/>
                          </a:xfrm>
                          <a:prstGeom prst="rect">
                            <a:avLst/>
                          </a:prstGeom>
                        </pic:spPr>
                      </pic:pic>
                    </a:graphicData>
                  </a:graphic>
                </wp:inline>
              </w:drawing>
            </w:r>
          </w:p>
          <w:p w14:paraId="19CCC0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图3-1 监测点位图</w:t>
            </w:r>
          </w:p>
          <w:p w14:paraId="0D2159C6">
            <w:pPr>
              <w:spacing w:line="360" w:lineRule="auto"/>
              <w:ind w:firstLine="480" w:firstLineChars="200"/>
              <w:rPr>
                <w:rFonts w:hint="eastAsia" w:ascii="Times New Roman" w:hAnsi="Times New Roman" w:eastAsia="宋体"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监测时间：202</w:t>
            </w:r>
            <w:r>
              <w:rPr>
                <w:rFonts w:hint="eastAsia" w:cs="Times New Roman"/>
                <w:color w:val="000000" w:themeColor="text1"/>
                <w:sz w:val="24"/>
                <w:highlight w:val="none"/>
                <w:lang w:val="en-US" w:eastAsia="zh-CN"/>
                <w14:textFill>
                  <w14:solidFill>
                    <w14:schemeClr w14:val="tx1"/>
                  </w14:solidFill>
                </w14:textFill>
              </w:rPr>
              <w:t>6</w:t>
            </w:r>
            <w:r>
              <w:rPr>
                <w:rFonts w:ascii="Times New Roman" w:hAnsi="Times New Roman" w:eastAsia="宋体" w:cs="Times New Roman"/>
                <w:color w:val="000000" w:themeColor="text1"/>
                <w:sz w:val="24"/>
                <w:highlight w:val="none"/>
                <w14:textFill>
                  <w14:solidFill>
                    <w14:schemeClr w14:val="tx1"/>
                  </w14:solidFill>
                </w14:textFill>
              </w:rPr>
              <w:t>.</w:t>
            </w:r>
            <w:r>
              <w:rPr>
                <w:rFonts w:hint="eastAsia" w:ascii="Times New Roman" w:hAnsi="Times New Roman" w:eastAsia="宋体" w:cs="Times New Roman"/>
                <w:color w:val="000000" w:themeColor="text1"/>
                <w:sz w:val="24"/>
                <w:highlight w:val="none"/>
                <w14:textFill>
                  <w14:solidFill>
                    <w14:schemeClr w14:val="tx1"/>
                  </w14:solidFill>
                </w14:textFill>
              </w:rPr>
              <w:t>6</w:t>
            </w:r>
            <w:r>
              <w:rPr>
                <w:rFonts w:ascii="Times New Roman" w:hAnsi="Times New Roman" w:eastAsia="宋体" w:cs="Times New Roman"/>
                <w:color w:val="000000" w:themeColor="text1"/>
                <w:sz w:val="24"/>
                <w:highlight w:val="none"/>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27</w:t>
            </w:r>
            <w:r>
              <w:rPr>
                <w:rFonts w:ascii="Times New Roman" w:hAnsi="Times New Roman" w:eastAsia="宋体" w:cs="Times New Roman"/>
                <w:color w:val="000000" w:themeColor="text1"/>
                <w:sz w:val="24"/>
                <w:highlight w:val="none"/>
                <w14:textFill>
                  <w14:solidFill>
                    <w14:schemeClr w14:val="tx1"/>
                  </w14:solidFill>
                </w14:textFill>
              </w:rPr>
              <w:t>～202</w:t>
            </w:r>
            <w:r>
              <w:rPr>
                <w:rFonts w:hint="eastAsia" w:cs="Times New Roman"/>
                <w:color w:val="000000" w:themeColor="text1"/>
                <w:sz w:val="24"/>
                <w:highlight w:val="none"/>
                <w:lang w:val="en-US" w:eastAsia="zh-CN"/>
                <w14:textFill>
                  <w14:solidFill>
                    <w14:schemeClr w14:val="tx1"/>
                  </w14:solidFill>
                </w14:textFill>
              </w:rPr>
              <w:t>6</w:t>
            </w:r>
            <w:r>
              <w:rPr>
                <w:rFonts w:ascii="Times New Roman" w:hAnsi="Times New Roman" w:eastAsia="宋体" w:cs="Times New Roman"/>
                <w:color w:val="000000" w:themeColor="text1"/>
                <w:sz w:val="24"/>
                <w:highlight w:val="none"/>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7</w:t>
            </w:r>
            <w:r>
              <w:rPr>
                <w:rFonts w:ascii="Times New Roman" w:hAnsi="Times New Roman" w:eastAsia="宋体" w:cs="Times New Roman"/>
                <w:color w:val="000000" w:themeColor="text1"/>
                <w:sz w:val="24"/>
                <w:highlight w:val="none"/>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3</w:t>
            </w:r>
            <w:r>
              <w:rPr>
                <w:rFonts w:ascii="Times New Roman" w:hAnsi="Times New Roman" w:eastAsia="宋体" w:cs="Times New Roman"/>
                <w:color w:val="000000" w:themeColor="text1"/>
                <w:sz w:val="24"/>
                <w:highlight w:val="none"/>
                <w14:textFill>
                  <w14:solidFill>
                    <w14:schemeClr w14:val="tx1"/>
                  </w14:solidFill>
                </w14:textFill>
              </w:rPr>
              <w:t>，共7天；</w:t>
            </w:r>
          </w:p>
          <w:p w14:paraId="7800D471">
            <w:pPr>
              <w:spacing w:line="360" w:lineRule="auto"/>
              <w:ind w:firstLine="480" w:firstLineChars="200"/>
              <w:rPr>
                <w:rFonts w:ascii="Times New Roman" w:hAnsi="Times New Roman" w:eastAsia="宋体"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监测频率：根据国家环保局颁布的关于空气环境质量采样频率和采样时间的相关规定和</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《环境空气质量标准》（GB3095-20</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26</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ascii="Times New Roman" w:hAnsi="Times New Roman" w:eastAsia="宋体" w:cs="Times New Roman"/>
                <w:color w:val="000000" w:themeColor="text1"/>
                <w:sz w:val="24"/>
                <w:highlight w:val="none"/>
                <w14:textFill>
                  <w14:solidFill>
                    <w14:schemeClr w14:val="tx1"/>
                  </w14:solidFill>
                </w14:textFill>
              </w:rPr>
              <w:t>对污染物监测数据的统计有效性的规定，确定SO</w:t>
            </w:r>
            <w:r>
              <w:rPr>
                <w:rFonts w:ascii="Times New Roman" w:hAnsi="Times New Roman" w:eastAsia="宋体" w:cs="Times New Roman"/>
                <w:color w:val="000000" w:themeColor="text1"/>
                <w:sz w:val="24"/>
                <w:highlight w:val="none"/>
                <w:vertAlign w:val="subscript"/>
                <w14:textFill>
                  <w14:solidFill>
                    <w14:schemeClr w14:val="tx1"/>
                  </w14:solidFill>
                </w14:textFill>
              </w:rPr>
              <w:t>2</w:t>
            </w:r>
            <w:r>
              <w:rPr>
                <w:rFonts w:ascii="Times New Roman" w:hAnsi="Times New Roman" w:eastAsia="宋体" w:cs="Times New Roman"/>
                <w:color w:val="000000" w:themeColor="text1"/>
                <w:sz w:val="24"/>
                <w:highlight w:val="none"/>
                <w14:textFill>
                  <w14:solidFill>
                    <w14:schemeClr w14:val="tx1"/>
                  </w14:solidFill>
                </w14:textFill>
              </w:rPr>
              <w:t>、NO</w:t>
            </w:r>
            <w:r>
              <w:rPr>
                <w:rFonts w:ascii="Times New Roman" w:hAnsi="Times New Roman" w:eastAsia="宋体" w:cs="Times New Roman"/>
                <w:color w:val="000000" w:themeColor="text1"/>
                <w:sz w:val="24"/>
                <w:highlight w:val="none"/>
                <w:vertAlign w:val="subscript"/>
                <w14:textFill>
                  <w14:solidFill>
                    <w14:schemeClr w14:val="tx1"/>
                  </w14:solidFill>
                </w14:textFill>
              </w:rPr>
              <w:t>2</w:t>
            </w:r>
            <w:r>
              <w:rPr>
                <w:rFonts w:ascii="Times New Roman" w:hAnsi="Times New Roman" w:eastAsia="宋体" w:cs="Times New Roman"/>
                <w:color w:val="000000" w:themeColor="text1"/>
                <w:sz w:val="24"/>
                <w:highlight w:val="none"/>
                <w14:textFill>
                  <w14:solidFill>
                    <w14:schemeClr w14:val="tx1"/>
                  </w14:solidFill>
                </w14:textFill>
              </w:rPr>
              <w:t>、CO连续7天，每天1组日均值、1组小时均值（小时值每日采样4次）</w:t>
            </w:r>
            <w:r>
              <w:rPr>
                <w:rFonts w:hint="eastAsia" w:ascii="Times New Roman" w:hAnsi="Times New Roman" w:eastAsia="宋体" w:cs="Times New Roman"/>
                <w:color w:val="000000" w:themeColor="text1"/>
                <w:sz w:val="24"/>
                <w:highlight w:val="none"/>
                <w14:textFill>
                  <w14:solidFill>
                    <w14:schemeClr w14:val="tx1"/>
                  </w14:solidFill>
                </w14:textFill>
              </w:rPr>
              <w:t>；PM</w:t>
            </w:r>
            <w:r>
              <w:rPr>
                <w:rFonts w:hint="eastAsia" w:ascii="Times New Roman" w:hAnsi="Times New Roman" w:eastAsia="宋体" w:cs="Times New Roman"/>
                <w:color w:val="000000" w:themeColor="text1"/>
                <w:sz w:val="24"/>
                <w:highlight w:val="none"/>
                <w:vertAlign w:val="subscript"/>
                <w14:textFill>
                  <w14:solidFill>
                    <w14:schemeClr w14:val="tx1"/>
                  </w14:solidFill>
                </w14:textFill>
              </w:rPr>
              <w:t>10</w:t>
            </w:r>
            <w:r>
              <w:rPr>
                <w:rFonts w:hint="eastAsia" w:ascii="Times New Roman" w:hAnsi="Times New Roman" w:eastAsia="宋体" w:cs="Times New Roman"/>
                <w:color w:val="000000" w:themeColor="text1"/>
                <w:sz w:val="24"/>
                <w:highlight w:val="none"/>
                <w14:textFill>
                  <w14:solidFill>
                    <w14:schemeClr w14:val="tx1"/>
                  </w14:solidFill>
                </w14:textFill>
              </w:rPr>
              <w:t>、PM</w:t>
            </w:r>
            <w:r>
              <w:rPr>
                <w:rFonts w:hint="eastAsia" w:ascii="Times New Roman" w:hAnsi="Times New Roman" w:eastAsia="宋体" w:cs="Times New Roman"/>
                <w:color w:val="000000" w:themeColor="text1"/>
                <w:sz w:val="24"/>
                <w:highlight w:val="none"/>
                <w:vertAlign w:val="subscript"/>
                <w14:textFill>
                  <w14:solidFill>
                    <w14:schemeClr w14:val="tx1"/>
                  </w14:solidFill>
                </w14:textFill>
              </w:rPr>
              <w:t>2.5</w:t>
            </w:r>
            <w:r>
              <w:rPr>
                <w:rFonts w:hint="eastAsia" w:ascii="Times New Roman" w:hAnsi="Times New Roman" w:eastAsia="宋体" w:cs="Times New Roman"/>
                <w:color w:val="000000" w:themeColor="text1"/>
                <w:sz w:val="24"/>
                <w:highlight w:val="none"/>
                <w14:textFill>
                  <w14:solidFill>
                    <w14:schemeClr w14:val="tx1"/>
                  </w14:solidFill>
                </w14:textFill>
              </w:rPr>
              <w:t>、TSP连续7天，每天1组日均值；O</w:t>
            </w:r>
            <w:r>
              <w:rPr>
                <w:rFonts w:hint="eastAsia" w:ascii="Times New Roman" w:hAnsi="Times New Roman" w:eastAsia="宋体" w:cs="Times New Roman"/>
                <w:color w:val="000000" w:themeColor="text1"/>
                <w:sz w:val="24"/>
                <w:highlight w:val="none"/>
                <w:vertAlign w:val="subscript"/>
                <w14:textFill>
                  <w14:solidFill>
                    <w14:schemeClr w14:val="tx1"/>
                  </w14:solidFill>
                </w14:textFill>
              </w:rPr>
              <w:t>3</w:t>
            </w:r>
            <w:r>
              <w:rPr>
                <w:rFonts w:hint="eastAsia" w:ascii="Times New Roman" w:hAnsi="Times New Roman" w:eastAsia="宋体" w:cs="Times New Roman"/>
                <w:color w:val="000000" w:themeColor="text1"/>
                <w:sz w:val="24"/>
                <w:highlight w:val="none"/>
                <w14:textFill>
                  <w14:solidFill>
                    <w14:schemeClr w14:val="tx1"/>
                  </w14:solidFill>
                </w14:textFill>
              </w:rPr>
              <w:t>连续7天，每天至少1组8h均值、1组小时均值（小时值每日采样4次）；</w:t>
            </w:r>
            <w:r>
              <w:rPr>
                <w:rFonts w:hint="eastAsia" w:cs="Times New Roman"/>
                <w:color w:val="000000" w:themeColor="text1"/>
                <w:sz w:val="24"/>
                <w:highlight w:val="none"/>
                <w:lang w:val="en-US" w:eastAsia="zh-CN"/>
                <w14:textFill>
                  <w14:solidFill>
                    <w14:schemeClr w14:val="tx1"/>
                  </w14:solidFill>
                </w14:textFill>
              </w:rPr>
              <w:t>非甲烷总烃</w:t>
            </w:r>
            <w:r>
              <w:rPr>
                <w:rFonts w:hint="eastAsia" w:ascii="Times New Roman" w:hAnsi="Times New Roman" w:eastAsia="宋体" w:cs="Times New Roman"/>
                <w:color w:val="000000" w:themeColor="text1"/>
                <w:sz w:val="24"/>
                <w:highlight w:val="none"/>
                <w14:textFill>
                  <w14:solidFill>
                    <w14:schemeClr w14:val="tx1"/>
                  </w14:solidFill>
                </w14:textFill>
              </w:rPr>
              <w:t>连续7天，</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每天1组小时均值（小时值每日采样4次）</w:t>
            </w:r>
            <w:r>
              <w:rPr>
                <w:rFonts w:hint="eastAsia" w:ascii="Times New Roman" w:hAnsi="Times New Roman" w:eastAsia="宋体" w:cs="Times New Roman"/>
                <w:color w:val="000000" w:themeColor="text1"/>
                <w:sz w:val="24"/>
                <w:highlight w:val="none"/>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甲醛</w:t>
            </w:r>
            <w:r>
              <w:rPr>
                <w:rFonts w:ascii="Times New Roman" w:hAnsi="Times New Roman" w:eastAsia="宋体" w:cs="Times New Roman"/>
                <w:color w:val="000000" w:themeColor="text1"/>
                <w:sz w:val="24"/>
                <w:highlight w:val="none"/>
                <w14:textFill>
                  <w14:solidFill>
                    <w14:schemeClr w14:val="tx1"/>
                  </w14:solidFill>
                </w14:textFill>
              </w:rPr>
              <w:t>连续7天，</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每天</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1组小时均值（小时值每日采样4次）</w:t>
            </w:r>
            <w:r>
              <w:rPr>
                <w:rFonts w:ascii="Times New Roman" w:hAnsi="Times New Roman" w:eastAsia="宋体" w:cs="Times New Roman"/>
                <w:color w:val="000000" w:themeColor="text1"/>
                <w:sz w:val="24"/>
                <w:highlight w:val="none"/>
                <w14:textFill>
                  <w14:solidFill>
                    <w14:schemeClr w14:val="tx1"/>
                  </w14:solidFill>
                </w14:textFill>
              </w:rPr>
              <w:t>。</w:t>
            </w:r>
          </w:p>
          <w:p w14:paraId="50DFE0ED">
            <w:pPr>
              <w:spacing w:line="360" w:lineRule="auto"/>
              <w:ind w:firstLine="480" w:firstLineChars="200"/>
              <w:rPr>
                <w:rFonts w:ascii="Times New Roman" w:hAnsi="Times New Roman" w:eastAsia="宋体"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监测分析方法：按照国家相关规定、标准和规范进行采样和分析；</w:t>
            </w:r>
          </w:p>
          <w:p w14:paraId="6A635B47">
            <w:pPr>
              <w:spacing w:line="360" w:lineRule="auto"/>
              <w:ind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14:textFill>
                  <w14:solidFill>
                    <w14:schemeClr w14:val="tx1"/>
                  </w14:solidFill>
                </w14:textFill>
              </w:rPr>
              <w:t>评价标准：</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《环境空气质量标准》</w:t>
            </w:r>
            <w:r>
              <w:rPr>
                <w:rFonts w:hint="eastAsia" w:cs="Times New Roman"/>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GB 3095-20</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26</w:t>
            </w:r>
            <w:r>
              <w:rPr>
                <w:rFonts w:hint="eastAsia" w:cs="Times New Roman"/>
                <w:color w:val="000000" w:themeColor="text1"/>
                <w:sz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表1过渡阶段一级浓度限值和表2一级浓度限值</w:t>
            </w:r>
            <w:r>
              <w:rPr>
                <w:rFonts w:hint="eastAsia" w:cs="Times New Roman"/>
                <w:color w:val="000000" w:themeColor="text1"/>
                <w:sz w:val="24"/>
                <w:highlight w:val="none"/>
                <w:lang w:val="en-US" w:eastAsia="zh-CN"/>
                <w14:textFill>
                  <w14:solidFill>
                    <w14:schemeClr w14:val="tx1"/>
                  </w14:solidFill>
                </w14:textFill>
              </w:rPr>
              <w:t>、</w:t>
            </w:r>
            <w:r>
              <w:rPr>
                <w:rFonts w:ascii="Times New Roman" w:hAnsi="Times New Roman" w:eastAsia="宋体" w:cs="Times New Roman"/>
                <w:color w:val="000000" w:themeColor="text1"/>
                <w:sz w:val="24"/>
                <w:highlight w:val="none"/>
                <w14:textFill>
                  <w14:solidFill>
                    <w14:schemeClr w14:val="tx1"/>
                  </w14:solidFill>
                </w14:textFill>
              </w:rPr>
              <w:t>《环境影响评价技术导则 大气环境》（HJ2.2-2018）附录D的标准</w:t>
            </w:r>
            <w:r>
              <w:rPr>
                <w:rFonts w:hint="eastAsia" w:cs="Times New Roman"/>
                <w:color w:val="000000" w:themeColor="text1"/>
                <w:sz w:val="24"/>
                <w:highlight w:val="none"/>
                <w:lang w:val="en-US" w:eastAsia="zh-CN"/>
                <w14:textFill>
                  <w14:solidFill>
                    <w14:schemeClr w14:val="tx1"/>
                  </w14:solidFill>
                </w14:textFill>
              </w:rPr>
              <w:t>以及</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参照执行《大气污染物综合排放标准详解》中非甲烷总烃参考限值</w:t>
            </w:r>
            <w:r>
              <w:rPr>
                <w:rFonts w:hint="eastAsia" w:ascii="Times New Roman" w:hAnsi="Times New Roman" w:eastAsia="宋体" w:cs="Times New Roman"/>
                <w:color w:val="000000" w:themeColor="text1"/>
                <w:sz w:val="24"/>
                <w:highlight w:val="none"/>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监测点位图以及监测结果详见下表：</w:t>
            </w:r>
          </w:p>
          <w:p w14:paraId="5E44176E">
            <w:pPr>
              <w:widowControl w:val="0"/>
              <w:autoSpaceDE w:val="0"/>
              <w:autoSpaceDN w:val="0"/>
              <w:adjustRightInd w:val="0"/>
              <w:jc w:val="center"/>
              <w:rPr>
                <w:rFonts w:ascii="Times New Roman" w:hAnsi="Times New Roman" w:eastAsia="宋体" w:cs="Times New Roman"/>
                <w:b/>
                <w:bCs/>
                <w:color w:val="000000" w:themeColor="text1"/>
                <w:sz w:val="24"/>
                <w:szCs w:val="24"/>
                <w:lang w:val="en-US" w:eastAsia="zh-CN" w:bidi="ar-SA"/>
                <w14:textFill>
                  <w14:solidFill>
                    <w14:schemeClr w14:val="tx1"/>
                  </w14:solidFill>
                </w14:textFill>
              </w:rPr>
            </w:pP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表</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3-1</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臭氧8</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小时均值监测结果统计表</w:t>
            </w:r>
          </w:p>
          <w:tbl>
            <w:tblPr>
              <w:tblStyle w:val="32"/>
              <w:tblW w:w="80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1265"/>
              <w:gridCol w:w="2035"/>
              <w:gridCol w:w="1875"/>
              <w:gridCol w:w="1318"/>
              <w:gridCol w:w="774"/>
            </w:tblGrid>
            <w:tr w14:paraId="7159C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Align w:val="center"/>
                </w:tcPr>
                <w:p w14:paraId="319D183A">
                  <w:pPr>
                    <w:widowControl w:val="0"/>
                    <w:autoSpaceDE w:val="0"/>
                    <w:autoSpaceDN w:val="0"/>
                    <w:adjustRightInd w:val="0"/>
                    <w:jc w:val="center"/>
                    <w:rPr>
                      <w:rFonts w:hint="default"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cs="Times New Roman"/>
                      <w:b/>
                      <w:color w:val="000000" w:themeColor="text1"/>
                      <w:kern w:val="2"/>
                      <w:sz w:val="21"/>
                      <w:szCs w:val="21"/>
                      <w:vertAlign w:val="baseline"/>
                      <w:lang w:val="en-US" w:eastAsia="zh-CN" w:bidi="ar-SA"/>
                      <w14:textFill>
                        <w14:solidFill>
                          <w14:schemeClr w14:val="tx1"/>
                        </w14:solidFill>
                      </w14:textFill>
                    </w:rPr>
                    <w:t>监测点位</w:t>
                  </w:r>
                </w:p>
              </w:tc>
              <w:tc>
                <w:tcPr>
                  <w:tcW w:w="1265" w:type="dxa"/>
                  <w:vAlign w:val="center"/>
                </w:tcPr>
                <w:p w14:paraId="2E4A8E84">
                  <w:pPr>
                    <w:widowControl w:val="0"/>
                    <w:autoSpaceDE w:val="0"/>
                    <w:autoSpaceDN w:val="0"/>
                    <w:adjustRightInd w:val="0"/>
                    <w:jc w:val="center"/>
                    <w:rPr>
                      <w:rFonts w:hint="default"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cs="Times New Roman"/>
                      <w:b/>
                      <w:color w:val="000000" w:themeColor="text1"/>
                      <w:kern w:val="2"/>
                      <w:sz w:val="21"/>
                      <w:szCs w:val="21"/>
                      <w:vertAlign w:val="baseline"/>
                      <w:lang w:val="en-US" w:eastAsia="zh-CN" w:bidi="ar-SA"/>
                      <w14:textFill>
                        <w14:solidFill>
                          <w14:schemeClr w14:val="tx1"/>
                        </w14:solidFill>
                      </w14:textFill>
                    </w:rPr>
                    <w:t>监测日期</w:t>
                  </w:r>
                </w:p>
              </w:tc>
              <w:tc>
                <w:tcPr>
                  <w:tcW w:w="2035" w:type="dxa"/>
                  <w:vAlign w:val="center"/>
                </w:tcPr>
                <w:p w14:paraId="31A1BFD2">
                  <w:pPr>
                    <w:widowControl w:val="0"/>
                    <w:autoSpaceDE w:val="0"/>
                    <w:autoSpaceDN w:val="0"/>
                    <w:adjustRightInd w:val="0"/>
                    <w:jc w:val="center"/>
                    <w:rPr>
                      <w:rFonts w:hint="default"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cs="Times New Roman"/>
                      <w:b/>
                      <w:color w:val="000000" w:themeColor="text1"/>
                      <w:kern w:val="2"/>
                      <w:sz w:val="21"/>
                      <w:szCs w:val="21"/>
                      <w:vertAlign w:val="baseline"/>
                      <w:lang w:val="en-US" w:eastAsia="zh-CN" w:bidi="ar-SA"/>
                      <w14:textFill>
                        <w14:solidFill>
                          <w14:schemeClr w14:val="tx1"/>
                        </w14:solidFill>
                      </w14:textFill>
                    </w:rPr>
                    <w:t>臭氧均值（mg/m</w:t>
                  </w:r>
                  <w:r>
                    <w:rPr>
                      <w:rFonts w:hint="eastAsia" w:cs="Times New Roman"/>
                      <w:b/>
                      <w:color w:val="000000" w:themeColor="text1"/>
                      <w:kern w:val="2"/>
                      <w:sz w:val="21"/>
                      <w:szCs w:val="21"/>
                      <w:vertAlign w:val="superscript"/>
                      <w:lang w:val="en-US" w:eastAsia="zh-CN" w:bidi="ar-SA"/>
                      <w14:textFill>
                        <w14:solidFill>
                          <w14:schemeClr w14:val="tx1"/>
                        </w14:solidFill>
                      </w14:textFill>
                    </w:rPr>
                    <w:t>3</w:t>
                  </w:r>
                  <w:r>
                    <w:rPr>
                      <w:rFonts w:hint="eastAsia" w:cs="Times New Roman"/>
                      <w:b/>
                      <w:color w:val="000000" w:themeColor="text1"/>
                      <w:kern w:val="2"/>
                      <w:sz w:val="21"/>
                      <w:szCs w:val="21"/>
                      <w:vertAlign w:val="baseline"/>
                      <w:lang w:val="en-US" w:eastAsia="zh-CN" w:bidi="ar-SA"/>
                      <w14:textFill>
                        <w14:solidFill>
                          <w14:schemeClr w14:val="tx1"/>
                        </w14:solidFill>
                      </w14:textFill>
                    </w:rPr>
                    <w:t>）</w:t>
                  </w:r>
                </w:p>
              </w:tc>
              <w:tc>
                <w:tcPr>
                  <w:tcW w:w="1875" w:type="dxa"/>
                  <w:vAlign w:val="center"/>
                </w:tcPr>
                <w:p w14:paraId="4F1AF127">
                  <w:pPr>
                    <w:widowControl w:val="0"/>
                    <w:autoSpaceDE w:val="0"/>
                    <w:autoSpaceDN w:val="0"/>
                    <w:adjustRightInd w:val="0"/>
                    <w:jc w:val="center"/>
                    <w:rPr>
                      <w:rFonts w:hint="default"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cs="Times New Roman"/>
                      <w:b/>
                      <w:color w:val="000000" w:themeColor="text1"/>
                      <w:kern w:val="2"/>
                      <w:sz w:val="21"/>
                      <w:szCs w:val="21"/>
                      <w:vertAlign w:val="baseline"/>
                      <w:lang w:val="en-US" w:eastAsia="zh-CN" w:bidi="ar-SA"/>
                      <w14:textFill>
                        <w14:solidFill>
                          <w14:schemeClr w14:val="tx1"/>
                        </w14:solidFill>
                      </w14:textFill>
                    </w:rPr>
                    <w:t>标准值（mg/m</w:t>
                  </w:r>
                  <w:r>
                    <w:rPr>
                      <w:rFonts w:hint="eastAsia" w:cs="Times New Roman"/>
                      <w:b/>
                      <w:color w:val="000000" w:themeColor="text1"/>
                      <w:kern w:val="2"/>
                      <w:sz w:val="21"/>
                      <w:szCs w:val="21"/>
                      <w:vertAlign w:val="superscript"/>
                      <w:lang w:val="en-US" w:eastAsia="zh-CN" w:bidi="ar-SA"/>
                      <w14:textFill>
                        <w14:solidFill>
                          <w14:schemeClr w14:val="tx1"/>
                        </w14:solidFill>
                      </w14:textFill>
                    </w:rPr>
                    <w:t>3</w:t>
                  </w:r>
                  <w:r>
                    <w:rPr>
                      <w:rFonts w:hint="eastAsia" w:cs="Times New Roman"/>
                      <w:b/>
                      <w:color w:val="000000" w:themeColor="text1"/>
                      <w:kern w:val="2"/>
                      <w:sz w:val="21"/>
                      <w:szCs w:val="21"/>
                      <w:vertAlign w:val="baseline"/>
                      <w:lang w:val="en-US" w:eastAsia="zh-CN" w:bidi="ar-SA"/>
                      <w14:textFill>
                        <w14:solidFill>
                          <w14:schemeClr w14:val="tx1"/>
                        </w14:solidFill>
                      </w14:textFill>
                    </w:rPr>
                    <w:t>）</w:t>
                  </w:r>
                </w:p>
              </w:tc>
              <w:tc>
                <w:tcPr>
                  <w:tcW w:w="1318" w:type="dxa"/>
                  <w:vAlign w:val="center"/>
                </w:tcPr>
                <w:p w14:paraId="4EEFD07B">
                  <w:pPr>
                    <w:widowControl w:val="0"/>
                    <w:autoSpaceDE w:val="0"/>
                    <w:autoSpaceDN w:val="0"/>
                    <w:adjustRightInd w:val="0"/>
                    <w:jc w:val="center"/>
                    <w:rPr>
                      <w:rFonts w:hint="default"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cs="Times New Roman"/>
                      <w:b/>
                      <w:color w:val="000000" w:themeColor="text1"/>
                      <w:kern w:val="2"/>
                      <w:sz w:val="21"/>
                      <w:szCs w:val="21"/>
                      <w:vertAlign w:val="baseline"/>
                      <w:lang w:val="en-US" w:eastAsia="zh-CN" w:bidi="ar-SA"/>
                      <w14:textFill>
                        <w14:solidFill>
                          <w14:schemeClr w14:val="tx1"/>
                        </w14:solidFill>
                      </w14:textFill>
                    </w:rPr>
                    <w:t>超标率（%）</w:t>
                  </w:r>
                </w:p>
              </w:tc>
              <w:tc>
                <w:tcPr>
                  <w:tcW w:w="774" w:type="dxa"/>
                  <w:vAlign w:val="center"/>
                </w:tcPr>
                <w:p w14:paraId="33E89277">
                  <w:pPr>
                    <w:widowControl w:val="0"/>
                    <w:autoSpaceDE w:val="0"/>
                    <w:autoSpaceDN w:val="0"/>
                    <w:adjustRightInd w:val="0"/>
                    <w:jc w:val="center"/>
                    <w:rPr>
                      <w:rFonts w:hint="default"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cs="Times New Roman"/>
                      <w:b/>
                      <w:color w:val="000000" w:themeColor="text1"/>
                      <w:kern w:val="2"/>
                      <w:sz w:val="21"/>
                      <w:szCs w:val="21"/>
                      <w:vertAlign w:val="baseline"/>
                      <w:lang w:val="en-US" w:eastAsia="zh-CN" w:bidi="ar-SA"/>
                      <w14:textFill>
                        <w14:solidFill>
                          <w14:schemeClr w14:val="tx1"/>
                        </w14:solidFill>
                      </w14:textFill>
                    </w:rPr>
                    <w:t>是否达标</w:t>
                  </w:r>
                </w:p>
              </w:tc>
            </w:tr>
            <w:tr w14:paraId="5D89F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Merge w:val="restart"/>
                  <w:vAlign w:val="center"/>
                </w:tcPr>
                <w:p w14:paraId="7F57D18B">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A2翠柏自然保护区1个点位</w:t>
                  </w:r>
                </w:p>
              </w:tc>
              <w:tc>
                <w:tcPr>
                  <w:tcW w:w="1265" w:type="dxa"/>
                  <w:vAlign w:val="center"/>
                </w:tcPr>
                <w:p w14:paraId="2C521D86">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2026.06.27</w:t>
                  </w:r>
                </w:p>
              </w:tc>
              <w:tc>
                <w:tcPr>
                  <w:tcW w:w="2035" w:type="dxa"/>
                  <w:vAlign w:val="center"/>
                </w:tcPr>
                <w:p w14:paraId="67C68C24">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0"/>
                      <w:szCs w:val="20"/>
                      <w:lang w:val="en-US" w:eastAsia="zh-CN"/>
                      <w14:textFill>
                        <w14:solidFill>
                          <w14:schemeClr w14:val="tx1"/>
                        </w14:solidFill>
                      </w14:textFill>
                    </w:rPr>
                    <w:t>0.069</w:t>
                  </w:r>
                </w:p>
              </w:tc>
              <w:tc>
                <w:tcPr>
                  <w:tcW w:w="1875" w:type="dxa"/>
                  <w:vAlign w:val="center"/>
                </w:tcPr>
                <w:p w14:paraId="58610F21">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0.100</w:t>
                  </w:r>
                </w:p>
              </w:tc>
              <w:tc>
                <w:tcPr>
                  <w:tcW w:w="1318" w:type="dxa"/>
                  <w:vAlign w:val="center"/>
                </w:tcPr>
                <w:p w14:paraId="6415797D">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w:t>
                  </w:r>
                </w:p>
              </w:tc>
              <w:tc>
                <w:tcPr>
                  <w:tcW w:w="774" w:type="dxa"/>
                  <w:vAlign w:val="center"/>
                </w:tcPr>
                <w:p w14:paraId="70C8346A">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达标</w:t>
                  </w:r>
                </w:p>
              </w:tc>
            </w:tr>
            <w:tr w14:paraId="3082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Merge w:val="continue"/>
                  <w:vAlign w:val="center"/>
                </w:tcPr>
                <w:p w14:paraId="61071E65">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265" w:type="dxa"/>
                  <w:vAlign w:val="center"/>
                </w:tcPr>
                <w:p w14:paraId="3D7DAD4D">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8</w:t>
                  </w:r>
                </w:p>
              </w:tc>
              <w:tc>
                <w:tcPr>
                  <w:tcW w:w="2035" w:type="dxa"/>
                  <w:vAlign w:val="center"/>
                </w:tcPr>
                <w:p w14:paraId="089692B5">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0"/>
                      <w:szCs w:val="20"/>
                      <w:lang w:val="en-US" w:eastAsia="zh-CN"/>
                      <w14:textFill>
                        <w14:solidFill>
                          <w14:schemeClr w14:val="tx1"/>
                        </w14:solidFill>
                      </w14:textFill>
                    </w:rPr>
                    <w:t>0.068</w:t>
                  </w:r>
                </w:p>
              </w:tc>
              <w:tc>
                <w:tcPr>
                  <w:tcW w:w="1875" w:type="dxa"/>
                  <w:vAlign w:val="center"/>
                </w:tcPr>
                <w:p w14:paraId="5061A6F3">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0.100</w:t>
                  </w:r>
                </w:p>
              </w:tc>
              <w:tc>
                <w:tcPr>
                  <w:tcW w:w="1318" w:type="dxa"/>
                  <w:vAlign w:val="center"/>
                </w:tcPr>
                <w:p w14:paraId="35D547B7">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w:t>
                  </w:r>
                </w:p>
              </w:tc>
              <w:tc>
                <w:tcPr>
                  <w:tcW w:w="774" w:type="dxa"/>
                  <w:vAlign w:val="center"/>
                </w:tcPr>
                <w:p w14:paraId="54CC6524">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达标</w:t>
                  </w:r>
                </w:p>
              </w:tc>
            </w:tr>
            <w:tr w14:paraId="14C4D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Merge w:val="continue"/>
                  <w:vAlign w:val="center"/>
                </w:tcPr>
                <w:p w14:paraId="2A7E83FE">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265" w:type="dxa"/>
                  <w:vAlign w:val="center"/>
                </w:tcPr>
                <w:p w14:paraId="0C0853A2">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9</w:t>
                  </w:r>
                </w:p>
              </w:tc>
              <w:tc>
                <w:tcPr>
                  <w:tcW w:w="2035" w:type="dxa"/>
                  <w:vAlign w:val="center"/>
                </w:tcPr>
                <w:p w14:paraId="5DEAD440">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0"/>
                      <w:szCs w:val="20"/>
                      <w:lang w:val="en-US" w:eastAsia="zh-CN"/>
                      <w14:textFill>
                        <w14:solidFill>
                          <w14:schemeClr w14:val="tx1"/>
                        </w14:solidFill>
                      </w14:textFill>
                    </w:rPr>
                    <w:t>0.070</w:t>
                  </w:r>
                </w:p>
              </w:tc>
              <w:tc>
                <w:tcPr>
                  <w:tcW w:w="1875" w:type="dxa"/>
                  <w:vAlign w:val="center"/>
                </w:tcPr>
                <w:p w14:paraId="65810A90">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0.100</w:t>
                  </w:r>
                </w:p>
              </w:tc>
              <w:tc>
                <w:tcPr>
                  <w:tcW w:w="1318" w:type="dxa"/>
                  <w:vAlign w:val="center"/>
                </w:tcPr>
                <w:p w14:paraId="68868B1A">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w:t>
                  </w:r>
                </w:p>
              </w:tc>
              <w:tc>
                <w:tcPr>
                  <w:tcW w:w="774" w:type="dxa"/>
                  <w:vAlign w:val="center"/>
                </w:tcPr>
                <w:p w14:paraId="6178E350">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达标</w:t>
                  </w:r>
                </w:p>
              </w:tc>
            </w:tr>
            <w:tr w14:paraId="40B73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Merge w:val="continue"/>
                  <w:vAlign w:val="center"/>
                </w:tcPr>
                <w:p w14:paraId="741785C3">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265" w:type="dxa"/>
                  <w:vAlign w:val="center"/>
                </w:tcPr>
                <w:p w14:paraId="508A3A43">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30</w:t>
                  </w:r>
                </w:p>
              </w:tc>
              <w:tc>
                <w:tcPr>
                  <w:tcW w:w="2035" w:type="dxa"/>
                  <w:vAlign w:val="center"/>
                </w:tcPr>
                <w:p w14:paraId="0AEC9D34">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0"/>
                      <w:szCs w:val="20"/>
                      <w:lang w:val="en-US" w:eastAsia="zh-CN"/>
                      <w14:textFill>
                        <w14:solidFill>
                          <w14:schemeClr w14:val="tx1"/>
                        </w14:solidFill>
                      </w14:textFill>
                    </w:rPr>
                    <w:t>0.066</w:t>
                  </w:r>
                </w:p>
              </w:tc>
              <w:tc>
                <w:tcPr>
                  <w:tcW w:w="1875" w:type="dxa"/>
                  <w:vAlign w:val="center"/>
                </w:tcPr>
                <w:p w14:paraId="4852FB6D">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0.100</w:t>
                  </w:r>
                </w:p>
              </w:tc>
              <w:tc>
                <w:tcPr>
                  <w:tcW w:w="1318" w:type="dxa"/>
                  <w:vAlign w:val="center"/>
                </w:tcPr>
                <w:p w14:paraId="6F7CBEFA">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w:t>
                  </w:r>
                </w:p>
              </w:tc>
              <w:tc>
                <w:tcPr>
                  <w:tcW w:w="774" w:type="dxa"/>
                  <w:vAlign w:val="center"/>
                </w:tcPr>
                <w:p w14:paraId="45ED7194">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达标</w:t>
                  </w:r>
                </w:p>
              </w:tc>
            </w:tr>
            <w:tr w14:paraId="05B36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Merge w:val="continue"/>
                  <w:vAlign w:val="center"/>
                </w:tcPr>
                <w:p w14:paraId="4E35C301">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265" w:type="dxa"/>
                  <w:vAlign w:val="center"/>
                </w:tcPr>
                <w:p w14:paraId="5AFA759C">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2026.07.01</w:t>
                  </w:r>
                </w:p>
              </w:tc>
              <w:tc>
                <w:tcPr>
                  <w:tcW w:w="2035" w:type="dxa"/>
                  <w:vAlign w:val="center"/>
                </w:tcPr>
                <w:p w14:paraId="3BABC213">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0"/>
                      <w:szCs w:val="20"/>
                      <w:lang w:val="en-US" w:eastAsia="zh-CN"/>
                      <w14:textFill>
                        <w14:solidFill>
                          <w14:schemeClr w14:val="tx1"/>
                        </w14:solidFill>
                      </w14:textFill>
                    </w:rPr>
                    <w:t>0.070</w:t>
                  </w:r>
                </w:p>
              </w:tc>
              <w:tc>
                <w:tcPr>
                  <w:tcW w:w="1875" w:type="dxa"/>
                  <w:vAlign w:val="center"/>
                </w:tcPr>
                <w:p w14:paraId="4372DB6C">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0.100</w:t>
                  </w:r>
                </w:p>
              </w:tc>
              <w:tc>
                <w:tcPr>
                  <w:tcW w:w="1318" w:type="dxa"/>
                  <w:vAlign w:val="center"/>
                </w:tcPr>
                <w:p w14:paraId="05721708">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w:t>
                  </w:r>
                </w:p>
              </w:tc>
              <w:tc>
                <w:tcPr>
                  <w:tcW w:w="774" w:type="dxa"/>
                  <w:vAlign w:val="center"/>
                </w:tcPr>
                <w:p w14:paraId="5E24D95F">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达标</w:t>
                  </w:r>
                </w:p>
              </w:tc>
            </w:tr>
            <w:tr w14:paraId="75F55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Merge w:val="continue"/>
                  <w:vAlign w:val="center"/>
                </w:tcPr>
                <w:p w14:paraId="140D2C55">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265" w:type="dxa"/>
                  <w:vAlign w:val="center"/>
                </w:tcPr>
                <w:p w14:paraId="30242552">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7</w:t>
                  </w: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02</w:t>
                  </w:r>
                </w:p>
              </w:tc>
              <w:tc>
                <w:tcPr>
                  <w:tcW w:w="2035" w:type="dxa"/>
                  <w:vAlign w:val="center"/>
                </w:tcPr>
                <w:p w14:paraId="32465DC1">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0"/>
                      <w:szCs w:val="20"/>
                      <w:lang w:val="en-US" w:eastAsia="zh-CN"/>
                      <w14:textFill>
                        <w14:solidFill>
                          <w14:schemeClr w14:val="tx1"/>
                        </w14:solidFill>
                      </w14:textFill>
                    </w:rPr>
                    <w:t>0.065</w:t>
                  </w:r>
                </w:p>
              </w:tc>
              <w:tc>
                <w:tcPr>
                  <w:tcW w:w="1875" w:type="dxa"/>
                  <w:vAlign w:val="center"/>
                </w:tcPr>
                <w:p w14:paraId="53C5172E">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0.100</w:t>
                  </w:r>
                </w:p>
              </w:tc>
              <w:tc>
                <w:tcPr>
                  <w:tcW w:w="1318" w:type="dxa"/>
                  <w:vAlign w:val="center"/>
                </w:tcPr>
                <w:p w14:paraId="1A835E17">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w:t>
                  </w:r>
                </w:p>
              </w:tc>
              <w:tc>
                <w:tcPr>
                  <w:tcW w:w="774" w:type="dxa"/>
                  <w:vAlign w:val="center"/>
                </w:tcPr>
                <w:p w14:paraId="4A0EBAA9">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达标</w:t>
                  </w:r>
                </w:p>
              </w:tc>
            </w:tr>
            <w:tr w14:paraId="16CC6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Merge w:val="continue"/>
                  <w:vAlign w:val="center"/>
                </w:tcPr>
                <w:p w14:paraId="2CD7F0BA">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265" w:type="dxa"/>
                  <w:vAlign w:val="center"/>
                </w:tcPr>
                <w:p w14:paraId="11D202E0">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7</w:t>
                  </w: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03</w:t>
                  </w:r>
                </w:p>
              </w:tc>
              <w:tc>
                <w:tcPr>
                  <w:tcW w:w="2035" w:type="dxa"/>
                  <w:vAlign w:val="center"/>
                </w:tcPr>
                <w:p w14:paraId="45DBA95E">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0"/>
                      <w:szCs w:val="20"/>
                      <w:lang w:val="en-US" w:eastAsia="zh-CN"/>
                      <w14:textFill>
                        <w14:solidFill>
                          <w14:schemeClr w14:val="tx1"/>
                        </w14:solidFill>
                      </w14:textFill>
                    </w:rPr>
                    <w:t>0.065</w:t>
                  </w:r>
                </w:p>
              </w:tc>
              <w:tc>
                <w:tcPr>
                  <w:tcW w:w="1875" w:type="dxa"/>
                  <w:vAlign w:val="center"/>
                </w:tcPr>
                <w:p w14:paraId="71E67E4B">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0.100</w:t>
                  </w:r>
                </w:p>
              </w:tc>
              <w:tc>
                <w:tcPr>
                  <w:tcW w:w="1318" w:type="dxa"/>
                  <w:vAlign w:val="center"/>
                </w:tcPr>
                <w:p w14:paraId="1506478D">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w:t>
                  </w:r>
                </w:p>
              </w:tc>
              <w:tc>
                <w:tcPr>
                  <w:tcW w:w="774" w:type="dxa"/>
                  <w:vAlign w:val="center"/>
                </w:tcPr>
                <w:p w14:paraId="6FE50BE6">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达标</w:t>
                  </w:r>
                </w:p>
              </w:tc>
            </w:tr>
          </w:tbl>
          <w:p w14:paraId="42AB7E06">
            <w:pPr>
              <w:widowControl/>
              <w:adjustRightInd w:val="0"/>
              <w:snapToGrid w:val="0"/>
              <w:spacing w:before="120" w:beforeLines="50"/>
              <w:jc w:val="center"/>
              <w:rPr>
                <w:rFonts w:hint="eastAsia" w:ascii="宋体" w:hAnsi="Times New Roman" w:cs="Times New Roman"/>
                <w:b/>
                <w:color w:val="000000" w:themeColor="text1"/>
                <w:kern w:val="0"/>
                <w:sz w:val="24"/>
                <w:szCs w:val="20"/>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表</w:t>
            </w:r>
            <w:r>
              <w:rPr>
                <w:rFonts w:hint="eastAsia" w:ascii="Times New Roman" w:hAnsi="Times New Roman" w:cs="Times New Roman"/>
                <w:b/>
                <w:color w:val="000000" w:themeColor="text1"/>
                <w:kern w:val="2"/>
                <w:sz w:val="21"/>
                <w:szCs w:val="21"/>
                <w:lang w:val="en-US" w:eastAsia="zh-CN"/>
                <w14:textFill>
                  <w14:solidFill>
                    <w14:schemeClr w14:val="tx1"/>
                  </w14:solidFill>
                </w14:textFill>
              </w:rPr>
              <w:t>3-2</w:t>
            </w:r>
            <w:r>
              <w:rPr>
                <w:rFonts w:ascii="Times New Roman" w:hAnsi="Times New Roman" w:cs="Times New Roman"/>
                <w:b/>
                <w:color w:val="000000" w:themeColor="text1"/>
                <w:kern w:val="2"/>
                <w:sz w:val="21"/>
                <w:szCs w:val="21"/>
                <w14:textFill>
                  <w14:solidFill>
                    <w14:schemeClr w14:val="tx1"/>
                  </w14:solidFill>
                </w14:textFill>
              </w:rPr>
              <w:t xml:space="preserve">  </w:t>
            </w:r>
            <w:r>
              <w:rPr>
                <w:rFonts w:hint="eastAsia" w:ascii="Times New Roman" w:hAnsi="Times New Roman" w:cs="Times New Roman"/>
                <w:b/>
                <w:color w:val="000000" w:themeColor="text1"/>
                <w:kern w:val="2"/>
                <w:sz w:val="21"/>
                <w:szCs w:val="21"/>
                <w14:textFill>
                  <w14:solidFill>
                    <w14:schemeClr w14:val="tx1"/>
                  </w14:solidFill>
                </w14:textFill>
              </w:rPr>
              <w:t>CO、</w:t>
            </w:r>
            <w:r>
              <w:rPr>
                <w:rFonts w:hint="eastAsia" w:ascii="Times New Roman" w:hAnsi="Times New Roman" w:cs="Times New Roman"/>
                <w:b/>
                <w:color w:val="000000" w:themeColor="text1"/>
                <w:kern w:val="2"/>
                <w:sz w:val="21"/>
                <w:szCs w:val="21"/>
                <w:lang w:val="en-US" w:eastAsia="zh-CN"/>
                <w14:textFill>
                  <w14:solidFill>
                    <w14:schemeClr w14:val="tx1"/>
                  </w14:solidFill>
                </w14:textFill>
              </w:rPr>
              <w:t>非甲烷总烃</w:t>
            </w:r>
            <w:r>
              <w:rPr>
                <w:rFonts w:hint="eastAsia" w:cs="Times New Roman"/>
                <w:b/>
                <w:color w:val="000000" w:themeColor="text1"/>
                <w:kern w:val="2"/>
                <w:sz w:val="21"/>
                <w:szCs w:val="21"/>
                <w:lang w:val="en-US" w:eastAsia="zh-CN"/>
                <w14:textFill>
                  <w14:solidFill>
                    <w14:schemeClr w14:val="tx1"/>
                  </w14:solidFill>
                </w14:textFill>
              </w:rPr>
              <w:t>与甲醛</w:t>
            </w:r>
            <w:r>
              <w:rPr>
                <w:rFonts w:hint="eastAsia" w:ascii="Times New Roman" w:hAnsi="Times New Roman" w:cs="Times New Roman"/>
                <w:b/>
                <w:color w:val="000000" w:themeColor="text1"/>
                <w:kern w:val="2"/>
                <w:sz w:val="21"/>
                <w:szCs w:val="21"/>
                <w14:textFill>
                  <w14:solidFill>
                    <w14:schemeClr w14:val="tx1"/>
                  </w14:solidFill>
                </w14:textFill>
              </w:rPr>
              <w:t>小时均值</w:t>
            </w:r>
            <w:r>
              <w:rPr>
                <w:rFonts w:ascii="Times New Roman" w:hAnsi="Times New Roman" w:cs="Times New Roman"/>
                <w:b/>
                <w:color w:val="000000" w:themeColor="text1"/>
                <w:kern w:val="2"/>
                <w:sz w:val="21"/>
                <w:szCs w:val="21"/>
                <w14:textFill>
                  <w14:solidFill>
                    <w14:schemeClr w14:val="tx1"/>
                  </w14:solidFill>
                </w14:textFill>
              </w:rPr>
              <w:t>监测结果</w:t>
            </w:r>
            <w:r>
              <w:rPr>
                <w:rFonts w:hint="eastAsia" w:ascii="Times New Roman" w:hAnsi="Times New Roman" w:cs="Times New Roman"/>
                <w:b/>
                <w:color w:val="000000" w:themeColor="text1"/>
                <w:kern w:val="2"/>
                <w:sz w:val="21"/>
                <w:szCs w:val="21"/>
                <w14:textFill>
                  <w14:solidFill>
                    <w14:schemeClr w14:val="tx1"/>
                  </w14:solidFill>
                </w14:textFill>
              </w:rPr>
              <w:t>统计</w:t>
            </w:r>
            <w:r>
              <w:rPr>
                <w:rFonts w:ascii="Times New Roman" w:hAnsi="Times New Roman" w:cs="Times New Roman"/>
                <w:b/>
                <w:color w:val="000000" w:themeColor="text1"/>
                <w:kern w:val="2"/>
                <w:sz w:val="21"/>
                <w:szCs w:val="21"/>
                <w14:textFill>
                  <w14:solidFill>
                    <w14:schemeClr w14:val="tx1"/>
                  </w14:solidFill>
                </w14:textFill>
              </w:rPr>
              <w:t>表</w:t>
            </w:r>
          </w:p>
          <w:tbl>
            <w:tblPr>
              <w:tblStyle w:val="31"/>
              <w:tblW w:w="498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1492"/>
              <w:gridCol w:w="2123"/>
              <w:gridCol w:w="1854"/>
              <w:gridCol w:w="1867"/>
            </w:tblGrid>
            <w:tr w14:paraId="2F2E0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restart"/>
                  <w:noWrap w:val="0"/>
                  <w:vAlign w:val="center"/>
                </w:tcPr>
                <w:p w14:paraId="447A7937">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ascii="Times New Roman" w:hAnsi="Times New Roman" w:eastAsia="宋体" w:cs="Times New Roman"/>
                      <w:b/>
                      <w:bCs/>
                      <w:color w:val="000000" w:themeColor="text1"/>
                      <w:sz w:val="21"/>
                      <w:szCs w:val="21"/>
                      <w:lang w:val="en-US" w:eastAsia="zh-CN" w:bidi="ar-SA"/>
                      <w14:textFill>
                        <w14:solidFill>
                          <w14:schemeClr w14:val="tx1"/>
                        </w14:solidFill>
                      </w14:textFill>
                    </w:rPr>
                    <w:t>监测点位</w:t>
                  </w:r>
                </w:p>
              </w:tc>
              <w:tc>
                <w:tcPr>
                  <w:tcW w:w="928" w:type="pct"/>
                  <w:vMerge w:val="restart"/>
                  <w:noWrap w:val="0"/>
                  <w:vAlign w:val="center"/>
                </w:tcPr>
                <w:p w14:paraId="793B82F1">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t>采样日期</w:t>
                  </w:r>
                </w:p>
              </w:tc>
              <w:tc>
                <w:tcPr>
                  <w:tcW w:w="1322" w:type="pct"/>
                  <w:noWrap w:val="0"/>
                  <w:vAlign w:val="center"/>
                </w:tcPr>
                <w:p w14:paraId="4C43A54A">
                  <w:pPr>
                    <w:widowControl w:val="0"/>
                    <w:autoSpaceDE w:val="0"/>
                    <w:autoSpaceDN w:val="0"/>
                    <w:adjustRightInd w:val="0"/>
                    <w:jc w:val="cente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t>监测结果</w:t>
                  </w:r>
                </w:p>
              </w:tc>
              <w:tc>
                <w:tcPr>
                  <w:tcW w:w="1155" w:type="pct"/>
                  <w:noWrap w:val="0"/>
                  <w:vAlign w:val="center"/>
                </w:tcPr>
                <w:p w14:paraId="7EE07D3F">
                  <w:pPr>
                    <w:widowControl w:val="0"/>
                    <w:autoSpaceDE w:val="0"/>
                    <w:autoSpaceDN w:val="0"/>
                    <w:adjustRightInd w:val="0"/>
                    <w:jc w:val="cente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t>监测结果</w:t>
                  </w:r>
                </w:p>
              </w:tc>
              <w:tc>
                <w:tcPr>
                  <w:tcW w:w="1160" w:type="pct"/>
                  <w:noWrap w:val="0"/>
                  <w:vAlign w:val="center"/>
                </w:tcPr>
                <w:p w14:paraId="7763A2B3">
                  <w:pPr>
                    <w:widowControl w:val="0"/>
                    <w:autoSpaceDE w:val="0"/>
                    <w:autoSpaceDN w:val="0"/>
                    <w:adjustRightInd w:val="0"/>
                    <w:jc w:val="cente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t>监测结果</w:t>
                  </w:r>
                </w:p>
              </w:tc>
            </w:tr>
            <w:tr w14:paraId="4A272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1" w:type="pct"/>
                  <w:vMerge w:val="continue"/>
                  <w:noWrap w:val="0"/>
                  <w:vAlign w:val="center"/>
                </w:tcPr>
                <w:p w14:paraId="7E8F28F1">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7FAC0112">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776B1490">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bidi="ar-SA"/>
                      <w14:textFill>
                        <w14:solidFill>
                          <w14:schemeClr w14:val="tx1"/>
                        </w14:solidFill>
                      </w14:textFill>
                    </w:rPr>
                    <w:t>非甲烷总烃</w:t>
                  </w:r>
                  <w:r>
                    <w:rPr>
                      <w:rFonts w:ascii="Times New Roman" w:hAnsi="Times New Roman" w:eastAsia="宋体" w:cs="Times New Roman"/>
                      <w:b/>
                      <w:color w:val="000000" w:themeColor="text1"/>
                      <w:sz w:val="21"/>
                      <w:szCs w:val="21"/>
                      <w:lang w:val="en-US" w:eastAsia="zh-CN" w:bidi="ar-SA"/>
                      <w14:textFill>
                        <w14:solidFill>
                          <w14:schemeClr w14:val="tx1"/>
                        </w14:solidFill>
                      </w14:textFill>
                    </w:rPr>
                    <w:t>（mg/m</w:t>
                  </w:r>
                  <w:r>
                    <w:rPr>
                      <w:rFonts w:ascii="Times New Roman" w:hAnsi="Times New Roman" w:eastAsia="宋体" w:cs="Times New Roman"/>
                      <w:b/>
                      <w:color w:val="000000" w:themeColor="text1"/>
                      <w:sz w:val="21"/>
                      <w:szCs w:val="21"/>
                      <w:vertAlign w:val="superscript"/>
                      <w:lang w:val="en-US" w:eastAsia="zh-CN" w:bidi="ar-SA"/>
                      <w14:textFill>
                        <w14:solidFill>
                          <w14:schemeClr w14:val="tx1"/>
                        </w14:solidFill>
                      </w14:textFill>
                    </w:rPr>
                    <w:t>3</w:t>
                  </w:r>
                  <w:r>
                    <w:rPr>
                      <w:rFonts w:ascii="Times New Roman" w:hAnsi="Times New Roman" w:eastAsia="宋体" w:cs="Times New Roman"/>
                      <w:b/>
                      <w:color w:val="000000" w:themeColor="text1"/>
                      <w:sz w:val="21"/>
                      <w:szCs w:val="21"/>
                      <w:lang w:val="en-US" w:eastAsia="zh-CN" w:bidi="ar-SA"/>
                      <w14:textFill>
                        <w14:solidFill>
                          <w14:schemeClr w14:val="tx1"/>
                        </w14:solidFill>
                      </w14:textFill>
                    </w:rPr>
                    <w:t>）</w:t>
                  </w:r>
                </w:p>
              </w:tc>
              <w:tc>
                <w:tcPr>
                  <w:tcW w:w="1155" w:type="pct"/>
                  <w:noWrap w:val="0"/>
                  <w:vAlign w:val="center"/>
                </w:tcPr>
                <w:p w14:paraId="02DBAE49">
                  <w:pPr>
                    <w:widowControl w:val="0"/>
                    <w:autoSpaceDE w:val="0"/>
                    <w:autoSpaceDN w:val="0"/>
                    <w:adjustRightInd w:val="0"/>
                    <w:jc w:val="cente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bidi="ar-SA"/>
                      <w14:textFill>
                        <w14:solidFill>
                          <w14:schemeClr w14:val="tx1"/>
                        </w14:solidFill>
                      </w14:textFill>
                    </w:rPr>
                    <w:t>CO</w:t>
                  </w:r>
                  <w:r>
                    <w:rPr>
                      <w:rFonts w:ascii="Times New Roman" w:hAnsi="Times New Roman" w:eastAsia="宋体" w:cs="Times New Roman"/>
                      <w:b/>
                      <w:color w:val="000000" w:themeColor="text1"/>
                      <w:sz w:val="21"/>
                      <w:szCs w:val="21"/>
                      <w:lang w:val="en-US" w:eastAsia="zh-CN" w:bidi="ar-SA"/>
                      <w14:textFill>
                        <w14:solidFill>
                          <w14:schemeClr w14:val="tx1"/>
                        </w14:solidFill>
                      </w14:textFill>
                    </w:rPr>
                    <w:t>（mg/m</w:t>
                  </w:r>
                  <w:r>
                    <w:rPr>
                      <w:rFonts w:ascii="Times New Roman" w:hAnsi="Times New Roman" w:eastAsia="宋体" w:cs="Times New Roman"/>
                      <w:b/>
                      <w:color w:val="000000" w:themeColor="text1"/>
                      <w:sz w:val="21"/>
                      <w:szCs w:val="21"/>
                      <w:vertAlign w:val="superscript"/>
                      <w:lang w:val="en-US" w:eastAsia="zh-CN" w:bidi="ar-SA"/>
                      <w14:textFill>
                        <w14:solidFill>
                          <w14:schemeClr w14:val="tx1"/>
                        </w14:solidFill>
                      </w14:textFill>
                    </w:rPr>
                    <w:t>3</w:t>
                  </w:r>
                  <w:r>
                    <w:rPr>
                      <w:rFonts w:ascii="Times New Roman" w:hAnsi="Times New Roman" w:eastAsia="宋体" w:cs="Times New Roman"/>
                      <w:b/>
                      <w:color w:val="000000" w:themeColor="text1"/>
                      <w:sz w:val="21"/>
                      <w:szCs w:val="21"/>
                      <w:lang w:val="en-US" w:eastAsia="zh-CN" w:bidi="ar-SA"/>
                      <w14:textFill>
                        <w14:solidFill>
                          <w14:schemeClr w14:val="tx1"/>
                        </w14:solidFill>
                      </w14:textFill>
                    </w:rPr>
                    <w:t>）</w:t>
                  </w:r>
                </w:p>
              </w:tc>
              <w:tc>
                <w:tcPr>
                  <w:tcW w:w="1160" w:type="pct"/>
                  <w:noWrap w:val="0"/>
                  <w:vAlign w:val="center"/>
                </w:tcPr>
                <w:p w14:paraId="3390898C">
                  <w:pPr>
                    <w:widowControl w:val="0"/>
                    <w:autoSpaceDE w:val="0"/>
                    <w:autoSpaceDN w:val="0"/>
                    <w:adjustRightInd w:val="0"/>
                    <w:jc w:val="center"/>
                    <w:rPr>
                      <w:rFonts w:hint="default" w:ascii="Times New Roman" w:hAnsi="Times New Roman" w:eastAsia="宋体" w:cs="Times New Roman"/>
                      <w:b/>
                      <w:color w:val="000000" w:themeColor="text1"/>
                      <w:sz w:val="21"/>
                      <w:szCs w:val="21"/>
                      <w:lang w:val="en-US" w:eastAsia="zh-CN" w:bidi="ar-SA"/>
                      <w14:textFill>
                        <w14:solidFill>
                          <w14:schemeClr w14:val="tx1"/>
                        </w14:solidFill>
                      </w14:textFill>
                    </w:rPr>
                  </w:pPr>
                  <w:r>
                    <w:rPr>
                      <w:rFonts w:hint="eastAsia" w:cs="Times New Roman"/>
                      <w:b/>
                      <w:color w:val="000000" w:themeColor="text1"/>
                      <w:sz w:val="21"/>
                      <w:szCs w:val="21"/>
                      <w:lang w:val="en-US" w:eastAsia="zh-CN" w:bidi="ar-SA"/>
                      <w14:textFill>
                        <w14:solidFill>
                          <w14:schemeClr w14:val="tx1"/>
                        </w14:solidFill>
                      </w14:textFill>
                    </w:rPr>
                    <w:t>甲醛</w:t>
                  </w:r>
                  <w:r>
                    <w:rPr>
                      <w:rFonts w:ascii="Times New Roman" w:hAnsi="Times New Roman" w:eastAsia="宋体" w:cs="Times New Roman"/>
                      <w:b/>
                      <w:color w:val="000000" w:themeColor="text1"/>
                      <w:sz w:val="21"/>
                      <w:szCs w:val="21"/>
                      <w:lang w:val="en-US" w:eastAsia="zh-CN" w:bidi="ar-SA"/>
                      <w14:textFill>
                        <w14:solidFill>
                          <w14:schemeClr w14:val="tx1"/>
                        </w14:solidFill>
                      </w14:textFill>
                    </w:rPr>
                    <w:t>（mg/m</w:t>
                  </w:r>
                  <w:r>
                    <w:rPr>
                      <w:rFonts w:ascii="Times New Roman" w:hAnsi="Times New Roman" w:eastAsia="宋体" w:cs="Times New Roman"/>
                      <w:b/>
                      <w:color w:val="000000" w:themeColor="text1"/>
                      <w:sz w:val="21"/>
                      <w:szCs w:val="21"/>
                      <w:vertAlign w:val="superscript"/>
                      <w:lang w:val="en-US" w:eastAsia="zh-CN" w:bidi="ar-SA"/>
                      <w14:textFill>
                        <w14:solidFill>
                          <w14:schemeClr w14:val="tx1"/>
                        </w14:solidFill>
                      </w14:textFill>
                    </w:rPr>
                    <w:t>3</w:t>
                  </w:r>
                  <w:r>
                    <w:rPr>
                      <w:rFonts w:ascii="Times New Roman" w:hAnsi="Times New Roman" w:eastAsia="宋体" w:cs="Times New Roman"/>
                      <w:b/>
                      <w:color w:val="000000" w:themeColor="text1"/>
                      <w:sz w:val="21"/>
                      <w:szCs w:val="21"/>
                      <w:lang w:val="en-US" w:eastAsia="zh-CN" w:bidi="ar-SA"/>
                      <w14:textFill>
                        <w14:solidFill>
                          <w14:schemeClr w14:val="tx1"/>
                        </w14:solidFill>
                      </w14:textFill>
                    </w:rPr>
                    <w:t>）</w:t>
                  </w:r>
                </w:p>
              </w:tc>
            </w:tr>
            <w:tr w14:paraId="125BB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restart"/>
                  <w:noWrap w:val="0"/>
                  <w:vAlign w:val="center"/>
                </w:tcPr>
                <w:p w14:paraId="04370FA1">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ascii="Times New Roman" w:hAnsi="Times New Roman" w:eastAsia="宋体" w:cs="Times New Roman"/>
                      <w:b w:val="0"/>
                      <w:bCs w:val="0"/>
                      <w:color w:val="000000" w:themeColor="text1"/>
                      <w:sz w:val="21"/>
                      <w:szCs w:val="21"/>
                      <w:lang w:val="en-US" w:eastAsia="zh-CN" w:bidi="ar-SA"/>
                      <w14:textFill>
                        <w14:solidFill>
                          <w14:schemeClr w14:val="tx1"/>
                        </w14:solidFill>
                      </w14:textFill>
                    </w:rPr>
                    <w:t>A2，翠柏自然保护区1个点位</w:t>
                  </w:r>
                </w:p>
              </w:tc>
              <w:tc>
                <w:tcPr>
                  <w:tcW w:w="928" w:type="pct"/>
                  <w:vMerge w:val="restart"/>
                  <w:noWrap w:val="0"/>
                  <w:vAlign w:val="center"/>
                </w:tcPr>
                <w:p w14:paraId="44C333D8">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2026.06.27</w:t>
                  </w:r>
                </w:p>
              </w:tc>
              <w:tc>
                <w:tcPr>
                  <w:tcW w:w="1322" w:type="pct"/>
                  <w:noWrap w:val="0"/>
                  <w:vAlign w:val="center"/>
                </w:tcPr>
                <w:p w14:paraId="1E4A768D">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1.03</w:t>
                  </w:r>
                </w:p>
              </w:tc>
              <w:tc>
                <w:tcPr>
                  <w:tcW w:w="1155" w:type="pct"/>
                  <w:noWrap w:val="0"/>
                  <w:vAlign w:val="center"/>
                </w:tcPr>
                <w:p w14:paraId="3514B63B">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0.32</w:t>
                  </w:r>
                </w:p>
              </w:tc>
              <w:tc>
                <w:tcPr>
                  <w:tcW w:w="1160" w:type="pct"/>
                  <w:noWrap w:val="0"/>
                  <w:vAlign w:val="center"/>
                </w:tcPr>
                <w:p w14:paraId="1076A5D9">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0E162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03936E1F">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56741310">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37285D8E">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1.09</w:t>
                  </w:r>
                </w:p>
              </w:tc>
              <w:tc>
                <w:tcPr>
                  <w:tcW w:w="1155" w:type="pct"/>
                  <w:noWrap w:val="0"/>
                  <w:vAlign w:val="center"/>
                </w:tcPr>
                <w:p w14:paraId="3B12971C">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0.30</w:t>
                  </w:r>
                </w:p>
              </w:tc>
              <w:tc>
                <w:tcPr>
                  <w:tcW w:w="1160" w:type="pct"/>
                  <w:noWrap w:val="0"/>
                  <w:vAlign w:val="center"/>
                </w:tcPr>
                <w:p w14:paraId="2B240E16">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5AD2A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3804452A">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61D08B96">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1670F2CC">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1.00</w:t>
                  </w:r>
                </w:p>
              </w:tc>
              <w:tc>
                <w:tcPr>
                  <w:tcW w:w="1155" w:type="pct"/>
                  <w:noWrap w:val="0"/>
                  <w:vAlign w:val="center"/>
                </w:tcPr>
                <w:p w14:paraId="109D5D3D">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0.39</w:t>
                  </w:r>
                </w:p>
              </w:tc>
              <w:tc>
                <w:tcPr>
                  <w:tcW w:w="1160" w:type="pct"/>
                  <w:noWrap w:val="0"/>
                  <w:vAlign w:val="center"/>
                </w:tcPr>
                <w:p w14:paraId="7C268647">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39AD3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1" w:type="pct"/>
                  <w:vMerge w:val="continue"/>
                  <w:noWrap w:val="0"/>
                  <w:vAlign w:val="center"/>
                </w:tcPr>
                <w:p w14:paraId="5BFA72B6">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6E704A18">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218F6988">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1.13</w:t>
                  </w:r>
                </w:p>
              </w:tc>
              <w:tc>
                <w:tcPr>
                  <w:tcW w:w="1155" w:type="pct"/>
                  <w:noWrap w:val="0"/>
                  <w:vAlign w:val="center"/>
                </w:tcPr>
                <w:p w14:paraId="7C154CD8">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0.35</w:t>
                  </w:r>
                </w:p>
              </w:tc>
              <w:tc>
                <w:tcPr>
                  <w:tcW w:w="1160" w:type="pct"/>
                  <w:noWrap w:val="0"/>
                  <w:vAlign w:val="center"/>
                </w:tcPr>
                <w:p w14:paraId="66B53652">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7B4E5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23ED75BC">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restart"/>
                  <w:noWrap w:val="0"/>
                  <w:vAlign w:val="center"/>
                </w:tcPr>
                <w:p w14:paraId="24E6BD91">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8</w:t>
                  </w:r>
                </w:p>
              </w:tc>
              <w:tc>
                <w:tcPr>
                  <w:tcW w:w="1322" w:type="pct"/>
                  <w:noWrap w:val="0"/>
                  <w:vAlign w:val="center"/>
                </w:tcPr>
                <w:p w14:paraId="3E4B4C19">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1.04</w:t>
                  </w:r>
                </w:p>
              </w:tc>
              <w:tc>
                <w:tcPr>
                  <w:tcW w:w="1155" w:type="pct"/>
                  <w:noWrap w:val="0"/>
                  <w:vAlign w:val="center"/>
                </w:tcPr>
                <w:p w14:paraId="76343E97">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0.41</w:t>
                  </w:r>
                </w:p>
              </w:tc>
              <w:tc>
                <w:tcPr>
                  <w:tcW w:w="1160" w:type="pct"/>
                  <w:noWrap w:val="0"/>
                  <w:vAlign w:val="center"/>
                </w:tcPr>
                <w:p w14:paraId="58882B2E">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07C61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1DC467CA">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334D947E">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2E7AFB4A">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1.12</w:t>
                  </w:r>
                </w:p>
              </w:tc>
              <w:tc>
                <w:tcPr>
                  <w:tcW w:w="1155" w:type="pct"/>
                  <w:noWrap w:val="0"/>
                  <w:vAlign w:val="center"/>
                </w:tcPr>
                <w:p w14:paraId="467610E3">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0.39</w:t>
                  </w:r>
                </w:p>
              </w:tc>
              <w:tc>
                <w:tcPr>
                  <w:tcW w:w="1160" w:type="pct"/>
                  <w:noWrap w:val="0"/>
                  <w:vAlign w:val="center"/>
                </w:tcPr>
                <w:p w14:paraId="73011D51">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280A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52768AD5">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5850AA87">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56AC044F">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1.11</w:t>
                  </w:r>
                </w:p>
              </w:tc>
              <w:tc>
                <w:tcPr>
                  <w:tcW w:w="1155" w:type="pct"/>
                  <w:noWrap w:val="0"/>
                  <w:vAlign w:val="center"/>
                </w:tcPr>
                <w:p w14:paraId="03FCF481">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0.37</w:t>
                  </w:r>
                </w:p>
              </w:tc>
              <w:tc>
                <w:tcPr>
                  <w:tcW w:w="1160" w:type="pct"/>
                  <w:noWrap w:val="0"/>
                  <w:vAlign w:val="center"/>
                </w:tcPr>
                <w:p w14:paraId="7BB29FB0">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2A44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trPr>
              <w:tc>
                <w:tcPr>
                  <w:tcW w:w="431" w:type="pct"/>
                  <w:vMerge w:val="continue"/>
                  <w:noWrap w:val="0"/>
                  <w:vAlign w:val="center"/>
                </w:tcPr>
                <w:p w14:paraId="5184B3A5">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08E188E4">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39A355FB">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1.22</w:t>
                  </w:r>
                </w:p>
              </w:tc>
              <w:tc>
                <w:tcPr>
                  <w:tcW w:w="1155" w:type="pct"/>
                  <w:noWrap w:val="0"/>
                  <w:vAlign w:val="center"/>
                </w:tcPr>
                <w:p w14:paraId="3EBF31BE">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0.43</w:t>
                  </w:r>
                </w:p>
              </w:tc>
              <w:tc>
                <w:tcPr>
                  <w:tcW w:w="1160" w:type="pct"/>
                  <w:noWrap w:val="0"/>
                  <w:vAlign w:val="center"/>
                </w:tcPr>
                <w:p w14:paraId="68F27A29">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65990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5B65E1E5">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restart"/>
                  <w:noWrap w:val="0"/>
                  <w:vAlign w:val="center"/>
                </w:tcPr>
                <w:p w14:paraId="59A93C62">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9</w:t>
                  </w:r>
                </w:p>
              </w:tc>
              <w:tc>
                <w:tcPr>
                  <w:tcW w:w="1322" w:type="pct"/>
                  <w:noWrap w:val="0"/>
                  <w:vAlign w:val="center"/>
                </w:tcPr>
                <w:p w14:paraId="180C432A">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1.31</w:t>
                  </w:r>
                </w:p>
              </w:tc>
              <w:tc>
                <w:tcPr>
                  <w:tcW w:w="1155" w:type="pct"/>
                  <w:noWrap w:val="0"/>
                  <w:vAlign w:val="center"/>
                </w:tcPr>
                <w:p w14:paraId="4670A7B7">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0.32</w:t>
                  </w:r>
                </w:p>
              </w:tc>
              <w:tc>
                <w:tcPr>
                  <w:tcW w:w="1160" w:type="pct"/>
                  <w:noWrap w:val="0"/>
                  <w:vAlign w:val="center"/>
                </w:tcPr>
                <w:p w14:paraId="686307CB">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51346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144EEB0A">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134A03BA">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5DB3A49C">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1.15</w:t>
                  </w:r>
                </w:p>
              </w:tc>
              <w:tc>
                <w:tcPr>
                  <w:tcW w:w="1155" w:type="pct"/>
                  <w:noWrap w:val="0"/>
                  <w:vAlign w:val="center"/>
                </w:tcPr>
                <w:p w14:paraId="232D03D8">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0.37</w:t>
                  </w:r>
                </w:p>
              </w:tc>
              <w:tc>
                <w:tcPr>
                  <w:tcW w:w="1160" w:type="pct"/>
                  <w:noWrap w:val="0"/>
                  <w:vAlign w:val="center"/>
                </w:tcPr>
                <w:p w14:paraId="6311F60F">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3A0EC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08888DFD">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788089D5">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48AE61E7">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1.09</w:t>
                  </w:r>
                </w:p>
              </w:tc>
              <w:tc>
                <w:tcPr>
                  <w:tcW w:w="1155" w:type="pct"/>
                  <w:noWrap w:val="0"/>
                  <w:vAlign w:val="center"/>
                </w:tcPr>
                <w:p w14:paraId="79964D21">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0.47</w:t>
                  </w:r>
                </w:p>
              </w:tc>
              <w:tc>
                <w:tcPr>
                  <w:tcW w:w="1160" w:type="pct"/>
                  <w:noWrap w:val="0"/>
                  <w:vAlign w:val="center"/>
                </w:tcPr>
                <w:p w14:paraId="04690255">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4991A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71F8E786">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30E888CA">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4BACB91F">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1.17</w:t>
                  </w:r>
                </w:p>
              </w:tc>
              <w:tc>
                <w:tcPr>
                  <w:tcW w:w="1155" w:type="pct"/>
                  <w:noWrap w:val="0"/>
                  <w:vAlign w:val="center"/>
                </w:tcPr>
                <w:p w14:paraId="3A8F284A">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0.32</w:t>
                  </w:r>
                </w:p>
              </w:tc>
              <w:tc>
                <w:tcPr>
                  <w:tcW w:w="1160" w:type="pct"/>
                  <w:noWrap w:val="0"/>
                  <w:vAlign w:val="center"/>
                </w:tcPr>
                <w:p w14:paraId="45C1694E">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290D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3382910E">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restart"/>
                  <w:noWrap w:val="0"/>
                  <w:vAlign w:val="center"/>
                </w:tcPr>
                <w:p w14:paraId="0EDCBE43">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30</w:t>
                  </w:r>
                </w:p>
              </w:tc>
              <w:tc>
                <w:tcPr>
                  <w:tcW w:w="1322" w:type="pct"/>
                  <w:noWrap w:val="0"/>
                  <w:vAlign w:val="center"/>
                </w:tcPr>
                <w:p w14:paraId="15B8D89E">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1.16</w:t>
                  </w:r>
                </w:p>
              </w:tc>
              <w:tc>
                <w:tcPr>
                  <w:tcW w:w="1155" w:type="pct"/>
                  <w:noWrap w:val="0"/>
                  <w:vAlign w:val="center"/>
                </w:tcPr>
                <w:p w14:paraId="7F9AE172">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0.31</w:t>
                  </w:r>
                </w:p>
              </w:tc>
              <w:tc>
                <w:tcPr>
                  <w:tcW w:w="1160" w:type="pct"/>
                  <w:noWrap w:val="0"/>
                  <w:vAlign w:val="center"/>
                </w:tcPr>
                <w:p w14:paraId="77C39F1D">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30BA0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5491A3DF">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0CCD60A1">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7F895331">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1.22</w:t>
                  </w:r>
                </w:p>
              </w:tc>
              <w:tc>
                <w:tcPr>
                  <w:tcW w:w="1155" w:type="pct"/>
                  <w:noWrap w:val="0"/>
                  <w:vAlign w:val="center"/>
                </w:tcPr>
                <w:p w14:paraId="03B93157">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0.45</w:t>
                  </w:r>
                </w:p>
              </w:tc>
              <w:tc>
                <w:tcPr>
                  <w:tcW w:w="1160" w:type="pct"/>
                  <w:noWrap w:val="0"/>
                  <w:vAlign w:val="center"/>
                </w:tcPr>
                <w:p w14:paraId="51F6D395">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73FD9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718DAAC2">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4D64E19A">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315142EE">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1.27</w:t>
                  </w:r>
                </w:p>
              </w:tc>
              <w:tc>
                <w:tcPr>
                  <w:tcW w:w="1155" w:type="pct"/>
                  <w:noWrap w:val="0"/>
                  <w:vAlign w:val="center"/>
                </w:tcPr>
                <w:p w14:paraId="398301A5">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0.56</w:t>
                  </w:r>
                </w:p>
              </w:tc>
              <w:tc>
                <w:tcPr>
                  <w:tcW w:w="1160" w:type="pct"/>
                  <w:noWrap w:val="0"/>
                  <w:vAlign w:val="center"/>
                </w:tcPr>
                <w:p w14:paraId="48595770">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7B9B7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47E3C4EC">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2B0A154C">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76B2C73B">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1.31</w:t>
                  </w:r>
                </w:p>
              </w:tc>
              <w:tc>
                <w:tcPr>
                  <w:tcW w:w="1155" w:type="pct"/>
                  <w:noWrap w:val="0"/>
                  <w:vAlign w:val="center"/>
                </w:tcPr>
                <w:p w14:paraId="193CE911">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0.40</w:t>
                  </w:r>
                </w:p>
              </w:tc>
              <w:tc>
                <w:tcPr>
                  <w:tcW w:w="1160" w:type="pct"/>
                  <w:noWrap w:val="0"/>
                  <w:vAlign w:val="center"/>
                </w:tcPr>
                <w:p w14:paraId="2C8DFE00">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49607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364C8F30">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restart"/>
                  <w:noWrap w:val="0"/>
                  <w:vAlign w:val="center"/>
                </w:tcPr>
                <w:p w14:paraId="28B425FC">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2026.07.01</w:t>
                  </w:r>
                </w:p>
              </w:tc>
              <w:tc>
                <w:tcPr>
                  <w:tcW w:w="1322" w:type="pct"/>
                  <w:noWrap w:val="0"/>
                  <w:vAlign w:val="center"/>
                </w:tcPr>
                <w:p w14:paraId="2FB994D8">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1.35</w:t>
                  </w:r>
                </w:p>
              </w:tc>
              <w:tc>
                <w:tcPr>
                  <w:tcW w:w="1155" w:type="pct"/>
                  <w:noWrap w:val="0"/>
                  <w:vAlign w:val="center"/>
                </w:tcPr>
                <w:p w14:paraId="69839F31">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0.39</w:t>
                  </w:r>
                </w:p>
              </w:tc>
              <w:tc>
                <w:tcPr>
                  <w:tcW w:w="1160" w:type="pct"/>
                  <w:noWrap w:val="0"/>
                  <w:vAlign w:val="center"/>
                </w:tcPr>
                <w:p w14:paraId="1E5B539D">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30BD8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3338E749">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41822967">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0F971BE3">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1.43</w:t>
                  </w:r>
                </w:p>
              </w:tc>
              <w:tc>
                <w:tcPr>
                  <w:tcW w:w="1155" w:type="pct"/>
                  <w:noWrap w:val="0"/>
                  <w:vAlign w:val="center"/>
                </w:tcPr>
                <w:p w14:paraId="6DAB3F6C">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0.35</w:t>
                  </w:r>
                </w:p>
              </w:tc>
              <w:tc>
                <w:tcPr>
                  <w:tcW w:w="1160" w:type="pct"/>
                  <w:noWrap w:val="0"/>
                  <w:vAlign w:val="center"/>
                </w:tcPr>
                <w:p w14:paraId="66358934">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180B8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18E5C778">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6C23A492">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3BFF1AC6">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1.29</w:t>
                  </w:r>
                </w:p>
              </w:tc>
              <w:tc>
                <w:tcPr>
                  <w:tcW w:w="1155" w:type="pct"/>
                  <w:noWrap w:val="0"/>
                  <w:vAlign w:val="center"/>
                </w:tcPr>
                <w:p w14:paraId="5455CB34">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0.39</w:t>
                  </w:r>
                </w:p>
              </w:tc>
              <w:tc>
                <w:tcPr>
                  <w:tcW w:w="1160" w:type="pct"/>
                  <w:noWrap w:val="0"/>
                  <w:vAlign w:val="center"/>
                </w:tcPr>
                <w:p w14:paraId="71D0A1E4">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2DD57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77294285">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43A6383A">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395B8621">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1.18</w:t>
                  </w:r>
                </w:p>
              </w:tc>
              <w:tc>
                <w:tcPr>
                  <w:tcW w:w="1155" w:type="pct"/>
                  <w:noWrap w:val="0"/>
                  <w:vAlign w:val="center"/>
                </w:tcPr>
                <w:p w14:paraId="6496BDEC">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0.32</w:t>
                  </w:r>
                </w:p>
              </w:tc>
              <w:tc>
                <w:tcPr>
                  <w:tcW w:w="1160" w:type="pct"/>
                  <w:noWrap w:val="0"/>
                  <w:vAlign w:val="center"/>
                </w:tcPr>
                <w:p w14:paraId="0EC772F4">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6CB30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467C7507">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restart"/>
                  <w:noWrap w:val="0"/>
                  <w:vAlign w:val="center"/>
                </w:tcPr>
                <w:p w14:paraId="7D25359B">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7</w:t>
                  </w: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02</w:t>
                  </w:r>
                </w:p>
              </w:tc>
              <w:tc>
                <w:tcPr>
                  <w:tcW w:w="1322" w:type="pct"/>
                  <w:noWrap w:val="0"/>
                  <w:vAlign w:val="center"/>
                </w:tcPr>
                <w:p w14:paraId="0A7F3048">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1.09</w:t>
                  </w:r>
                </w:p>
              </w:tc>
              <w:tc>
                <w:tcPr>
                  <w:tcW w:w="1155" w:type="pct"/>
                  <w:noWrap w:val="0"/>
                  <w:vAlign w:val="center"/>
                </w:tcPr>
                <w:p w14:paraId="7B0E024A">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0.35</w:t>
                  </w:r>
                </w:p>
              </w:tc>
              <w:tc>
                <w:tcPr>
                  <w:tcW w:w="1160" w:type="pct"/>
                  <w:noWrap w:val="0"/>
                  <w:vAlign w:val="center"/>
                </w:tcPr>
                <w:p w14:paraId="0A801E6D">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20C13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4D5EE226">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6070EFE7">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28EEB49D">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1.12</w:t>
                  </w:r>
                </w:p>
              </w:tc>
              <w:tc>
                <w:tcPr>
                  <w:tcW w:w="1155" w:type="pct"/>
                  <w:noWrap w:val="0"/>
                  <w:vAlign w:val="center"/>
                </w:tcPr>
                <w:p w14:paraId="517B542F">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0.47</w:t>
                  </w:r>
                </w:p>
              </w:tc>
              <w:tc>
                <w:tcPr>
                  <w:tcW w:w="1160" w:type="pct"/>
                  <w:noWrap w:val="0"/>
                  <w:vAlign w:val="center"/>
                </w:tcPr>
                <w:p w14:paraId="75DBA8B9">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43A8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484066C0">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392C08B2">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2C7BC941">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1.21</w:t>
                  </w:r>
                </w:p>
              </w:tc>
              <w:tc>
                <w:tcPr>
                  <w:tcW w:w="1155" w:type="pct"/>
                  <w:noWrap w:val="0"/>
                  <w:vAlign w:val="center"/>
                </w:tcPr>
                <w:p w14:paraId="58D56DAE">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0.38</w:t>
                  </w:r>
                </w:p>
              </w:tc>
              <w:tc>
                <w:tcPr>
                  <w:tcW w:w="1160" w:type="pct"/>
                  <w:noWrap w:val="0"/>
                  <w:vAlign w:val="center"/>
                </w:tcPr>
                <w:p w14:paraId="4C7A29E7">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0231C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01EE1E15">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717881B8">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0DB28E7D">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1.12</w:t>
                  </w:r>
                </w:p>
              </w:tc>
              <w:tc>
                <w:tcPr>
                  <w:tcW w:w="1155" w:type="pct"/>
                  <w:noWrap w:val="0"/>
                  <w:vAlign w:val="center"/>
                </w:tcPr>
                <w:p w14:paraId="6528D4CD">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0.40</w:t>
                  </w:r>
                </w:p>
              </w:tc>
              <w:tc>
                <w:tcPr>
                  <w:tcW w:w="1160" w:type="pct"/>
                  <w:noWrap w:val="0"/>
                  <w:vAlign w:val="center"/>
                </w:tcPr>
                <w:p w14:paraId="4B721E1F">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666FF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20795B0C">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restart"/>
                  <w:noWrap w:val="0"/>
                  <w:vAlign w:val="center"/>
                </w:tcPr>
                <w:p w14:paraId="51C61958">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7</w:t>
                  </w: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03</w:t>
                  </w:r>
                </w:p>
              </w:tc>
              <w:tc>
                <w:tcPr>
                  <w:tcW w:w="1322" w:type="pct"/>
                  <w:noWrap w:val="0"/>
                  <w:vAlign w:val="center"/>
                </w:tcPr>
                <w:p w14:paraId="1E7B80DB">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1.12</w:t>
                  </w:r>
                </w:p>
              </w:tc>
              <w:tc>
                <w:tcPr>
                  <w:tcW w:w="1155" w:type="pct"/>
                  <w:noWrap w:val="0"/>
                  <w:vAlign w:val="center"/>
                </w:tcPr>
                <w:p w14:paraId="3F796636">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0.39</w:t>
                  </w:r>
                </w:p>
              </w:tc>
              <w:tc>
                <w:tcPr>
                  <w:tcW w:w="1160" w:type="pct"/>
                  <w:noWrap w:val="0"/>
                  <w:vAlign w:val="center"/>
                </w:tcPr>
                <w:p w14:paraId="7985A39C">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31B4C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4FE4A763">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76803340">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6F0F9F93">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1.21</w:t>
                  </w:r>
                </w:p>
              </w:tc>
              <w:tc>
                <w:tcPr>
                  <w:tcW w:w="1155" w:type="pct"/>
                  <w:noWrap w:val="0"/>
                  <w:vAlign w:val="center"/>
                </w:tcPr>
                <w:p w14:paraId="06919BC9">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0.47</w:t>
                  </w:r>
                </w:p>
              </w:tc>
              <w:tc>
                <w:tcPr>
                  <w:tcW w:w="1160" w:type="pct"/>
                  <w:noWrap w:val="0"/>
                  <w:vAlign w:val="center"/>
                </w:tcPr>
                <w:p w14:paraId="27A1F118">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6AA71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19DFE441">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28A66294">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1B467FC5">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1.25</w:t>
                  </w:r>
                </w:p>
              </w:tc>
              <w:tc>
                <w:tcPr>
                  <w:tcW w:w="1155" w:type="pct"/>
                  <w:noWrap w:val="0"/>
                  <w:vAlign w:val="center"/>
                </w:tcPr>
                <w:p w14:paraId="2AA736D1">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0.39</w:t>
                  </w:r>
                </w:p>
              </w:tc>
              <w:tc>
                <w:tcPr>
                  <w:tcW w:w="1160" w:type="pct"/>
                  <w:noWrap w:val="0"/>
                  <w:vAlign w:val="center"/>
                </w:tcPr>
                <w:p w14:paraId="09D80A13">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3FC1A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2638D7B2">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8" w:type="pct"/>
                  <w:vMerge w:val="continue"/>
                  <w:noWrap w:val="0"/>
                  <w:vAlign w:val="center"/>
                </w:tcPr>
                <w:p w14:paraId="05B903D8">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2" w:type="pct"/>
                  <w:noWrap w:val="0"/>
                  <w:vAlign w:val="center"/>
                </w:tcPr>
                <w:p w14:paraId="3B50E6E5">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1.15</w:t>
                  </w:r>
                </w:p>
              </w:tc>
              <w:tc>
                <w:tcPr>
                  <w:tcW w:w="1155" w:type="pct"/>
                  <w:noWrap w:val="0"/>
                  <w:vAlign w:val="center"/>
                </w:tcPr>
                <w:p w14:paraId="7B60387A">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0.41</w:t>
                  </w:r>
                </w:p>
              </w:tc>
              <w:tc>
                <w:tcPr>
                  <w:tcW w:w="1160" w:type="pct"/>
                  <w:noWrap w:val="0"/>
                  <w:vAlign w:val="center"/>
                </w:tcPr>
                <w:p w14:paraId="621CC068">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1BDB8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0" w:type="pct"/>
                  <w:gridSpan w:val="2"/>
                  <w:noWrap w:val="0"/>
                  <w:vAlign w:val="center"/>
                </w:tcPr>
                <w:p w14:paraId="0C20B912">
                  <w:pPr>
                    <w:pStyle w:val="67"/>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b/>
                      <w:bCs/>
                      <w:color w:val="000000" w:themeColor="text1"/>
                      <w:szCs w:val="21"/>
                      <w14:textFill>
                        <w14:solidFill>
                          <w14:schemeClr w14:val="tx1"/>
                        </w14:solidFill>
                      </w14:textFill>
                    </w:rPr>
                    <w:t>标准限值</w:t>
                  </w:r>
                  <w:r>
                    <w:rPr>
                      <w:rFonts w:hint="eastAsia"/>
                      <w:b/>
                      <w:bCs/>
                      <w:color w:val="000000" w:themeColor="text1"/>
                      <w:szCs w:val="21"/>
                      <w:lang w:eastAsia="zh-CN"/>
                      <w14:textFill>
                        <w14:solidFill>
                          <w14:schemeClr w14:val="tx1"/>
                        </w14:solidFill>
                      </w14:textFill>
                    </w:rPr>
                    <w:t>（</w:t>
                  </w:r>
                  <w:r>
                    <w:rPr>
                      <w:b/>
                      <w:bCs/>
                      <w:color w:val="000000" w:themeColor="text1"/>
                      <w:szCs w:val="21"/>
                      <w14:textFill>
                        <w14:solidFill>
                          <w14:schemeClr w14:val="tx1"/>
                        </w14:solidFill>
                      </w14:textFill>
                    </w:rPr>
                    <w:t>mg/m</w:t>
                  </w:r>
                  <w:r>
                    <w:rPr>
                      <w:b/>
                      <w:bCs/>
                      <w:color w:val="000000" w:themeColor="text1"/>
                      <w:szCs w:val="21"/>
                      <w:vertAlign w:val="superscript"/>
                      <w14:textFill>
                        <w14:solidFill>
                          <w14:schemeClr w14:val="tx1"/>
                        </w14:solidFill>
                      </w14:textFill>
                    </w:rPr>
                    <w:t>3</w:t>
                  </w:r>
                  <w:r>
                    <w:rPr>
                      <w:rFonts w:hint="eastAsia"/>
                      <w:b/>
                      <w:bCs/>
                      <w:color w:val="000000" w:themeColor="text1"/>
                      <w:szCs w:val="21"/>
                      <w:lang w:eastAsia="zh-CN"/>
                      <w14:textFill>
                        <w14:solidFill>
                          <w14:schemeClr w14:val="tx1"/>
                        </w14:solidFill>
                      </w14:textFill>
                    </w:rPr>
                    <w:t>）</w:t>
                  </w:r>
                </w:p>
              </w:tc>
              <w:tc>
                <w:tcPr>
                  <w:tcW w:w="1322" w:type="pct"/>
                  <w:noWrap w:val="0"/>
                  <w:vAlign w:val="center"/>
                </w:tcPr>
                <w:p w14:paraId="5585BCD7">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2.00</w:t>
                  </w:r>
                </w:p>
              </w:tc>
              <w:tc>
                <w:tcPr>
                  <w:tcW w:w="1155" w:type="pct"/>
                  <w:noWrap w:val="0"/>
                  <w:vAlign w:val="center"/>
                </w:tcPr>
                <w:p w14:paraId="3F1DC74D">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10.00</w:t>
                  </w:r>
                </w:p>
              </w:tc>
              <w:tc>
                <w:tcPr>
                  <w:tcW w:w="1160" w:type="pct"/>
                  <w:noWrap w:val="0"/>
                  <w:vAlign w:val="center"/>
                </w:tcPr>
                <w:p w14:paraId="5CEA2927">
                  <w:pPr>
                    <w:widowControl w:val="0"/>
                    <w:jc w:val="center"/>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0.005</w:t>
                  </w:r>
                </w:p>
              </w:tc>
            </w:tr>
            <w:tr w14:paraId="392E7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0" w:type="pct"/>
                  <w:gridSpan w:val="2"/>
                  <w:noWrap w:val="0"/>
                  <w:vAlign w:val="center"/>
                </w:tcPr>
                <w:p w14:paraId="21AF2118">
                  <w:pPr>
                    <w:pStyle w:val="67"/>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b/>
                      <w:bCs/>
                      <w:color w:val="000000" w:themeColor="text1"/>
                      <w:szCs w:val="21"/>
                      <w14:textFill>
                        <w14:solidFill>
                          <w14:schemeClr w14:val="tx1"/>
                        </w14:solidFill>
                      </w14:textFill>
                    </w:rPr>
                    <w:t>超标率（%）</w:t>
                  </w:r>
                </w:p>
              </w:tc>
              <w:tc>
                <w:tcPr>
                  <w:tcW w:w="1322" w:type="pct"/>
                  <w:noWrap w:val="0"/>
                  <w:vAlign w:val="center"/>
                </w:tcPr>
                <w:p w14:paraId="328F31FF">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0</w:t>
                  </w:r>
                </w:p>
              </w:tc>
              <w:tc>
                <w:tcPr>
                  <w:tcW w:w="1155" w:type="pct"/>
                  <w:noWrap w:val="0"/>
                  <w:vAlign w:val="center"/>
                </w:tcPr>
                <w:p w14:paraId="2CFE6648">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0</w:t>
                  </w:r>
                </w:p>
              </w:tc>
              <w:tc>
                <w:tcPr>
                  <w:tcW w:w="1160" w:type="pct"/>
                  <w:noWrap w:val="0"/>
                  <w:vAlign w:val="center"/>
                </w:tcPr>
                <w:p w14:paraId="49F5342A">
                  <w:pPr>
                    <w:widowControl w:val="0"/>
                    <w:jc w:val="center"/>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0</w:t>
                  </w:r>
                </w:p>
              </w:tc>
            </w:tr>
            <w:tr w14:paraId="4A1B9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0" w:type="pct"/>
                  <w:gridSpan w:val="2"/>
                  <w:noWrap w:val="0"/>
                  <w:vAlign w:val="center"/>
                </w:tcPr>
                <w:p w14:paraId="1AB8AB36">
                  <w:pPr>
                    <w:pStyle w:val="67"/>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b/>
                      <w:bCs/>
                      <w:color w:val="000000" w:themeColor="text1"/>
                      <w:szCs w:val="21"/>
                      <w14:textFill>
                        <w14:solidFill>
                          <w14:schemeClr w14:val="tx1"/>
                        </w14:solidFill>
                      </w14:textFill>
                    </w:rPr>
                    <w:t>是否达标</w:t>
                  </w:r>
                </w:p>
              </w:tc>
              <w:tc>
                <w:tcPr>
                  <w:tcW w:w="1322" w:type="pct"/>
                  <w:noWrap w:val="0"/>
                  <w:vAlign w:val="center"/>
                </w:tcPr>
                <w:p w14:paraId="6F2ECA87">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达标</w:t>
                  </w:r>
                </w:p>
              </w:tc>
              <w:tc>
                <w:tcPr>
                  <w:tcW w:w="1155" w:type="pct"/>
                  <w:noWrap w:val="0"/>
                  <w:vAlign w:val="center"/>
                </w:tcPr>
                <w:p w14:paraId="6C0F7E64">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达标</w:t>
                  </w:r>
                </w:p>
              </w:tc>
              <w:tc>
                <w:tcPr>
                  <w:tcW w:w="1160" w:type="pct"/>
                  <w:noWrap w:val="0"/>
                  <w:vAlign w:val="center"/>
                </w:tcPr>
                <w:p w14:paraId="4B9B2C7C">
                  <w:pPr>
                    <w:widowControl w:val="0"/>
                    <w:jc w:val="center"/>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w:t>
                  </w:r>
                </w:p>
              </w:tc>
            </w:tr>
            <w:tr w14:paraId="6AC2F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noWrap w:val="0"/>
                  <w:vAlign w:val="center"/>
                </w:tcPr>
                <w:p w14:paraId="0D1789F0">
                  <w:pPr>
                    <w:widowControl w:val="0"/>
                    <w:jc w:val="left"/>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注：“ND”表明未检出</w:t>
                  </w:r>
                </w:p>
              </w:tc>
            </w:tr>
          </w:tbl>
          <w:p w14:paraId="10C74A14">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表</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3-3</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 xml:space="preserve">  </w:t>
            </w:r>
            <w:r>
              <w:rPr>
                <w:rFonts w:hint="eastAsia" w:cs="Times New Roman"/>
                <w:b/>
                <w:color w:val="000000" w:themeColor="text1"/>
                <w:kern w:val="2"/>
                <w:sz w:val="21"/>
                <w:szCs w:val="21"/>
                <w:lang w:val="en-US" w:eastAsia="zh-CN" w:bidi="ar-SA"/>
                <w14:textFill>
                  <w14:solidFill>
                    <w14:schemeClr w14:val="tx1"/>
                  </w14:solidFill>
                </w14:textFill>
              </w:rPr>
              <w:t>NO</w:t>
            </w:r>
            <w:r>
              <w:rPr>
                <w:rFonts w:hint="eastAsia" w:cs="Times New Roman"/>
                <w:b/>
                <w:color w:val="000000" w:themeColor="text1"/>
                <w:kern w:val="2"/>
                <w:sz w:val="21"/>
                <w:szCs w:val="21"/>
                <w:vertAlign w:val="subscript"/>
                <w:lang w:val="en-US" w:eastAsia="zh-CN" w:bidi="ar-SA"/>
                <w14:textFill>
                  <w14:solidFill>
                    <w14:schemeClr w14:val="tx1"/>
                  </w14:solidFill>
                </w14:textFill>
              </w:rPr>
              <w:t>2</w:t>
            </w:r>
            <w:r>
              <w:rPr>
                <w:rFonts w:hint="eastAsia" w:cs="Times New Roman"/>
                <w:b/>
                <w:color w:val="000000" w:themeColor="text1"/>
                <w:kern w:val="2"/>
                <w:sz w:val="21"/>
                <w:szCs w:val="21"/>
                <w:lang w:val="en-US" w:eastAsia="zh-CN" w:bidi="ar-SA"/>
                <w14:textFill>
                  <w14:solidFill>
                    <w14:schemeClr w14:val="tx1"/>
                  </w14:solidFill>
                </w14:textFill>
              </w:rPr>
              <w:t>日平</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均值</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监测结果</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统计</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0"/>
              <w:gridCol w:w="2111"/>
              <w:gridCol w:w="3751"/>
            </w:tblGrid>
            <w:tr w14:paraId="1B58E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0" w:type="dxa"/>
                  <w:vMerge w:val="restart"/>
                  <w:vAlign w:val="center"/>
                </w:tcPr>
                <w:p w14:paraId="2BE23660">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ascii="Times New Roman" w:hAnsi="Times New Roman" w:eastAsia="宋体" w:cs="Times New Roman"/>
                      <w:b/>
                      <w:bCs/>
                      <w:color w:val="000000" w:themeColor="text1"/>
                      <w:sz w:val="21"/>
                      <w:szCs w:val="21"/>
                      <w:lang w:val="en-US" w:eastAsia="zh-CN" w:bidi="ar-SA"/>
                      <w14:textFill>
                        <w14:solidFill>
                          <w14:schemeClr w14:val="tx1"/>
                        </w14:solidFill>
                      </w14:textFill>
                    </w:rPr>
                    <w:t>监测点位</w:t>
                  </w:r>
                </w:p>
              </w:tc>
              <w:tc>
                <w:tcPr>
                  <w:tcW w:w="2111" w:type="dxa"/>
                  <w:vMerge w:val="restart"/>
                  <w:vAlign w:val="center"/>
                </w:tcPr>
                <w:p w14:paraId="1C5FF651">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t>采样日期</w:t>
                  </w:r>
                </w:p>
              </w:tc>
              <w:tc>
                <w:tcPr>
                  <w:tcW w:w="3751" w:type="dxa"/>
                  <w:vAlign w:val="center"/>
                </w:tcPr>
                <w:p w14:paraId="0F62E32B">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t>监测结果</w:t>
                  </w:r>
                </w:p>
              </w:tc>
            </w:tr>
            <w:tr w14:paraId="1827D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0" w:type="dxa"/>
                  <w:vMerge w:val="continue"/>
                  <w:vAlign w:val="center"/>
                </w:tcPr>
                <w:p w14:paraId="53F1085A">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2111" w:type="dxa"/>
                  <w:vMerge w:val="continue"/>
                  <w:vAlign w:val="center"/>
                </w:tcPr>
                <w:p w14:paraId="53E985D1">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3751" w:type="dxa"/>
                  <w:vAlign w:val="center"/>
                </w:tcPr>
                <w:p w14:paraId="081E28CD">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bidi="ar-SA"/>
                      <w14:textFill>
                        <w14:solidFill>
                          <w14:schemeClr w14:val="tx1"/>
                        </w14:solidFill>
                      </w14:textFill>
                    </w:rPr>
                    <w:t>NO</w:t>
                  </w:r>
                  <w:r>
                    <w:rPr>
                      <w:rFonts w:hint="eastAsia" w:ascii="Times New Roman" w:hAnsi="Times New Roman" w:eastAsia="宋体" w:cs="Times New Roman"/>
                      <w:b/>
                      <w:color w:val="000000" w:themeColor="text1"/>
                      <w:sz w:val="21"/>
                      <w:szCs w:val="21"/>
                      <w:vertAlign w:val="subscript"/>
                      <w:lang w:val="en-US" w:eastAsia="zh-CN" w:bidi="ar-SA"/>
                      <w14:textFill>
                        <w14:solidFill>
                          <w14:schemeClr w14:val="tx1"/>
                        </w14:solidFill>
                      </w14:textFill>
                    </w:rPr>
                    <w:t>2</w:t>
                  </w:r>
                  <w:r>
                    <w:rPr>
                      <w:rFonts w:ascii="Times New Roman" w:hAnsi="Times New Roman" w:eastAsia="宋体" w:cs="Times New Roman"/>
                      <w:b/>
                      <w:color w:val="000000" w:themeColor="text1"/>
                      <w:sz w:val="21"/>
                      <w:szCs w:val="21"/>
                      <w:lang w:val="en-US" w:eastAsia="zh-CN" w:bidi="ar-SA"/>
                      <w14:textFill>
                        <w14:solidFill>
                          <w14:schemeClr w14:val="tx1"/>
                        </w14:solidFill>
                      </w14:textFill>
                    </w:rPr>
                    <w:t>（mg/m</w:t>
                  </w:r>
                  <w:r>
                    <w:rPr>
                      <w:rFonts w:ascii="Times New Roman" w:hAnsi="Times New Roman" w:eastAsia="宋体" w:cs="Times New Roman"/>
                      <w:b/>
                      <w:color w:val="000000" w:themeColor="text1"/>
                      <w:sz w:val="21"/>
                      <w:szCs w:val="21"/>
                      <w:vertAlign w:val="superscript"/>
                      <w:lang w:val="en-US" w:eastAsia="zh-CN" w:bidi="ar-SA"/>
                      <w14:textFill>
                        <w14:solidFill>
                          <w14:schemeClr w14:val="tx1"/>
                        </w14:solidFill>
                      </w14:textFill>
                    </w:rPr>
                    <w:t>3</w:t>
                  </w:r>
                  <w:r>
                    <w:rPr>
                      <w:rFonts w:ascii="Times New Roman" w:hAnsi="Times New Roman" w:eastAsia="宋体" w:cs="Times New Roman"/>
                      <w:b/>
                      <w:color w:val="000000" w:themeColor="text1"/>
                      <w:sz w:val="21"/>
                      <w:szCs w:val="21"/>
                      <w:lang w:val="en-US" w:eastAsia="zh-CN" w:bidi="ar-SA"/>
                      <w14:textFill>
                        <w14:solidFill>
                          <w14:schemeClr w14:val="tx1"/>
                        </w14:solidFill>
                      </w14:textFill>
                    </w:rPr>
                    <w:t>）</w:t>
                  </w:r>
                </w:p>
              </w:tc>
            </w:tr>
            <w:tr w14:paraId="48FA4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0" w:type="dxa"/>
                  <w:vMerge w:val="restart"/>
                  <w:vAlign w:val="center"/>
                </w:tcPr>
                <w:p w14:paraId="51049ABD">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A2，翠柏自然保护区1个点位</w:t>
                  </w:r>
                </w:p>
              </w:tc>
              <w:tc>
                <w:tcPr>
                  <w:tcW w:w="2111" w:type="dxa"/>
                  <w:vAlign w:val="center"/>
                </w:tcPr>
                <w:p w14:paraId="391D9E03">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2026.06.27</w:t>
                  </w:r>
                </w:p>
              </w:tc>
              <w:tc>
                <w:tcPr>
                  <w:tcW w:w="3751" w:type="dxa"/>
                  <w:vAlign w:val="center"/>
                </w:tcPr>
                <w:p w14:paraId="4CFD45C7">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0.017</w:t>
                  </w:r>
                </w:p>
              </w:tc>
            </w:tr>
            <w:tr w14:paraId="6CBCD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0" w:type="dxa"/>
                  <w:vMerge w:val="continue"/>
                  <w:vAlign w:val="center"/>
                </w:tcPr>
                <w:p w14:paraId="29C37ED2">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2111" w:type="dxa"/>
                  <w:vAlign w:val="center"/>
                </w:tcPr>
                <w:p w14:paraId="3257DD60">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8</w:t>
                  </w:r>
                </w:p>
              </w:tc>
              <w:tc>
                <w:tcPr>
                  <w:tcW w:w="3751" w:type="dxa"/>
                  <w:vAlign w:val="center"/>
                </w:tcPr>
                <w:p w14:paraId="426A1108">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0.015</w:t>
                  </w:r>
                </w:p>
              </w:tc>
            </w:tr>
            <w:tr w14:paraId="5A0B8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0" w:type="dxa"/>
                  <w:vMerge w:val="continue"/>
                  <w:vAlign w:val="center"/>
                </w:tcPr>
                <w:p w14:paraId="59FEBAC0">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2111" w:type="dxa"/>
                  <w:vAlign w:val="center"/>
                </w:tcPr>
                <w:p w14:paraId="711A9A8F">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9</w:t>
                  </w:r>
                </w:p>
              </w:tc>
              <w:tc>
                <w:tcPr>
                  <w:tcW w:w="3751" w:type="dxa"/>
                  <w:vAlign w:val="center"/>
                </w:tcPr>
                <w:p w14:paraId="16514DCF">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0.016</w:t>
                  </w:r>
                </w:p>
              </w:tc>
            </w:tr>
            <w:tr w14:paraId="10DDB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0" w:type="dxa"/>
                  <w:vMerge w:val="continue"/>
                  <w:vAlign w:val="center"/>
                </w:tcPr>
                <w:p w14:paraId="762CFBD4">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2111" w:type="dxa"/>
                  <w:vAlign w:val="center"/>
                </w:tcPr>
                <w:p w14:paraId="5900D49C">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30</w:t>
                  </w:r>
                </w:p>
              </w:tc>
              <w:tc>
                <w:tcPr>
                  <w:tcW w:w="3751" w:type="dxa"/>
                  <w:vAlign w:val="center"/>
                </w:tcPr>
                <w:p w14:paraId="17990655">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0.015</w:t>
                  </w:r>
                </w:p>
              </w:tc>
            </w:tr>
            <w:tr w14:paraId="57D02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0" w:type="dxa"/>
                  <w:vMerge w:val="continue"/>
                  <w:vAlign w:val="center"/>
                </w:tcPr>
                <w:p w14:paraId="30044FE6">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2111" w:type="dxa"/>
                  <w:vAlign w:val="center"/>
                </w:tcPr>
                <w:p w14:paraId="0B798D16">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2026.07.01</w:t>
                  </w:r>
                </w:p>
              </w:tc>
              <w:tc>
                <w:tcPr>
                  <w:tcW w:w="3751" w:type="dxa"/>
                  <w:vAlign w:val="center"/>
                </w:tcPr>
                <w:p w14:paraId="03FC6486">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0.016</w:t>
                  </w:r>
                </w:p>
              </w:tc>
            </w:tr>
            <w:tr w14:paraId="67A2D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0" w:type="dxa"/>
                  <w:vMerge w:val="continue"/>
                  <w:vAlign w:val="center"/>
                </w:tcPr>
                <w:p w14:paraId="3C229CB1">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2111" w:type="dxa"/>
                  <w:vAlign w:val="center"/>
                </w:tcPr>
                <w:p w14:paraId="74A34E10">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7</w:t>
                  </w: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02</w:t>
                  </w:r>
                </w:p>
              </w:tc>
              <w:tc>
                <w:tcPr>
                  <w:tcW w:w="3751" w:type="dxa"/>
                  <w:vAlign w:val="center"/>
                </w:tcPr>
                <w:p w14:paraId="40E52B2A">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0.016</w:t>
                  </w:r>
                </w:p>
              </w:tc>
            </w:tr>
            <w:tr w14:paraId="7378E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0" w:type="dxa"/>
                  <w:vMerge w:val="continue"/>
                  <w:vAlign w:val="center"/>
                </w:tcPr>
                <w:p w14:paraId="0CD354B8">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2111" w:type="dxa"/>
                  <w:vAlign w:val="center"/>
                </w:tcPr>
                <w:p w14:paraId="474B99EE">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7</w:t>
                  </w: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03</w:t>
                  </w:r>
                </w:p>
              </w:tc>
              <w:tc>
                <w:tcPr>
                  <w:tcW w:w="3751" w:type="dxa"/>
                  <w:vAlign w:val="center"/>
                </w:tcPr>
                <w:p w14:paraId="2E403A6A">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0.015</w:t>
                  </w:r>
                </w:p>
              </w:tc>
            </w:tr>
            <w:tr w14:paraId="488B2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01" w:type="dxa"/>
                  <w:gridSpan w:val="2"/>
                  <w:vAlign w:val="center"/>
                </w:tcPr>
                <w:p w14:paraId="758DF25A">
                  <w:pPr>
                    <w:pStyle w:val="67"/>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b/>
                      <w:bCs/>
                      <w:color w:val="000000" w:themeColor="text1"/>
                      <w:szCs w:val="21"/>
                      <w14:textFill>
                        <w14:solidFill>
                          <w14:schemeClr w14:val="tx1"/>
                        </w14:solidFill>
                      </w14:textFill>
                    </w:rPr>
                    <w:t>标准限值</w:t>
                  </w:r>
                  <w:r>
                    <w:rPr>
                      <w:rFonts w:hint="eastAsia"/>
                      <w:b/>
                      <w:bCs/>
                      <w:color w:val="000000" w:themeColor="text1"/>
                      <w:szCs w:val="21"/>
                      <w:lang w:eastAsia="zh-CN"/>
                      <w14:textFill>
                        <w14:solidFill>
                          <w14:schemeClr w14:val="tx1"/>
                        </w14:solidFill>
                      </w14:textFill>
                    </w:rPr>
                    <w:t>（</w:t>
                  </w:r>
                  <w:r>
                    <w:rPr>
                      <w:b/>
                      <w:bCs/>
                      <w:color w:val="000000" w:themeColor="text1"/>
                      <w:szCs w:val="21"/>
                      <w14:textFill>
                        <w14:solidFill>
                          <w14:schemeClr w14:val="tx1"/>
                        </w14:solidFill>
                      </w14:textFill>
                    </w:rPr>
                    <w:t>mg/m</w:t>
                  </w:r>
                  <w:r>
                    <w:rPr>
                      <w:b/>
                      <w:bCs/>
                      <w:color w:val="000000" w:themeColor="text1"/>
                      <w:szCs w:val="21"/>
                      <w:vertAlign w:val="superscript"/>
                      <w14:textFill>
                        <w14:solidFill>
                          <w14:schemeClr w14:val="tx1"/>
                        </w14:solidFill>
                      </w14:textFill>
                    </w:rPr>
                    <w:t>3</w:t>
                  </w:r>
                  <w:r>
                    <w:rPr>
                      <w:rFonts w:hint="eastAsia"/>
                      <w:b/>
                      <w:bCs/>
                      <w:color w:val="000000" w:themeColor="text1"/>
                      <w:szCs w:val="21"/>
                      <w:lang w:eastAsia="zh-CN"/>
                      <w14:textFill>
                        <w14:solidFill>
                          <w14:schemeClr w14:val="tx1"/>
                        </w14:solidFill>
                      </w14:textFill>
                    </w:rPr>
                    <w:t>）</w:t>
                  </w:r>
                </w:p>
              </w:tc>
              <w:tc>
                <w:tcPr>
                  <w:tcW w:w="3751" w:type="dxa"/>
                  <w:vAlign w:val="center"/>
                </w:tcPr>
                <w:p w14:paraId="2DDAFCC6">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0.080</w:t>
                  </w:r>
                </w:p>
              </w:tc>
            </w:tr>
            <w:tr w14:paraId="6E8B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01" w:type="dxa"/>
                  <w:gridSpan w:val="2"/>
                  <w:vAlign w:val="center"/>
                </w:tcPr>
                <w:p w14:paraId="4186030F">
                  <w:pPr>
                    <w:pStyle w:val="67"/>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b/>
                      <w:bCs/>
                      <w:color w:val="000000" w:themeColor="text1"/>
                      <w:szCs w:val="21"/>
                      <w14:textFill>
                        <w14:solidFill>
                          <w14:schemeClr w14:val="tx1"/>
                        </w14:solidFill>
                      </w14:textFill>
                    </w:rPr>
                    <w:t>超标率（%）</w:t>
                  </w:r>
                </w:p>
              </w:tc>
              <w:tc>
                <w:tcPr>
                  <w:tcW w:w="3751" w:type="dxa"/>
                  <w:vAlign w:val="center"/>
                </w:tcPr>
                <w:p w14:paraId="3503ECC7">
                  <w:pPr>
                    <w:widowControl w:val="0"/>
                    <w:jc w:val="cente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0</w:t>
                  </w:r>
                </w:p>
              </w:tc>
            </w:tr>
            <w:tr w14:paraId="7C94C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01" w:type="dxa"/>
                  <w:gridSpan w:val="2"/>
                  <w:vAlign w:val="center"/>
                </w:tcPr>
                <w:p w14:paraId="70CD7F94">
                  <w:pPr>
                    <w:pStyle w:val="67"/>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b/>
                      <w:bCs/>
                      <w:color w:val="000000" w:themeColor="text1"/>
                      <w:szCs w:val="21"/>
                      <w14:textFill>
                        <w14:solidFill>
                          <w14:schemeClr w14:val="tx1"/>
                        </w14:solidFill>
                      </w14:textFill>
                    </w:rPr>
                    <w:t>是否达标</w:t>
                  </w:r>
                </w:p>
              </w:tc>
              <w:tc>
                <w:tcPr>
                  <w:tcW w:w="3751" w:type="dxa"/>
                  <w:vAlign w:val="center"/>
                </w:tcPr>
                <w:p w14:paraId="2A0EB90E">
                  <w:pPr>
                    <w:widowControl w:val="0"/>
                    <w:jc w:val="cente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达标</w:t>
                  </w:r>
                </w:p>
              </w:tc>
            </w:tr>
          </w:tbl>
          <w:p w14:paraId="703D4F09">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表</w:t>
            </w:r>
            <w:r>
              <w:rPr>
                <w:rFonts w:hint="eastAsia" w:cs="Times New Roman"/>
                <w:b/>
                <w:color w:val="000000" w:themeColor="text1"/>
                <w:kern w:val="2"/>
                <w:sz w:val="21"/>
                <w:szCs w:val="21"/>
                <w:lang w:val="en-US" w:eastAsia="zh-CN" w:bidi="ar-SA"/>
                <w14:textFill>
                  <w14:solidFill>
                    <w14:schemeClr w14:val="tx1"/>
                  </w14:solidFill>
                </w14:textFill>
              </w:rPr>
              <w:t>3.4</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CO日平均值</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监测结果</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统计</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表</w:t>
            </w:r>
          </w:p>
          <w:tbl>
            <w:tblPr>
              <w:tblStyle w:val="3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8"/>
              <w:gridCol w:w="2111"/>
              <w:gridCol w:w="3751"/>
            </w:tblGrid>
            <w:tr w14:paraId="56FA2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restart"/>
                  <w:vAlign w:val="center"/>
                </w:tcPr>
                <w:p w14:paraId="05555FB6">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监测点位</w:t>
                  </w:r>
                </w:p>
              </w:tc>
              <w:tc>
                <w:tcPr>
                  <w:tcW w:w="1310" w:type="pct"/>
                  <w:vMerge w:val="restart"/>
                  <w:vAlign w:val="center"/>
                </w:tcPr>
                <w:p w14:paraId="1C098A19">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采样日期</w:t>
                  </w:r>
                </w:p>
              </w:tc>
              <w:tc>
                <w:tcPr>
                  <w:tcW w:w="2329" w:type="pct"/>
                  <w:vAlign w:val="center"/>
                </w:tcPr>
                <w:p w14:paraId="6B58F53E">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监测结果</w:t>
                  </w:r>
                </w:p>
              </w:tc>
            </w:tr>
            <w:tr w14:paraId="2142A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continue"/>
                  <w:vAlign w:val="center"/>
                </w:tcPr>
                <w:p w14:paraId="61E8EF9A">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tc>
              <w:tc>
                <w:tcPr>
                  <w:tcW w:w="1310" w:type="pct"/>
                  <w:vMerge w:val="continue"/>
                  <w:vAlign w:val="center"/>
                </w:tcPr>
                <w:p w14:paraId="69A08B5B">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tc>
              <w:tc>
                <w:tcPr>
                  <w:tcW w:w="2329" w:type="pct"/>
                  <w:vAlign w:val="center"/>
                </w:tcPr>
                <w:p w14:paraId="74E16163">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CO</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（mg/m</w:t>
                  </w:r>
                  <w:r>
                    <w:rPr>
                      <w:rFonts w:ascii="Times New Roman" w:hAnsi="Times New Roman" w:eastAsia="宋体" w:cs="Times New Roman"/>
                      <w:b/>
                      <w:color w:val="000000" w:themeColor="text1"/>
                      <w:kern w:val="2"/>
                      <w:sz w:val="21"/>
                      <w:szCs w:val="21"/>
                      <w:vertAlign w:val="superscript"/>
                      <w:lang w:val="en-US" w:eastAsia="zh-CN" w:bidi="ar-SA"/>
                      <w14:textFill>
                        <w14:solidFill>
                          <w14:schemeClr w14:val="tx1"/>
                        </w14:solidFill>
                      </w14:textFill>
                    </w:rPr>
                    <w:t>3</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w:t>
                  </w:r>
                </w:p>
              </w:tc>
            </w:tr>
            <w:tr w14:paraId="73411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restart"/>
                  <w:vAlign w:val="center"/>
                </w:tcPr>
                <w:p w14:paraId="530ED5E3">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A2，翠柏自然保护区1个点位</w:t>
                  </w:r>
                </w:p>
              </w:tc>
              <w:tc>
                <w:tcPr>
                  <w:tcW w:w="1310" w:type="pct"/>
                  <w:vAlign w:val="center"/>
                </w:tcPr>
                <w:p w14:paraId="7B7C5BFB">
                  <w:pPr>
                    <w:widowControl w:val="0"/>
                    <w:autoSpaceDE w:val="0"/>
                    <w:autoSpaceDN w:val="0"/>
                    <w:adjustRightInd w:val="0"/>
                    <w:jc w:val="center"/>
                    <w:rPr>
                      <w:rFonts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2026.06.27</w:t>
                  </w:r>
                </w:p>
              </w:tc>
              <w:tc>
                <w:tcPr>
                  <w:tcW w:w="4220" w:type="dxa"/>
                  <w:vAlign w:val="center"/>
                </w:tcPr>
                <w:p w14:paraId="127B295C">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0.41</w:t>
                  </w:r>
                </w:p>
              </w:tc>
            </w:tr>
            <w:tr w14:paraId="3E58C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continue"/>
                  <w:vAlign w:val="center"/>
                </w:tcPr>
                <w:p w14:paraId="034E95A5">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tc>
              <w:tc>
                <w:tcPr>
                  <w:tcW w:w="1310" w:type="pct"/>
                  <w:vAlign w:val="center"/>
                </w:tcPr>
                <w:p w14:paraId="6BF37133">
                  <w:pPr>
                    <w:widowControl w:val="0"/>
                    <w:autoSpaceDE w:val="0"/>
                    <w:autoSpaceDN w:val="0"/>
                    <w:adjustRightInd w:val="0"/>
                    <w:jc w:val="center"/>
                    <w:rPr>
                      <w:rFonts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2026.06.28</w:t>
                  </w:r>
                </w:p>
              </w:tc>
              <w:tc>
                <w:tcPr>
                  <w:tcW w:w="4220" w:type="dxa"/>
                  <w:vAlign w:val="center"/>
                </w:tcPr>
                <w:p w14:paraId="27D3746A">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0.43</w:t>
                  </w:r>
                </w:p>
              </w:tc>
            </w:tr>
            <w:tr w14:paraId="43111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continue"/>
                  <w:vAlign w:val="center"/>
                </w:tcPr>
                <w:p w14:paraId="405F3306">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tc>
              <w:tc>
                <w:tcPr>
                  <w:tcW w:w="1310" w:type="pct"/>
                  <w:vAlign w:val="center"/>
                </w:tcPr>
                <w:p w14:paraId="49378EC2">
                  <w:pPr>
                    <w:widowControl w:val="0"/>
                    <w:autoSpaceDE w:val="0"/>
                    <w:autoSpaceDN w:val="0"/>
                    <w:adjustRightInd w:val="0"/>
                    <w:jc w:val="center"/>
                    <w:rPr>
                      <w:rFonts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2026.06.29</w:t>
                  </w:r>
                </w:p>
              </w:tc>
              <w:tc>
                <w:tcPr>
                  <w:tcW w:w="4220" w:type="dxa"/>
                  <w:vAlign w:val="center"/>
                </w:tcPr>
                <w:p w14:paraId="02C86608">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0.39</w:t>
                  </w:r>
                </w:p>
              </w:tc>
            </w:tr>
            <w:tr w14:paraId="74E18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continue"/>
                  <w:vAlign w:val="center"/>
                </w:tcPr>
                <w:p w14:paraId="1B312A8A">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tc>
              <w:tc>
                <w:tcPr>
                  <w:tcW w:w="1310" w:type="pct"/>
                  <w:vAlign w:val="center"/>
                </w:tcPr>
                <w:p w14:paraId="0A395126">
                  <w:pPr>
                    <w:widowControl w:val="0"/>
                    <w:autoSpaceDE w:val="0"/>
                    <w:autoSpaceDN w:val="0"/>
                    <w:adjustRightInd w:val="0"/>
                    <w:jc w:val="center"/>
                    <w:rPr>
                      <w:rFonts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2026.06.30</w:t>
                  </w:r>
                </w:p>
              </w:tc>
              <w:tc>
                <w:tcPr>
                  <w:tcW w:w="4220" w:type="dxa"/>
                  <w:vAlign w:val="center"/>
                </w:tcPr>
                <w:p w14:paraId="5736777F">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0.49</w:t>
                  </w:r>
                </w:p>
              </w:tc>
            </w:tr>
            <w:tr w14:paraId="7A2A5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59" w:type="pct"/>
                  <w:vMerge w:val="continue"/>
                  <w:vAlign w:val="center"/>
                </w:tcPr>
                <w:p w14:paraId="6517BC5E">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tc>
              <w:tc>
                <w:tcPr>
                  <w:tcW w:w="1310" w:type="pct"/>
                  <w:vAlign w:val="center"/>
                </w:tcPr>
                <w:p w14:paraId="7BEADF2A">
                  <w:pPr>
                    <w:widowControl w:val="0"/>
                    <w:autoSpaceDE w:val="0"/>
                    <w:autoSpaceDN w:val="0"/>
                    <w:adjustRightInd w:val="0"/>
                    <w:jc w:val="center"/>
                    <w:rPr>
                      <w:rFonts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2026.07.01</w:t>
                  </w:r>
                </w:p>
              </w:tc>
              <w:tc>
                <w:tcPr>
                  <w:tcW w:w="4220" w:type="dxa"/>
                  <w:vAlign w:val="center"/>
                </w:tcPr>
                <w:p w14:paraId="35500528">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0.45</w:t>
                  </w:r>
                </w:p>
              </w:tc>
            </w:tr>
            <w:tr w14:paraId="5F28D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continue"/>
                  <w:vAlign w:val="center"/>
                </w:tcPr>
                <w:p w14:paraId="3F50CF71">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tc>
              <w:tc>
                <w:tcPr>
                  <w:tcW w:w="1310" w:type="pct"/>
                  <w:vAlign w:val="center"/>
                </w:tcPr>
                <w:p w14:paraId="3A264C5B">
                  <w:pPr>
                    <w:widowControl w:val="0"/>
                    <w:autoSpaceDE w:val="0"/>
                    <w:autoSpaceDN w:val="0"/>
                    <w:adjustRightInd w:val="0"/>
                    <w:jc w:val="center"/>
                    <w:rPr>
                      <w:rFonts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2026.07.02</w:t>
                  </w:r>
                </w:p>
              </w:tc>
              <w:tc>
                <w:tcPr>
                  <w:tcW w:w="4220" w:type="dxa"/>
                  <w:vAlign w:val="center"/>
                </w:tcPr>
                <w:p w14:paraId="7DB85C39">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0.48</w:t>
                  </w:r>
                </w:p>
              </w:tc>
            </w:tr>
            <w:tr w14:paraId="0B0A8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continue"/>
                  <w:vAlign w:val="center"/>
                </w:tcPr>
                <w:p w14:paraId="4EE182BF">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tc>
              <w:tc>
                <w:tcPr>
                  <w:tcW w:w="1310" w:type="pct"/>
                  <w:vAlign w:val="center"/>
                </w:tcPr>
                <w:p w14:paraId="1798F2C1">
                  <w:pPr>
                    <w:widowControl w:val="0"/>
                    <w:autoSpaceDE w:val="0"/>
                    <w:autoSpaceDN w:val="0"/>
                    <w:adjustRightInd w:val="0"/>
                    <w:jc w:val="center"/>
                    <w:rPr>
                      <w:rFonts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2026.07.03</w:t>
                  </w:r>
                </w:p>
              </w:tc>
              <w:tc>
                <w:tcPr>
                  <w:tcW w:w="4220" w:type="dxa"/>
                  <w:vAlign w:val="center"/>
                </w:tcPr>
                <w:p w14:paraId="67E4BDDB">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0.51</w:t>
                  </w:r>
                </w:p>
              </w:tc>
            </w:tr>
            <w:tr w14:paraId="5D924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0" w:type="pct"/>
                  <w:gridSpan w:val="2"/>
                  <w:vAlign w:val="center"/>
                </w:tcPr>
                <w:p w14:paraId="72FB7B02">
                  <w:pPr>
                    <w:widowControl w:val="0"/>
                    <w:autoSpaceDE w:val="0"/>
                    <w:autoSpaceDN w:val="0"/>
                    <w:adjustRightInd w:val="0"/>
                    <w:jc w:val="cente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标准限值</w:t>
                  </w:r>
                  <w:r>
                    <w:rPr>
                      <w:rFonts w:hint="eastAsia" w:cs="Times New Roman"/>
                      <w:b/>
                      <w:color w:val="000000" w:themeColor="text1"/>
                      <w:kern w:val="2"/>
                      <w:sz w:val="21"/>
                      <w:szCs w:val="21"/>
                      <w:lang w:val="en-US" w:eastAsia="zh-CN" w:bidi="ar-SA"/>
                      <w14:textFill>
                        <w14:solidFill>
                          <w14:schemeClr w14:val="tx1"/>
                        </w14:solidFill>
                      </w14:textFill>
                    </w:rPr>
                    <w:t>（</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mg/m</w:t>
                  </w:r>
                  <w:r>
                    <w:rPr>
                      <w:rFonts w:ascii="Times New Roman" w:hAnsi="Times New Roman" w:eastAsia="宋体" w:cs="Times New Roman"/>
                      <w:b/>
                      <w:color w:val="000000" w:themeColor="text1"/>
                      <w:kern w:val="2"/>
                      <w:sz w:val="21"/>
                      <w:szCs w:val="21"/>
                      <w:vertAlign w:val="superscript"/>
                      <w:lang w:val="en-US" w:eastAsia="zh-CN" w:bidi="ar-SA"/>
                      <w14:textFill>
                        <w14:solidFill>
                          <w14:schemeClr w14:val="tx1"/>
                        </w14:solidFill>
                      </w14:textFill>
                    </w:rPr>
                    <w:t>3</w:t>
                  </w:r>
                  <w:r>
                    <w:rPr>
                      <w:rFonts w:hint="eastAsia" w:cs="Times New Roman"/>
                      <w:b/>
                      <w:color w:val="000000" w:themeColor="text1"/>
                      <w:kern w:val="2"/>
                      <w:sz w:val="21"/>
                      <w:szCs w:val="21"/>
                      <w:lang w:val="en-US" w:eastAsia="zh-CN" w:bidi="ar-SA"/>
                      <w14:textFill>
                        <w14:solidFill>
                          <w14:schemeClr w14:val="tx1"/>
                        </w14:solidFill>
                      </w14:textFill>
                    </w:rPr>
                    <w:t>）</w:t>
                  </w:r>
                </w:p>
              </w:tc>
              <w:tc>
                <w:tcPr>
                  <w:tcW w:w="2329" w:type="pct"/>
                  <w:vAlign w:val="center"/>
                </w:tcPr>
                <w:p w14:paraId="4EFA4C9E">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4.00</w:t>
                  </w:r>
                </w:p>
              </w:tc>
            </w:tr>
            <w:tr w14:paraId="2164B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0" w:type="pct"/>
                  <w:gridSpan w:val="2"/>
                  <w:vAlign w:val="center"/>
                </w:tcPr>
                <w:p w14:paraId="776144BD">
                  <w:pPr>
                    <w:widowControl w:val="0"/>
                    <w:autoSpaceDE w:val="0"/>
                    <w:autoSpaceDN w:val="0"/>
                    <w:adjustRightInd w:val="0"/>
                    <w:jc w:val="cente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超标率（%）</w:t>
                  </w:r>
                </w:p>
              </w:tc>
              <w:tc>
                <w:tcPr>
                  <w:tcW w:w="2329" w:type="pct"/>
                  <w:vAlign w:val="center"/>
                </w:tcPr>
                <w:p w14:paraId="7877EB08">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0</w:t>
                  </w:r>
                </w:p>
              </w:tc>
            </w:tr>
            <w:tr w14:paraId="784A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0" w:type="pct"/>
                  <w:gridSpan w:val="2"/>
                  <w:vAlign w:val="center"/>
                </w:tcPr>
                <w:p w14:paraId="64AEA886">
                  <w:pPr>
                    <w:widowControl w:val="0"/>
                    <w:autoSpaceDE w:val="0"/>
                    <w:autoSpaceDN w:val="0"/>
                    <w:adjustRightInd w:val="0"/>
                    <w:jc w:val="cente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是否达标</w:t>
                  </w:r>
                </w:p>
              </w:tc>
              <w:tc>
                <w:tcPr>
                  <w:tcW w:w="2329" w:type="pct"/>
                  <w:vAlign w:val="center"/>
                </w:tcPr>
                <w:p w14:paraId="6514A4AB">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达标</w:t>
                  </w:r>
                </w:p>
              </w:tc>
            </w:tr>
          </w:tbl>
          <w:p w14:paraId="01D02245">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3E442483">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1606D106">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335BBA07">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07BE96EE">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6C8A5357">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6ED9C1E1">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78A3969D">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3BC37026">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02EB9FC5">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792520CF">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57A4EB37">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0F9CC371">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154D6CE2">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0C4223E9">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08DE40C1">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1159CCF3">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390ADE1E">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69478A9A">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11F568C5">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0D2C1C00">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7C5BBA74">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5CE1EC5F">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2B19AE0F">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7F9B8AEF">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41A359A8">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0296D4C4">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140BCAE8">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6BBB188E">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577D40A6">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4522996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kern w:val="0"/>
                <w:sz w:val="24"/>
                <w14:textFill>
                  <w14:solidFill>
                    <w14:schemeClr w14:val="tx1"/>
                  </w14:solidFill>
                </w14:textFill>
              </w:rPr>
            </w:pPr>
          </w:p>
        </w:tc>
      </w:tr>
    </w:tbl>
    <w:p w14:paraId="610B4EA0">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Cs w:val="24"/>
          <w14:textFill>
            <w14:solidFill>
              <w14:schemeClr w14:val="tx1"/>
            </w14:solidFill>
          </w14:textFill>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
        <w:gridCol w:w="13593"/>
      </w:tblGrid>
      <w:tr w14:paraId="6FB17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 w:type="dxa"/>
            <w:vAlign w:val="center"/>
          </w:tcPr>
          <w:p w14:paraId="148057C0">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szCs w:val="24"/>
                <w:vertAlign w:val="baseline"/>
                <w:lang w:val="en-US" w:eastAsia="zh-CN"/>
                <w14:textFill>
                  <w14:solidFill>
                    <w14:schemeClr w14:val="tx1"/>
                  </w14:solidFill>
                </w14:textFill>
              </w:rPr>
            </w:pPr>
            <w:bookmarkStart w:id="15" w:name="_Toc11999"/>
            <w:bookmarkStart w:id="16" w:name="_Toc14838"/>
            <w:bookmarkStart w:id="17" w:name="_Toc27926"/>
            <w:r>
              <w:rPr>
                <w:rFonts w:hint="eastAsia" w:ascii="Times New Roman" w:hAnsi="Times New Roman" w:cs="Times New Roman"/>
                <w:snapToGrid w:val="0"/>
                <w:color w:val="000000" w:themeColor="text1"/>
                <w:szCs w:val="24"/>
                <w:vertAlign w:val="baseline"/>
                <w:lang w:val="en-US" w:eastAsia="zh-CN"/>
                <w14:textFill>
                  <w14:solidFill>
                    <w14:schemeClr w14:val="tx1"/>
                  </w14:solidFill>
                </w14:textFill>
              </w:rPr>
              <w:t>区域环境质量现状</w:t>
            </w:r>
            <w:bookmarkEnd w:id="15"/>
            <w:bookmarkEnd w:id="16"/>
            <w:bookmarkEnd w:id="17"/>
          </w:p>
        </w:tc>
        <w:tc>
          <w:tcPr>
            <w:tcW w:w="13593" w:type="dxa"/>
            <w:vAlign w:val="center"/>
          </w:tcPr>
          <w:p w14:paraId="5329BE57">
            <w:pPr>
              <w:widowControl/>
              <w:jc w:val="center"/>
              <w:rPr>
                <w:rFonts w:ascii="Times New Roman" w:hAnsi="Times New Roman" w:eastAsia="宋体" w:cs="Times New Roman"/>
                <w:b/>
                <w:color w:val="000000" w:themeColor="text1"/>
                <w:kern w:val="2"/>
                <w:sz w:val="21"/>
                <w:szCs w:val="21"/>
                <w14:textFill>
                  <w14:solidFill>
                    <w14:schemeClr w14:val="tx1"/>
                  </w14:solidFill>
                </w14:textFill>
              </w:rPr>
            </w:pPr>
            <w:r>
              <w:rPr>
                <w:rFonts w:ascii="Times New Roman" w:hAnsi="Times New Roman" w:eastAsia="宋体" w:cs="Times New Roman"/>
                <w:b/>
                <w:color w:val="000000" w:themeColor="text1"/>
                <w:kern w:val="2"/>
                <w:sz w:val="21"/>
                <w:szCs w:val="21"/>
                <w14:textFill>
                  <w14:solidFill>
                    <w14:schemeClr w14:val="tx1"/>
                  </w14:solidFill>
                </w14:textFill>
              </w:rPr>
              <w:t>表</w:t>
            </w:r>
            <w:r>
              <w:rPr>
                <w:rFonts w:hint="eastAsia" w:cs="Times New Roman"/>
                <w:b/>
                <w:color w:val="000000" w:themeColor="text1"/>
                <w:kern w:val="2"/>
                <w:sz w:val="21"/>
                <w:szCs w:val="21"/>
                <w:lang w:val="en-US" w:eastAsia="zh-CN"/>
                <w14:textFill>
                  <w14:solidFill>
                    <w14:schemeClr w14:val="tx1"/>
                  </w14:solidFill>
                </w14:textFill>
              </w:rPr>
              <w:t>3-5</w:t>
            </w:r>
            <w:r>
              <w:rPr>
                <w:rFonts w:ascii="Times New Roman" w:hAnsi="Times New Roman" w:eastAsia="宋体" w:cs="Times New Roman"/>
                <w:b/>
                <w:color w:val="000000" w:themeColor="text1"/>
                <w:kern w:val="2"/>
                <w:sz w:val="21"/>
                <w:szCs w:val="21"/>
                <w14:textFill>
                  <w14:solidFill>
                    <w14:schemeClr w14:val="tx1"/>
                  </w14:solidFill>
                </w14:textFill>
              </w:rPr>
              <w:t xml:space="preserve">  SO</w:t>
            </w:r>
            <w:r>
              <w:rPr>
                <w:rFonts w:ascii="Times New Roman" w:hAnsi="Times New Roman" w:eastAsia="宋体" w:cs="Times New Roman"/>
                <w:b/>
                <w:color w:val="000000" w:themeColor="text1"/>
                <w:kern w:val="2"/>
                <w:sz w:val="21"/>
                <w:szCs w:val="21"/>
                <w:vertAlign w:val="subscript"/>
                <w14:textFill>
                  <w14:solidFill>
                    <w14:schemeClr w14:val="tx1"/>
                  </w14:solidFill>
                </w14:textFill>
              </w:rPr>
              <w:t>2</w:t>
            </w:r>
            <w:r>
              <w:rPr>
                <w:rFonts w:ascii="Times New Roman" w:hAnsi="Times New Roman" w:eastAsia="宋体" w:cs="Times New Roman"/>
                <w:b/>
                <w:color w:val="000000" w:themeColor="text1"/>
                <w:kern w:val="2"/>
                <w:sz w:val="21"/>
                <w:szCs w:val="21"/>
                <w14:textFill>
                  <w14:solidFill>
                    <w14:schemeClr w14:val="tx1"/>
                  </w14:solidFill>
                </w14:textFill>
              </w:rPr>
              <w:t>、</w:t>
            </w:r>
            <w:r>
              <w:rPr>
                <w:rFonts w:hint="eastAsia" w:ascii="Times New Roman" w:hAnsi="Times New Roman" w:eastAsia="宋体" w:cs="Times New Roman"/>
                <w:b/>
                <w:color w:val="000000" w:themeColor="text1"/>
                <w:kern w:val="2"/>
                <w:sz w:val="21"/>
                <w:szCs w:val="21"/>
                <w14:textFill>
                  <w14:solidFill>
                    <w14:schemeClr w14:val="tx1"/>
                  </w14:solidFill>
                </w14:textFill>
              </w:rPr>
              <w:t>PM</w:t>
            </w:r>
            <w:r>
              <w:rPr>
                <w:rFonts w:hint="eastAsia" w:ascii="Times New Roman" w:hAnsi="Times New Roman" w:eastAsia="宋体" w:cs="Times New Roman"/>
                <w:b/>
                <w:color w:val="000000" w:themeColor="text1"/>
                <w:kern w:val="2"/>
                <w:sz w:val="21"/>
                <w:szCs w:val="21"/>
                <w:vertAlign w:val="subscript"/>
                <w14:textFill>
                  <w14:solidFill>
                    <w14:schemeClr w14:val="tx1"/>
                  </w14:solidFill>
                </w14:textFill>
              </w:rPr>
              <w:t>10</w:t>
            </w:r>
            <w:r>
              <w:rPr>
                <w:rFonts w:ascii="Times New Roman" w:hAnsi="Times New Roman" w:eastAsia="宋体" w:cs="Times New Roman"/>
                <w:b/>
                <w:color w:val="000000" w:themeColor="text1"/>
                <w:kern w:val="2"/>
                <w:sz w:val="21"/>
                <w:szCs w:val="21"/>
                <w14:textFill>
                  <w14:solidFill>
                    <w14:schemeClr w14:val="tx1"/>
                  </w14:solidFill>
                </w14:textFill>
              </w:rPr>
              <w:t>日均值监测结果统计表</w:t>
            </w:r>
          </w:p>
          <w:tbl>
            <w:tblPr>
              <w:tblStyle w:val="3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695"/>
              <w:gridCol w:w="1374"/>
              <w:gridCol w:w="1374"/>
              <w:gridCol w:w="1374"/>
              <w:gridCol w:w="1374"/>
              <w:gridCol w:w="3"/>
              <w:gridCol w:w="1371"/>
              <w:gridCol w:w="1374"/>
              <w:gridCol w:w="1374"/>
              <w:gridCol w:w="1381"/>
            </w:tblGrid>
            <w:tr w14:paraId="626DD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1" w:type="pct"/>
                  <w:vMerge w:val="restart"/>
                  <w:noWrap w:val="0"/>
                  <w:vAlign w:val="center"/>
                </w:tcPr>
                <w:p w14:paraId="4CF82EA7">
                  <w:pPr>
                    <w:widowControl w:val="0"/>
                    <w:adjustRightInd w:val="0"/>
                    <w:snapToGrid w:val="0"/>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监测点位</w:t>
                  </w:r>
                </w:p>
              </w:tc>
              <w:tc>
                <w:tcPr>
                  <w:tcW w:w="634" w:type="pct"/>
                  <w:vMerge w:val="restart"/>
                  <w:noWrap w:val="0"/>
                  <w:vAlign w:val="center"/>
                </w:tcPr>
                <w:p w14:paraId="4B21E3A3">
                  <w:pPr>
                    <w:widowControl w:val="0"/>
                    <w:adjustRightInd w:val="0"/>
                    <w:snapToGrid w:val="0"/>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监测时间</w:t>
                  </w:r>
                </w:p>
              </w:tc>
              <w:tc>
                <w:tcPr>
                  <w:tcW w:w="2057" w:type="pct"/>
                  <w:gridSpan w:val="5"/>
                  <w:noWrap w:val="0"/>
                  <w:tcMar>
                    <w:top w:w="0" w:type="dxa"/>
                    <w:left w:w="57" w:type="dxa"/>
                    <w:bottom w:w="0" w:type="dxa"/>
                    <w:right w:w="57" w:type="dxa"/>
                  </w:tcMar>
                  <w:vAlign w:val="center"/>
                </w:tcPr>
                <w:p w14:paraId="20D71455">
                  <w:pPr>
                    <w:widowControl w:val="0"/>
                    <w:adjustRightInd w:val="0"/>
                    <w:snapToGrid w:val="0"/>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SO</w:t>
                  </w:r>
                  <w:r>
                    <w:rPr>
                      <w:rFonts w:ascii="Times New Roman" w:hAnsi="Times New Roman" w:eastAsia="宋体" w:cs="Times New Roman"/>
                      <w:b/>
                      <w:bCs/>
                      <w:color w:val="000000" w:themeColor="text1"/>
                      <w:kern w:val="0"/>
                      <w:sz w:val="21"/>
                      <w:szCs w:val="21"/>
                      <w:vertAlign w:val="subscript"/>
                      <w14:textFill>
                        <w14:solidFill>
                          <w14:schemeClr w14:val="tx1"/>
                        </w14:solidFill>
                      </w14:textFill>
                    </w:rPr>
                    <w:t>2</w:t>
                  </w:r>
                </w:p>
              </w:tc>
              <w:tc>
                <w:tcPr>
                  <w:tcW w:w="2057" w:type="pct"/>
                  <w:gridSpan w:val="4"/>
                  <w:noWrap w:val="0"/>
                  <w:vAlign w:val="center"/>
                </w:tcPr>
                <w:p w14:paraId="25FAE7C3">
                  <w:pPr>
                    <w:widowControl w:val="0"/>
                    <w:adjustRightInd w:val="0"/>
                    <w:snapToGrid w:val="0"/>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14:textFill>
                        <w14:solidFill>
                          <w14:schemeClr w14:val="tx1"/>
                        </w14:solidFill>
                      </w14:textFill>
                    </w:rPr>
                    <w:t>PM</w:t>
                  </w:r>
                  <w:r>
                    <w:rPr>
                      <w:rFonts w:hint="eastAsia" w:ascii="Times New Roman" w:hAnsi="Times New Roman" w:eastAsia="宋体" w:cs="Times New Roman"/>
                      <w:b/>
                      <w:bCs/>
                      <w:color w:val="000000" w:themeColor="text1"/>
                      <w:kern w:val="2"/>
                      <w:sz w:val="21"/>
                      <w:szCs w:val="21"/>
                      <w:highlight w:val="none"/>
                      <w:vertAlign w:val="subscript"/>
                      <w14:textFill>
                        <w14:solidFill>
                          <w14:schemeClr w14:val="tx1"/>
                        </w14:solidFill>
                      </w14:textFill>
                    </w:rPr>
                    <w:t>10</w:t>
                  </w:r>
                </w:p>
              </w:tc>
            </w:tr>
            <w:tr w14:paraId="6FC8A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1" w:type="pct"/>
                  <w:vMerge w:val="continue"/>
                  <w:noWrap w:val="0"/>
                  <w:vAlign w:val="center"/>
                </w:tcPr>
                <w:p w14:paraId="3B619C3C">
                  <w:pPr>
                    <w:widowControl w:val="0"/>
                    <w:adjustRightInd w:val="0"/>
                    <w:snapToGrid w:val="0"/>
                    <w:jc w:val="center"/>
                    <w:rPr>
                      <w:rFonts w:ascii="Times New Roman" w:hAnsi="Times New Roman" w:eastAsia="宋体" w:cs="Times New Roman"/>
                      <w:b/>
                      <w:bCs/>
                      <w:color w:val="000000" w:themeColor="text1"/>
                      <w:kern w:val="0"/>
                      <w:sz w:val="21"/>
                      <w:szCs w:val="21"/>
                      <w14:textFill>
                        <w14:solidFill>
                          <w14:schemeClr w14:val="tx1"/>
                        </w14:solidFill>
                      </w14:textFill>
                    </w:rPr>
                  </w:pPr>
                </w:p>
              </w:tc>
              <w:tc>
                <w:tcPr>
                  <w:tcW w:w="634" w:type="pct"/>
                  <w:vMerge w:val="continue"/>
                  <w:noWrap w:val="0"/>
                  <w:vAlign w:val="center"/>
                </w:tcPr>
                <w:p w14:paraId="756F2EEB">
                  <w:pPr>
                    <w:widowControl w:val="0"/>
                    <w:adjustRightInd w:val="0"/>
                    <w:snapToGrid w:val="0"/>
                    <w:jc w:val="center"/>
                    <w:rPr>
                      <w:rFonts w:ascii="Times New Roman" w:hAnsi="Times New Roman" w:eastAsia="宋体" w:cs="Times New Roman"/>
                      <w:b/>
                      <w:bCs/>
                      <w:color w:val="000000" w:themeColor="text1"/>
                      <w:kern w:val="0"/>
                      <w:sz w:val="21"/>
                      <w:szCs w:val="21"/>
                      <w14:textFill>
                        <w14:solidFill>
                          <w14:schemeClr w14:val="tx1"/>
                        </w14:solidFill>
                      </w14:textFill>
                    </w:rPr>
                  </w:pPr>
                </w:p>
              </w:tc>
              <w:tc>
                <w:tcPr>
                  <w:tcW w:w="514" w:type="pct"/>
                  <w:noWrap w:val="0"/>
                  <w:tcMar>
                    <w:top w:w="0" w:type="dxa"/>
                    <w:left w:w="57" w:type="dxa"/>
                    <w:bottom w:w="0" w:type="dxa"/>
                    <w:right w:w="57" w:type="dxa"/>
                  </w:tcMar>
                  <w:vAlign w:val="center"/>
                </w:tcPr>
                <w:p w14:paraId="35E2623A">
                  <w:pPr>
                    <w:widowControl w:val="0"/>
                    <w:adjustRightInd w:val="0"/>
                    <w:snapToGrid w:val="0"/>
                    <w:jc w:val="center"/>
                    <w:rPr>
                      <w:rFonts w:ascii="Times New Roman" w:hAnsi="Times New Roman" w:eastAsia="宋体" w:cs="Times New Roman"/>
                      <w:b/>
                      <w:bCs/>
                      <w:color w:val="000000" w:themeColor="text1"/>
                      <w:kern w:val="2"/>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监测结果（mg/m</w:t>
                  </w:r>
                  <w:r>
                    <w:rPr>
                      <w:rFonts w:ascii="Times New Roman" w:hAnsi="Times New Roman" w:eastAsia="宋体" w:cs="Times New Roman"/>
                      <w:b/>
                      <w:bCs/>
                      <w:color w:val="000000" w:themeColor="text1"/>
                      <w:kern w:val="0"/>
                      <w:sz w:val="21"/>
                      <w:szCs w:val="21"/>
                      <w:vertAlign w:val="superscript"/>
                      <w14:textFill>
                        <w14:solidFill>
                          <w14:schemeClr w14:val="tx1"/>
                        </w14:solidFill>
                      </w14:textFill>
                    </w:rPr>
                    <w:t>3</w:t>
                  </w:r>
                  <w:r>
                    <w:rPr>
                      <w:rFonts w:ascii="Times New Roman" w:hAnsi="Times New Roman" w:eastAsia="宋体" w:cs="Times New Roman"/>
                      <w:b/>
                      <w:bCs/>
                      <w:color w:val="000000" w:themeColor="text1"/>
                      <w:kern w:val="0"/>
                      <w:sz w:val="21"/>
                      <w:szCs w:val="21"/>
                      <w14:textFill>
                        <w14:solidFill>
                          <w14:schemeClr w14:val="tx1"/>
                        </w14:solidFill>
                      </w14:textFill>
                    </w:rPr>
                    <w:t>）</w:t>
                  </w:r>
                </w:p>
              </w:tc>
              <w:tc>
                <w:tcPr>
                  <w:tcW w:w="514" w:type="pct"/>
                  <w:noWrap w:val="0"/>
                  <w:vAlign w:val="center"/>
                </w:tcPr>
                <w:p w14:paraId="7397D467">
                  <w:pPr>
                    <w:widowControl w:val="0"/>
                    <w:adjustRightInd w:val="0"/>
                    <w:snapToGrid w:val="0"/>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标准值（mg/m</w:t>
                  </w:r>
                  <w:r>
                    <w:rPr>
                      <w:rFonts w:ascii="Times New Roman" w:hAnsi="Times New Roman" w:eastAsia="宋体" w:cs="Times New Roman"/>
                      <w:b/>
                      <w:bCs/>
                      <w:color w:val="000000" w:themeColor="text1"/>
                      <w:kern w:val="0"/>
                      <w:sz w:val="21"/>
                      <w:szCs w:val="21"/>
                      <w:vertAlign w:val="superscript"/>
                      <w14:textFill>
                        <w14:solidFill>
                          <w14:schemeClr w14:val="tx1"/>
                        </w14:solidFill>
                      </w14:textFill>
                    </w:rPr>
                    <w:t>3</w:t>
                  </w:r>
                  <w:r>
                    <w:rPr>
                      <w:rFonts w:ascii="Times New Roman" w:hAnsi="Times New Roman" w:eastAsia="宋体" w:cs="Times New Roman"/>
                      <w:b/>
                      <w:bCs/>
                      <w:color w:val="000000" w:themeColor="text1"/>
                      <w:kern w:val="0"/>
                      <w:sz w:val="21"/>
                      <w:szCs w:val="21"/>
                      <w14:textFill>
                        <w14:solidFill>
                          <w14:schemeClr w14:val="tx1"/>
                        </w14:solidFill>
                      </w14:textFill>
                    </w:rPr>
                    <w:t>）</w:t>
                  </w:r>
                </w:p>
              </w:tc>
              <w:tc>
                <w:tcPr>
                  <w:tcW w:w="514" w:type="pct"/>
                  <w:noWrap w:val="0"/>
                  <w:vAlign w:val="center"/>
                </w:tcPr>
                <w:p w14:paraId="02EE34AC">
                  <w:pPr>
                    <w:widowControl w:val="0"/>
                    <w:adjustRightInd w:val="0"/>
                    <w:snapToGrid w:val="0"/>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超标率（%）</w:t>
                  </w:r>
                </w:p>
              </w:tc>
              <w:tc>
                <w:tcPr>
                  <w:tcW w:w="514" w:type="pct"/>
                  <w:noWrap w:val="0"/>
                  <w:vAlign w:val="center"/>
                </w:tcPr>
                <w:p w14:paraId="37F41D68">
                  <w:pPr>
                    <w:widowControl w:val="0"/>
                    <w:adjustRightInd w:val="0"/>
                    <w:snapToGrid w:val="0"/>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是否达标</w:t>
                  </w:r>
                </w:p>
              </w:tc>
              <w:tc>
                <w:tcPr>
                  <w:tcW w:w="514" w:type="pct"/>
                  <w:gridSpan w:val="2"/>
                  <w:noWrap w:val="0"/>
                  <w:vAlign w:val="center"/>
                </w:tcPr>
                <w:p w14:paraId="0AB8CF6F">
                  <w:pPr>
                    <w:widowControl w:val="0"/>
                    <w:adjustRightInd w:val="0"/>
                    <w:snapToGrid w:val="0"/>
                    <w:jc w:val="center"/>
                    <w:rPr>
                      <w:rFonts w:ascii="Times New Roman" w:hAnsi="Times New Roman" w:eastAsia="宋体" w:cs="Times New Roman"/>
                      <w:b/>
                      <w:bCs/>
                      <w:color w:val="000000" w:themeColor="text1"/>
                      <w:kern w:val="2"/>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监测结果（mg/m</w:t>
                  </w:r>
                  <w:r>
                    <w:rPr>
                      <w:rFonts w:ascii="Times New Roman" w:hAnsi="Times New Roman" w:eastAsia="宋体" w:cs="Times New Roman"/>
                      <w:b/>
                      <w:bCs/>
                      <w:color w:val="000000" w:themeColor="text1"/>
                      <w:kern w:val="0"/>
                      <w:sz w:val="21"/>
                      <w:szCs w:val="21"/>
                      <w:vertAlign w:val="superscript"/>
                      <w14:textFill>
                        <w14:solidFill>
                          <w14:schemeClr w14:val="tx1"/>
                        </w14:solidFill>
                      </w14:textFill>
                    </w:rPr>
                    <w:t>3</w:t>
                  </w:r>
                  <w:r>
                    <w:rPr>
                      <w:rFonts w:ascii="Times New Roman" w:hAnsi="Times New Roman" w:eastAsia="宋体" w:cs="Times New Roman"/>
                      <w:b/>
                      <w:bCs/>
                      <w:color w:val="000000" w:themeColor="text1"/>
                      <w:kern w:val="0"/>
                      <w:sz w:val="21"/>
                      <w:szCs w:val="21"/>
                      <w14:textFill>
                        <w14:solidFill>
                          <w14:schemeClr w14:val="tx1"/>
                        </w14:solidFill>
                      </w14:textFill>
                    </w:rPr>
                    <w:t>）</w:t>
                  </w:r>
                </w:p>
              </w:tc>
              <w:tc>
                <w:tcPr>
                  <w:tcW w:w="514" w:type="pct"/>
                  <w:noWrap w:val="0"/>
                  <w:vAlign w:val="center"/>
                </w:tcPr>
                <w:p w14:paraId="12B4B160">
                  <w:pPr>
                    <w:widowControl w:val="0"/>
                    <w:adjustRightInd w:val="0"/>
                    <w:snapToGrid w:val="0"/>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标准值（mg/m</w:t>
                  </w:r>
                  <w:r>
                    <w:rPr>
                      <w:rFonts w:ascii="Times New Roman" w:hAnsi="Times New Roman" w:eastAsia="宋体" w:cs="Times New Roman"/>
                      <w:b/>
                      <w:bCs/>
                      <w:color w:val="000000" w:themeColor="text1"/>
                      <w:kern w:val="0"/>
                      <w:sz w:val="21"/>
                      <w:szCs w:val="21"/>
                      <w:vertAlign w:val="superscript"/>
                      <w14:textFill>
                        <w14:solidFill>
                          <w14:schemeClr w14:val="tx1"/>
                        </w14:solidFill>
                      </w14:textFill>
                    </w:rPr>
                    <w:t>3</w:t>
                  </w:r>
                  <w:r>
                    <w:rPr>
                      <w:rFonts w:ascii="Times New Roman" w:hAnsi="Times New Roman" w:eastAsia="宋体" w:cs="Times New Roman"/>
                      <w:b/>
                      <w:bCs/>
                      <w:color w:val="000000" w:themeColor="text1"/>
                      <w:kern w:val="0"/>
                      <w:sz w:val="21"/>
                      <w:szCs w:val="21"/>
                      <w14:textFill>
                        <w14:solidFill>
                          <w14:schemeClr w14:val="tx1"/>
                        </w14:solidFill>
                      </w14:textFill>
                    </w:rPr>
                    <w:t>）</w:t>
                  </w:r>
                </w:p>
              </w:tc>
              <w:tc>
                <w:tcPr>
                  <w:tcW w:w="514" w:type="pct"/>
                  <w:noWrap w:val="0"/>
                  <w:vAlign w:val="center"/>
                </w:tcPr>
                <w:p w14:paraId="32F2C80A">
                  <w:pPr>
                    <w:widowControl w:val="0"/>
                    <w:adjustRightInd w:val="0"/>
                    <w:snapToGrid w:val="0"/>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超标率（%）</w:t>
                  </w:r>
                </w:p>
              </w:tc>
              <w:tc>
                <w:tcPr>
                  <w:tcW w:w="516" w:type="pct"/>
                  <w:noWrap w:val="0"/>
                  <w:vAlign w:val="center"/>
                </w:tcPr>
                <w:p w14:paraId="591201F1">
                  <w:pPr>
                    <w:widowControl w:val="0"/>
                    <w:adjustRightInd w:val="0"/>
                    <w:snapToGrid w:val="0"/>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是否达标</w:t>
                  </w:r>
                </w:p>
              </w:tc>
            </w:tr>
            <w:tr w14:paraId="501B2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1" w:type="pct"/>
                  <w:vMerge w:val="restart"/>
                  <w:noWrap w:val="0"/>
                  <w:vAlign w:val="center"/>
                </w:tcPr>
                <w:p w14:paraId="72380C7D">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翠柏自然保护区</w:t>
                  </w:r>
                </w:p>
              </w:tc>
              <w:tc>
                <w:tcPr>
                  <w:tcW w:w="1695" w:type="dxa"/>
                  <w:noWrap w:val="0"/>
                  <w:vAlign w:val="center"/>
                </w:tcPr>
                <w:p w14:paraId="6D9DD1AF">
                  <w:pPr>
                    <w:widowControl w:val="0"/>
                    <w:autoSpaceDE w:val="0"/>
                    <w:autoSpaceDN w:val="0"/>
                    <w:adjustRightInd w:val="0"/>
                    <w:jc w:val="center"/>
                    <w:rPr>
                      <w:rFonts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2026.06.27</w:t>
                  </w:r>
                </w:p>
              </w:tc>
              <w:tc>
                <w:tcPr>
                  <w:tcW w:w="1374" w:type="dxa"/>
                  <w:noWrap w:val="0"/>
                  <w:tcMar>
                    <w:top w:w="0" w:type="dxa"/>
                    <w:left w:w="57" w:type="dxa"/>
                    <w:bottom w:w="0" w:type="dxa"/>
                    <w:right w:w="57" w:type="dxa"/>
                  </w:tcMar>
                  <w:vAlign w:val="center"/>
                </w:tcPr>
                <w:p w14:paraId="07D18F72">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0.010</w:t>
                  </w:r>
                </w:p>
              </w:tc>
              <w:tc>
                <w:tcPr>
                  <w:tcW w:w="514" w:type="pct"/>
                  <w:noWrap w:val="0"/>
                  <w:vAlign w:val="center"/>
                </w:tcPr>
                <w:p w14:paraId="12518CED">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0.05</w:t>
                  </w:r>
                </w:p>
              </w:tc>
              <w:tc>
                <w:tcPr>
                  <w:tcW w:w="514" w:type="pct"/>
                  <w:noWrap w:val="0"/>
                  <w:vAlign w:val="center"/>
                </w:tcPr>
                <w:p w14:paraId="453DBCCB">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4" w:type="pct"/>
                  <w:noWrap w:val="0"/>
                  <w:vAlign w:val="center"/>
                </w:tcPr>
                <w:p w14:paraId="28115E4F">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c>
                <w:tcPr>
                  <w:tcW w:w="1374" w:type="dxa"/>
                  <w:gridSpan w:val="2"/>
                  <w:noWrap w:val="0"/>
                  <w:vAlign w:val="center"/>
                </w:tcPr>
                <w:p w14:paraId="78CB4FED">
                  <w:pPr>
                    <w:widowControl/>
                    <w:adjustRightInd w:val="0"/>
                    <w:snapToGrid w:val="0"/>
                    <w:jc w:val="center"/>
                    <w:rPr>
                      <w:rFonts w:hint="eastAsia" w:ascii="Times New Roman" w:hAnsi="Times New Roman" w:eastAsia="宋体" w:cs="Times New Roman"/>
                      <w:color w:val="000000" w:themeColor="text1"/>
                      <w:kern w:val="2"/>
                      <w:sz w:val="21"/>
                      <w:szCs w:val="21"/>
                      <w:lang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0.045</w:t>
                  </w:r>
                </w:p>
              </w:tc>
              <w:tc>
                <w:tcPr>
                  <w:tcW w:w="514" w:type="pct"/>
                  <w:noWrap w:val="0"/>
                  <w:vAlign w:val="center"/>
                </w:tcPr>
                <w:p w14:paraId="0947E0ED">
                  <w:pPr>
                    <w:widowControl w:val="0"/>
                    <w:adjustRightInd w:val="0"/>
                    <w:snapToGrid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0.0</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5</w:t>
                  </w:r>
                </w:p>
              </w:tc>
              <w:tc>
                <w:tcPr>
                  <w:tcW w:w="514" w:type="pct"/>
                  <w:noWrap w:val="0"/>
                  <w:vAlign w:val="center"/>
                </w:tcPr>
                <w:p w14:paraId="5F803662">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6" w:type="pct"/>
                  <w:noWrap w:val="0"/>
                  <w:vAlign w:val="center"/>
                </w:tcPr>
                <w:p w14:paraId="2A67431C">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r>
            <w:tr w14:paraId="35BD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1" w:type="pct"/>
                  <w:vMerge w:val="continue"/>
                  <w:noWrap w:val="0"/>
                  <w:vAlign w:val="center"/>
                </w:tcPr>
                <w:p w14:paraId="126A85D3">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1695" w:type="dxa"/>
                  <w:noWrap w:val="0"/>
                  <w:vAlign w:val="center"/>
                </w:tcPr>
                <w:p w14:paraId="44A6B84A">
                  <w:pPr>
                    <w:widowControl w:val="0"/>
                    <w:autoSpaceDE w:val="0"/>
                    <w:autoSpaceDN w:val="0"/>
                    <w:adjustRightInd w:val="0"/>
                    <w:jc w:val="center"/>
                    <w:rPr>
                      <w:rFonts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8</w:t>
                  </w:r>
                </w:p>
              </w:tc>
              <w:tc>
                <w:tcPr>
                  <w:tcW w:w="1374" w:type="dxa"/>
                  <w:noWrap w:val="0"/>
                  <w:tcMar>
                    <w:top w:w="0" w:type="dxa"/>
                    <w:left w:w="57" w:type="dxa"/>
                    <w:bottom w:w="0" w:type="dxa"/>
                    <w:right w:w="57" w:type="dxa"/>
                  </w:tcMar>
                  <w:vAlign w:val="center"/>
                </w:tcPr>
                <w:p w14:paraId="6D367C8E">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0.010</w:t>
                  </w:r>
                </w:p>
              </w:tc>
              <w:tc>
                <w:tcPr>
                  <w:tcW w:w="514" w:type="pct"/>
                  <w:noWrap w:val="0"/>
                  <w:vAlign w:val="center"/>
                </w:tcPr>
                <w:p w14:paraId="21E66F49">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0.05</w:t>
                  </w:r>
                </w:p>
              </w:tc>
              <w:tc>
                <w:tcPr>
                  <w:tcW w:w="514" w:type="pct"/>
                  <w:noWrap w:val="0"/>
                  <w:vAlign w:val="center"/>
                </w:tcPr>
                <w:p w14:paraId="71B64705">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4" w:type="pct"/>
                  <w:noWrap w:val="0"/>
                  <w:vAlign w:val="center"/>
                </w:tcPr>
                <w:p w14:paraId="14718B05">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c>
                <w:tcPr>
                  <w:tcW w:w="1374" w:type="dxa"/>
                  <w:gridSpan w:val="2"/>
                  <w:noWrap w:val="0"/>
                  <w:vAlign w:val="center"/>
                </w:tcPr>
                <w:p w14:paraId="53D38E32">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0.046</w:t>
                  </w:r>
                </w:p>
              </w:tc>
              <w:tc>
                <w:tcPr>
                  <w:tcW w:w="514" w:type="pct"/>
                  <w:noWrap w:val="0"/>
                  <w:vAlign w:val="center"/>
                </w:tcPr>
                <w:p w14:paraId="4514DC87">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ascii="Times New Roman" w:hAnsi="Times New Roman" w:eastAsia="宋体" w:cs="Times New Roman"/>
                      <w:color w:val="000000" w:themeColor="text1"/>
                      <w:kern w:val="2"/>
                      <w:sz w:val="21"/>
                      <w:szCs w:val="21"/>
                      <w14:textFill>
                        <w14:solidFill>
                          <w14:schemeClr w14:val="tx1"/>
                        </w14:solidFill>
                      </w14:textFill>
                    </w:rPr>
                    <w:t>0.0</w:t>
                  </w:r>
                  <w:r>
                    <w:rPr>
                      <w:rFonts w:hint="eastAsia" w:ascii="Times New Roman" w:hAnsi="Times New Roman" w:eastAsia="宋体" w:cs="Times New Roman"/>
                      <w:color w:val="000000" w:themeColor="text1"/>
                      <w:kern w:val="2"/>
                      <w:sz w:val="21"/>
                      <w:szCs w:val="21"/>
                      <w14:textFill>
                        <w14:solidFill>
                          <w14:schemeClr w14:val="tx1"/>
                        </w14:solidFill>
                      </w14:textFill>
                    </w:rPr>
                    <w:t>5</w:t>
                  </w:r>
                </w:p>
              </w:tc>
              <w:tc>
                <w:tcPr>
                  <w:tcW w:w="514" w:type="pct"/>
                  <w:noWrap w:val="0"/>
                  <w:vAlign w:val="center"/>
                </w:tcPr>
                <w:p w14:paraId="263BEEE9">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6" w:type="pct"/>
                  <w:noWrap w:val="0"/>
                  <w:vAlign w:val="center"/>
                </w:tcPr>
                <w:p w14:paraId="5E0D085A">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r>
            <w:tr w14:paraId="31148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1" w:type="pct"/>
                  <w:vMerge w:val="continue"/>
                  <w:noWrap w:val="0"/>
                  <w:vAlign w:val="center"/>
                </w:tcPr>
                <w:p w14:paraId="3162463A">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1695" w:type="dxa"/>
                  <w:noWrap w:val="0"/>
                  <w:vAlign w:val="center"/>
                </w:tcPr>
                <w:p w14:paraId="34F71B67">
                  <w:pPr>
                    <w:widowControl w:val="0"/>
                    <w:autoSpaceDE w:val="0"/>
                    <w:autoSpaceDN w:val="0"/>
                    <w:adjustRightInd w:val="0"/>
                    <w:jc w:val="center"/>
                    <w:rPr>
                      <w:rFonts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9</w:t>
                  </w:r>
                </w:p>
              </w:tc>
              <w:tc>
                <w:tcPr>
                  <w:tcW w:w="1374" w:type="dxa"/>
                  <w:noWrap w:val="0"/>
                  <w:tcMar>
                    <w:top w:w="0" w:type="dxa"/>
                    <w:left w:w="57" w:type="dxa"/>
                    <w:bottom w:w="0" w:type="dxa"/>
                    <w:right w:w="57" w:type="dxa"/>
                  </w:tcMar>
                  <w:vAlign w:val="center"/>
                </w:tcPr>
                <w:p w14:paraId="52A4BA3A">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0.011</w:t>
                  </w:r>
                </w:p>
              </w:tc>
              <w:tc>
                <w:tcPr>
                  <w:tcW w:w="514" w:type="pct"/>
                  <w:noWrap w:val="0"/>
                  <w:vAlign w:val="center"/>
                </w:tcPr>
                <w:p w14:paraId="3E42C537">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0.05</w:t>
                  </w:r>
                </w:p>
              </w:tc>
              <w:tc>
                <w:tcPr>
                  <w:tcW w:w="514" w:type="pct"/>
                  <w:noWrap w:val="0"/>
                  <w:vAlign w:val="center"/>
                </w:tcPr>
                <w:p w14:paraId="03C8A192">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4" w:type="pct"/>
                  <w:noWrap w:val="0"/>
                  <w:vAlign w:val="center"/>
                </w:tcPr>
                <w:p w14:paraId="2E2B251E">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c>
                <w:tcPr>
                  <w:tcW w:w="1374" w:type="dxa"/>
                  <w:gridSpan w:val="2"/>
                  <w:noWrap w:val="0"/>
                  <w:vAlign w:val="center"/>
                </w:tcPr>
                <w:p w14:paraId="1E70E091">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0.045</w:t>
                  </w:r>
                </w:p>
              </w:tc>
              <w:tc>
                <w:tcPr>
                  <w:tcW w:w="514" w:type="pct"/>
                  <w:noWrap w:val="0"/>
                  <w:vAlign w:val="center"/>
                </w:tcPr>
                <w:p w14:paraId="68B93F79">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ascii="Times New Roman" w:hAnsi="Times New Roman" w:eastAsia="宋体" w:cs="Times New Roman"/>
                      <w:color w:val="000000" w:themeColor="text1"/>
                      <w:kern w:val="2"/>
                      <w:sz w:val="21"/>
                      <w:szCs w:val="21"/>
                      <w14:textFill>
                        <w14:solidFill>
                          <w14:schemeClr w14:val="tx1"/>
                        </w14:solidFill>
                      </w14:textFill>
                    </w:rPr>
                    <w:t>0.0</w:t>
                  </w:r>
                  <w:r>
                    <w:rPr>
                      <w:rFonts w:hint="eastAsia" w:ascii="Times New Roman" w:hAnsi="Times New Roman" w:eastAsia="宋体" w:cs="Times New Roman"/>
                      <w:color w:val="000000" w:themeColor="text1"/>
                      <w:kern w:val="2"/>
                      <w:sz w:val="21"/>
                      <w:szCs w:val="21"/>
                      <w14:textFill>
                        <w14:solidFill>
                          <w14:schemeClr w14:val="tx1"/>
                        </w14:solidFill>
                      </w14:textFill>
                    </w:rPr>
                    <w:t>5</w:t>
                  </w:r>
                </w:p>
              </w:tc>
              <w:tc>
                <w:tcPr>
                  <w:tcW w:w="514" w:type="pct"/>
                  <w:noWrap w:val="0"/>
                  <w:vAlign w:val="center"/>
                </w:tcPr>
                <w:p w14:paraId="56C8E441">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6" w:type="pct"/>
                  <w:noWrap w:val="0"/>
                  <w:vAlign w:val="center"/>
                </w:tcPr>
                <w:p w14:paraId="6B24E470">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r>
            <w:tr w14:paraId="707A9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1" w:type="pct"/>
                  <w:vMerge w:val="continue"/>
                  <w:noWrap w:val="0"/>
                  <w:vAlign w:val="center"/>
                </w:tcPr>
                <w:p w14:paraId="1E3D7369">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1695" w:type="dxa"/>
                  <w:noWrap w:val="0"/>
                  <w:vAlign w:val="center"/>
                </w:tcPr>
                <w:p w14:paraId="5EF18E6C">
                  <w:pPr>
                    <w:widowControl w:val="0"/>
                    <w:autoSpaceDE w:val="0"/>
                    <w:autoSpaceDN w:val="0"/>
                    <w:adjustRightInd w:val="0"/>
                    <w:jc w:val="center"/>
                    <w:rPr>
                      <w:rFonts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30</w:t>
                  </w:r>
                </w:p>
              </w:tc>
              <w:tc>
                <w:tcPr>
                  <w:tcW w:w="1374" w:type="dxa"/>
                  <w:noWrap w:val="0"/>
                  <w:tcMar>
                    <w:top w:w="0" w:type="dxa"/>
                    <w:left w:w="57" w:type="dxa"/>
                    <w:bottom w:w="0" w:type="dxa"/>
                    <w:right w:w="57" w:type="dxa"/>
                  </w:tcMar>
                  <w:vAlign w:val="center"/>
                </w:tcPr>
                <w:p w14:paraId="100971ED">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0.009</w:t>
                  </w:r>
                </w:p>
              </w:tc>
              <w:tc>
                <w:tcPr>
                  <w:tcW w:w="514" w:type="pct"/>
                  <w:noWrap w:val="0"/>
                  <w:vAlign w:val="center"/>
                </w:tcPr>
                <w:p w14:paraId="56C8BBAD">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0.05</w:t>
                  </w:r>
                </w:p>
              </w:tc>
              <w:tc>
                <w:tcPr>
                  <w:tcW w:w="514" w:type="pct"/>
                  <w:noWrap w:val="0"/>
                  <w:vAlign w:val="center"/>
                </w:tcPr>
                <w:p w14:paraId="52BCCB2D">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4" w:type="pct"/>
                  <w:noWrap w:val="0"/>
                  <w:vAlign w:val="center"/>
                </w:tcPr>
                <w:p w14:paraId="45A28C54">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c>
                <w:tcPr>
                  <w:tcW w:w="1374" w:type="dxa"/>
                  <w:gridSpan w:val="2"/>
                  <w:noWrap w:val="0"/>
                  <w:vAlign w:val="center"/>
                </w:tcPr>
                <w:p w14:paraId="6E8FCDB2">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0.047</w:t>
                  </w:r>
                </w:p>
              </w:tc>
              <w:tc>
                <w:tcPr>
                  <w:tcW w:w="514" w:type="pct"/>
                  <w:noWrap w:val="0"/>
                  <w:vAlign w:val="center"/>
                </w:tcPr>
                <w:p w14:paraId="0D48C081">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ascii="Times New Roman" w:hAnsi="Times New Roman" w:eastAsia="宋体" w:cs="Times New Roman"/>
                      <w:color w:val="000000" w:themeColor="text1"/>
                      <w:kern w:val="2"/>
                      <w:sz w:val="21"/>
                      <w:szCs w:val="21"/>
                      <w14:textFill>
                        <w14:solidFill>
                          <w14:schemeClr w14:val="tx1"/>
                        </w14:solidFill>
                      </w14:textFill>
                    </w:rPr>
                    <w:t>0.0</w:t>
                  </w:r>
                  <w:r>
                    <w:rPr>
                      <w:rFonts w:hint="eastAsia" w:ascii="Times New Roman" w:hAnsi="Times New Roman" w:eastAsia="宋体" w:cs="Times New Roman"/>
                      <w:color w:val="000000" w:themeColor="text1"/>
                      <w:kern w:val="2"/>
                      <w:sz w:val="21"/>
                      <w:szCs w:val="21"/>
                      <w14:textFill>
                        <w14:solidFill>
                          <w14:schemeClr w14:val="tx1"/>
                        </w14:solidFill>
                      </w14:textFill>
                    </w:rPr>
                    <w:t>5</w:t>
                  </w:r>
                </w:p>
              </w:tc>
              <w:tc>
                <w:tcPr>
                  <w:tcW w:w="514" w:type="pct"/>
                  <w:noWrap w:val="0"/>
                  <w:vAlign w:val="center"/>
                </w:tcPr>
                <w:p w14:paraId="285FA922">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6" w:type="pct"/>
                  <w:noWrap w:val="0"/>
                  <w:vAlign w:val="center"/>
                </w:tcPr>
                <w:p w14:paraId="6B9A47EB">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r>
            <w:tr w14:paraId="78FE7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1" w:type="pct"/>
                  <w:vMerge w:val="continue"/>
                  <w:noWrap w:val="0"/>
                  <w:vAlign w:val="center"/>
                </w:tcPr>
                <w:p w14:paraId="21DD974A">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1695" w:type="dxa"/>
                  <w:noWrap w:val="0"/>
                  <w:vAlign w:val="center"/>
                </w:tcPr>
                <w:p w14:paraId="531CBFEA">
                  <w:pPr>
                    <w:widowControl w:val="0"/>
                    <w:autoSpaceDE w:val="0"/>
                    <w:autoSpaceDN w:val="0"/>
                    <w:adjustRightInd w:val="0"/>
                    <w:jc w:val="center"/>
                    <w:rPr>
                      <w:rFonts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2026.07.01</w:t>
                  </w:r>
                </w:p>
              </w:tc>
              <w:tc>
                <w:tcPr>
                  <w:tcW w:w="1374" w:type="dxa"/>
                  <w:noWrap w:val="0"/>
                  <w:tcMar>
                    <w:top w:w="0" w:type="dxa"/>
                    <w:left w:w="57" w:type="dxa"/>
                    <w:bottom w:w="0" w:type="dxa"/>
                    <w:right w:w="57" w:type="dxa"/>
                  </w:tcMar>
                  <w:vAlign w:val="center"/>
                </w:tcPr>
                <w:p w14:paraId="7D9494C3">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0.011</w:t>
                  </w:r>
                </w:p>
              </w:tc>
              <w:tc>
                <w:tcPr>
                  <w:tcW w:w="514" w:type="pct"/>
                  <w:noWrap w:val="0"/>
                  <w:vAlign w:val="center"/>
                </w:tcPr>
                <w:p w14:paraId="7AAD49CD">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0.05</w:t>
                  </w:r>
                </w:p>
              </w:tc>
              <w:tc>
                <w:tcPr>
                  <w:tcW w:w="514" w:type="pct"/>
                  <w:noWrap w:val="0"/>
                  <w:vAlign w:val="center"/>
                </w:tcPr>
                <w:p w14:paraId="425E4ACA">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4" w:type="pct"/>
                  <w:noWrap w:val="0"/>
                  <w:vAlign w:val="center"/>
                </w:tcPr>
                <w:p w14:paraId="17BF8584">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c>
                <w:tcPr>
                  <w:tcW w:w="1374" w:type="dxa"/>
                  <w:gridSpan w:val="2"/>
                  <w:noWrap w:val="0"/>
                  <w:vAlign w:val="center"/>
                </w:tcPr>
                <w:p w14:paraId="502017AD">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0.042</w:t>
                  </w:r>
                </w:p>
              </w:tc>
              <w:tc>
                <w:tcPr>
                  <w:tcW w:w="514" w:type="pct"/>
                  <w:noWrap w:val="0"/>
                  <w:vAlign w:val="center"/>
                </w:tcPr>
                <w:p w14:paraId="2182B164">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ascii="Times New Roman" w:hAnsi="Times New Roman" w:eastAsia="宋体" w:cs="Times New Roman"/>
                      <w:color w:val="000000" w:themeColor="text1"/>
                      <w:kern w:val="2"/>
                      <w:sz w:val="21"/>
                      <w:szCs w:val="21"/>
                      <w14:textFill>
                        <w14:solidFill>
                          <w14:schemeClr w14:val="tx1"/>
                        </w14:solidFill>
                      </w14:textFill>
                    </w:rPr>
                    <w:t>0.0</w:t>
                  </w:r>
                  <w:r>
                    <w:rPr>
                      <w:rFonts w:hint="eastAsia" w:ascii="Times New Roman" w:hAnsi="Times New Roman" w:eastAsia="宋体" w:cs="Times New Roman"/>
                      <w:color w:val="000000" w:themeColor="text1"/>
                      <w:kern w:val="2"/>
                      <w:sz w:val="21"/>
                      <w:szCs w:val="21"/>
                      <w14:textFill>
                        <w14:solidFill>
                          <w14:schemeClr w14:val="tx1"/>
                        </w14:solidFill>
                      </w14:textFill>
                    </w:rPr>
                    <w:t>5</w:t>
                  </w:r>
                </w:p>
              </w:tc>
              <w:tc>
                <w:tcPr>
                  <w:tcW w:w="514" w:type="pct"/>
                  <w:noWrap w:val="0"/>
                  <w:vAlign w:val="center"/>
                </w:tcPr>
                <w:p w14:paraId="02C5AA99">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6" w:type="pct"/>
                  <w:noWrap w:val="0"/>
                  <w:vAlign w:val="center"/>
                </w:tcPr>
                <w:p w14:paraId="06DAE01E">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r>
            <w:tr w14:paraId="50D94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1" w:type="pct"/>
                  <w:vMerge w:val="continue"/>
                  <w:noWrap w:val="0"/>
                  <w:vAlign w:val="center"/>
                </w:tcPr>
                <w:p w14:paraId="48C4B804">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1695" w:type="dxa"/>
                  <w:noWrap w:val="0"/>
                  <w:vAlign w:val="center"/>
                </w:tcPr>
                <w:p w14:paraId="305269F2">
                  <w:pPr>
                    <w:widowControl w:val="0"/>
                    <w:autoSpaceDE w:val="0"/>
                    <w:autoSpaceDN w:val="0"/>
                    <w:adjustRightInd w:val="0"/>
                    <w:jc w:val="center"/>
                    <w:rPr>
                      <w:rFonts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7</w:t>
                  </w: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02</w:t>
                  </w:r>
                </w:p>
              </w:tc>
              <w:tc>
                <w:tcPr>
                  <w:tcW w:w="1374" w:type="dxa"/>
                  <w:noWrap w:val="0"/>
                  <w:tcMar>
                    <w:top w:w="0" w:type="dxa"/>
                    <w:left w:w="57" w:type="dxa"/>
                    <w:bottom w:w="0" w:type="dxa"/>
                    <w:right w:w="57" w:type="dxa"/>
                  </w:tcMar>
                  <w:vAlign w:val="center"/>
                </w:tcPr>
                <w:p w14:paraId="198BB727">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0.010</w:t>
                  </w:r>
                </w:p>
              </w:tc>
              <w:tc>
                <w:tcPr>
                  <w:tcW w:w="514" w:type="pct"/>
                  <w:noWrap w:val="0"/>
                  <w:vAlign w:val="center"/>
                </w:tcPr>
                <w:p w14:paraId="33903494">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0.05</w:t>
                  </w:r>
                </w:p>
              </w:tc>
              <w:tc>
                <w:tcPr>
                  <w:tcW w:w="514" w:type="pct"/>
                  <w:noWrap w:val="0"/>
                  <w:vAlign w:val="center"/>
                </w:tcPr>
                <w:p w14:paraId="1A46D253">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4" w:type="pct"/>
                  <w:noWrap w:val="0"/>
                  <w:vAlign w:val="center"/>
                </w:tcPr>
                <w:p w14:paraId="54EEAB49">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c>
                <w:tcPr>
                  <w:tcW w:w="1374" w:type="dxa"/>
                  <w:gridSpan w:val="2"/>
                  <w:noWrap w:val="0"/>
                  <w:vAlign w:val="center"/>
                </w:tcPr>
                <w:p w14:paraId="5B368B97">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0.044</w:t>
                  </w:r>
                </w:p>
              </w:tc>
              <w:tc>
                <w:tcPr>
                  <w:tcW w:w="514" w:type="pct"/>
                  <w:noWrap w:val="0"/>
                  <w:vAlign w:val="center"/>
                </w:tcPr>
                <w:p w14:paraId="7AB77AFD">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ascii="Times New Roman" w:hAnsi="Times New Roman" w:eastAsia="宋体" w:cs="Times New Roman"/>
                      <w:color w:val="000000" w:themeColor="text1"/>
                      <w:kern w:val="2"/>
                      <w:sz w:val="21"/>
                      <w:szCs w:val="21"/>
                      <w14:textFill>
                        <w14:solidFill>
                          <w14:schemeClr w14:val="tx1"/>
                        </w14:solidFill>
                      </w14:textFill>
                    </w:rPr>
                    <w:t>0.0</w:t>
                  </w:r>
                  <w:r>
                    <w:rPr>
                      <w:rFonts w:hint="eastAsia" w:ascii="Times New Roman" w:hAnsi="Times New Roman" w:eastAsia="宋体" w:cs="Times New Roman"/>
                      <w:color w:val="000000" w:themeColor="text1"/>
                      <w:kern w:val="2"/>
                      <w:sz w:val="21"/>
                      <w:szCs w:val="21"/>
                      <w14:textFill>
                        <w14:solidFill>
                          <w14:schemeClr w14:val="tx1"/>
                        </w14:solidFill>
                      </w14:textFill>
                    </w:rPr>
                    <w:t>5</w:t>
                  </w:r>
                </w:p>
              </w:tc>
              <w:tc>
                <w:tcPr>
                  <w:tcW w:w="514" w:type="pct"/>
                  <w:noWrap w:val="0"/>
                  <w:vAlign w:val="center"/>
                </w:tcPr>
                <w:p w14:paraId="7A1CDF05">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6" w:type="pct"/>
                  <w:noWrap w:val="0"/>
                  <w:vAlign w:val="center"/>
                </w:tcPr>
                <w:p w14:paraId="1AAB6D35">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r>
            <w:tr w14:paraId="53E6C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1" w:type="pct"/>
                  <w:vMerge w:val="continue"/>
                  <w:noWrap w:val="0"/>
                  <w:vAlign w:val="center"/>
                </w:tcPr>
                <w:p w14:paraId="2BE9F789">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1695" w:type="dxa"/>
                  <w:noWrap w:val="0"/>
                  <w:vAlign w:val="center"/>
                </w:tcPr>
                <w:p w14:paraId="2C239BE4">
                  <w:pPr>
                    <w:widowControl w:val="0"/>
                    <w:autoSpaceDE w:val="0"/>
                    <w:autoSpaceDN w:val="0"/>
                    <w:adjustRightInd w:val="0"/>
                    <w:jc w:val="center"/>
                    <w:rPr>
                      <w:rFonts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7</w:t>
                  </w: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03</w:t>
                  </w:r>
                </w:p>
              </w:tc>
              <w:tc>
                <w:tcPr>
                  <w:tcW w:w="1374" w:type="dxa"/>
                  <w:noWrap w:val="0"/>
                  <w:tcMar>
                    <w:top w:w="0" w:type="dxa"/>
                    <w:left w:w="57" w:type="dxa"/>
                    <w:bottom w:w="0" w:type="dxa"/>
                    <w:right w:w="57" w:type="dxa"/>
                  </w:tcMar>
                  <w:vAlign w:val="center"/>
                </w:tcPr>
                <w:p w14:paraId="4DC04756">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0.010</w:t>
                  </w:r>
                </w:p>
              </w:tc>
              <w:tc>
                <w:tcPr>
                  <w:tcW w:w="514" w:type="pct"/>
                  <w:noWrap w:val="0"/>
                  <w:vAlign w:val="center"/>
                </w:tcPr>
                <w:p w14:paraId="2D741004">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0.05</w:t>
                  </w:r>
                </w:p>
              </w:tc>
              <w:tc>
                <w:tcPr>
                  <w:tcW w:w="514" w:type="pct"/>
                  <w:noWrap w:val="0"/>
                  <w:vAlign w:val="center"/>
                </w:tcPr>
                <w:p w14:paraId="0A389186">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4" w:type="pct"/>
                  <w:noWrap w:val="0"/>
                  <w:vAlign w:val="center"/>
                </w:tcPr>
                <w:p w14:paraId="125DB1C8">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c>
                <w:tcPr>
                  <w:tcW w:w="1374" w:type="dxa"/>
                  <w:gridSpan w:val="2"/>
                  <w:noWrap w:val="0"/>
                  <w:vAlign w:val="center"/>
                </w:tcPr>
                <w:p w14:paraId="7515D295">
                  <w:pPr>
                    <w:widowControl/>
                    <w:adjustRightInd w:val="0"/>
                    <w:snapToGrid w:val="0"/>
                    <w:jc w:val="center"/>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0.046</w:t>
                  </w:r>
                </w:p>
              </w:tc>
              <w:tc>
                <w:tcPr>
                  <w:tcW w:w="514" w:type="pct"/>
                  <w:noWrap w:val="0"/>
                  <w:vAlign w:val="center"/>
                </w:tcPr>
                <w:p w14:paraId="46DB37ED">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ascii="Times New Roman" w:hAnsi="Times New Roman" w:eastAsia="宋体" w:cs="Times New Roman"/>
                      <w:color w:val="000000" w:themeColor="text1"/>
                      <w:kern w:val="2"/>
                      <w:sz w:val="21"/>
                      <w:szCs w:val="21"/>
                      <w14:textFill>
                        <w14:solidFill>
                          <w14:schemeClr w14:val="tx1"/>
                        </w14:solidFill>
                      </w14:textFill>
                    </w:rPr>
                    <w:t>0.0</w:t>
                  </w:r>
                  <w:r>
                    <w:rPr>
                      <w:rFonts w:hint="eastAsia" w:ascii="Times New Roman" w:hAnsi="Times New Roman" w:eastAsia="宋体" w:cs="Times New Roman"/>
                      <w:color w:val="000000" w:themeColor="text1"/>
                      <w:kern w:val="2"/>
                      <w:sz w:val="21"/>
                      <w:szCs w:val="21"/>
                      <w14:textFill>
                        <w14:solidFill>
                          <w14:schemeClr w14:val="tx1"/>
                        </w14:solidFill>
                      </w14:textFill>
                    </w:rPr>
                    <w:t>5</w:t>
                  </w:r>
                </w:p>
              </w:tc>
              <w:tc>
                <w:tcPr>
                  <w:tcW w:w="514" w:type="pct"/>
                  <w:noWrap w:val="0"/>
                  <w:vAlign w:val="center"/>
                </w:tcPr>
                <w:p w14:paraId="29A57CEF">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6" w:type="pct"/>
                  <w:noWrap w:val="0"/>
                  <w:vAlign w:val="center"/>
                </w:tcPr>
                <w:p w14:paraId="5BC47909">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r>
            <w:tr w14:paraId="00D21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11"/>
                  <w:noWrap w:val="0"/>
                  <w:vAlign w:val="center"/>
                </w:tcPr>
                <w:p w14:paraId="707B66A7">
                  <w:pPr>
                    <w:widowControl w:val="0"/>
                    <w:adjustRightInd w:val="0"/>
                    <w:snapToGrid w:val="0"/>
                    <w:jc w:val="left"/>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备注：</w:t>
                  </w:r>
                  <w:r>
                    <w:rPr>
                      <w:rFonts w:hint="eastAsia" w:cs="Times New Roman"/>
                      <w:color w:val="000000" w:themeColor="text1"/>
                      <w:kern w:val="2"/>
                      <w:sz w:val="21"/>
                      <w:szCs w:val="21"/>
                      <w:lang w:val="en-US" w:eastAsia="zh-CN" w:bidi="ar-SA"/>
                      <w14:textFill>
                        <w14:solidFill>
                          <w14:schemeClr w14:val="tx1"/>
                        </w14:solidFill>
                      </w14:textFill>
                    </w:rPr>
                    <w:t>“</w:t>
                  </w: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检出限+L</w:t>
                  </w:r>
                  <w:r>
                    <w:rPr>
                      <w:rFonts w:hint="eastAsia" w:cs="Times New Roman"/>
                      <w:color w:val="000000" w:themeColor="text1"/>
                      <w:kern w:val="2"/>
                      <w:sz w:val="21"/>
                      <w:szCs w:val="21"/>
                      <w:lang w:val="en-US" w:eastAsia="zh-CN" w:bidi="ar-SA"/>
                      <w14:textFill>
                        <w14:solidFill>
                          <w14:schemeClr w14:val="tx1"/>
                        </w14:solidFill>
                      </w14:textFill>
                    </w:rPr>
                    <w:t>”</w:t>
                  </w: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表示检测结果低于方法检出限。</w:t>
                  </w:r>
                </w:p>
              </w:tc>
            </w:tr>
          </w:tbl>
          <w:p w14:paraId="554C07CE">
            <w:pPr>
              <w:widowControl/>
              <w:jc w:val="center"/>
              <w:rPr>
                <w:rFonts w:ascii="Times New Roman" w:hAnsi="Times New Roman" w:eastAsia="宋体" w:cs="Times New Roman"/>
                <w:b/>
                <w:color w:val="000000" w:themeColor="text1"/>
                <w:kern w:val="2"/>
                <w:sz w:val="21"/>
                <w:szCs w:val="21"/>
                <w14:textFill>
                  <w14:solidFill>
                    <w14:schemeClr w14:val="tx1"/>
                  </w14:solidFill>
                </w14:textFill>
              </w:rPr>
            </w:pPr>
            <w:r>
              <w:rPr>
                <w:rFonts w:ascii="Times New Roman" w:hAnsi="Times New Roman" w:eastAsia="宋体" w:cs="Times New Roman"/>
                <w:b/>
                <w:color w:val="000000" w:themeColor="text1"/>
                <w:kern w:val="2"/>
                <w:sz w:val="21"/>
                <w:szCs w:val="21"/>
                <w14:textFill>
                  <w14:solidFill>
                    <w14:schemeClr w14:val="tx1"/>
                  </w14:solidFill>
                </w14:textFill>
              </w:rPr>
              <w:t>表</w:t>
            </w:r>
            <w:r>
              <w:rPr>
                <w:rFonts w:hint="eastAsia" w:cs="Times New Roman"/>
                <w:b/>
                <w:color w:val="000000" w:themeColor="text1"/>
                <w:kern w:val="2"/>
                <w:sz w:val="21"/>
                <w:szCs w:val="21"/>
                <w:lang w:val="en-US" w:eastAsia="zh-CN"/>
                <w14:textFill>
                  <w14:solidFill>
                    <w14:schemeClr w14:val="tx1"/>
                  </w14:solidFill>
                </w14:textFill>
              </w:rPr>
              <w:t>3-6</w:t>
            </w:r>
            <w:r>
              <w:rPr>
                <w:rFonts w:ascii="Times New Roman" w:hAnsi="Times New Roman" w:eastAsia="宋体" w:cs="Times New Roman"/>
                <w:b/>
                <w:color w:val="000000" w:themeColor="text1"/>
                <w:kern w:val="2"/>
                <w:sz w:val="21"/>
                <w:szCs w:val="21"/>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14:textFill>
                  <w14:solidFill>
                    <w14:schemeClr w14:val="tx1"/>
                  </w14:solidFill>
                </w14:textFill>
              </w:rPr>
              <w:t>PM</w:t>
            </w:r>
            <w:r>
              <w:rPr>
                <w:rFonts w:hint="eastAsia" w:ascii="Times New Roman" w:hAnsi="Times New Roman" w:eastAsia="宋体" w:cs="Times New Roman"/>
                <w:b/>
                <w:color w:val="000000" w:themeColor="text1"/>
                <w:kern w:val="2"/>
                <w:sz w:val="21"/>
                <w:szCs w:val="21"/>
                <w:vertAlign w:val="subscript"/>
                <w14:textFill>
                  <w14:solidFill>
                    <w14:schemeClr w14:val="tx1"/>
                  </w14:solidFill>
                </w14:textFill>
              </w:rPr>
              <w:t>2.5</w:t>
            </w:r>
            <w:r>
              <w:rPr>
                <w:rFonts w:ascii="Times New Roman" w:hAnsi="Times New Roman" w:eastAsia="宋体" w:cs="Times New Roman"/>
                <w:b/>
                <w:color w:val="000000" w:themeColor="text1"/>
                <w:kern w:val="2"/>
                <w:sz w:val="21"/>
                <w:szCs w:val="21"/>
                <w14:textFill>
                  <w14:solidFill>
                    <w14:schemeClr w14:val="tx1"/>
                  </w14:solidFill>
                </w14:textFill>
              </w:rPr>
              <w:t>、</w:t>
            </w:r>
            <w:r>
              <w:rPr>
                <w:rFonts w:hint="eastAsia" w:ascii="Times New Roman" w:hAnsi="Times New Roman" w:eastAsia="宋体" w:cs="Times New Roman"/>
                <w:b/>
                <w:color w:val="000000" w:themeColor="text1"/>
                <w:kern w:val="2"/>
                <w:sz w:val="21"/>
                <w:szCs w:val="21"/>
                <w14:textFill>
                  <w14:solidFill>
                    <w14:schemeClr w14:val="tx1"/>
                  </w14:solidFill>
                </w14:textFill>
              </w:rPr>
              <w:t>TSP</w:t>
            </w:r>
            <w:r>
              <w:rPr>
                <w:rFonts w:ascii="Times New Roman" w:hAnsi="Times New Roman" w:eastAsia="宋体" w:cs="Times New Roman"/>
                <w:b/>
                <w:color w:val="000000" w:themeColor="text1"/>
                <w:kern w:val="2"/>
                <w:sz w:val="21"/>
                <w:szCs w:val="21"/>
                <w14:textFill>
                  <w14:solidFill>
                    <w14:schemeClr w14:val="tx1"/>
                  </w14:solidFill>
                </w14:textFill>
              </w:rPr>
              <w:t>日均值监测结果统计表</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1738"/>
              <w:gridCol w:w="1372"/>
              <w:gridCol w:w="1372"/>
              <w:gridCol w:w="1372"/>
              <w:gridCol w:w="1372"/>
              <w:gridCol w:w="1372"/>
              <w:gridCol w:w="1372"/>
              <w:gridCol w:w="1372"/>
              <w:gridCol w:w="1376"/>
            </w:tblGrid>
            <w:tr w14:paraId="70F5E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 w:type="pct"/>
                  <w:vMerge w:val="restart"/>
                  <w:noWrap w:val="0"/>
                  <w:vAlign w:val="center"/>
                </w:tcPr>
                <w:p w14:paraId="212BCFCD">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监测点位</w:t>
                  </w:r>
                </w:p>
              </w:tc>
              <w:tc>
                <w:tcPr>
                  <w:tcW w:w="650" w:type="pct"/>
                  <w:vMerge w:val="restart"/>
                  <w:noWrap w:val="0"/>
                  <w:vAlign w:val="center"/>
                </w:tcPr>
                <w:p w14:paraId="7A5E7C61">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监测时间</w:t>
                  </w:r>
                </w:p>
              </w:tc>
              <w:tc>
                <w:tcPr>
                  <w:tcW w:w="2052" w:type="pct"/>
                  <w:gridSpan w:val="4"/>
                  <w:noWrap w:val="0"/>
                  <w:tcMar>
                    <w:top w:w="0" w:type="dxa"/>
                    <w:left w:w="57" w:type="dxa"/>
                    <w:bottom w:w="0" w:type="dxa"/>
                    <w:right w:w="57" w:type="dxa"/>
                  </w:tcMar>
                  <w:vAlign w:val="center"/>
                </w:tcPr>
                <w:p w14:paraId="2310CABE">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hint="eastAsia" w:ascii="Times New Roman" w:hAnsi="Times New Roman" w:eastAsia="宋体" w:cs="Times New Roman"/>
                      <w:b/>
                      <w:bCs w:val="0"/>
                      <w:color w:val="000000" w:themeColor="text1"/>
                      <w:kern w:val="2"/>
                      <w:sz w:val="21"/>
                      <w:szCs w:val="21"/>
                      <w14:textFill>
                        <w14:solidFill>
                          <w14:schemeClr w14:val="tx1"/>
                        </w14:solidFill>
                      </w14:textFill>
                    </w:rPr>
                    <w:t>PM</w:t>
                  </w:r>
                  <w:r>
                    <w:rPr>
                      <w:rFonts w:hint="eastAsia" w:ascii="Times New Roman" w:hAnsi="Times New Roman" w:eastAsia="宋体" w:cs="Times New Roman"/>
                      <w:b/>
                      <w:bCs w:val="0"/>
                      <w:color w:val="000000" w:themeColor="text1"/>
                      <w:kern w:val="2"/>
                      <w:sz w:val="21"/>
                      <w:szCs w:val="21"/>
                      <w:vertAlign w:val="subscript"/>
                      <w14:textFill>
                        <w14:solidFill>
                          <w14:schemeClr w14:val="tx1"/>
                        </w14:solidFill>
                      </w14:textFill>
                    </w:rPr>
                    <w:t>2.5</w:t>
                  </w:r>
                </w:p>
              </w:tc>
              <w:tc>
                <w:tcPr>
                  <w:tcW w:w="2054" w:type="pct"/>
                  <w:gridSpan w:val="4"/>
                  <w:noWrap w:val="0"/>
                  <w:vAlign w:val="center"/>
                </w:tcPr>
                <w:p w14:paraId="133816FD">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TSP</w:t>
                  </w:r>
                </w:p>
              </w:tc>
            </w:tr>
            <w:tr w14:paraId="7C726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 w:type="pct"/>
                  <w:vMerge w:val="continue"/>
                  <w:noWrap w:val="0"/>
                  <w:vAlign w:val="center"/>
                </w:tcPr>
                <w:p w14:paraId="64A581F2">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p>
              </w:tc>
              <w:tc>
                <w:tcPr>
                  <w:tcW w:w="650" w:type="pct"/>
                  <w:vMerge w:val="continue"/>
                  <w:noWrap w:val="0"/>
                  <w:vAlign w:val="center"/>
                </w:tcPr>
                <w:p w14:paraId="0BCC346F">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p>
              </w:tc>
              <w:tc>
                <w:tcPr>
                  <w:tcW w:w="513" w:type="pct"/>
                  <w:noWrap w:val="0"/>
                  <w:tcMar>
                    <w:top w:w="0" w:type="dxa"/>
                    <w:left w:w="57" w:type="dxa"/>
                    <w:bottom w:w="0" w:type="dxa"/>
                    <w:right w:w="57" w:type="dxa"/>
                  </w:tcMar>
                  <w:vAlign w:val="center"/>
                </w:tcPr>
                <w:p w14:paraId="7C3E923C">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监测结果（mg/m</w:t>
                  </w:r>
                  <w:r>
                    <w:rPr>
                      <w:rFonts w:ascii="Times New Roman" w:hAnsi="Times New Roman" w:eastAsia="宋体" w:cs="Times New Roman"/>
                      <w:b/>
                      <w:bCs w:val="0"/>
                      <w:color w:val="000000" w:themeColor="text1"/>
                      <w:kern w:val="2"/>
                      <w:sz w:val="21"/>
                      <w:szCs w:val="21"/>
                      <w:vertAlign w:val="superscript"/>
                      <w14:textFill>
                        <w14:solidFill>
                          <w14:schemeClr w14:val="tx1"/>
                        </w14:solidFill>
                      </w14:textFill>
                    </w:rPr>
                    <w:t>3</w:t>
                  </w:r>
                  <w:r>
                    <w:rPr>
                      <w:rFonts w:ascii="Times New Roman" w:hAnsi="Times New Roman" w:eastAsia="宋体" w:cs="Times New Roman"/>
                      <w:b/>
                      <w:bCs w:val="0"/>
                      <w:color w:val="000000" w:themeColor="text1"/>
                      <w:kern w:val="2"/>
                      <w:sz w:val="21"/>
                      <w:szCs w:val="21"/>
                      <w14:textFill>
                        <w14:solidFill>
                          <w14:schemeClr w14:val="tx1"/>
                        </w14:solidFill>
                      </w14:textFill>
                    </w:rPr>
                    <w:t>）</w:t>
                  </w:r>
                </w:p>
              </w:tc>
              <w:tc>
                <w:tcPr>
                  <w:tcW w:w="513" w:type="pct"/>
                  <w:noWrap w:val="0"/>
                  <w:vAlign w:val="center"/>
                </w:tcPr>
                <w:p w14:paraId="55478B58">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标准值（mg/m</w:t>
                  </w:r>
                  <w:r>
                    <w:rPr>
                      <w:rFonts w:ascii="Times New Roman" w:hAnsi="Times New Roman" w:eastAsia="宋体" w:cs="Times New Roman"/>
                      <w:b/>
                      <w:bCs w:val="0"/>
                      <w:color w:val="000000" w:themeColor="text1"/>
                      <w:kern w:val="2"/>
                      <w:sz w:val="21"/>
                      <w:szCs w:val="21"/>
                      <w:vertAlign w:val="superscript"/>
                      <w14:textFill>
                        <w14:solidFill>
                          <w14:schemeClr w14:val="tx1"/>
                        </w14:solidFill>
                      </w14:textFill>
                    </w:rPr>
                    <w:t>3</w:t>
                  </w:r>
                  <w:r>
                    <w:rPr>
                      <w:rFonts w:ascii="Times New Roman" w:hAnsi="Times New Roman" w:eastAsia="宋体" w:cs="Times New Roman"/>
                      <w:b/>
                      <w:bCs w:val="0"/>
                      <w:color w:val="000000" w:themeColor="text1"/>
                      <w:kern w:val="2"/>
                      <w:sz w:val="21"/>
                      <w:szCs w:val="21"/>
                      <w14:textFill>
                        <w14:solidFill>
                          <w14:schemeClr w14:val="tx1"/>
                        </w14:solidFill>
                      </w14:textFill>
                    </w:rPr>
                    <w:t>）</w:t>
                  </w:r>
                </w:p>
              </w:tc>
              <w:tc>
                <w:tcPr>
                  <w:tcW w:w="513" w:type="pct"/>
                  <w:noWrap w:val="0"/>
                  <w:vAlign w:val="center"/>
                </w:tcPr>
                <w:p w14:paraId="2BE02C56">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超标率（%）</w:t>
                  </w:r>
                </w:p>
              </w:tc>
              <w:tc>
                <w:tcPr>
                  <w:tcW w:w="513" w:type="pct"/>
                  <w:noWrap w:val="0"/>
                  <w:vAlign w:val="center"/>
                </w:tcPr>
                <w:p w14:paraId="44EC89AF">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是否达标</w:t>
                  </w:r>
                </w:p>
              </w:tc>
              <w:tc>
                <w:tcPr>
                  <w:tcW w:w="513" w:type="pct"/>
                  <w:noWrap w:val="0"/>
                  <w:vAlign w:val="center"/>
                </w:tcPr>
                <w:p w14:paraId="00541D3D">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监测结果（mg/m</w:t>
                  </w:r>
                  <w:r>
                    <w:rPr>
                      <w:rFonts w:ascii="Times New Roman" w:hAnsi="Times New Roman" w:eastAsia="宋体" w:cs="Times New Roman"/>
                      <w:b/>
                      <w:bCs w:val="0"/>
                      <w:color w:val="000000" w:themeColor="text1"/>
                      <w:kern w:val="2"/>
                      <w:sz w:val="21"/>
                      <w:szCs w:val="21"/>
                      <w:vertAlign w:val="superscript"/>
                      <w14:textFill>
                        <w14:solidFill>
                          <w14:schemeClr w14:val="tx1"/>
                        </w14:solidFill>
                      </w14:textFill>
                    </w:rPr>
                    <w:t>3</w:t>
                  </w:r>
                  <w:r>
                    <w:rPr>
                      <w:rFonts w:ascii="Times New Roman" w:hAnsi="Times New Roman" w:eastAsia="宋体" w:cs="Times New Roman"/>
                      <w:b/>
                      <w:bCs w:val="0"/>
                      <w:color w:val="000000" w:themeColor="text1"/>
                      <w:kern w:val="2"/>
                      <w:sz w:val="21"/>
                      <w:szCs w:val="21"/>
                      <w14:textFill>
                        <w14:solidFill>
                          <w14:schemeClr w14:val="tx1"/>
                        </w14:solidFill>
                      </w14:textFill>
                    </w:rPr>
                    <w:t>）</w:t>
                  </w:r>
                </w:p>
              </w:tc>
              <w:tc>
                <w:tcPr>
                  <w:tcW w:w="513" w:type="pct"/>
                  <w:noWrap w:val="0"/>
                  <w:vAlign w:val="center"/>
                </w:tcPr>
                <w:p w14:paraId="76ED0109">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标准值（mg/m</w:t>
                  </w:r>
                  <w:r>
                    <w:rPr>
                      <w:rFonts w:ascii="Times New Roman" w:hAnsi="Times New Roman" w:eastAsia="宋体" w:cs="Times New Roman"/>
                      <w:b/>
                      <w:bCs w:val="0"/>
                      <w:color w:val="000000" w:themeColor="text1"/>
                      <w:kern w:val="2"/>
                      <w:sz w:val="21"/>
                      <w:szCs w:val="21"/>
                      <w:vertAlign w:val="superscript"/>
                      <w14:textFill>
                        <w14:solidFill>
                          <w14:schemeClr w14:val="tx1"/>
                        </w14:solidFill>
                      </w14:textFill>
                    </w:rPr>
                    <w:t>3</w:t>
                  </w:r>
                  <w:r>
                    <w:rPr>
                      <w:rFonts w:ascii="Times New Roman" w:hAnsi="Times New Roman" w:eastAsia="宋体" w:cs="Times New Roman"/>
                      <w:b/>
                      <w:bCs w:val="0"/>
                      <w:color w:val="000000" w:themeColor="text1"/>
                      <w:kern w:val="2"/>
                      <w:sz w:val="21"/>
                      <w:szCs w:val="21"/>
                      <w14:textFill>
                        <w14:solidFill>
                          <w14:schemeClr w14:val="tx1"/>
                        </w14:solidFill>
                      </w14:textFill>
                    </w:rPr>
                    <w:t>）</w:t>
                  </w:r>
                </w:p>
              </w:tc>
              <w:tc>
                <w:tcPr>
                  <w:tcW w:w="513" w:type="pct"/>
                  <w:noWrap w:val="0"/>
                  <w:vAlign w:val="center"/>
                </w:tcPr>
                <w:p w14:paraId="1AB331E7">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超标率（%）</w:t>
                  </w:r>
                </w:p>
              </w:tc>
              <w:tc>
                <w:tcPr>
                  <w:tcW w:w="514" w:type="pct"/>
                  <w:noWrap w:val="0"/>
                  <w:vAlign w:val="center"/>
                </w:tcPr>
                <w:p w14:paraId="6036750D">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是否达标</w:t>
                  </w:r>
                </w:p>
              </w:tc>
            </w:tr>
            <w:tr w14:paraId="23C72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 w:type="pct"/>
                  <w:vMerge w:val="restart"/>
                  <w:noWrap w:val="0"/>
                  <w:vAlign w:val="center"/>
                </w:tcPr>
                <w:p w14:paraId="5B8A56A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翠柏自然保护区</w:t>
                  </w:r>
                </w:p>
              </w:tc>
              <w:tc>
                <w:tcPr>
                  <w:tcW w:w="1738" w:type="dxa"/>
                  <w:noWrap w:val="0"/>
                  <w:vAlign w:val="center"/>
                </w:tcPr>
                <w:p w14:paraId="04CB01BD">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2026.06.27</w:t>
                  </w:r>
                </w:p>
              </w:tc>
              <w:tc>
                <w:tcPr>
                  <w:tcW w:w="1372" w:type="dxa"/>
                  <w:noWrap w:val="0"/>
                  <w:tcMar>
                    <w:top w:w="0" w:type="dxa"/>
                    <w:left w:w="57" w:type="dxa"/>
                    <w:bottom w:w="0" w:type="dxa"/>
                    <w:right w:w="57" w:type="dxa"/>
                  </w:tcMar>
                  <w:vAlign w:val="center"/>
                </w:tcPr>
                <w:p w14:paraId="59B8BFC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0.028</w:t>
                  </w:r>
                </w:p>
              </w:tc>
              <w:tc>
                <w:tcPr>
                  <w:tcW w:w="513" w:type="pct"/>
                  <w:noWrap w:val="0"/>
                  <w:vAlign w:val="center"/>
                </w:tcPr>
                <w:p w14:paraId="40DAFAD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3</w:t>
                  </w:r>
                  <w:r>
                    <w:rPr>
                      <w:rFonts w:ascii="Times New Roman" w:hAnsi="Times New Roman" w:eastAsia="宋体" w:cs="Times New Roman"/>
                      <w:b w:val="0"/>
                      <w:bCs/>
                      <w:color w:val="000000" w:themeColor="text1"/>
                      <w:kern w:val="2"/>
                      <w:sz w:val="21"/>
                      <w:szCs w:val="21"/>
                      <w14:textFill>
                        <w14:solidFill>
                          <w14:schemeClr w14:val="tx1"/>
                        </w14:solidFill>
                      </w14:textFill>
                    </w:rPr>
                    <w:t>5</w:t>
                  </w:r>
                </w:p>
              </w:tc>
              <w:tc>
                <w:tcPr>
                  <w:tcW w:w="513" w:type="pct"/>
                  <w:noWrap w:val="0"/>
                  <w:vAlign w:val="center"/>
                </w:tcPr>
                <w:p w14:paraId="45D0AE0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3" w:type="pct"/>
                  <w:noWrap w:val="0"/>
                  <w:vAlign w:val="center"/>
                </w:tcPr>
                <w:p w14:paraId="6CD48F6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372" w:type="dxa"/>
                  <w:noWrap w:val="0"/>
                  <w:vAlign w:val="center"/>
                </w:tcPr>
                <w:p w14:paraId="42408013">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0.089</w:t>
                  </w:r>
                </w:p>
              </w:tc>
              <w:tc>
                <w:tcPr>
                  <w:tcW w:w="513" w:type="pct"/>
                  <w:noWrap w:val="0"/>
                  <w:vAlign w:val="center"/>
                </w:tcPr>
                <w:p w14:paraId="3D1230C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12</w:t>
                  </w:r>
                </w:p>
              </w:tc>
              <w:tc>
                <w:tcPr>
                  <w:tcW w:w="513" w:type="pct"/>
                  <w:noWrap w:val="0"/>
                  <w:vAlign w:val="center"/>
                </w:tcPr>
                <w:p w14:paraId="5096EFD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4" w:type="pct"/>
                  <w:noWrap w:val="0"/>
                  <w:vAlign w:val="center"/>
                </w:tcPr>
                <w:p w14:paraId="4DAACE7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76A63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 w:type="pct"/>
                  <w:vMerge w:val="continue"/>
                  <w:noWrap w:val="0"/>
                  <w:vAlign w:val="center"/>
                </w:tcPr>
                <w:p w14:paraId="52400A1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1738" w:type="dxa"/>
                  <w:noWrap w:val="0"/>
                  <w:vAlign w:val="center"/>
                </w:tcPr>
                <w:p w14:paraId="398CAA19">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8</w:t>
                  </w:r>
                </w:p>
              </w:tc>
              <w:tc>
                <w:tcPr>
                  <w:tcW w:w="1372" w:type="dxa"/>
                  <w:noWrap w:val="0"/>
                  <w:tcMar>
                    <w:top w:w="0" w:type="dxa"/>
                    <w:left w:w="57" w:type="dxa"/>
                    <w:bottom w:w="0" w:type="dxa"/>
                    <w:right w:w="57" w:type="dxa"/>
                  </w:tcMar>
                  <w:vAlign w:val="center"/>
                </w:tcPr>
                <w:p w14:paraId="273051D1">
                  <w:pPr>
                    <w:widowControl/>
                    <w:jc w:val="center"/>
                    <w:rPr>
                      <w:rFonts w:hint="default"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0.025</w:t>
                  </w:r>
                </w:p>
              </w:tc>
              <w:tc>
                <w:tcPr>
                  <w:tcW w:w="513" w:type="pct"/>
                  <w:noWrap w:val="0"/>
                  <w:vAlign w:val="center"/>
                </w:tcPr>
                <w:p w14:paraId="6A6643E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3</w:t>
                  </w:r>
                  <w:r>
                    <w:rPr>
                      <w:rFonts w:ascii="Times New Roman" w:hAnsi="Times New Roman" w:eastAsia="宋体" w:cs="Times New Roman"/>
                      <w:b w:val="0"/>
                      <w:bCs/>
                      <w:color w:val="000000" w:themeColor="text1"/>
                      <w:kern w:val="2"/>
                      <w:sz w:val="21"/>
                      <w:szCs w:val="21"/>
                      <w14:textFill>
                        <w14:solidFill>
                          <w14:schemeClr w14:val="tx1"/>
                        </w14:solidFill>
                      </w14:textFill>
                    </w:rPr>
                    <w:t>5</w:t>
                  </w:r>
                </w:p>
              </w:tc>
              <w:tc>
                <w:tcPr>
                  <w:tcW w:w="513" w:type="pct"/>
                  <w:noWrap w:val="0"/>
                  <w:vAlign w:val="center"/>
                </w:tcPr>
                <w:p w14:paraId="2B1C2C6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3" w:type="pct"/>
                  <w:noWrap w:val="0"/>
                  <w:vAlign w:val="center"/>
                </w:tcPr>
                <w:p w14:paraId="0D003D7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372" w:type="dxa"/>
                  <w:noWrap w:val="0"/>
                  <w:vAlign w:val="center"/>
                </w:tcPr>
                <w:p w14:paraId="6BF6A8E6">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0.092</w:t>
                  </w:r>
                </w:p>
              </w:tc>
              <w:tc>
                <w:tcPr>
                  <w:tcW w:w="513" w:type="pct"/>
                  <w:noWrap w:val="0"/>
                  <w:vAlign w:val="center"/>
                </w:tcPr>
                <w:p w14:paraId="7CB7B32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12</w:t>
                  </w:r>
                </w:p>
              </w:tc>
              <w:tc>
                <w:tcPr>
                  <w:tcW w:w="513" w:type="pct"/>
                  <w:noWrap w:val="0"/>
                  <w:vAlign w:val="center"/>
                </w:tcPr>
                <w:p w14:paraId="57949D4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4" w:type="pct"/>
                  <w:noWrap w:val="0"/>
                  <w:vAlign w:val="center"/>
                </w:tcPr>
                <w:p w14:paraId="3AD5B16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5758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 w:type="pct"/>
                  <w:vMerge w:val="continue"/>
                  <w:noWrap w:val="0"/>
                  <w:vAlign w:val="center"/>
                </w:tcPr>
                <w:p w14:paraId="6D384DD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1738" w:type="dxa"/>
                  <w:noWrap w:val="0"/>
                  <w:vAlign w:val="center"/>
                </w:tcPr>
                <w:p w14:paraId="2D79597C">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9</w:t>
                  </w:r>
                </w:p>
              </w:tc>
              <w:tc>
                <w:tcPr>
                  <w:tcW w:w="1372" w:type="dxa"/>
                  <w:noWrap w:val="0"/>
                  <w:tcMar>
                    <w:top w:w="0" w:type="dxa"/>
                    <w:left w:w="57" w:type="dxa"/>
                    <w:bottom w:w="0" w:type="dxa"/>
                    <w:right w:w="57" w:type="dxa"/>
                  </w:tcMar>
                  <w:vAlign w:val="center"/>
                </w:tcPr>
                <w:p w14:paraId="6DF7B452">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0.024</w:t>
                  </w:r>
                </w:p>
              </w:tc>
              <w:tc>
                <w:tcPr>
                  <w:tcW w:w="513" w:type="pct"/>
                  <w:noWrap w:val="0"/>
                  <w:vAlign w:val="center"/>
                </w:tcPr>
                <w:p w14:paraId="5CB8CF0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3</w:t>
                  </w:r>
                  <w:r>
                    <w:rPr>
                      <w:rFonts w:ascii="Times New Roman" w:hAnsi="Times New Roman" w:eastAsia="宋体" w:cs="Times New Roman"/>
                      <w:b w:val="0"/>
                      <w:bCs/>
                      <w:color w:val="000000" w:themeColor="text1"/>
                      <w:kern w:val="2"/>
                      <w:sz w:val="21"/>
                      <w:szCs w:val="21"/>
                      <w14:textFill>
                        <w14:solidFill>
                          <w14:schemeClr w14:val="tx1"/>
                        </w14:solidFill>
                      </w14:textFill>
                    </w:rPr>
                    <w:t>5</w:t>
                  </w:r>
                </w:p>
              </w:tc>
              <w:tc>
                <w:tcPr>
                  <w:tcW w:w="513" w:type="pct"/>
                  <w:noWrap w:val="0"/>
                  <w:vAlign w:val="center"/>
                </w:tcPr>
                <w:p w14:paraId="70FFD65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3" w:type="pct"/>
                  <w:noWrap w:val="0"/>
                  <w:vAlign w:val="center"/>
                </w:tcPr>
                <w:p w14:paraId="06168A2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372" w:type="dxa"/>
                  <w:noWrap w:val="0"/>
                  <w:vAlign w:val="center"/>
                </w:tcPr>
                <w:p w14:paraId="7F7A422D">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0.097</w:t>
                  </w:r>
                </w:p>
              </w:tc>
              <w:tc>
                <w:tcPr>
                  <w:tcW w:w="513" w:type="pct"/>
                  <w:noWrap w:val="0"/>
                  <w:vAlign w:val="center"/>
                </w:tcPr>
                <w:p w14:paraId="32AB656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12</w:t>
                  </w:r>
                </w:p>
              </w:tc>
              <w:tc>
                <w:tcPr>
                  <w:tcW w:w="513" w:type="pct"/>
                  <w:noWrap w:val="0"/>
                  <w:vAlign w:val="center"/>
                </w:tcPr>
                <w:p w14:paraId="07BD957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4" w:type="pct"/>
                  <w:noWrap w:val="0"/>
                  <w:vAlign w:val="center"/>
                </w:tcPr>
                <w:p w14:paraId="60AC437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52EC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 w:type="pct"/>
                  <w:vMerge w:val="continue"/>
                  <w:noWrap w:val="0"/>
                  <w:vAlign w:val="center"/>
                </w:tcPr>
                <w:p w14:paraId="5D47E04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1738" w:type="dxa"/>
                  <w:noWrap w:val="0"/>
                  <w:vAlign w:val="center"/>
                </w:tcPr>
                <w:p w14:paraId="00C3B8CB">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30</w:t>
                  </w:r>
                </w:p>
              </w:tc>
              <w:tc>
                <w:tcPr>
                  <w:tcW w:w="1372" w:type="dxa"/>
                  <w:noWrap w:val="0"/>
                  <w:tcMar>
                    <w:top w:w="0" w:type="dxa"/>
                    <w:left w:w="57" w:type="dxa"/>
                    <w:bottom w:w="0" w:type="dxa"/>
                    <w:right w:w="57" w:type="dxa"/>
                  </w:tcMar>
                  <w:vAlign w:val="center"/>
                </w:tcPr>
                <w:p w14:paraId="2EB41961">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0.026</w:t>
                  </w:r>
                </w:p>
              </w:tc>
              <w:tc>
                <w:tcPr>
                  <w:tcW w:w="513" w:type="pct"/>
                  <w:noWrap w:val="0"/>
                  <w:vAlign w:val="center"/>
                </w:tcPr>
                <w:p w14:paraId="62DF435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3</w:t>
                  </w:r>
                  <w:r>
                    <w:rPr>
                      <w:rFonts w:ascii="Times New Roman" w:hAnsi="Times New Roman" w:eastAsia="宋体" w:cs="Times New Roman"/>
                      <w:b w:val="0"/>
                      <w:bCs/>
                      <w:color w:val="000000" w:themeColor="text1"/>
                      <w:kern w:val="2"/>
                      <w:sz w:val="21"/>
                      <w:szCs w:val="21"/>
                      <w14:textFill>
                        <w14:solidFill>
                          <w14:schemeClr w14:val="tx1"/>
                        </w14:solidFill>
                      </w14:textFill>
                    </w:rPr>
                    <w:t>5</w:t>
                  </w:r>
                </w:p>
              </w:tc>
              <w:tc>
                <w:tcPr>
                  <w:tcW w:w="513" w:type="pct"/>
                  <w:noWrap w:val="0"/>
                  <w:vAlign w:val="center"/>
                </w:tcPr>
                <w:p w14:paraId="362A772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3" w:type="pct"/>
                  <w:noWrap w:val="0"/>
                  <w:vAlign w:val="center"/>
                </w:tcPr>
                <w:p w14:paraId="2085056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372" w:type="dxa"/>
                  <w:noWrap w:val="0"/>
                  <w:vAlign w:val="center"/>
                </w:tcPr>
                <w:p w14:paraId="370990AD">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0.095</w:t>
                  </w:r>
                </w:p>
              </w:tc>
              <w:tc>
                <w:tcPr>
                  <w:tcW w:w="513" w:type="pct"/>
                  <w:noWrap w:val="0"/>
                  <w:vAlign w:val="center"/>
                </w:tcPr>
                <w:p w14:paraId="6CBA400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12</w:t>
                  </w:r>
                </w:p>
              </w:tc>
              <w:tc>
                <w:tcPr>
                  <w:tcW w:w="513" w:type="pct"/>
                  <w:noWrap w:val="0"/>
                  <w:vAlign w:val="center"/>
                </w:tcPr>
                <w:p w14:paraId="29C2ED2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4" w:type="pct"/>
                  <w:noWrap w:val="0"/>
                  <w:vAlign w:val="center"/>
                </w:tcPr>
                <w:p w14:paraId="4DA2930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66BE3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 w:type="pct"/>
                  <w:vMerge w:val="continue"/>
                  <w:noWrap w:val="0"/>
                  <w:vAlign w:val="center"/>
                </w:tcPr>
                <w:p w14:paraId="5482013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1738" w:type="dxa"/>
                  <w:noWrap w:val="0"/>
                  <w:vAlign w:val="center"/>
                </w:tcPr>
                <w:p w14:paraId="06B5EEED">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2026.07.01</w:t>
                  </w:r>
                </w:p>
              </w:tc>
              <w:tc>
                <w:tcPr>
                  <w:tcW w:w="1372" w:type="dxa"/>
                  <w:noWrap w:val="0"/>
                  <w:tcMar>
                    <w:top w:w="0" w:type="dxa"/>
                    <w:left w:w="57" w:type="dxa"/>
                    <w:bottom w:w="0" w:type="dxa"/>
                    <w:right w:w="57" w:type="dxa"/>
                  </w:tcMar>
                  <w:vAlign w:val="center"/>
                </w:tcPr>
                <w:p w14:paraId="3E6CD2FA">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0.028</w:t>
                  </w:r>
                </w:p>
              </w:tc>
              <w:tc>
                <w:tcPr>
                  <w:tcW w:w="513" w:type="pct"/>
                  <w:noWrap w:val="0"/>
                  <w:vAlign w:val="center"/>
                </w:tcPr>
                <w:p w14:paraId="10E0491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3</w:t>
                  </w:r>
                  <w:r>
                    <w:rPr>
                      <w:rFonts w:ascii="Times New Roman" w:hAnsi="Times New Roman" w:eastAsia="宋体" w:cs="Times New Roman"/>
                      <w:b w:val="0"/>
                      <w:bCs/>
                      <w:color w:val="000000" w:themeColor="text1"/>
                      <w:kern w:val="2"/>
                      <w:sz w:val="21"/>
                      <w:szCs w:val="21"/>
                      <w14:textFill>
                        <w14:solidFill>
                          <w14:schemeClr w14:val="tx1"/>
                        </w14:solidFill>
                      </w14:textFill>
                    </w:rPr>
                    <w:t>5</w:t>
                  </w:r>
                </w:p>
              </w:tc>
              <w:tc>
                <w:tcPr>
                  <w:tcW w:w="513" w:type="pct"/>
                  <w:noWrap w:val="0"/>
                  <w:vAlign w:val="center"/>
                </w:tcPr>
                <w:p w14:paraId="248FFB2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3" w:type="pct"/>
                  <w:noWrap w:val="0"/>
                  <w:vAlign w:val="center"/>
                </w:tcPr>
                <w:p w14:paraId="6017544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372" w:type="dxa"/>
                  <w:noWrap w:val="0"/>
                  <w:vAlign w:val="center"/>
                </w:tcPr>
                <w:p w14:paraId="685194E6">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0.096</w:t>
                  </w:r>
                </w:p>
              </w:tc>
              <w:tc>
                <w:tcPr>
                  <w:tcW w:w="513" w:type="pct"/>
                  <w:noWrap w:val="0"/>
                  <w:vAlign w:val="center"/>
                </w:tcPr>
                <w:p w14:paraId="4DB9928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12</w:t>
                  </w:r>
                </w:p>
              </w:tc>
              <w:tc>
                <w:tcPr>
                  <w:tcW w:w="513" w:type="pct"/>
                  <w:noWrap w:val="0"/>
                  <w:vAlign w:val="center"/>
                </w:tcPr>
                <w:p w14:paraId="56158A4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4" w:type="pct"/>
                  <w:noWrap w:val="0"/>
                  <w:vAlign w:val="center"/>
                </w:tcPr>
                <w:p w14:paraId="277064F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781E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 w:type="pct"/>
                  <w:vMerge w:val="continue"/>
                  <w:noWrap w:val="0"/>
                  <w:vAlign w:val="center"/>
                </w:tcPr>
                <w:p w14:paraId="0123290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1738" w:type="dxa"/>
                  <w:noWrap w:val="0"/>
                  <w:vAlign w:val="center"/>
                </w:tcPr>
                <w:p w14:paraId="6429DC8F">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7</w:t>
                  </w: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02</w:t>
                  </w:r>
                </w:p>
              </w:tc>
              <w:tc>
                <w:tcPr>
                  <w:tcW w:w="1372" w:type="dxa"/>
                  <w:noWrap w:val="0"/>
                  <w:tcMar>
                    <w:top w:w="0" w:type="dxa"/>
                    <w:left w:w="57" w:type="dxa"/>
                    <w:bottom w:w="0" w:type="dxa"/>
                    <w:right w:w="57" w:type="dxa"/>
                  </w:tcMar>
                  <w:vAlign w:val="center"/>
                </w:tcPr>
                <w:p w14:paraId="14B1E6DA">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0.023</w:t>
                  </w:r>
                </w:p>
              </w:tc>
              <w:tc>
                <w:tcPr>
                  <w:tcW w:w="513" w:type="pct"/>
                  <w:noWrap w:val="0"/>
                  <w:vAlign w:val="center"/>
                </w:tcPr>
                <w:p w14:paraId="2627A59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3</w:t>
                  </w:r>
                  <w:r>
                    <w:rPr>
                      <w:rFonts w:ascii="Times New Roman" w:hAnsi="Times New Roman" w:eastAsia="宋体" w:cs="Times New Roman"/>
                      <w:b w:val="0"/>
                      <w:bCs/>
                      <w:color w:val="000000" w:themeColor="text1"/>
                      <w:kern w:val="2"/>
                      <w:sz w:val="21"/>
                      <w:szCs w:val="21"/>
                      <w14:textFill>
                        <w14:solidFill>
                          <w14:schemeClr w14:val="tx1"/>
                        </w14:solidFill>
                      </w14:textFill>
                    </w:rPr>
                    <w:t>5</w:t>
                  </w:r>
                </w:p>
              </w:tc>
              <w:tc>
                <w:tcPr>
                  <w:tcW w:w="513" w:type="pct"/>
                  <w:noWrap w:val="0"/>
                  <w:vAlign w:val="center"/>
                </w:tcPr>
                <w:p w14:paraId="6C6ACC1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3" w:type="pct"/>
                  <w:noWrap w:val="0"/>
                  <w:vAlign w:val="center"/>
                </w:tcPr>
                <w:p w14:paraId="051D078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372" w:type="dxa"/>
                  <w:noWrap w:val="0"/>
                  <w:vAlign w:val="center"/>
                </w:tcPr>
                <w:p w14:paraId="5DBD0F6D">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0.097</w:t>
                  </w:r>
                </w:p>
              </w:tc>
              <w:tc>
                <w:tcPr>
                  <w:tcW w:w="513" w:type="pct"/>
                  <w:noWrap w:val="0"/>
                  <w:vAlign w:val="center"/>
                </w:tcPr>
                <w:p w14:paraId="70EE534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12</w:t>
                  </w:r>
                </w:p>
              </w:tc>
              <w:tc>
                <w:tcPr>
                  <w:tcW w:w="513" w:type="pct"/>
                  <w:noWrap w:val="0"/>
                  <w:vAlign w:val="center"/>
                </w:tcPr>
                <w:p w14:paraId="79058E2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4" w:type="pct"/>
                  <w:noWrap w:val="0"/>
                  <w:vAlign w:val="center"/>
                </w:tcPr>
                <w:p w14:paraId="14F69DC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19A05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 w:type="pct"/>
                  <w:vMerge w:val="continue"/>
                  <w:noWrap w:val="0"/>
                  <w:vAlign w:val="center"/>
                </w:tcPr>
                <w:p w14:paraId="7E672EE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1738" w:type="dxa"/>
                  <w:noWrap w:val="0"/>
                  <w:vAlign w:val="center"/>
                </w:tcPr>
                <w:p w14:paraId="69616AAC">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7</w:t>
                  </w: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03</w:t>
                  </w:r>
                </w:p>
              </w:tc>
              <w:tc>
                <w:tcPr>
                  <w:tcW w:w="1372" w:type="dxa"/>
                  <w:noWrap w:val="0"/>
                  <w:tcMar>
                    <w:top w:w="0" w:type="dxa"/>
                    <w:left w:w="57" w:type="dxa"/>
                    <w:bottom w:w="0" w:type="dxa"/>
                    <w:right w:w="57" w:type="dxa"/>
                  </w:tcMar>
                  <w:vAlign w:val="center"/>
                </w:tcPr>
                <w:p w14:paraId="5010083F">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0.025</w:t>
                  </w:r>
                </w:p>
              </w:tc>
              <w:tc>
                <w:tcPr>
                  <w:tcW w:w="513" w:type="pct"/>
                  <w:noWrap w:val="0"/>
                  <w:vAlign w:val="center"/>
                </w:tcPr>
                <w:p w14:paraId="35018D7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3</w:t>
                  </w:r>
                  <w:r>
                    <w:rPr>
                      <w:rFonts w:ascii="Times New Roman" w:hAnsi="Times New Roman" w:eastAsia="宋体" w:cs="Times New Roman"/>
                      <w:b w:val="0"/>
                      <w:bCs/>
                      <w:color w:val="000000" w:themeColor="text1"/>
                      <w:kern w:val="2"/>
                      <w:sz w:val="21"/>
                      <w:szCs w:val="21"/>
                      <w14:textFill>
                        <w14:solidFill>
                          <w14:schemeClr w14:val="tx1"/>
                        </w14:solidFill>
                      </w14:textFill>
                    </w:rPr>
                    <w:t>5</w:t>
                  </w:r>
                </w:p>
              </w:tc>
              <w:tc>
                <w:tcPr>
                  <w:tcW w:w="513" w:type="pct"/>
                  <w:noWrap w:val="0"/>
                  <w:vAlign w:val="center"/>
                </w:tcPr>
                <w:p w14:paraId="153B7A6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3" w:type="pct"/>
                  <w:noWrap w:val="0"/>
                  <w:vAlign w:val="center"/>
                </w:tcPr>
                <w:p w14:paraId="5F3F7A2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372" w:type="dxa"/>
                  <w:noWrap w:val="0"/>
                  <w:vAlign w:val="center"/>
                </w:tcPr>
                <w:p w14:paraId="2468FA8A">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0.093</w:t>
                  </w:r>
                </w:p>
              </w:tc>
              <w:tc>
                <w:tcPr>
                  <w:tcW w:w="513" w:type="pct"/>
                  <w:noWrap w:val="0"/>
                  <w:vAlign w:val="center"/>
                </w:tcPr>
                <w:p w14:paraId="7ED65D8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12</w:t>
                  </w:r>
                </w:p>
              </w:tc>
              <w:tc>
                <w:tcPr>
                  <w:tcW w:w="513" w:type="pct"/>
                  <w:noWrap w:val="0"/>
                  <w:vAlign w:val="center"/>
                </w:tcPr>
                <w:p w14:paraId="624CCCD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4" w:type="pct"/>
                  <w:noWrap w:val="0"/>
                  <w:vAlign w:val="center"/>
                </w:tcPr>
                <w:p w14:paraId="390A868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18F8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10"/>
                  <w:noWrap w:val="0"/>
                  <w:vAlign w:val="center"/>
                </w:tcPr>
                <w:p w14:paraId="24A4E1A3">
                  <w:pPr>
                    <w:widowControl/>
                    <w:jc w:val="left"/>
                    <w:rPr>
                      <w:rFonts w:ascii="Times New Roman" w:hAnsi="Times New Roman" w:eastAsia="宋体" w:cs="Times New Roman"/>
                      <w:b/>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备注：</w:t>
                  </w:r>
                  <w:r>
                    <w:rPr>
                      <w:rFonts w:hint="eastAsia" w:cs="Times New Roman"/>
                      <w:b w:val="0"/>
                      <w:bCs/>
                      <w:color w:val="000000" w:themeColor="text1"/>
                      <w:kern w:val="2"/>
                      <w:sz w:val="21"/>
                      <w:szCs w:val="21"/>
                      <w:lang w:eastAsia="zh-CN"/>
                      <w14:textFill>
                        <w14:solidFill>
                          <w14:schemeClr w14:val="tx1"/>
                        </w14:solidFill>
                      </w14:textFill>
                    </w:rPr>
                    <w:t>“</w:t>
                  </w:r>
                  <w:r>
                    <w:rPr>
                      <w:rFonts w:ascii="Times New Roman" w:hAnsi="Times New Roman" w:eastAsia="宋体" w:cs="Times New Roman"/>
                      <w:b w:val="0"/>
                      <w:bCs/>
                      <w:color w:val="000000" w:themeColor="text1"/>
                      <w:kern w:val="2"/>
                      <w:sz w:val="21"/>
                      <w:szCs w:val="21"/>
                      <w14:textFill>
                        <w14:solidFill>
                          <w14:schemeClr w14:val="tx1"/>
                        </w14:solidFill>
                      </w14:textFill>
                    </w:rPr>
                    <w:t>检出限+L</w:t>
                  </w:r>
                  <w:r>
                    <w:rPr>
                      <w:rFonts w:hint="eastAsia" w:cs="Times New Roman"/>
                      <w:b w:val="0"/>
                      <w:bCs/>
                      <w:color w:val="000000" w:themeColor="text1"/>
                      <w:kern w:val="2"/>
                      <w:sz w:val="21"/>
                      <w:szCs w:val="21"/>
                      <w:lang w:eastAsia="zh-CN"/>
                      <w14:textFill>
                        <w14:solidFill>
                          <w14:schemeClr w14:val="tx1"/>
                        </w14:solidFill>
                      </w14:textFill>
                    </w:rPr>
                    <w:t>”</w:t>
                  </w:r>
                  <w:r>
                    <w:rPr>
                      <w:rFonts w:ascii="Times New Roman" w:hAnsi="Times New Roman" w:eastAsia="宋体" w:cs="Times New Roman"/>
                      <w:b w:val="0"/>
                      <w:bCs/>
                      <w:color w:val="000000" w:themeColor="text1"/>
                      <w:kern w:val="2"/>
                      <w:sz w:val="21"/>
                      <w:szCs w:val="21"/>
                      <w14:textFill>
                        <w14:solidFill>
                          <w14:schemeClr w14:val="tx1"/>
                        </w14:solidFill>
                      </w14:textFill>
                    </w:rPr>
                    <w:t>表示检测结果低于方法检出限。</w:t>
                  </w:r>
                </w:p>
              </w:tc>
            </w:tr>
          </w:tbl>
          <w:p w14:paraId="14175536">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表</w:t>
            </w:r>
            <w:r>
              <w:rPr>
                <w:rFonts w:hint="eastAsia" w:cs="Times New Roman"/>
                <w:b/>
                <w:bCs w:val="0"/>
                <w:color w:val="000000" w:themeColor="text1"/>
                <w:kern w:val="2"/>
                <w:sz w:val="21"/>
                <w:szCs w:val="21"/>
                <w:lang w:val="en-US" w:eastAsia="zh-CN"/>
                <w14:textFill>
                  <w14:solidFill>
                    <w14:schemeClr w14:val="tx1"/>
                  </w14:solidFill>
                </w14:textFill>
              </w:rPr>
              <w:t>3-7</w:t>
            </w:r>
            <w:r>
              <w:rPr>
                <w:rFonts w:ascii="Times New Roman" w:hAnsi="Times New Roman" w:eastAsia="宋体" w:cs="Times New Roman"/>
                <w:b/>
                <w:bCs w:val="0"/>
                <w:color w:val="000000" w:themeColor="text1"/>
                <w:kern w:val="2"/>
                <w:sz w:val="21"/>
                <w:szCs w:val="21"/>
                <w14:textFill>
                  <w14:solidFill>
                    <w14:schemeClr w14:val="tx1"/>
                  </w14:solidFill>
                </w14:textFill>
              </w:rPr>
              <w:t xml:space="preserve">  SO</w:t>
            </w:r>
            <w:r>
              <w:rPr>
                <w:rFonts w:ascii="Times New Roman" w:hAnsi="Times New Roman" w:eastAsia="宋体" w:cs="Times New Roman"/>
                <w:b/>
                <w:bCs w:val="0"/>
                <w:color w:val="000000" w:themeColor="text1"/>
                <w:kern w:val="2"/>
                <w:sz w:val="21"/>
                <w:szCs w:val="21"/>
                <w:vertAlign w:val="subscript"/>
                <w14:textFill>
                  <w14:solidFill>
                    <w14:schemeClr w14:val="tx1"/>
                  </w14:solidFill>
                </w14:textFill>
              </w:rPr>
              <w:t>2</w:t>
            </w:r>
            <w:r>
              <w:rPr>
                <w:rFonts w:ascii="Times New Roman" w:hAnsi="Times New Roman" w:eastAsia="宋体" w:cs="Times New Roman"/>
                <w:b/>
                <w:bCs w:val="0"/>
                <w:color w:val="000000" w:themeColor="text1"/>
                <w:kern w:val="2"/>
                <w:sz w:val="21"/>
                <w:szCs w:val="21"/>
                <w14:textFill>
                  <w14:solidFill>
                    <w14:schemeClr w14:val="tx1"/>
                  </w14:solidFill>
                </w14:textFill>
              </w:rPr>
              <w:t>、NO</w:t>
            </w:r>
            <w:r>
              <w:rPr>
                <w:rFonts w:ascii="Times New Roman" w:hAnsi="Times New Roman" w:eastAsia="宋体" w:cs="Times New Roman"/>
                <w:b/>
                <w:bCs w:val="0"/>
                <w:color w:val="000000" w:themeColor="text1"/>
                <w:kern w:val="2"/>
                <w:sz w:val="21"/>
                <w:szCs w:val="21"/>
                <w:vertAlign w:val="subscript"/>
                <w14:textFill>
                  <w14:solidFill>
                    <w14:schemeClr w14:val="tx1"/>
                  </w14:solidFill>
                </w14:textFill>
              </w:rPr>
              <w:t>2</w:t>
            </w:r>
            <w:r>
              <w:rPr>
                <w:rFonts w:hint="eastAsia" w:ascii="Times New Roman" w:hAnsi="Times New Roman" w:eastAsia="宋体" w:cs="Times New Roman"/>
                <w:b/>
                <w:bCs w:val="0"/>
                <w:color w:val="000000" w:themeColor="text1"/>
                <w:kern w:val="2"/>
                <w:sz w:val="21"/>
                <w:szCs w:val="21"/>
                <w14:textFill>
                  <w14:solidFill>
                    <w14:schemeClr w14:val="tx1"/>
                  </w14:solidFill>
                </w14:textFill>
              </w:rPr>
              <w:t>、臭氧</w:t>
            </w:r>
            <w:r>
              <w:rPr>
                <w:rFonts w:ascii="Times New Roman" w:hAnsi="Times New Roman" w:eastAsia="宋体" w:cs="Times New Roman"/>
                <w:b/>
                <w:bCs w:val="0"/>
                <w:color w:val="000000" w:themeColor="text1"/>
                <w:kern w:val="2"/>
                <w:sz w:val="21"/>
                <w:szCs w:val="21"/>
                <w14:textFill>
                  <w14:solidFill>
                    <w14:schemeClr w14:val="tx1"/>
                  </w14:solidFill>
                </w14:textFill>
              </w:rPr>
              <w:t>小时均值监测结果统计表</w:t>
            </w:r>
          </w:p>
          <w:tbl>
            <w:tblPr>
              <w:tblStyle w:val="3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241"/>
              <w:gridCol w:w="1021"/>
              <w:gridCol w:w="1061"/>
              <w:gridCol w:w="1027"/>
              <w:gridCol w:w="699"/>
              <w:gridCol w:w="1113"/>
              <w:gridCol w:w="1050"/>
              <w:gridCol w:w="957"/>
              <w:gridCol w:w="688"/>
              <w:gridCol w:w="1089"/>
              <w:gridCol w:w="958"/>
              <w:gridCol w:w="1084"/>
              <w:gridCol w:w="678"/>
            </w:tblGrid>
            <w:tr w14:paraId="4B45D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restart"/>
                  <w:noWrap w:val="0"/>
                  <w:vAlign w:val="center"/>
                </w:tcPr>
                <w:p w14:paraId="2F4B0EE6">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监测点位</w:t>
                  </w:r>
                </w:p>
              </w:tc>
              <w:tc>
                <w:tcPr>
                  <w:tcW w:w="464" w:type="pct"/>
                  <w:vMerge w:val="restart"/>
                  <w:noWrap w:val="0"/>
                  <w:vAlign w:val="center"/>
                </w:tcPr>
                <w:p w14:paraId="6176938F">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监测时间</w:t>
                  </w:r>
                </w:p>
              </w:tc>
              <w:tc>
                <w:tcPr>
                  <w:tcW w:w="1425" w:type="pct"/>
                  <w:gridSpan w:val="4"/>
                  <w:noWrap w:val="0"/>
                  <w:tcMar>
                    <w:top w:w="0" w:type="dxa"/>
                    <w:left w:w="57" w:type="dxa"/>
                    <w:bottom w:w="0" w:type="dxa"/>
                    <w:right w:w="57" w:type="dxa"/>
                  </w:tcMar>
                  <w:vAlign w:val="center"/>
                </w:tcPr>
                <w:p w14:paraId="3B2F3858">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SO</w:t>
                  </w:r>
                  <w:r>
                    <w:rPr>
                      <w:rFonts w:ascii="Times New Roman" w:hAnsi="Times New Roman" w:eastAsia="宋体" w:cs="Times New Roman"/>
                      <w:b/>
                      <w:bCs w:val="0"/>
                      <w:color w:val="000000" w:themeColor="text1"/>
                      <w:kern w:val="2"/>
                      <w:sz w:val="21"/>
                      <w:szCs w:val="21"/>
                      <w:vertAlign w:val="subscript"/>
                      <w14:textFill>
                        <w14:solidFill>
                          <w14:schemeClr w14:val="tx1"/>
                        </w14:solidFill>
                      </w14:textFill>
                    </w:rPr>
                    <w:t>2</w:t>
                  </w:r>
                </w:p>
              </w:tc>
              <w:tc>
                <w:tcPr>
                  <w:tcW w:w="1425" w:type="pct"/>
                  <w:gridSpan w:val="4"/>
                  <w:noWrap w:val="0"/>
                  <w:vAlign w:val="center"/>
                </w:tcPr>
                <w:p w14:paraId="748A8295">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NO</w:t>
                  </w:r>
                  <w:r>
                    <w:rPr>
                      <w:rFonts w:ascii="Times New Roman" w:hAnsi="Times New Roman" w:eastAsia="宋体" w:cs="Times New Roman"/>
                      <w:b/>
                      <w:bCs w:val="0"/>
                      <w:color w:val="000000" w:themeColor="text1"/>
                      <w:kern w:val="2"/>
                      <w:sz w:val="21"/>
                      <w:szCs w:val="21"/>
                      <w:vertAlign w:val="subscript"/>
                      <w14:textFill>
                        <w14:solidFill>
                          <w14:schemeClr w14:val="tx1"/>
                        </w14:solidFill>
                      </w14:textFill>
                    </w:rPr>
                    <w:t>2</w:t>
                  </w:r>
                </w:p>
              </w:tc>
              <w:tc>
                <w:tcPr>
                  <w:tcW w:w="1425" w:type="pct"/>
                  <w:gridSpan w:val="4"/>
                  <w:noWrap w:val="0"/>
                  <w:vAlign w:val="center"/>
                </w:tcPr>
                <w:p w14:paraId="7C64DAD4">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hint="eastAsia" w:ascii="Times New Roman" w:hAnsi="Times New Roman" w:eastAsia="宋体" w:cs="Times New Roman"/>
                      <w:b/>
                      <w:bCs w:val="0"/>
                      <w:color w:val="000000" w:themeColor="text1"/>
                      <w:kern w:val="2"/>
                      <w:sz w:val="21"/>
                      <w:szCs w:val="21"/>
                      <w14:textFill>
                        <w14:solidFill>
                          <w14:schemeClr w14:val="tx1"/>
                        </w14:solidFill>
                      </w14:textFill>
                    </w:rPr>
                    <w:t>O</w:t>
                  </w:r>
                  <w:r>
                    <w:rPr>
                      <w:rFonts w:hint="eastAsia" w:ascii="Times New Roman" w:hAnsi="Times New Roman" w:eastAsia="宋体" w:cs="Times New Roman"/>
                      <w:b/>
                      <w:bCs w:val="0"/>
                      <w:color w:val="000000" w:themeColor="text1"/>
                      <w:kern w:val="2"/>
                      <w:sz w:val="21"/>
                      <w:szCs w:val="21"/>
                      <w:vertAlign w:val="subscript"/>
                      <w14:textFill>
                        <w14:solidFill>
                          <w14:schemeClr w14:val="tx1"/>
                        </w14:solidFill>
                      </w14:textFill>
                    </w:rPr>
                    <w:t>3</w:t>
                  </w:r>
                </w:p>
              </w:tc>
            </w:tr>
            <w:tr w14:paraId="0872F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284844EC">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p>
              </w:tc>
              <w:tc>
                <w:tcPr>
                  <w:tcW w:w="464" w:type="pct"/>
                  <w:vMerge w:val="continue"/>
                  <w:noWrap w:val="0"/>
                  <w:vAlign w:val="center"/>
                </w:tcPr>
                <w:p w14:paraId="25015B19">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p>
              </w:tc>
              <w:tc>
                <w:tcPr>
                  <w:tcW w:w="382" w:type="pct"/>
                  <w:noWrap w:val="0"/>
                  <w:tcMar>
                    <w:top w:w="0" w:type="dxa"/>
                    <w:left w:w="57" w:type="dxa"/>
                    <w:bottom w:w="0" w:type="dxa"/>
                    <w:right w:w="57" w:type="dxa"/>
                  </w:tcMar>
                  <w:vAlign w:val="center"/>
                </w:tcPr>
                <w:p w14:paraId="1F898BF4">
                  <w:pPr>
                    <w:widowControl/>
                    <w:jc w:val="center"/>
                    <w:rPr>
                      <w:rFonts w:hint="eastAsia" w:ascii="Times New Roman" w:hAnsi="Times New Roman" w:eastAsia="宋体" w:cs="Times New Roman"/>
                      <w:b/>
                      <w:bCs w:val="0"/>
                      <w:color w:val="000000" w:themeColor="text1"/>
                      <w:kern w:val="2"/>
                      <w:sz w:val="21"/>
                      <w:szCs w:val="21"/>
                      <w:lang w:eastAsia="zh-CN"/>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监测结果</w:t>
                  </w:r>
                  <w:r>
                    <w:rPr>
                      <w:rFonts w:hint="eastAsia" w:cs="Times New Roman"/>
                      <w:b/>
                      <w:bCs w:val="0"/>
                      <w:color w:val="000000" w:themeColor="text1"/>
                      <w:kern w:val="2"/>
                      <w:sz w:val="21"/>
                      <w:szCs w:val="21"/>
                      <w:lang w:eastAsia="zh-CN"/>
                      <w14:textFill>
                        <w14:solidFill>
                          <w14:schemeClr w14:val="tx1"/>
                        </w14:solidFill>
                      </w14:textFill>
                    </w:rPr>
                    <w:t>（</w:t>
                  </w:r>
                  <w:r>
                    <w:rPr>
                      <w:rFonts w:ascii="Times New Roman" w:hAnsi="Times New Roman" w:eastAsia="宋体" w:cs="Times New Roman"/>
                      <w:b/>
                      <w:bCs w:val="0"/>
                      <w:color w:val="000000" w:themeColor="text1"/>
                      <w:kern w:val="2"/>
                      <w:sz w:val="21"/>
                      <w:szCs w:val="21"/>
                      <w14:textFill>
                        <w14:solidFill>
                          <w14:schemeClr w14:val="tx1"/>
                        </w14:solidFill>
                      </w14:textFill>
                    </w:rPr>
                    <w:t>mg/m</w:t>
                  </w:r>
                  <w:r>
                    <w:rPr>
                      <w:rFonts w:ascii="Times New Roman" w:hAnsi="Times New Roman" w:eastAsia="宋体" w:cs="Times New Roman"/>
                      <w:b/>
                      <w:bCs w:val="0"/>
                      <w:color w:val="000000" w:themeColor="text1"/>
                      <w:kern w:val="2"/>
                      <w:sz w:val="21"/>
                      <w:szCs w:val="21"/>
                      <w:vertAlign w:val="superscript"/>
                      <w14:textFill>
                        <w14:solidFill>
                          <w14:schemeClr w14:val="tx1"/>
                        </w14:solidFill>
                      </w14:textFill>
                    </w:rPr>
                    <w:t>3</w:t>
                  </w:r>
                  <w:r>
                    <w:rPr>
                      <w:rFonts w:hint="eastAsia" w:cs="Times New Roman"/>
                      <w:b/>
                      <w:bCs w:val="0"/>
                      <w:color w:val="000000" w:themeColor="text1"/>
                      <w:kern w:val="2"/>
                      <w:sz w:val="21"/>
                      <w:szCs w:val="21"/>
                      <w:lang w:eastAsia="zh-CN"/>
                      <w14:textFill>
                        <w14:solidFill>
                          <w14:schemeClr w14:val="tx1"/>
                        </w14:solidFill>
                      </w14:textFill>
                    </w:rPr>
                    <w:t>）</w:t>
                  </w:r>
                </w:p>
              </w:tc>
              <w:tc>
                <w:tcPr>
                  <w:tcW w:w="397" w:type="pct"/>
                  <w:noWrap w:val="0"/>
                  <w:vAlign w:val="center"/>
                </w:tcPr>
                <w:p w14:paraId="3BEFAFC2">
                  <w:pPr>
                    <w:widowControl/>
                    <w:jc w:val="center"/>
                    <w:rPr>
                      <w:rFonts w:hint="eastAsia" w:ascii="Times New Roman" w:hAnsi="Times New Roman" w:eastAsia="宋体" w:cs="Times New Roman"/>
                      <w:b/>
                      <w:bCs w:val="0"/>
                      <w:color w:val="000000" w:themeColor="text1"/>
                      <w:kern w:val="2"/>
                      <w:sz w:val="21"/>
                      <w:szCs w:val="21"/>
                      <w:lang w:eastAsia="zh-CN"/>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标准值</w:t>
                  </w:r>
                  <w:r>
                    <w:rPr>
                      <w:rFonts w:hint="eastAsia" w:cs="Times New Roman"/>
                      <w:b/>
                      <w:bCs w:val="0"/>
                      <w:color w:val="000000" w:themeColor="text1"/>
                      <w:kern w:val="2"/>
                      <w:sz w:val="21"/>
                      <w:szCs w:val="21"/>
                      <w:lang w:eastAsia="zh-CN"/>
                      <w14:textFill>
                        <w14:solidFill>
                          <w14:schemeClr w14:val="tx1"/>
                        </w14:solidFill>
                      </w14:textFill>
                    </w:rPr>
                    <w:t>（</w:t>
                  </w:r>
                  <w:r>
                    <w:rPr>
                      <w:rFonts w:ascii="Times New Roman" w:hAnsi="Times New Roman" w:eastAsia="宋体" w:cs="Times New Roman"/>
                      <w:b/>
                      <w:bCs w:val="0"/>
                      <w:color w:val="000000" w:themeColor="text1"/>
                      <w:kern w:val="2"/>
                      <w:sz w:val="21"/>
                      <w:szCs w:val="21"/>
                      <w14:textFill>
                        <w14:solidFill>
                          <w14:schemeClr w14:val="tx1"/>
                        </w14:solidFill>
                      </w14:textFill>
                    </w:rPr>
                    <w:t>mg/m</w:t>
                  </w:r>
                  <w:r>
                    <w:rPr>
                      <w:rFonts w:ascii="Times New Roman" w:hAnsi="Times New Roman" w:eastAsia="宋体" w:cs="Times New Roman"/>
                      <w:b/>
                      <w:bCs w:val="0"/>
                      <w:color w:val="000000" w:themeColor="text1"/>
                      <w:kern w:val="2"/>
                      <w:sz w:val="21"/>
                      <w:szCs w:val="21"/>
                      <w:vertAlign w:val="superscript"/>
                      <w14:textFill>
                        <w14:solidFill>
                          <w14:schemeClr w14:val="tx1"/>
                        </w14:solidFill>
                      </w14:textFill>
                    </w:rPr>
                    <w:t>3</w:t>
                  </w:r>
                  <w:r>
                    <w:rPr>
                      <w:rFonts w:hint="eastAsia" w:cs="Times New Roman"/>
                      <w:b/>
                      <w:bCs w:val="0"/>
                      <w:color w:val="000000" w:themeColor="text1"/>
                      <w:kern w:val="2"/>
                      <w:sz w:val="21"/>
                      <w:szCs w:val="21"/>
                      <w:lang w:eastAsia="zh-CN"/>
                      <w14:textFill>
                        <w14:solidFill>
                          <w14:schemeClr w14:val="tx1"/>
                        </w14:solidFill>
                      </w14:textFill>
                    </w:rPr>
                    <w:t>）</w:t>
                  </w:r>
                </w:p>
              </w:tc>
              <w:tc>
                <w:tcPr>
                  <w:tcW w:w="384" w:type="pct"/>
                  <w:noWrap w:val="0"/>
                  <w:vAlign w:val="center"/>
                </w:tcPr>
                <w:p w14:paraId="24BB310F">
                  <w:pPr>
                    <w:widowControl/>
                    <w:jc w:val="center"/>
                    <w:rPr>
                      <w:rFonts w:hint="eastAsia" w:ascii="Times New Roman" w:hAnsi="Times New Roman" w:eastAsia="宋体" w:cs="Times New Roman"/>
                      <w:b/>
                      <w:bCs w:val="0"/>
                      <w:color w:val="000000" w:themeColor="text1"/>
                      <w:kern w:val="2"/>
                      <w:sz w:val="21"/>
                      <w:szCs w:val="21"/>
                      <w:lang w:eastAsia="zh-CN"/>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超标率</w:t>
                  </w:r>
                  <w:r>
                    <w:rPr>
                      <w:rFonts w:hint="eastAsia" w:cs="Times New Roman"/>
                      <w:b/>
                      <w:bCs w:val="0"/>
                      <w:color w:val="000000" w:themeColor="text1"/>
                      <w:kern w:val="2"/>
                      <w:sz w:val="21"/>
                      <w:szCs w:val="21"/>
                      <w:lang w:eastAsia="zh-CN"/>
                      <w14:textFill>
                        <w14:solidFill>
                          <w14:schemeClr w14:val="tx1"/>
                        </w14:solidFill>
                      </w14:textFill>
                    </w:rPr>
                    <w:t>（</w:t>
                  </w:r>
                  <w:r>
                    <w:rPr>
                      <w:rFonts w:ascii="Times New Roman" w:hAnsi="Times New Roman" w:eastAsia="宋体" w:cs="Times New Roman"/>
                      <w:b/>
                      <w:bCs w:val="0"/>
                      <w:color w:val="000000" w:themeColor="text1"/>
                      <w:kern w:val="2"/>
                      <w:sz w:val="21"/>
                      <w:szCs w:val="21"/>
                      <w14:textFill>
                        <w14:solidFill>
                          <w14:schemeClr w14:val="tx1"/>
                        </w14:solidFill>
                      </w14:textFill>
                    </w:rPr>
                    <w:t>%</w:t>
                  </w:r>
                  <w:r>
                    <w:rPr>
                      <w:rFonts w:hint="eastAsia" w:cs="Times New Roman"/>
                      <w:b/>
                      <w:bCs w:val="0"/>
                      <w:color w:val="000000" w:themeColor="text1"/>
                      <w:kern w:val="2"/>
                      <w:sz w:val="21"/>
                      <w:szCs w:val="21"/>
                      <w:lang w:eastAsia="zh-CN"/>
                      <w14:textFill>
                        <w14:solidFill>
                          <w14:schemeClr w14:val="tx1"/>
                        </w14:solidFill>
                      </w14:textFill>
                    </w:rPr>
                    <w:t>）</w:t>
                  </w:r>
                </w:p>
              </w:tc>
              <w:tc>
                <w:tcPr>
                  <w:tcW w:w="261" w:type="pct"/>
                  <w:noWrap w:val="0"/>
                  <w:vAlign w:val="center"/>
                </w:tcPr>
                <w:p w14:paraId="176CF35F">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是否达标</w:t>
                  </w:r>
                </w:p>
              </w:tc>
              <w:tc>
                <w:tcPr>
                  <w:tcW w:w="416" w:type="pct"/>
                  <w:noWrap w:val="0"/>
                  <w:vAlign w:val="center"/>
                </w:tcPr>
                <w:p w14:paraId="2AE2B343">
                  <w:pPr>
                    <w:widowControl/>
                    <w:jc w:val="center"/>
                    <w:rPr>
                      <w:rFonts w:hint="eastAsia" w:ascii="Times New Roman" w:hAnsi="Times New Roman" w:eastAsia="宋体" w:cs="Times New Roman"/>
                      <w:b/>
                      <w:bCs w:val="0"/>
                      <w:color w:val="000000" w:themeColor="text1"/>
                      <w:kern w:val="2"/>
                      <w:sz w:val="21"/>
                      <w:szCs w:val="21"/>
                      <w:lang w:eastAsia="zh-CN"/>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监测结果</w:t>
                  </w:r>
                  <w:r>
                    <w:rPr>
                      <w:rFonts w:hint="eastAsia" w:cs="Times New Roman"/>
                      <w:b/>
                      <w:bCs w:val="0"/>
                      <w:color w:val="000000" w:themeColor="text1"/>
                      <w:kern w:val="2"/>
                      <w:sz w:val="21"/>
                      <w:szCs w:val="21"/>
                      <w:lang w:eastAsia="zh-CN"/>
                      <w14:textFill>
                        <w14:solidFill>
                          <w14:schemeClr w14:val="tx1"/>
                        </w14:solidFill>
                      </w14:textFill>
                    </w:rPr>
                    <w:t>（</w:t>
                  </w:r>
                  <w:r>
                    <w:rPr>
                      <w:rFonts w:ascii="Times New Roman" w:hAnsi="Times New Roman" w:eastAsia="宋体" w:cs="Times New Roman"/>
                      <w:b/>
                      <w:bCs w:val="0"/>
                      <w:color w:val="000000" w:themeColor="text1"/>
                      <w:kern w:val="2"/>
                      <w:sz w:val="21"/>
                      <w:szCs w:val="21"/>
                      <w14:textFill>
                        <w14:solidFill>
                          <w14:schemeClr w14:val="tx1"/>
                        </w14:solidFill>
                      </w14:textFill>
                    </w:rPr>
                    <w:t>mg/m</w:t>
                  </w:r>
                  <w:r>
                    <w:rPr>
                      <w:rFonts w:ascii="Times New Roman" w:hAnsi="Times New Roman" w:eastAsia="宋体" w:cs="Times New Roman"/>
                      <w:b/>
                      <w:bCs w:val="0"/>
                      <w:color w:val="000000" w:themeColor="text1"/>
                      <w:kern w:val="2"/>
                      <w:sz w:val="21"/>
                      <w:szCs w:val="21"/>
                      <w:vertAlign w:val="superscript"/>
                      <w14:textFill>
                        <w14:solidFill>
                          <w14:schemeClr w14:val="tx1"/>
                        </w14:solidFill>
                      </w14:textFill>
                    </w:rPr>
                    <w:t>3</w:t>
                  </w:r>
                  <w:r>
                    <w:rPr>
                      <w:rFonts w:hint="eastAsia" w:cs="Times New Roman"/>
                      <w:b/>
                      <w:bCs w:val="0"/>
                      <w:color w:val="000000" w:themeColor="text1"/>
                      <w:kern w:val="2"/>
                      <w:sz w:val="21"/>
                      <w:szCs w:val="21"/>
                      <w:lang w:eastAsia="zh-CN"/>
                      <w14:textFill>
                        <w14:solidFill>
                          <w14:schemeClr w14:val="tx1"/>
                        </w14:solidFill>
                      </w14:textFill>
                    </w:rPr>
                    <w:t>）</w:t>
                  </w:r>
                </w:p>
              </w:tc>
              <w:tc>
                <w:tcPr>
                  <w:tcW w:w="393" w:type="pct"/>
                  <w:noWrap w:val="0"/>
                  <w:vAlign w:val="center"/>
                </w:tcPr>
                <w:p w14:paraId="7C4D2A17">
                  <w:pPr>
                    <w:widowControl/>
                    <w:jc w:val="center"/>
                    <w:rPr>
                      <w:rFonts w:hint="eastAsia" w:ascii="Times New Roman" w:hAnsi="Times New Roman" w:eastAsia="宋体" w:cs="Times New Roman"/>
                      <w:b/>
                      <w:bCs w:val="0"/>
                      <w:color w:val="000000" w:themeColor="text1"/>
                      <w:kern w:val="2"/>
                      <w:sz w:val="21"/>
                      <w:szCs w:val="21"/>
                      <w:lang w:eastAsia="zh-CN"/>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标准值</w:t>
                  </w:r>
                  <w:r>
                    <w:rPr>
                      <w:rFonts w:hint="eastAsia" w:cs="Times New Roman"/>
                      <w:b/>
                      <w:bCs w:val="0"/>
                      <w:color w:val="000000" w:themeColor="text1"/>
                      <w:kern w:val="2"/>
                      <w:sz w:val="21"/>
                      <w:szCs w:val="21"/>
                      <w:lang w:eastAsia="zh-CN"/>
                      <w14:textFill>
                        <w14:solidFill>
                          <w14:schemeClr w14:val="tx1"/>
                        </w14:solidFill>
                      </w14:textFill>
                    </w:rPr>
                    <w:t>（</w:t>
                  </w:r>
                  <w:r>
                    <w:rPr>
                      <w:rFonts w:ascii="Times New Roman" w:hAnsi="Times New Roman" w:eastAsia="宋体" w:cs="Times New Roman"/>
                      <w:b/>
                      <w:bCs w:val="0"/>
                      <w:color w:val="000000" w:themeColor="text1"/>
                      <w:kern w:val="2"/>
                      <w:sz w:val="21"/>
                      <w:szCs w:val="21"/>
                      <w14:textFill>
                        <w14:solidFill>
                          <w14:schemeClr w14:val="tx1"/>
                        </w14:solidFill>
                      </w14:textFill>
                    </w:rPr>
                    <w:t>mg/m</w:t>
                  </w:r>
                  <w:r>
                    <w:rPr>
                      <w:rFonts w:ascii="Times New Roman" w:hAnsi="Times New Roman" w:eastAsia="宋体" w:cs="Times New Roman"/>
                      <w:b/>
                      <w:bCs w:val="0"/>
                      <w:color w:val="000000" w:themeColor="text1"/>
                      <w:kern w:val="2"/>
                      <w:sz w:val="21"/>
                      <w:szCs w:val="21"/>
                      <w:vertAlign w:val="superscript"/>
                      <w14:textFill>
                        <w14:solidFill>
                          <w14:schemeClr w14:val="tx1"/>
                        </w14:solidFill>
                      </w14:textFill>
                    </w:rPr>
                    <w:t>3</w:t>
                  </w:r>
                  <w:r>
                    <w:rPr>
                      <w:rFonts w:hint="eastAsia" w:cs="Times New Roman"/>
                      <w:b/>
                      <w:bCs w:val="0"/>
                      <w:color w:val="000000" w:themeColor="text1"/>
                      <w:kern w:val="2"/>
                      <w:sz w:val="21"/>
                      <w:szCs w:val="21"/>
                      <w:lang w:eastAsia="zh-CN"/>
                      <w14:textFill>
                        <w14:solidFill>
                          <w14:schemeClr w14:val="tx1"/>
                        </w14:solidFill>
                      </w14:textFill>
                    </w:rPr>
                    <w:t>）</w:t>
                  </w:r>
                </w:p>
              </w:tc>
              <w:tc>
                <w:tcPr>
                  <w:tcW w:w="358" w:type="pct"/>
                  <w:noWrap w:val="0"/>
                  <w:vAlign w:val="center"/>
                </w:tcPr>
                <w:p w14:paraId="5412CB7E">
                  <w:pPr>
                    <w:widowControl/>
                    <w:jc w:val="center"/>
                    <w:rPr>
                      <w:rFonts w:hint="eastAsia" w:ascii="Times New Roman" w:hAnsi="Times New Roman" w:eastAsia="宋体" w:cs="Times New Roman"/>
                      <w:b/>
                      <w:bCs w:val="0"/>
                      <w:color w:val="000000" w:themeColor="text1"/>
                      <w:kern w:val="2"/>
                      <w:sz w:val="21"/>
                      <w:szCs w:val="21"/>
                      <w:lang w:eastAsia="zh-CN"/>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超标率</w:t>
                  </w:r>
                  <w:r>
                    <w:rPr>
                      <w:rFonts w:hint="eastAsia" w:cs="Times New Roman"/>
                      <w:b/>
                      <w:bCs w:val="0"/>
                      <w:color w:val="000000" w:themeColor="text1"/>
                      <w:kern w:val="2"/>
                      <w:sz w:val="21"/>
                      <w:szCs w:val="21"/>
                      <w:lang w:eastAsia="zh-CN"/>
                      <w14:textFill>
                        <w14:solidFill>
                          <w14:schemeClr w14:val="tx1"/>
                        </w14:solidFill>
                      </w14:textFill>
                    </w:rPr>
                    <w:t>（</w:t>
                  </w:r>
                  <w:r>
                    <w:rPr>
                      <w:rFonts w:ascii="Times New Roman" w:hAnsi="Times New Roman" w:eastAsia="宋体" w:cs="Times New Roman"/>
                      <w:b/>
                      <w:bCs w:val="0"/>
                      <w:color w:val="000000" w:themeColor="text1"/>
                      <w:kern w:val="2"/>
                      <w:sz w:val="21"/>
                      <w:szCs w:val="21"/>
                      <w14:textFill>
                        <w14:solidFill>
                          <w14:schemeClr w14:val="tx1"/>
                        </w14:solidFill>
                      </w14:textFill>
                    </w:rPr>
                    <w:t>%</w:t>
                  </w:r>
                  <w:r>
                    <w:rPr>
                      <w:rFonts w:hint="eastAsia" w:cs="Times New Roman"/>
                      <w:b/>
                      <w:bCs w:val="0"/>
                      <w:color w:val="000000" w:themeColor="text1"/>
                      <w:kern w:val="2"/>
                      <w:sz w:val="21"/>
                      <w:szCs w:val="21"/>
                      <w:lang w:eastAsia="zh-CN"/>
                      <w14:textFill>
                        <w14:solidFill>
                          <w14:schemeClr w14:val="tx1"/>
                        </w14:solidFill>
                      </w14:textFill>
                    </w:rPr>
                    <w:t>）</w:t>
                  </w:r>
                </w:p>
              </w:tc>
              <w:tc>
                <w:tcPr>
                  <w:tcW w:w="257" w:type="pct"/>
                  <w:noWrap w:val="0"/>
                  <w:vAlign w:val="center"/>
                </w:tcPr>
                <w:p w14:paraId="7FF7C1D3">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是否达标</w:t>
                  </w:r>
                </w:p>
              </w:tc>
              <w:tc>
                <w:tcPr>
                  <w:tcW w:w="407" w:type="pct"/>
                  <w:noWrap w:val="0"/>
                  <w:vAlign w:val="center"/>
                </w:tcPr>
                <w:p w14:paraId="3CABE18D">
                  <w:pPr>
                    <w:widowControl/>
                    <w:jc w:val="center"/>
                    <w:rPr>
                      <w:rFonts w:hint="eastAsia" w:ascii="Times New Roman" w:hAnsi="Times New Roman" w:eastAsia="宋体" w:cs="Times New Roman"/>
                      <w:b/>
                      <w:bCs w:val="0"/>
                      <w:color w:val="000000" w:themeColor="text1"/>
                      <w:kern w:val="2"/>
                      <w:sz w:val="21"/>
                      <w:szCs w:val="21"/>
                      <w:lang w:eastAsia="zh-CN"/>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监测结果</w:t>
                  </w:r>
                  <w:r>
                    <w:rPr>
                      <w:rFonts w:hint="eastAsia" w:cs="Times New Roman"/>
                      <w:b/>
                      <w:bCs w:val="0"/>
                      <w:color w:val="000000" w:themeColor="text1"/>
                      <w:kern w:val="2"/>
                      <w:sz w:val="21"/>
                      <w:szCs w:val="21"/>
                      <w:lang w:eastAsia="zh-CN"/>
                      <w14:textFill>
                        <w14:solidFill>
                          <w14:schemeClr w14:val="tx1"/>
                        </w14:solidFill>
                      </w14:textFill>
                    </w:rPr>
                    <w:t>（</w:t>
                  </w:r>
                  <w:r>
                    <w:rPr>
                      <w:rFonts w:ascii="Times New Roman" w:hAnsi="Times New Roman" w:eastAsia="宋体" w:cs="Times New Roman"/>
                      <w:b/>
                      <w:bCs w:val="0"/>
                      <w:color w:val="000000" w:themeColor="text1"/>
                      <w:kern w:val="2"/>
                      <w:sz w:val="21"/>
                      <w:szCs w:val="21"/>
                      <w14:textFill>
                        <w14:solidFill>
                          <w14:schemeClr w14:val="tx1"/>
                        </w14:solidFill>
                      </w14:textFill>
                    </w:rPr>
                    <w:t>mg/m</w:t>
                  </w:r>
                  <w:r>
                    <w:rPr>
                      <w:rFonts w:ascii="Times New Roman" w:hAnsi="Times New Roman" w:eastAsia="宋体" w:cs="Times New Roman"/>
                      <w:b/>
                      <w:bCs w:val="0"/>
                      <w:color w:val="000000" w:themeColor="text1"/>
                      <w:kern w:val="2"/>
                      <w:sz w:val="21"/>
                      <w:szCs w:val="21"/>
                      <w:vertAlign w:val="superscript"/>
                      <w14:textFill>
                        <w14:solidFill>
                          <w14:schemeClr w14:val="tx1"/>
                        </w14:solidFill>
                      </w14:textFill>
                    </w:rPr>
                    <w:t>3</w:t>
                  </w:r>
                  <w:r>
                    <w:rPr>
                      <w:rFonts w:hint="eastAsia" w:cs="Times New Roman"/>
                      <w:b/>
                      <w:bCs w:val="0"/>
                      <w:color w:val="000000" w:themeColor="text1"/>
                      <w:kern w:val="2"/>
                      <w:sz w:val="21"/>
                      <w:szCs w:val="21"/>
                      <w:lang w:eastAsia="zh-CN"/>
                      <w14:textFill>
                        <w14:solidFill>
                          <w14:schemeClr w14:val="tx1"/>
                        </w14:solidFill>
                      </w14:textFill>
                    </w:rPr>
                    <w:t>）</w:t>
                  </w:r>
                </w:p>
              </w:tc>
              <w:tc>
                <w:tcPr>
                  <w:tcW w:w="358" w:type="pct"/>
                  <w:noWrap w:val="0"/>
                  <w:vAlign w:val="center"/>
                </w:tcPr>
                <w:p w14:paraId="32286075">
                  <w:pPr>
                    <w:widowControl/>
                    <w:jc w:val="center"/>
                    <w:rPr>
                      <w:rFonts w:hint="eastAsia" w:ascii="Times New Roman" w:hAnsi="Times New Roman" w:eastAsia="宋体" w:cs="Times New Roman"/>
                      <w:b/>
                      <w:bCs w:val="0"/>
                      <w:color w:val="000000" w:themeColor="text1"/>
                      <w:kern w:val="2"/>
                      <w:sz w:val="21"/>
                      <w:szCs w:val="21"/>
                      <w:lang w:eastAsia="zh-CN"/>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标准值</w:t>
                  </w:r>
                  <w:r>
                    <w:rPr>
                      <w:rFonts w:hint="eastAsia" w:cs="Times New Roman"/>
                      <w:b/>
                      <w:bCs w:val="0"/>
                      <w:color w:val="000000" w:themeColor="text1"/>
                      <w:kern w:val="2"/>
                      <w:sz w:val="21"/>
                      <w:szCs w:val="21"/>
                      <w:lang w:eastAsia="zh-CN"/>
                      <w14:textFill>
                        <w14:solidFill>
                          <w14:schemeClr w14:val="tx1"/>
                        </w14:solidFill>
                      </w14:textFill>
                    </w:rPr>
                    <w:t>（</w:t>
                  </w:r>
                  <w:r>
                    <w:rPr>
                      <w:rFonts w:ascii="Times New Roman" w:hAnsi="Times New Roman" w:eastAsia="宋体" w:cs="Times New Roman"/>
                      <w:b/>
                      <w:bCs w:val="0"/>
                      <w:color w:val="000000" w:themeColor="text1"/>
                      <w:kern w:val="2"/>
                      <w:sz w:val="21"/>
                      <w:szCs w:val="21"/>
                      <w14:textFill>
                        <w14:solidFill>
                          <w14:schemeClr w14:val="tx1"/>
                        </w14:solidFill>
                      </w14:textFill>
                    </w:rPr>
                    <w:t>mg/m</w:t>
                  </w:r>
                  <w:r>
                    <w:rPr>
                      <w:rFonts w:ascii="Times New Roman" w:hAnsi="Times New Roman" w:eastAsia="宋体" w:cs="Times New Roman"/>
                      <w:b/>
                      <w:bCs w:val="0"/>
                      <w:color w:val="000000" w:themeColor="text1"/>
                      <w:kern w:val="2"/>
                      <w:sz w:val="21"/>
                      <w:szCs w:val="21"/>
                      <w:vertAlign w:val="superscript"/>
                      <w14:textFill>
                        <w14:solidFill>
                          <w14:schemeClr w14:val="tx1"/>
                        </w14:solidFill>
                      </w14:textFill>
                    </w:rPr>
                    <w:t>3</w:t>
                  </w:r>
                  <w:r>
                    <w:rPr>
                      <w:rFonts w:hint="eastAsia" w:cs="Times New Roman"/>
                      <w:b/>
                      <w:bCs w:val="0"/>
                      <w:color w:val="000000" w:themeColor="text1"/>
                      <w:kern w:val="2"/>
                      <w:sz w:val="21"/>
                      <w:szCs w:val="21"/>
                      <w:lang w:eastAsia="zh-CN"/>
                      <w14:textFill>
                        <w14:solidFill>
                          <w14:schemeClr w14:val="tx1"/>
                        </w14:solidFill>
                      </w14:textFill>
                    </w:rPr>
                    <w:t>）</w:t>
                  </w:r>
                </w:p>
              </w:tc>
              <w:tc>
                <w:tcPr>
                  <w:tcW w:w="405" w:type="pct"/>
                  <w:noWrap w:val="0"/>
                  <w:vAlign w:val="center"/>
                </w:tcPr>
                <w:p w14:paraId="49C417AD">
                  <w:pPr>
                    <w:widowControl/>
                    <w:jc w:val="center"/>
                    <w:rPr>
                      <w:rFonts w:hint="eastAsia" w:ascii="Times New Roman" w:hAnsi="Times New Roman" w:eastAsia="宋体" w:cs="Times New Roman"/>
                      <w:b/>
                      <w:bCs w:val="0"/>
                      <w:color w:val="000000" w:themeColor="text1"/>
                      <w:kern w:val="2"/>
                      <w:sz w:val="21"/>
                      <w:szCs w:val="21"/>
                      <w:lang w:eastAsia="zh-CN"/>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超标率</w:t>
                  </w:r>
                  <w:r>
                    <w:rPr>
                      <w:rFonts w:hint="eastAsia" w:cs="Times New Roman"/>
                      <w:b/>
                      <w:bCs w:val="0"/>
                      <w:color w:val="000000" w:themeColor="text1"/>
                      <w:kern w:val="2"/>
                      <w:sz w:val="21"/>
                      <w:szCs w:val="21"/>
                      <w:lang w:eastAsia="zh-CN"/>
                      <w14:textFill>
                        <w14:solidFill>
                          <w14:schemeClr w14:val="tx1"/>
                        </w14:solidFill>
                      </w14:textFill>
                    </w:rPr>
                    <w:t>（</w:t>
                  </w:r>
                  <w:r>
                    <w:rPr>
                      <w:rFonts w:ascii="Times New Roman" w:hAnsi="Times New Roman" w:eastAsia="宋体" w:cs="Times New Roman"/>
                      <w:b/>
                      <w:bCs w:val="0"/>
                      <w:color w:val="000000" w:themeColor="text1"/>
                      <w:kern w:val="2"/>
                      <w:sz w:val="21"/>
                      <w:szCs w:val="21"/>
                      <w14:textFill>
                        <w14:solidFill>
                          <w14:schemeClr w14:val="tx1"/>
                        </w14:solidFill>
                      </w14:textFill>
                    </w:rPr>
                    <w:t>%</w:t>
                  </w:r>
                  <w:r>
                    <w:rPr>
                      <w:rFonts w:hint="eastAsia" w:cs="Times New Roman"/>
                      <w:b/>
                      <w:bCs w:val="0"/>
                      <w:color w:val="000000" w:themeColor="text1"/>
                      <w:kern w:val="2"/>
                      <w:sz w:val="21"/>
                      <w:szCs w:val="21"/>
                      <w:lang w:eastAsia="zh-CN"/>
                      <w14:textFill>
                        <w14:solidFill>
                          <w14:schemeClr w14:val="tx1"/>
                        </w14:solidFill>
                      </w14:textFill>
                    </w:rPr>
                    <w:t>）</w:t>
                  </w:r>
                </w:p>
              </w:tc>
              <w:tc>
                <w:tcPr>
                  <w:tcW w:w="253" w:type="pct"/>
                  <w:noWrap w:val="0"/>
                  <w:vAlign w:val="center"/>
                </w:tcPr>
                <w:p w14:paraId="707249D6">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是否达标</w:t>
                  </w:r>
                </w:p>
              </w:tc>
            </w:tr>
            <w:tr w14:paraId="79809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restart"/>
                  <w:noWrap w:val="0"/>
                  <w:vAlign w:val="center"/>
                </w:tcPr>
                <w:p w14:paraId="7AC7E4B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翠柏自然保护区</w:t>
                  </w:r>
                </w:p>
              </w:tc>
              <w:tc>
                <w:tcPr>
                  <w:tcW w:w="464" w:type="pct"/>
                  <w:vMerge w:val="restart"/>
                  <w:noWrap w:val="0"/>
                  <w:vAlign w:val="center"/>
                </w:tcPr>
                <w:p w14:paraId="353E42F2">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2026.06.27</w:t>
                  </w:r>
                </w:p>
              </w:tc>
              <w:tc>
                <w:tcPr>
                  <w:tcW w:w="1021" w:type="dxa"/>
                  <w:noWrap w:val="0"/>
                  <w:tcMar>
                    <w:top w:w="0" w:type="dxa"/>
                    <w:left w:w="57" w:type="dxa"/>
                    <w:bottom w:w="0" w:type="dxa"/>
                    <w:right w:w="57" w:type="dxa"/>
                  </w:tcMar>
                  <w:vAlign w:val="center"/>
                </w:tcPr>
                <w:p w14:paraId="43331E8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0.008</w:t>
                  </w:r>
                </w:p>
              </w:tc>
              <w:tc>
                <w:tcPr>
                  <w:tcW w:w="397" w:type="pct"/>
                  <w:noWrap w:val="0"/>
                  <w:vAlign w:val="center"/>
                </w:tcPr>
                <w:p w14:paraId="41D5EC9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6D89E6D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57B68B2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3B04017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0.018</w:t>
                  </w:r>
                </w:p>
              </w:tc>
              <w:tc>
                <w:tcPr>
                  <w:tcW w:w="393" w:type="pct"/>
                  <w:noWrap w:val="0"/>
                  <w:vAlign w:val="center"/>
                </w:tcPr>
                <w:p w14:paraId="1141671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1D2C189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4A6B507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49B9113B">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0.049</w:t>
                  </w:r>
                </w:p>
              </w:tc>
              <w:tc>
                <w:tcPr>
                  <w:tcW w:w="358" w:type="pct"/>
                  <w:noWrap w:val="0"/>
                  <w:vAlign w:val="center"/>
                </w:tcPr>
                <w:p w14:paraId="6891EF4D">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59C521D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76AC026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59DFD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6AE2982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51886610">
                  <w:pPr>
                    <w:widowControl w:val="0"/>
                    <w:autoSpaceDE w:val="0"/>
                    <w:autoSpaceDN w:val="0"/>
                    <w:adjustRightInd w:val="0"/>
                    <w:jc w:val="center"/>
                    <w:rPr>
                      <w:rFonts w:hint="eastAsia"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35AA2E52">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0.011</w:t>
                  </w:r>
                </w:p>
              </w:tc>
              <w:tc>
                <w:tcPr>
                  <w:tcW w:w="397" w:type="pct"/>
                  <w:noWrap w:val="0"/>
                  <w:vAlign w:val="center"/>
                </w:tcPr>
                <w:p w14:paraId="232C566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16561D1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5871009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49F9250A">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0.017</w:t>
                  </w:r>
                </w:p>
              </w:tc>
              <w:tc>
                <w:tcPr>
                  <w:tcW w:w="393" w:type="pct"/>
                  <w:noWrap w:val="0"/>
                  <w:vAlign w:val="center"/>
                </w:tcPr>
                <w:p w14:paraId="1704CAF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48FB41F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4A9BDA3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542F9F62">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0.062</w:t>
                  </w:r>
                </w:p>
              </w:tc>
              <w:tc>
                <w:tcPr>
                  <w:tcW w:w="358" w:type="pct"/>
                  <w:noWrap w:val="0"/>
                  <w:vAlign w:val="center"/>
                </w:tcPr>
                <w:p w14:paraId="5CCE0611">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7CC7F84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1F36D01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458E4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34614E9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2476BB63">
                  <w:pPr>
                    <w:widowControl w:val="0"/>
                    <w:autoSpaceDE w:val="0"/>
                    <w:autoSpaceDN w:val="0"/>
                    <w:adjustRightInd w:val="0"/>
                    <w:jc w:val="center"/>
                    <w:rPr>
                      <w:rFonts w:hint="eastAsia"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2D28EB9A">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0.012</w:t>
                  </w:r>
                </w:p>
              </w:tc>
              <w:tc>
                <w:tcPr>
                  <w:tcW w:w="397" w:type="pct"/>
                  <w:noWrap w:val="0"/>
                  <w:vAlign w:val="center"/>
                </w:tcPr>
                <w:p w14:paraId="020DA06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137D855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5907718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01F7BC90">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0.015</w:t>
                  </w:r>
                </w:p>
              </w:tc>
              <w:tc>
                <w:tcPr>
                  <w:tcW w:w="393" w:type="pct"/>
                  <w:noWrap w:val="0"/>
                  <w:vAlign w:val="center"/>
                </w:tcPr>
                <w:p w14:paraId="0C61C57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2BA0B44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1B21B98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2530B170">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0.083</w:t>
                  </w:r>
                </w:p>
              </w:tc>
              <w:tc>
                <w:tcPr>
                  <w:tcW w:w="358" w:type="pct"/>
                  <w:noWrap w:val="0"/>
                  <w:vAlign w:val="center"/>
                </w:tcPr>
                <w:p w14:paraId="1617278F">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226F052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1ADF079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364B4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6692FF8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62A0381D">
                  <w:pPr>
                    <w:widowControl w:val="0"/>
                    <w:autoSpaceDE w:val="0"/>
                    <w:autoSpaceDN w:val="0"/>
                    <w:adjustRightInd w:val="0"/>
                    <w:jc w:val="center"/>
                    <w:rPr>
                      <w:rFonts w:hint="eastAsia"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667C033C">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0.010</w:t>
                  </w:r>
                </w:p>
              </w:tc>
              <w:tc>
                <w:tcPr>
                  <w:tcW w:w="397" w:type="pct"/>
                  <w:noWrap w:val="0"/>
                  <w:vAlign w:val="center"/>
                </w:tcPr>
                <w:p w14:paraId="4C402A5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307D3FB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33F39B0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7F1DEDF3">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0.016</w:t>
                  </w:r>
                </w:p>
              </w:tc>
              <w:tc>
                <w:tcPr>
                  <w:tcW w:w="393" w:type="pct"/>
                  <w:noWrap w:val="0"/>
                  <w:vAlign w:val="center"/>
                </w:tcPr>
                <w:p w14:paraId="3ADC3A2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3450D8F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5179434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34FCC8C7">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0.065</w:t>
                  </w:r>
                </w:p>
              </w:tc>
              <w:tc>
                <w:tcPr>
                  <w:tcW w:w="358" w:type="pct"/>
                  <w:noWrap w:val="0"/>
                  <w:vAlign w:val="center"/>
                </w:tcPr>
                <w:p w14:paraId="1AE3D2E2">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7BBAEE3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4375662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4BF50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3BB9F79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restart"/>
                  <w:noWrap w:val="0"/>
                  <w:vAlign w:val="center"/>
                </w:tcPr>
                <w:p w14:paraId="285D3A62">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8</w:t>
                  </w:r>
                </w:p>
              </w:tc>
              <w:tc>
                <w:tcPr>
                  <w:tcW w:w="1021" w:type="dxa"/>
                  <w:noWrap w:val="0"/>
                  <w:tcMar>
                    <w:top w:w="0" w:type="dxa"/>
                    <w:left w:w="57" w:type="dxa"/>
                    <w:bottom w:w="0" w:type="dxa"/>
                    <w:right w:w="57" w:type="dxa"/>
                  </w:tcMar>
                  <w:vAlign w:val="center"/>
                </w:tcPr>
                <w:p w14:paraId="27CDD54F">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0.009</w:t>
                  </w:r>
                </w:p>
              </w:tc>
              <w:tc>
                <w:tcPr>
                  <w:tcW w:w="397" w:type="pct"/>
                  <w:noWrap w:val="0"/>
                  <w:vAlign w:val="center"/>
                </w:tcPr>
                <w:p w14:paraId="40E6AE3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514421C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4AB2E1A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7C4A18CA">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0.019</w:t>
                  </w:r>
                </w:p>
              </w:tc>
              <w:tc>
                <w:tcPr>
                  <w:tcW w:w="393" w:type="pct"/>
                  <w:noWrap w:val="0"/>
                  <w:vAlign w:val="center"/>
                </w:tcPr>
                <w:p w14:paraId="25073B9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1E57ECD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778BFAB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64DFB015">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0.055</w:t>
                  </w:r>
                </w:p>
              </w:tc>
              <w:tc>
                <w:tcPr>
                  <w:tcW w:w="358" w:type="pct"/>
                  <w:noWrap w:val="0"/>
                  <w:vAlign w:val="center"/>
                </w:tcPr>
                <w:p w14:paraId="7A45E88A">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61542A6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3C342D6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387D4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7D7868E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22217934">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1021" w:type="dxa"/>
                  <w:noWrap w:val="0"/>
                  <w:tcMar>
                    <w:top w:w="0" w:type="dxa"/>
                    <w:left w:w="57" w:type="dxa"/>
                    <w:bottom w:w="0" w:type="dxa"/>
                    <w:right w:w="57" w:type="dxa"/>
                  </w:tcMar>
                  <w:vAlign w:val="center"/>
                </w:tcPr>
                <w:p w14:paraId="177AF6B1">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0.012</w:t>
                  </w:r>
                </w:p>
              </w:tc>
              <w:tc>
                <w:tcPr>
                  <w:tcW w:w="397" w:type="pct"/>
                  <w:noWrap w:val="0"/>
                  <w:vAlign w:val="center"/>
                </w:tcPr>
                <w:p w14:paraId="0BE7146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46E57AC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0F108C2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4686DBD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0.016</w:t>
                  </w:r>
                </w:p>
              </w:tc>
              <w:tc>
                <w:tcPr>
                  <w:tcW w:w="393" w:type="pct"/>
                  <w:noWrap w:val="0"/>
                  <w:vAlign w:val="center"/>
                </w:tcPr>
                <w:p w14:paraId="4C3A722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4E88657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79CA341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2B6E7AE9">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0.066</w:t>
                  </w:r>
                </w:p>
              </w:tc>
              <w:tc>
                <w:tcPr>
                  <w:tcW w:w="358" w:type="pct"/>
                  <w:noWrap w:val="0"/>
                  <w:vAlign w:val="center"/>
                </w:tcPr>
                <w:p w14:paraId="1B99ED5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159E736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79912C4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053DF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5FCE0A8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36C8EA64">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6315F826">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0.010</w:t>
                  </w:r>
                </w:p>
              </w:tc>
              <w:tc>
                <w:tcPr>
                  <w:tcW w:w="397" w:type="pct"/>
                  <w:noWrap w:val="0"/>
                  <w:vAlign w:val="center"/>
                </w:tcPr>
                <w:p w14:paraId="6E0791C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14E9202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0884CB3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592CB548">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0.014</w:t>
                  </w:r>
                </w:p>
              </w:tc>
              <w:tc>
                <w:tcPr>
                  <w:tcW w:w="393" w:type="pct"/>
                  <w:noWrap w:val="0"/>
                  <w:vAlign w:val="center"/>
                </w:tcPr>
                <w:p w14:paraId="4CA5B05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371FDAF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40FE40F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4B7C3C7B">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0.086</w:t>
                  </w:r>
                </w:p>
              </w:tc>
              <w:tc>
                <w:tcPr>
                  <w:tcW w:w="358" w:type="pct"/>
                  <w:noWrap w:val="0"/>
                  <w:vAlign w:val="center"/>
                </w:tcPr>
                <w:p w14:paraId="7E4FA384">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7CC54A0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04B7047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5787D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323CF57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2A5E64BD">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0A0C2A57">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0.009</w:t>
                  </w:r>
                </w:p>
              </w:tc>
              <w:tc>
                <w:tcPr>
                  <w:tcW w:w="397" w:type="pct"/>
                  <w:noWrap w:val="0"/>
                  <w:vAlign w:val="center"/>
                </w:tcPr>
                <w:p w14:paraId="0C0A8A0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4CF0F96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08607E5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3A44054A">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0.018</w:t>
                  </w:r>
                </w:p>
              </w:tc>
              <w:tc>
                <w:tcPr>
                  <w:tcW w:w="393" w:type="pct"/>
                  <w:noWrap w:val="0"/>
                  <w:vAlign w:val="center"/>
                </w:tcPr>
                <w:p w14:paraId="7784187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003DFDD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7B3DCC9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22475B4F">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0.083</w:t>
                  </w:r>
                </w:p>
              </w:tc>
              <w:tc>
                <w:tcPr>
                  <w:tcW w:w="358" w:type="pct"/>
                  <w:noWrap w:val="0"/>
                  <w:vAlign w:val="center"/>
                </w:tcPr>
                <w:p w14:paraId="297AA572">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7BA8CB5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4A0DFC1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3576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518EAE2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restart"/>
                  <w:noWrap w:val="0"/>
                  <w:vAlign w:val="center"/>
                </w:tcPr>
                <w:p w14:paraId="3C29AF27">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9</w:t>
                  </w:r>
                </w:p>
              </w:tc>
              <w:tc>
                <w:tcPr>
                  <w:tcW w:w="1021" w:type="dxa"/>
                  <w:noWrap w:val="0"/>
                  <w:tcMar>
                    <w:top w:w="0" w:type="dxa"/>
                    <w:left w:w="57" w:type="dxa"/>
                    <w:bottom w:w="0" w:type="dxa"/>
                    <w:right w:w="57" w:type="dxa"/>
                  </w:tcMar>
                  <w:vAlign w:val="center"/>
                </w:tcPr>
                <w:p w14:paraId="702985BE">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0.010</w:t>
                  </w:r>
                </w:p>
              </w:tc>
              <w:tc>
                <w:tcPr>
                  <w:tcW w:w="397" w:type="pct"/>
                  <w:noWrap w:val="0"/>
                  <w:vAlign w:val="center"/>
                </w:tcPr>
                <w:p w14:paraId="14B291A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134D51A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4177C3D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277F82C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0.017</w:t>
                  </w:r>
                </w:p>
              </w:tc>
              <w:tc>
                <w:tcPr>
                  <w:tcW w:w="393" w:type="pct"/>
                  <w:noWrap w:val="0"/>
                  <w:vAlign w:val="center"/>
                </w:tcPr>
                <w:p w14:paraId="1CD9213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0AC654C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2C43D86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6624BCFC">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0.053</w:t>
                  </w:r>
                </w:p>
              </w:tc>
              <w:tc>
                <w:tcPr>
                  <w:tcW w:w="358" w:type="pct"/>
                  <w:noWrap w:val="0"/>
                  <w:vAlign w:val="center"/>
                </w:tcPr>
                <w:p w14:paraId="3EEBA75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7D40A1C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6ADA03A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43A59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49615C4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7341B2B7">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35709424">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0.012</w:t>
                  </w:r>
                </w:p>
              </w:tc>
              <w:tc>
                <w:tcPr>
                  <w:tcW w:w="397" w:type="pct"/>
                  <w:noWrap w:val="0"/>
                  <w:vAlign w:val="center"/>
                </w:tcPr>
                <w:p w14:paraId="6E3275C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76A57CF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501BBC2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156456C1">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0.016</w:t>
                  </w:r>
                </w:p>
              </w:tc>
              <w:tc>
                <w:tcPr>
                  <w:tcW w:w="393" w:type="pct"/>
                  <w:noWrap w:val="0"/>
                  <w:vAlign w:val="center"/>
                </w:tcPr>
                <w:p w14:paraId="256D6A7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498053F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364FD19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01F2406A">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0.064</w:t>
                  </w:r>
                </w:p>
              </w:tc>
              <w:tc>
                <w:tcPr>
                  <w:tcW w:w="358" w:type="pct"/>
                  <w:noWrap w:val="0"/>
                  <w:vAlign w:val="center"/>
                </w:tcPr>
                <w:p w14:paraId="222C13C8">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1BEA9A8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5C5C946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1BCBF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1133E73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3C3DCAE1">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74878895">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0.010</w:t>
                  </w:r>
                </w:p>
              </w:tc>
              <w:tc>
                <w:tcPr>
                  <w:tcW w:w="397" w:type="pct"/>
                  <w:noWrap w:val="0"/>
                  <w:vAlign w:val="center"/>
                </w:tcPr>
                <w:p w14:paraId="165766F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5E3AC23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7F880EA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1F24D72C">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0.014</w:t>
                  </w:r>
                </w:p>
              </w:tc>
              <w:tc>
                <w:tcPr>
                  <w:tcW w:w="393" w:type="pct"/>
                  <w:noWrap w:val="0"/>
                  <w:vAlign w:val="center"/>
                </w:tcPr>
                <w:p w14:paraId="3520F9A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25F8573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799AC09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3160C99D">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0.080</w:t>
                  </w:r>
                </w:p>
              </w:tc>
              <w:tc>
                <w:tcPr>
                  <w:tcW w:w="358" w:type="pct"/>
                  <w:noWrap w:val="0"/>
                  <w:vAlign w:val="center"/>
                </w:tcPr>
                <w:p w14:paraId="1393785D">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433370A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43FC31C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60158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7CC10F7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01371B47">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0F7F2B84">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0.008</w:t>
                  </w:r>
                </w:p>
              </w:tc>
              <w:tc>
                <w:tcPr>
                  <w:tcW w:w="397" w:type="pct"/>
                  <w:noWrap w:val="0"/>
                  <w:vAlign w:val="center"/>
                </w:tcPr>
                <w:p w14:paraId="6E7EE81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7666E9A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38A3BA1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5514FC74">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0.017</w:t>
                  </w:r>
                </w:p>
              </w:tc>
              <w:tc>
                <w:tcPr>
                  <w:tcW w:w="393" w:type="pct"/>
                  <w:noWrap w:val="0"/>
                  <w:vAlign w:val="center"/>
                </w:tcPr>
                <w:p w14:paraId="5C5DB8A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3C291CF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0FEB679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2BE21C49">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0.063</w:t>
                  </w:r>
                </w:p>
              </w:tc>
              <w:tc>
                <w:tcPr>
                  <w:tcW w:w="358" w:type="pct"/>
                  <w:noWrap w:val="0"/>
                  <w:vAlign w:val="center"/>
                </w:tcPr>
                <w:p w14:paraId="41164F2D">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5A1C8C8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7E3DFB0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15CB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4D70A89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restart"/>
                  <w:noWrap w:val="0"/>
                  <w:vAlign w:val="center"/>
                </w:tcPr>
                <w:p w14:paraId="47758B84">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30</w:t>
                  </w:r>
                </w:p>
              </w:tc>
              <w:tc>
                <w:tcPr>
                  <w:tcW w:w="1021" w:type="dxa"/>
                  <w:noWrap w:val="0"/>
                  <w:tcMar>
                    <w:top w:w="0" w:type="dxa"/>
                    <w:left w:w="57" w:type="dxa"/>
                    <w:bottom w:w="0" w:type="dxa"/>
                    <w:right w:w="57" w:type="dxa"/>
                  </w:tcMar>
                  <w:vAlign w:val="center"/>
                </w:tcPr>
                <w:p w14:paraId="7646CFA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0.009</w:t>
                  </w:r>
                </w:p>
              </w:tc>
              <w:tc>
                <w:tcPr>
                  <w:tcW w:w="397" w:type="pct"/>
                  <w:noWrap w:val="0"/>
                  <w:vAlign w:val="center"/>
                </w:tcPr>
                <w:p w14:paraId="74B7C56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0A84315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6FD8C45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6D8B6CF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0.018</w:t>
                  </w:r>
                </w:p>
              </w:tc>
              <w:tc>
                <w:tcPr>
                  <w:tcW w:w="393" w:type="pct"/>
                  <w:noWrap w:val="0"/>
                  <w:vAlign w:val="center"/>
                </w:tcPr>
                <w:p w14:paraId="44C4441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3D8D078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251658E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33D35DC6">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0.051</w:t>
                  </w:r>
                </w:p>
              </w:tc>
              <w:tc>
                <w:tcPr>
                  <w:tcW w:w="358" w:type="pct"/>
                  <w:noWrap w:val="0"/>
                  <w:vAlign w:val="center"/>
                </w:tcPr>
                <w:p w14:paraId="4FAEE71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23AD126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4AA23BC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52AD0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760404F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5D21F2B5">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3F87F6FD">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0.011</w:t>
                  </w:r>
                </w:p>
              </w:tc>
              <w:tc>
                <w:tcPr>
                  <w:tcW w:w="397" w:type="pct"/>
                  <w:noWrap w:val="0"/>
                  <w:vAlign w:val="center"/>
                </w:tcPr>
                <w:p w14:paraId="7035575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66BB07C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1A1514D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27ED7A41">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0.017</w:t>
                  </w:r>
                </w:p>
              </w:tc>
              <w:tc>
                <w:tcPr>
                  <w:tcW w:w="393" w:type="pct"/>
                  <w:noWrap w:val="0"/>
                  <w:vAlign w:val="center"/>
                </w:tcPr>
                <w:p w14:paraId="2A4FBC1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606CC51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0716CC0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4960A861">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0.059</w:t>
                  </w:r>
                </w:p>
              </w:tc>
              <w:tc>
                <w:tcPr>
                  <w:tcW w:w="358" w:type="pct"/>
                  <w:noWrap w:val="0"/>
                  <w:vAlign w:val="center"/>
                </w:tcPr>
                <w:p w14:paraId="3E0F3D57">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7BF46F8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6628C66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3466F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3755145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285F12B0">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335319BF">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0.010</w:t>
                  </w:r>
                </w:p>
              </w:tc>
              <w:tc>
                <w:tcPr>
                  <w:tcW w:w="397" w:type="pct"/>
                  <w:noWrap w:val="0"/>
                  <w:vAlign w:val="center"/>
                </w:tcPr>
                <w:p w14:paraId="229793D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15B943E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41D93B8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2C65D48D">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0.015</w:t>
                  </w:r>
                </w:p>
              </w:tc>
              <w:tc>
                <w:tcPr>
                  <w:tcW w:w="393" w:type="pct"/>
                  <w:noWrap w:val="0"/>
                  <w:vAlign w:val="center"/>
                </w:tcPr>
                <w:p w14:paraId="3565D35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6FF3004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02728FD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7E52D691">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0.079</w:t>
                  </w:r>
                </w:p>
              </w:tc>
              <w:tc>
                <w:tcPr>
                  <w:tcW w:w="358" w:type="pct"/>
                  <w:noWrap w:val="0"/>
                  <w:vAlign w:val="center"/>
                </w:tcPr>
                <w:p w14:paraId="7FA21ADE">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3596148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73AC6D3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5EA6B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18F3CB0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2B2377BE">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4D356757">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0.009</w:t>
                  </w:r>
                </w:p>
              </w:tc>
              <w:tc>
                <w:tcPr>
                  <w:tcW w:w="397" w:type="pct"/>
                  <w:noWrap w:val="0"/>
                  <w:vAlign w:val="center"/>
                </w:tcPr>
                <w:p w14:paraId="72378D3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17E4D88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5744147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09AFC3F6">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0.017</w:t>
                  </w:r>
                </w:p>
              </w:tc>
              <w:tc>
                <w:tcPr>
                  <w:tcW w:w="393" w:type="pct"/>
                  <w:noWrap w:val="0"/>
                  <w:vAlign w:val="center"/>
                </w:tcPr>
                <w:p w14:paraId="351ACEC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62615EA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5B0BFFB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00DDBB39">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0.065</w:t>
                  </w:r>
                </w:p>
              </w:tc>
              <w:tc>
                <w:tcPr>
                  <w:tcW w:w="358" w:type="pct"/>
                  <w:noWrap w:val="0"/>
                  <w:vAlign w:val="center"/>
                </w:tcPr>
                <w:p w14:paraId="391AA70F">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164D673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3EE19B8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33078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1B7F2FE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restart"/>
                  <w:noWrap w:val="0"/>
                  <w:vAlign w:val="center"/>
                </w:tcPr>
                <w:p w14:paraId="59777EC2">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2026.07.01</w:t>
                  </w:r>
                </w:p>
              </w:tc>
              <w:tc>
                <w:tcPr>
                  <w:tcW w:w="1021" w:type="dxa"/>
                  <w:noWrap w:val="0"/>
                  <w:tcMar>
                    <w:top w:w="0" w:type="dxa"/>
                    <w:left w:w="57" w:type="dxa"/>
                    <w:bottom w:w="0" w:type="dxa"/>
                    <w:right w:w="57" w:type="dxa"/>
                  </w:tcMar>
                  <w:vAlign w:val="center"/>
                </w:tcPr>
                <w:p w14:paraId="191E1F28">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0.009</w:t>
                  </w:r>
                </w:p>
              </w:tc>
              <w:tc>
                <w:tcPr>
                  <w:tcW w:w="397" w:type="pct"/>
                  <w:noWrap w:val="0"/>
                  <w:vAlign w:val="center"/>
                </w:tcPr>
                <w:p w14:paraId="6F11977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25FF426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0F7132D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2B9EB46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0.018</w:t>
                  </w:r>
                </w:p>
              </w:tc>
              <w:tc>
                <w:tcPr>
                  <w:tcW w:w="393" w:type="pct"/>
                  <w:noWrap w:val="0"/>
                  <w:vAlign w:val="center"/>
                </w:tcPr>
                <w:p w14:paraId="5208177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5BA1891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7FA1216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0E784CED">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0.050</w:t>
                  </w:r>
                </w:p>
              </w:tc>
              <w:tc>
                <w:tcPr>
                  <w:tcW w:w="358" w:type="pct"/>
                  <w:noWrap w:val="0"/>
                  <w:vAlign w:val="center"/>
                </w:tcPr>
                <w:p w14:paraId="0F8B189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6A6B754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3125D37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155F2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7D70004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6B9F552C">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00F71B5E">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0.012</w:t>
                  </w:r>
                </w:p>
              </w:tc>
              <w:tc>
                <w:tcPr>
                  <w:tcW w:w="397" w:type="pct"/>
                  <w:noWrap w:val="0"/>
                  <w:vAlign w:val="center"/>
                </w:tcPr>
                <w:p w14:paraId="50F7D77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502999A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17F0D8B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609B2C5F">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0.016</w:t>
                  </w:r>
                </w:p>
              </w:tc>
              <w:tc>
                <w:tcPr>
                  <w:tcW w:w="393" w:type="pct"/>
                  <w:noWrap w:val="0"/>
                  <w:vAlign w:val="center"/>
                </w:tcPr>
                <w:p w14:paraId="6FF4BBC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4A892E3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3BFD939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61132CF2">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0.061</w:t>
                  </w:r>
                </w:p>
              </w:tc>
              <w:tc>
                <w:tcPr>
                  <w:tcW w:w="358" w:type="pct"/>
                  <w:noWrap w:val="0"/>
                  <w:vAlign w:val="center"/>
                </w:tcPr>
                <w:p w14:paraId="3C0AB647">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4981F6B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3B65959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50CF0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5C6D59C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00B02AB1">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4B2E54C9">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0.010</w:t>
                  </w:r>
                </w:p>
              </w:tc>
              <w:tc>
                <w:tcPr>
                  <w:tcW w:w="397" w:type="pct"/>
                  <w:noWrap w:val="0"/>
                  <w:vAlign w:val="center"/>
                </w:tcPr>
                <w:p w14:paraId="265868E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7EA4DCC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1765F2E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2B401ECF">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0.013</w:t>
                  </w:r>
                </w:p>
              </w:tc>
              <w:tc>
                <w:tcPr>
                  <w:tcW w:w="393" w:type="pct"/>
                  <w:noWrap w:val="0"/>
                  <w:vAlign w:val="center"/>
                </w:tcPr>
                <w:p w14:paraId="4757E25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783E180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7BD73A5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1521809D">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0.076</w:t>
                  </w:r>
                </w:p>
              </w:tc>
              <w:tc>
                <w:tcPr>
                  <w:tcW w:w="358" w:type="pct"/>
                  <w:noWrap w:val="0"/>
                  <w:vAlign w:val="center"/>
                </w:tcPr>
                <w:p w14:paraId="53BBA5E4">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5E0EE72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261FFC4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45C8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31A61FD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53E2786D">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38372A54">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0.008</w:t>
                  </w:r>
                </w:p>
              </w:tc>
              <w:tc>
                <w:tcPr>
                  <w:tcW w:w="397" w:type="pct"/>
                  <w:noWrap w:val="0"/>
                  <w:vAlign w:val="center"/>
                </w:tcPr>
                <w:p w14:paraId="07E8B17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6CF34DF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4B50A9C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22F5EF2B">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0.016</w:t>
                  </w:r>
                </w:p>
              </w:tc>
              <w:tc>
                <w:tcPr>
                  <w:tcW w:w="393" w:type="pct"/>
                  <w:noWrap w:val="0"/>
                  <w:vAlign w:val="center"/>
                </w:tcPr>
                <w:p w14:paraId="6C2723F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1EDD4CB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26D4FAA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089F44D7">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0.074</w:t>
                  </w:r>
                </w:p>
              </w:tc>
              <w:tc>
                <w:tcPr>
                  <w:tcW w:w="358" w:type="pct"/>
                  <w:noWrap w:val="0"/>
                  <w:vAlign w:val="center"/>
                </w:tcPr>
                <w:p w14:paraId="22BBACFC">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247A59C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0269DA0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37E4E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2F64053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restart"/>
                  <w:noWrap w:val="0"/>
                  <w:vAlign w:val="center"/>
                </w:tcPr>
                <w:p w14:paraId="095A54C6">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7</w:t>
                  </w: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02</w:t>
                  </w:r>
                </w:p>
              </w:tc>
              <w:tc>
                <w:tcPr>
                  <w:tcW w:w="1021" w:type="dxa"/>
                  <w:noWrap w:val="0"/>
                  <w:tcMar>
                    <w:top w:w="0" w:type="dxa"/>
                    <w:left w:w="57" w:type="dxa"/>
                    <w:bottom w:w="0" w:type="dxa"/>
                    <w:right w:w="57" w:type="dxa"/>
                  </w:tcMar>
                  <w:vAlign w:val="center"/>
                </w:tcPr>
                <w:p w14:paraId="4ACFAD3D">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0.009</w:t>
                  </w:r>
                </w:p>
              </w:tc>
              <w:tc>
                <w:tcPr>
                  <w:tcW w:w="397" w:type="pct"/>
                  <w:noWrap w:val="0"/>
                  <w:vAlign w:val="center"/>
                </w:tcPr>
                <w:p w14:paraId="04EEF85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1A67B03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52BE27B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3F22230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0.017</w:t>
                  </w:r>
                </w:p>
              </w:tc>
              <w:tc>
                <w:tcPr>
                  <w:tcW w:w="393" w:type="pct"/>
                  <w:noWrap w:val="0"/>
                  <w:vAlign w:val="center"/>
                </w:tcPr>
                <w:p w14:paraId="27A8E96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7018934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135D978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297E6E5B">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0.051</w:t>
                  </w:r>
                </w:p>
              </w:tc>
              <w:tc>
                <w:tcPr>
                  <w:tcW w:w="358" w:type="pct"/>
                  <w:noWrap w:val="0"/>
                  <w:vAlign w:val="center"/>
                </w:tcPr>
                <w:p w14:paraId="7A05C1B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2E987EB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26D5C1E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28D9A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7CF1398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752E65CB">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28BE0909">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0.013</w:t>
                  </w:r>
                </w:p>
              </w:tc>
              <w:tc>
                <w:tcPr>
                  <w:tcW w:w="397" w:type="pct"/>
                  <w:noWrap w:val="0"/>
                  <w:vAlign w:val="center"/>
                </w:tcPr>
                <w:p w14:paraId="40A6A76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12FDF7E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507C579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24007352">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0.015</w:t>
                  </w:r>
                </w:p>
              </w:tc>
              <w:tc>
                <w:tcPr>
                  <w:tcW w:w="393" w:type="pct"/>
                  <w:noWrap w:val="0"/>
                  <w:vAlign w:val="center"/>
                </w:tcPr>
                <w:p w14:paraId="377D373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5D3BE7C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7D8B517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2F2C1833">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0.056</w:t>
                  </w:r>
                </w:p>
              </w:tc>
              <w:tc>
                <w:tcPr>
                  <w:tcW w:w="358" w:type="pct"/>
                  <w:noWrap w:val="0"/>
                  <w:vAlign w:val="center"/>
                </w:tcPr>
                <w:p w14:paraId="53569F4A">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541FA63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77ABCF1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70BED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760348F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2F6C7220">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53FCAB0C">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0.011</w:t>
                  </w:r>
                </w:p>
              </w:tc>
              <w:tc>
                <w:tcPr>
                  <w:tcW w:w="397" w:type="pct"/>
                  <w:noWrap w:val="0"/>
                  <w:vAlign w:val="center"/>
                </w:tcPr>
                <w:p w14:paraId="345641E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4CD9E12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4553DEF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12FFBF0E">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0.013</w:t>
                  </w:r>
                </w:p>
              </w:tc>
              <w:tc>
                <w:tcPr>
                  <w:tcW w:w="393" w:type="pct"/>
                  <w:noWrap w:val="0"/>
                  <w:vAlign w:val="center"/>
                </w:tcPr>
                <w:p w14:paraId="6369703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59A90B7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13DE349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49D3D88B">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0.077</w:t>
                  </w:r>
                </w:p>
              </w:tc>
              <w:tc>
                <w:tcPr>
                  <w:tcW w:w="358" w:type="pct"/>
                  <w:noWrap w:val="0"/>
                  <w:vAlign w:val="center"/>
                </w:tcPr>
                <w:p w14:paraId="0E59DFCE">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5CDECCA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42D78BE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38CAD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41CBC59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1F724DB7">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4B63AB3D">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0.009</w:t>
                  </w:r>
                </w:p>
              </w:tc>
              <w:tc>
                <w:tcPr>
                  <w:tcW w:w="397" w:type="pct"/>
                  <w:noWrap w:val="0"/>
                  <w:vAlign w:val="center"/>
                </w:tcPr>
                <w:p w14:paraId="09252E2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7DE7681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597FDC3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457FE5DC">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0.017</w:t>
                  </w:r>
                </w:p>
              </w:tc>
              <w:tc>
                <w:tcPr>
                  <w:tcW w:w="393" w:type="pct"/>
                  <w:noWrap w:val="0"/>
                  <w:vAlign w:val="center"/>
                </w:tcPr>
                <w:p w14:paraId="4D49FBB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73FEC8F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426DE2E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7D03E96F">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0.070</w:t>
                  </w:r>
                </w:p>
              </w:tc>
              <w:tc>
                <w:tcPr>
                  <w:tcW w:w="358" w:type="pct"/>
                  <w:noWrap w:val="0"/>
                  <w:vAlign w:val="center"/>
                </w:tcPr>
                <w:p w14:paraId="51CEA850">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4B808E7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12E2FD8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6F630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72EA1C5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restart"/>
                  <w:noWrap w:val="0"/>
                  <w:vAlign w:val="center"/>
                </w:tcPr>
                <w:p w14:paraId="3EC23498">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7</w:t>
                  </w: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03</w:t>
                  </w:r>
                </w:p>
              </w:tc>
              <w:tc>
                <w:tcPr>
                  <w:tcW w:w="1021" w:type="dxa"/>
                  <w:noWrap w:val="0"/>
                  <w:tcMar>
                    <w:top w:w="0" w:type="dxa"/>
                    <w:left w:w="57" w:type="dxa"/>
                    <w:bottom w:w="0" w:type="dxa"/>
                    <w:right w:w="57" w:type="dxa"/>
                  </w:tcMar>
                  <w:vAlign w:val="center"/>
                </w:tcPr>
                <w:p w14:paraId="0C982A32">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0.010</w:t>
                  </w:r>
                </w:p>
              </w:tc>
              <w:tc>
                <w:tcPr>
                  <w:tcW w:w="397" w:type="pct"/>
                  <w:noWrap w:val="0"/>
                  <w:vAlign w:val="center"/>
                </w:tcPr>
                <w:p w14:paraId="6E3A327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66286A0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65FBF19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52BF79A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0.017</w:t>
                  </w:r>
                </w:p>
              </w:tc>
              <w:tc>
                <w:tcPr>
                  <w:tcW w:w="393" w:type="pct"/>
                  <w:noWrap w:val="0"/>
                  <w:vAlign w:val="center"/>
                </w:tcPr>
                <w:p w14:paraId="724B164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7C69DCF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19D7A62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47CB78AB">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0.053</w:t>
                  </w:r>
                </w:p>
              </w:tc>
              <w:tc>
                <w:tcPr>
                  <w:tcW w:w="358" w:type="pct"/>
                  <w:noWrap w:val="0"/>
                  <w:vAlign w:val="center"/>
                </w:tcPr>
                <w:p w14:paraId="712B51E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7920568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132701BC">
                  <w:pPr>
                    <w:widowControl/>
                    <w:jc w:val="both"/>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5181F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55C53A2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5DFD5464">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64B6764D">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0.013</w:t>
                  </w:r>
                </w:p>
              </w:tc>
              <w:tc>
                <w:tcPr>
                  <w:tcW w:w="397" w:type="pct"/>
                  <w:noWrap w:val="0"/>
                  <w:vAlign w:val="center"/>
                </w:tcPr>
                <w:p w14:paraId="167F0B1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13C70F5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5EA1A67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2ABE6AE1">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0.016</w:t>
                  </w:r>
                </w:p>
              </w:tc>
              <w:tc>
                <w:tcPr>
                  <w:tcW w:w="393" w:type="pct"/>
                  <w:noWrap w:val="0"/>
                  <w:vAlign w:val="center"/>
                </w:tcPr>
                <w:p w14:paraId="52D726C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38651FF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3C42F49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298D784F">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0.061</w:t>
                  </w:r>
                </w:p>
              </w:tc>
              <w:tc>
                <w:tcPr>
                  <w:tcW w:w="358" w:type="pct"/>
                  <w:noWrap w:val="0"/>
                  <w:vAlign w:val="center"/>
                </w:tcPr>
                <w:p w14:paraId="60EFC080">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525F7B2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487FFF68">
                  <w:pPr>
                    <w:widowControl/>
                    <w:jc w:val="both"/>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674D9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0B54D99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5BB92CF6">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6B7A1B3A">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0.012</w:t>
                  </w:r>
                </w:p>
              </w:tc>
              <w:tc>
                <w:tcPr>
                  <w:tcW w:w="397" w:type="pct"/>
                  <w:noWrap w:val="0"/>
                  <w:vAlign w:val="center"/>
                </w:tcPr>
                <w:p w14:paraId="058DB75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35D9770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0060DB7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562CAAC8">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0.014</w:t>
                  </w:r>
                </w:p>
              </w:tc>
              <w:tc>
                <w:tcPr>
                  <w:tcW w:w="393" w:type="pct"/>
                  <w:noWrap w:val="0"/>
                  <w:vAlign w:val="center"/>
                </w:tcPr>
                <w:p w14:paraId="1BF7507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3E2F896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25AE66B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107D1FBD">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0.076</w:t>
                  </w:r>
                </w:p>
              </w:tc>
              <w:tc>
                <w:tcPr>
                  <w:tcW w:w="358" w:type="pct"/>
                  <w:noWrap w:val="0"/>
                  <w:vAlign w:val="center"/>
                </w:tcPr>
                <w:p w14:paraId="28E623AA">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7D43F0D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5C3FB16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0B269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51EC4AB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2E8BC5C2">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79F06594">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0.009</w:t>
                  </w:r>
                </w:p>
              </w:tc>
              <w:tc>
                <w:tcPr>
                  <w:tcW w:w="397" w:type="pct"/>
                  <w:noWrap w:val="0"/>
                  <w:vAlign w:val="center"/>
                </w:tcPr>
                <w:p w14:paraId="368DD73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273443E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310B35D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1355412B">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0.017</w:t>
                  </w:r>
                </w:p>
              </w:tc>
              <w:tc>
                <w:tcPr>
                  <w:tcW w:w="393" w:type="pct"/>
                  <w:noWrap w:val="0"/>
                  <w:vAlign w:val="center"/>
                </w:tcPr>
                <w:p w14:paraId="15959BB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21CA8DD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1547254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78852C3A">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0.067</w:t>
                  </w:r>
                </w:p>
              </w:tc>
              <w:tc>
                <w:tcPr>
                  <w:tcW w:w="358" w:type="pct"/>
                  <w:noWrap w:val="0"/>
                  <w:vAlign w:val="center"/>
                </w:tcPr>
                <w:p w14:paraId="2E4E2C90">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507FCB5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14AA9C3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1648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14"/>
                  <w:noWrap w:val="0"/>
                  <w:vAlign w:val="center"/>
                </w:tcPr>
                <w:p w14:paraId="198FFC95">
                  <w:pPr>
                    <w:widowControl/>
                    <w:jc w:val="left"/>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备注：</w:t>
                  </w:r>
                  <w:r>
                    <w:rPr>
                      <w:rFonts w:hint="eastAsia" w:cs="Times New Roman"/>
                      <w:b w:val="0"/>
                      <w:bCs/>
                      <w:color w:val="000000" w:themeColor="text1"/>
                      <w:kern w:val="2"/>
                      <w:sz w:val="21"/>
                      <w:szCs w:val="21"/>
                      <w:lang w:eastAsia="zh-CN"/>
                      <w14:textFill>
                        <w14:solidFill>
                          <w14:schemeClr w14:val="tx1"/>
                        </w14:solidFill>
                      </w14:textFill>
                    </w:rPr>
                    <w:t>“</w:t>
                  </w:r>
                  <w:r>
                    <w:rPr>
                      <w:rFonts w:ascii="Times New Roman" w:hAnsi="Times New Roman" w:eastAsia="宋体" w:cs="Times New Roman"/>
                      <w:b w:val="0"/>
                      <w:bCs/>
                      <w:color w:val="000000" w:themeColor="text1"/>
                      <w:kern w:val="2"/>
                      <w:sz w:val="21"/>
                      <w:szCs w:val="21"/>
                      <w14:textFill>
                        <w14:solidFill>
                          <w14:schemeClr w14:val="tx1"/>
                        </w14:solidFill>
                      </w14:textFill>
                    </w:rPr>
                    <w:t>检出限+L</w:t>
                  </w:r>
                  <w:r>
                    <w:rPr>
                      <w:rFonts w:hint="eastAsia" w:cs="Times New Roman"/>
                      <w:b w:val="0"/>
                      <w:bCs/>
                      <w:color w:val="000000" w:themeColor="text1"/>
                      <w:kern w:val="2"/>
                      <w:sz w:val="21"/>
                      <w:szCs w:val="21"/>
                      <w:lang w:eastAsia="zh-CN"/>
                      <w14:textFill>
                        <w14:solidFill>
                          <w14:schemeClr w14:val="tx1"/>
                        </w14:solidFill>
                      </w14:textFill>
                    </w:rPr>
                    <w:t>”</w:t>
                  </w:r>
                  <w:r>
                    <w:rPr>
                      <w:rFonts w:ascii="Times New Roman" w:hAnsi="Times New Roman" w:eastAsia="宋体" w:cs="Times New Roman"/>
                      <w:b w:val="0"/>
                      <w:bCs/>
                      <w:color w:val="000000" w:themeColor="text1"/>
                      <w:kern w:val="2"/>
                      <w:sz w:val="21"/>
                      <w:szCs w:val="21"/>
                      <w14:textFill>
                        <w14:solidFill>
                          <w14:schemeClr w14:val="tx1"/>
                        </w14:solidFill>
                      </w14:textFill>
                    </w:rPr>
                    <w:t>表示检测结果低于方法检出限。</w:t>
                  </w:r>
                </w:p>
              </w:tc>
            </w:tr>
          </w:tbl>
          <w:p w14:paraId="76817C4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b w:val="0"/>
                <w:bCs/>
                <w:color w:val="000000" w:themeColor="text1"/>
                <w:kern w:val="2"/>
                <w:sz w:val="24"/>
                <w:szCs w:val="24"/>
                <w14:textFill>
                  <w14:solidFill>
                    <w14:schemeClr w14:val="tx1"/>
                  </w14:solidFill>
                </w14:textFill>
              </w:rPr>
            </w:pPr>
            <w:r>
              <w:rPr>
                <w:rFonts w:ascii="Times New Roman" w:hAnsi="Times New Roman" w:eastAsia="宋体" w:cs="Times New Roman"/>
                <w:b w:val="0"/>
                <w:bCs/>
                <w:color w:val="000000" w:themeColor="text1"/>
                <w:kern w:val="2"/>
                <w:sz w:val="24"/>
                <w:szCs w:val="24"/>
                <w14:textFill>
                  <w14:solidFill>
                    <w14:schemeClr w14:val="tx1"/>
                  </w14:solidFill>
                </w14:textFill>
              </w:rPr>
              <w:t>由表</w:t>
            </w:r>
            <w:r>
              <w:rPr>
                <w:rFonts w:hint="eastAsia" w:cs="Times New Roman"/>
                <w:b w:val="0"/>
                <w:bCs/>
                <w:color w:val="000000" w:themeColor="text1"/>
                <w:kern w:val="2"/>
                <w:sz w:val="24"/>
                <w:szCs w:val="24"/>
                <w:lang w:val="en-US" w:eastAsia="zh-CN"/>
                <w14:textFill>
                  <w14:solidFill>
                    <w14:schemeClr w14:val="tx1"/>
                  </w14:solidFill>
                </w14:textFill>
              </w:rPr>
              <w:t>3-1</w:t>
            </w:r>
            <w:r>
              <w:rPr>
                <w:rFonts w:ascii="Times New Roman" w:hAnsi="Times New Roman" w:eastAsia="宋体" w:cs="Times New Roman"/>
                <w:b w:val="0"/>
                <w:bCs/>
                <w:color w:val="000000" w:themeColor="text1"/>
                <w:kern w:val="2"/>
                <w:sz w:val="24"/>
                <w:szCs w:val="24"/>
                <w14:textFill>
                  <w14:solidFill>
                    <w14:schemeClr w14:val="tx1"/>
                  </w14:solidFill>
                </w14:textFill>
              </w:rPr>
              <w:t>至表</w:t>
            </w:r>
            <w:r>
              <w:rPr>
                <w:rFonts w:hint="eastAsia" w:cs="Times New Roman"/>
                <w:b w:val="0"/>
                <w:bCs/>
                <w:color w:val="000000" w:themeColor="text1"/>
                <w:kern w:val="2"/>
                <w:sz w:val="24"/>
                <w:szCs w:val="24"/>
                <w:lang w:val="en-US" w:eastAsia="zh-CN"/>
                <w14:textFill>
                  <w14:solidFill>
                    <w14:schemeClr w14:val="tx1"/>
                  </w14:solidFill>
                </w14:textFill>
              </w:rPr>
              <w:t>3-7</w:t>
            </w:r>
            <w:r>
              <w:rPr>
                <w:rFonts w:ascii="Times New Roman" w:hAnsi="Times New Roman" w:eastAsia="宋体" w:cs="Times New Roman"/>
                <w:b w:val="0"/>
                <w:bCs/>
                <w:color w:val="000000" w:themeColor="text1"/>
                <w:kern w:val="2"/>
                <w:sz w:val="24"/>
                <w:szCs w:val="24"/>
                <w14:textFill>
                  <w14:solidFill>
                    <w14:schemeClr w14:val="tx1"/>
                  </w14:solidFill>
                </w14:textFill>
              </w:rPr>
              <w:t>可知，项目区</w:t>
            </w:r>
            <w:r>
              <w:rPr>
                <w:rFonts w:hint="eastAsia" w:cs="Times New Roman"/>
                <w:b w:val="0"/>
                <w:bCs/>
                <w:color w:val="000000" w:themeColor="text1"/>
                <w:kern w:val="2"/>
                <w:sz w:val="24"/>
                <w:szCs w:val="24"/>
                <w:lang w:val="en-US" w:eastAsia="zh-CN"/>
                <w14:textFill>
                  <w14:solidFill>
                    <w14:schemeClr w14:val="tx1"/>
                  </w14:solidFill>
                </w14:textFill>
              </w:rPr>
              <w:t>东北</w:t>
            </w:r>
            <w:r>
              <w:rPr>
                <w:rFonts w:ascii="Times New Roman" w:hAnsi="Times New Roman" w:eastAsia="宋体" w:cs="Times New Roman"/>
                <w:b w:val="0"/>
                <w:bCs/>
                <w:color w:val="000000" w:themeColor="text1"/>
                <w:kern w:val="2"/>
                <w:sz w:val="24"/>
                <w:szCs w:val="24"/>
                <w14:textFill>
                  <w14:solidFill>
                    <w14:schemeClr w14:val="tx1"/>
                  </w14:solidFill>
                </w14:textFill>
              </w:rPr>
              <w:t>面翠柏自然保护区SO</w:t>
            </w:r>
            <w:r>
              <w:rPr>
                <w:rFonts w:ascii="Times New Roman" w:hAnsi="Times New Roman" w:eastAsia="宋体" w:cs="Times New Roman"/>
                <w:b w:val="0"/>
                <w:bCs/>
                <w:color w:val="000000" w:themeColor="text1"/>
                <w:kern w:val="2"/>
                <w:sz w:val="24"/>
                <w:szCs w:val="24"/>
                <w:vertAlign w:val="subscript"/>
                <w14:textFill>
                  <w14:solidFill>
                    <w14:schemeClr w14:val="tx1"/>
                  </w14:solidFill>
                </w14:textFill>
              </w:rPr>
              <w:t>2</w:t>
            </w:r>
            <w:r>
              <w:rPr>
                <w:rFonts w:ascii="Times New Roman" w:hAnsi="Times New Roman" w:eastAsia="宋体" w:cs="Times New Roman"/>
                <w:b w:val="0"/>
                <w:bCs/>
                <w:color w:val="000000" w:themeColor="text1"/>
                <w:kern w:val="2"/>
                <w:sz w:val="24"/>
                <w:szCs w:val="24"/>
                <w14:textFill>
                  <w14:solidFill>
                    <w14:schemeClr w14:val="tx1"/>
                  </w14:solidFill>
                </w14:textFill>
              </w:rPr>
              <w:t>、NO</w:t>
            </w:r>
            <w:r>
              <w:rPr>
                <w:rFonts w:ascii="Times New Roman" w:hAnsi="Times New Roman" w:eastAsia="宋体" w:cs="Times New Roman"/>
                <w:b w:val="0"/>
                <w:bCs/>
                <w:color w:val="000000" w:themeColor="text1"/>
                <w:kern w:val="2"/>
                <w:sz w:val="24"/>
                <w:szCs w:val="24"/>
                <w:vertAlign w:val="subscript"/>
                <w14:textFill>
                  <w14:solidFill>
                    <w14:schemeClr w14:val="tx1"/>
                  </w14:solidFill>
                </w14:textFill>
              </w:rPr>
              <w:t>2</w:t>
            </w:r>
            <w:r>
              <w:rPr>
                <w:rFonts w:ascii="Times New Roman" w:hAnsi="Times New Roman" w:eastAsia="宋体" w:cs="Times New Roman"/>
                <w:b w:val="0"/>
                <w:bCs/>
                <w:color w:val="000000" w:themeColor="text1"/>
                <w:kern w:val="2"/>
                <w:sz w:val="24"/>
                <w:szCs w:val="24"/>
                <w14:textFill>
                  <w14:solidFill>
                    <w14:schemeClr w14:val="tx1"/>
                  </w14:solidFill>
                </w14:textFill>
              </w:rPr>
              <w:t>、CO、O</w:t>
            </w:r>
            <w:r>
              <w:rPr>
                <w:rFonts w:ascii="Times New Roman" w:hAnsi="Times New Roman" w:eastAsia="宋体" w:cs="Times New Roman"/>
                <w:b w:val="0"/>
                <w:bCs/>
                <w:color w:val="000000" w:themeColor="text1"/>
                <w:kern w:val="2"/>
                <w:sz w:val="24"/>
                <w:szCs w:val="24"/>
                <w:vertAlign w:val="subscript"/>
                <w14:textFill>
                  <w14:solidFill>
                    <w14:schemeClr w14:val="tx1"/>
                  </w14:solidFill>
                </w14:textFill>
              </w:rPr>
              <w:t>3</w:t>
            </w:r>
            <w:r>
              <w:rPr>
                <w:rFonts w:ascii="Times New Roman" w:hAnsi="Times New Roman" w:eastAsia="宋体" w:cs="Times New Roman"/>
                <w:b w:val="0"/>
                <w:bCs/>
                <w:color w:val="000000" w:themeColor="text1"/>
                <w:kern w:val="2"/>
                <w:sz w:val="24"/>
                <w:szCs w:val="24"/>
                <w14:textFill>
                  <w14:solidFill>
                    <w14:schemeClr w14:val="tx1"/>
                  </w14:solidFill>
                </w14:textFill>
              </w:rPr>
              <w:t>日均值及小时值均能满足</w:t>
            </w:r>
            <w:r>
              <w:rPr>
                <w:rFonts w:hint="eastAsia" w:ascii="Times New Roman" w:hAnsi="Times New Roman" w:eastAsia="宋体" w:cs="Times New Roman"/>
                <w:b w:val="0"/>
                <w:bCs/>
                <w:color w:val="000000" w:themeColor="text1"/>
                <w:kern w:val="2"/>
                <w:sz w:val="24"/>
                <w:szCs w:val="24"/>
                <w:lang w:eastAsia="zh-CN"/>
                <w14:textFill>
                  <w14:solidFill>
                    <w14:schemeClr w14:val="tx1"/>
                  </w14:solidFill>
                </w14:textFill>
              </w:rPr>
              <w:t>《环境空气质量标准》（GB3095-20</w:t>
            </w:r>
            <w:r>
              <w:rPr>
                <w:rFonts w:hint="eastAsia" w:ascii="Times New Roman" w:hAnsi="Times New Roman" w:eastAsia="宋体" w:cs="Times New Roman"/>
                <w:b w:val="0"/>
                <w:bCs/>
                <w:color w:val="000000" w:themeColor="text1"/>
                <w:kern w:val="2"/>
                <w:sz w:val="24"/>
                <w:szCs w:val="24"/>
                <w:lang w:val="en-US" w:eastAsia="zh-CN"/>
                <w14:textFill>
                  <w14:solidFill>
                    <w14:schemeClr w14:val="tx1"/>
                  </w14:solidFill>
                </w14:textFill>
              </w:rPr>
              <w:t>26</w:t>
            </w:r>
            <w:r>
              <w:rPr>
                <w:rFonts w:hint="eastAsia" w:ascii="Times New Roman" w:hAnsi="Times New Roman" w:eastAsia="宋体" w:cs="Times New Roman"/>
                <w:b w:val="0"/>
                <w:bCs/>
                <w:color w:val="000000" w:themeColor="text1"/>
                <w:kern w:val="2"/>
                <w:sz w:val="24"/>
                <w:szCs w:val="24"/>
                <w:lang w:eastAsia="zh-CN"/>
                <w14:textFill>
                  <w14:solidFill>
                    <w14:schemeClr w14:val="tx1"/>
                  </w14:solidFill>
                </w14:textFill>
              </w:rPr>
              <w:t>）</w:t>
            </w:r>
            <w:r>
              <w:rPr>
                <w:rFonts w:hint="eastAsia" w:ascii="Times New Roman" w:hAnsi="Times New Roman" w:eastAsia="宋体" w:cs="Times New Roman"/>
                <w:b w:val="0"/>
                <w:bCs/>
                <w:color w:val="000000" w:themeColor="text1"/>
                <w:kern w:val="2"/>
                <w:sz w:val="24"/>
                <w:szCs w:val="24"/>
                <w:lang w:val="en-US" w:eastAsia="zh-CN"/>
                <w14:textFill>
                  <w14:solidFill>
                    <w14:schemeClr w14:val="tx1"/>
                  </w14:solidFill>
                </w14:textFill>
              </w:rPr>
              <w:t>表1过渡阶段一级浓度限值和表2一级浓度限值</w:t>
            </w:r>
            <w:r>
              <w:rPr>
                <w:rFonts w:ascii="Times New Roman" w:hAnsi="Times New Roman" w:eastAsia="宋体" w:cs="Times New Roman"/>
                <w:b w:val="0"/>
                <w:bCs/>
                <w:color w:val="000000" w:themeColor="text1"/>
                <w:kern w:val="2"/>
                <w:sz w:val="24"/>
                <w:szCs w:val="24"/>
                <w14:textFill>
                  <w14:solidFill>
                    <w14:schemeClr w14:val="tx1"/>
                  </w14:solidFill>
                </w14:textFill>
              </w:rPr>
              <w:t>，TSP、PM</w:t>
            </w:r>
            <w:r>
              <w:rPr>
                <w:rFonts w:ascii="Times New Roman" w:hAnsi="Times New Roman" w:eastAsia="宋体" w:cs="Times New Roman"/>
                <w:b w:val="0"/>
                <w:bCs/>
                <w:color w:val="000000" w:themeColor="text1"/>
                <w:kern w:val="2"/>
                <w:sz w:val="24"/>
                <w:szCs w:val="24"/>
                <w:vertAlign w:val="subscript"/>
                <w14:textFill>
                  <w14:solidFill>
                    <w14:schemeClr w14:val="tx1"/>
                  </w14:solidFill>
                </w14:textFill>
              </w:rPr>
              <w:t>10</w:t>
            </w:r>
            <w:r>
              <w:rPr>
                <w:rFonts w:ascii="Times New Roman" w:hAnsi="Times New Roman" w:eastAsia="宋体" w:cs="Times New Roman"/>
                <w:b w:val="0"/>
                <w:bCs/>
                <w:color w:val="000000" w:themeColor="text1"/>
                <w:kern w:val="2"/>
                <w:sz w:val="24"/>
                <w:szCs w:val="24"/>
                <w14:textFill>
                  <w14:solidFill>
                    <w14:schemeClr w14:val="tx1"/>
                  </w14:solidFill>
                </w14:textFill>
              </w:rPr>
              <w:t>、PM</w:t>
            </w:r>
            <w:r>
              <w:rPr>
                <w:rFonts w:ascii="Times New Roman" w:hAnsi="Times New Roman" w:eastAsia="宋体" w:cs="Times New Roman"/>
                <w:b w:val="0"/>
                <w:bCs/>
                <w:color w:val="000000" w:themeColor="text1"/>
                <w:kern w:val="2"/>
                <w:sz w:val="24"/>
                <w:szCs w:val="24"/>
                <w:vertAlign w:val="subscript"/>
                <w14:textFill>
                  <w14:solidFill>
                    <w14:schemeClr w14:val="tx1"/>
                  </w14:solidFill>
                </w14:textFill>
              </w:rPr>
              <w:t>2.5</w:t>
            </w:r>
            <w:r>
              <w:rPr>
                <w:rFonts w:ascii="Times New Roman" w:hAnsi="Times New Roman" w:eastAsia="宋体" w:cs="Times New Roman"/>
                <w:b w:val="0"/>
                <w:bCs/>
                <w:color w:val="000000" w:themeColor="text1"/>
                <w:kern w:val="2"/>
                <w:sz w:val="24"/>
                <w:szCs w:val="24"/>
                <w14:textFill>
                  <w14:solidFill>
                    <w14:schemeClr w14:val="tx1"/>
                  </w14:solidFill>
                </w14:textFill>
              </w:rPr>
              <w:t>日均值均能满足</w:t>
            </w:r>
            <w:r>
              <w:rPr>
                <w:rFonts w:hint="eastAsia" w:ascii="Times New Roman" w:hAnsi="Times New Roman" w:eastAsia="宋体" w:cs="Times New Roman"/>
                <w:b w:val="0"/>
                <w:bCs/>
                <w:color w:val="000000" w:themeColor="text1"/>
                <w:kern w:val="2"/>
                <w:sz w:val="24"/>
                <w:szCs w:val="24"/>
                <w:lang w:eastAsia="zh-CN"/>
                <w14:textFill>
                  <w14:solidFill>
                    <w14:schemeClr w14:val="tx1"/>
                  </w14:solidFill>
                </w14:textFill>
              </w:rPr>
              <w:t>《环境空气质量标准》（GB3095-20</w:t>
            </w:r>
            <w:r>
              <w:rPr>
                <w:rFonts w:hint="eastAsia" w:ascii="Times New Roman" w:hAnsi="Times New Roman" w:eastAsia="宋体" w:cs="Times New Roman"/>
                <w:b w:val="0"/>
                <w:bCs/>
                <w:color w:val="000000" w:themeColor="text1"/>
                <w:kern w:val="2"/>
                <w:sz w:val="24"/>
                <w:szCs w:val="24"/>
                <w:lang w:val="en-US" w:eastAsia="zh-CN"/>
                <w14:textFill>
                  <w14:solidFill>
                    <w14:schemeClr w14:val="tx1"/>
                  </w14:solidFill>
                </w14:textFill>
              </w:rPr>
              <w:t>26</w:t>
            </w:r>
            <w:r>
              <w:rPr>
                <w:rFonts w:hint="eastAsia" w:ascii="Times New Roman" w:hAnsi="Times New Roman" w:eastAsia="宋体" w:cs="Times New Roman"/>
                <w:b w:val="0"/>
                <w:bCs/>
                <w:color w:val="000000" w:themeColor="text1"/>
                <w:kern w:val="2"/>
                <w:sz w:val="24"/>
                <w:szCs w:val="24"/>
                <w:lang w:eastAsia="zh-CN"/>
                <w14:textFill>
                  <w14:solidFill>
                    <w14:schemeClr w14:val="tx1"/>
                  </w14:solidFill>
                </w14:textFill>
              </w:rPr>
              <w:t>）</w:t>
            </w:r>
            <w:r>
              <w:rPr>
                <w:rFonts w:hint="eastAsia" w:ascii="Times New Roman" w:hAnsi="Times New Roman" w:eastAsia="宋体" w:cs="Times New Roman"/>
                <w:b w:val="0"/>
                <w:bCs/>
                <w:color w:val="000000" w:themeColor="text1"/>
                <w:kern w:val="2"/>
                <w:sz w:val="24"/>
                <w:szCs w:val="24"/>
                <w:lang w:val="en-US" w:eastAsia="zh-CN"/>
                <w14:textFill>
                  <w14:solidFill>
                    <w14:schemeClr w14:val="tx1"/>
                  </w14:solidFill>
                </w14:textFill>
              </w:rPr>
              <w:t>表1过渡阶段一级浓度限值和表2一级浓度限值</w:t>
            </w:r>
            <w:r>
              <w:rPr>
                <w:rFonts w:ascii="Times New Roman" w:hAnsi="Times New Roman" w:eastAsia="宋体" w:cs="Times New Roman"/>
                <w:b w:val="0"/>
                <w:bCs/>
                <w:color w:val="000000" w:themeColor="text1"/>
                <w:kern w:val="2"/>
                <w:sz w:val="24"/>
                <w:szCs w:val="24"/>
                <w14:textFill>
                  <w14:solidFill>
                    <w14:schemeClr w14:val="tx1"/>
                  </w14:solidFill>
                </w14:textFill>
              </w:rPr>
              <w:t>，</w:t>
            </w:r>
            <w:r>
              <w:rPr>
                <w:rFonts w:hint="eastAsia" w:cs="Times New Roman"/>
                <w:b w:val="0"/>
                <w:bCs/>
                <w:color w:val="000000" w:themeColor="text1"/>
                <w:kern w:val="2"/>
                <w:sz w:val="24"/>
                <w:szCs w:val="24"/>
                <w:lang w:val="en-US" w:eastAsia="zh-CN"/>
                <w14:textFill>
                  <w14:solidFill>
                    <w14:schemeClr w14:val="tx1"/>
                  </w14:solidFill>
                </w14:textFill>
              </w:rPr>
              <w:t>甲醛</w:t>
            </w:r>
            <w:r>
              <w:rPr>
                <w:rFonts w:ascii="Times New Roman" w:hAnsi="Times New Roman" w:eastAsia="宋体" w:cs="Times New Roman"/>
                <w:b w:val="0"/>
                <w:bCs/>
                <w:color w:val="000000" w:themeColor="text1"/>
                <w:kern w:val="2"/>
                <w:sz w:val="24"/>
                <w:szCs w:val="24"/>
                <w14:textFill>
                  <w14:solidFill>
                    <w14:schemeClr w14:val="tx1"/>
                  </w14:solidFill>
                </w14:textFill>
              </w:rPr>
              <w:t>满足《环境影响评价技术导则</w:t>
            </w:r>
            <w:r>
              <w:rPr>
                <w:rFonts w:hint="eastAsia" w:ascii="Times New Roman" w:hAnsi="Times New Roman" w:eastAsia="宋体" w:cs="Times New Roman"/>
                <w:b w:val="0"/>
                <w:bCs/>
                <w:color w:val="000000" w:themeColor="text1"/>
                <w:kern w:val="2"/>
                <w:sz w:val="24"/>
                <w:szCs w:val="24"/>
                <w:lang w:val="en-US" w:eastAsia="zh-CN"/>
                <w14:textFill>
                  <w14:solidFill>
                    <w14:schemeClr w14:val="tx1"/>
                  </w14:solidFill>
                </w14:textFill>
              </w:rPr>
              <w:t xml:space="preserve"> </w:t>
            </w:r>
            <w:r>
              <w:rPr>
                <w:rFonts w:ascii="Times New Roman" w:hAnsi="Times New Roman" w:eastAsia="宋体" w:cs="Times New Roman"/>
                <w:b w:val="0"/>
                <w:bCs/>
                <w:color w:val="000000" w:themeColor="text1"/>
                <w:kern w:val="2"/>
                <w:sz w:val="24"/>
                <w:szCs w:val="24"/>
                <w14:textFill>
                  <w14:solidFill>
                    <w14:schemeClr w14:val="tx1"/>
                  </w14:solidFill>
                </w14:textFill>
              </w:rPr>
              <w:t>大气环境》（HJ2.2-2018）中附录</w:t>
            </w:r>
            <w:r>
              <w:rPr>
                <w:rFonts w:hint="eastAsia" w:ascii="Times New Roman" w:hAnsi="Times New Roman" w:eastAsia="宋体" w:cs="Times New Roman"/>
                <w:b w:val="0"/>
                <w:bCs/>
                <w:color w:val="000000" w:themeColor="text1"/>
                <w:kern w:val="2"/>
                <w:sz w:val="24"/>
                <w:szCs w:val="24"/>
                <w14:textFill>
                  <w14:solidFill>
                    <w14:schemeClr w14:val="tx1"/>
                  </w14:solidFill>
                </w14:textFill>
              </w:rPr>
              <w:t>D</w:t>
            </w:r>
            <w:r>
              <w:rPr>
                <w:rFonts w:ascii="Times New Roman" w:hAnsi="Times New Roman" w:eastAsia="宋体" w:cs="Times New Roman"/>
                <w:b w:val="0"/>
                <w:bCs/>
                <w:color w:val="000000" w:themeColor="text1"/>
                <w:kern w:val="2"/>
                <w:sz w:val="24"/>
                <w:szCs w:val="24"/>
                <w14:textFill>
                  <w14:solidFill>
                    <w14:schemeClr w14:val="tx1"/>
                  </w14:solidFill>
                </w14:textFill>
              </w:rPr>
              <w:t>表D.1中浓度限值</w:t>
            </w:r>
            <w:r>
              <w:rPr>
                <w:rFonts w:hint="eastAsia" w:cs="Times New Roman"/>
                <w:b w:val="0"/>
                <w:bCs/>
                <w:color w:val="000000" w:themeColor="text1"/>
                <w:kern w:val="2"/>
                <w:sz w:val="24"/>
                <w:szCs w:val="24"/>
                <w:lang w:eastAsia="zh-CN"/>
                <w14:textFill>
                  <w14:solidFill>
                    <w14:schemeClr w14:val="tx1"/>
                  </w14:solidFill>
                </w14:textFill>
              </w:rPr>
              <w:t>，</w:t>
            </w:r>
            <w:r>
              <w:rPr>
                <w:rFonts w:hint="eastAsia" w:cs="Times New Roman"/>
                <w:b w:val="0"/>
                <w:bCs/>
                <w:color w:val="000000" w:themeColor="text1"/>
                <w:kern w:val="2"/>
                <w:sz w:val="24"/>
                <w:szCs w:val="24"/>
                <w:lang w:val="en-US" w:eastAsia="zh-CN"/>
                <w14:textFill>
                  <w14:solidFill>
                    <w14:schemeClr w14:val="tx1"/>
                  </w14:solidFill>
                </w14:textFill>
              </w:rPr>
              <w:t>非甲烷总烃满足《大气污染物综合排放标准详解》中非甲烷总烃参考限值</w:t>
            </w:r>
            <w:r>
              <w:rPr>
                <w:rFonts w:hint="eastAsia" w:ascii="Times New Roman" w:hAnsi="Times New Roman" w:eastAsia="宋体" w:cs="Times New Roman"/>
                <w:b w:val="0"/>
                <w:bCs/>
                <w:color w:val="000000" w:themeColor="text1"/>
                <w:kern w:val="2"/>
                <w:sz w:val="24"/>
                <w:szCs w:val="24"/>
                <w14:textFill>
                  <w14:solidFill>
                    <w14:schemeClr w14:val="tx1"/>
                  </w14:solidFill>
                </w14:textFill>
              </w:rPr>
              <w:t>。</w:t>
            </w:r>
          </w:p>
          <w:p w14:paraId="7B7B55F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b w:val="0"/>
                <w:bCs/>
                <w:color w:val="000000" w:themeColor="text1"/>
                <w:kern w:val="2"/>
                <w:sz w:val="24"/>
                <w:szCs w:val="24"/>
                <w14:textFill>
                  <w14:solidFill>
                    <w14:schemeClr w14:val="tx1"/>
                  </w14:solidFill>
                </w14:textFill>
              </w:rPr>
            </w:pPr>
          </w:p>
          <w:p w14:paraId="3C1F161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b w:val="0"/>
                <w:bCs/>
                <w:color w:val="000000" w:themeColor="text1"/>
                <w:kern w:val="2"/>
                <w:sz w:val="24"/>
                <w:szCs w:val="24"/>
                <w14:textFill>
                  <w14:solidFill>
                    <w14:schemeClr w14:val="tx1"/>
                  </w14:solidFill>
                </w14:textFill>
              </w:rPr>
            </w:pPr>
          </w:p>
          <w:p w14:paraId="27D2CD19">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b w:val="0"/>
                <w:bCs/>
                <w:color w:val="000000" w:themeColor="text1"/>
                <w:kern w:val="2"/>
                <w:sz w:val="24"/>
                <w:szCs w:val="24"/>
                <w14:textFill>
                  <w14:solidFill>
                    <w14:schemeClr w14:val="tx1"/>
                  </w14:solidFill>
                </w14:textFill>
              </w:rPr>
            </w:pPr>
          </w:p>
          <w:p w14:paraId="5EC4A82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b w:val="0"/>
                <w:bCs/>
                <w:color w:val="000000" w:themeColor="text1"/>
                <w:kern w:val="2"/>
                <w:sz w:val="24"/>
                <w:szCs w:val="24"/>
                <w14:textFill>
                  <w14:solidFill>
                    <w14:schemeClr w14:val="tx1"/>
                  </w14:solidFill>
                </w14:textFill>
              </w:rPr>
            </w:pPr>
          </w:p>
          <w:p w14:paraId="07A6FBC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b w:val="0"/>
                <w:bCs/>
                <w:color w:val="000000" w:themeColor="text1"/>
                <w:kern w:val="2"/>
                <w:sz w:val="24"/>
                <w:szCs w:val="24"/>
                <w14:textFill>
                  <w14:solidFill>
                    <w14:schemeClr w14:val="tx1"/>
                  </w14:solidFill>
                </w14:textFill>
              </w:rPr>
            </w:pPr>
          </w:p>
          <w:p w14:paraId="1C32E493">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b w:val="0"/>
                <w:bCs/>
                <w:color w:val="000000" w:themeColor="text1"/>
                <w:kern w:val="2"/>
                <w:sz w:val="24"/>
                <w:szCs w:val="24"/>
                <w14:textFill>
                  <w14:solidFill>
                    <w14:schemeClr w14:val="tx1"/>
                  </w14:solidFill>
                </w14:textFill>
              </w:rPr>
            </w:pPr>
          </w:p>
          <w:p w14:paraId="6FE53DF8">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b w:val="0"/>
                <w:bCs/>
                <w:color w:val="000000" w:themeColor="text1"/>
                <w:kern w:val="2"/>
                <w:sz w:val="24"/>
                <w:szCs w:val="24"/>
                <w14:textFill>
                  <w14:solidFill>
                    <w14:schemeClr w14:val="tx1"/>
                  </w14:solidFill>
                </w14:textFill>
              </w:rPr>
            </w:pPr>
          </w:p>
          <w:p w14:paraId="0E903F8A">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b w:val="0"/>
                <w:bCs/>
                <w:color w:val="000000" w:themeColor="text1"/>
                <w:kern w:val="2"/>
                <w:sz w:val="24"/>
                <w:szCs w:val="24"/>
                <w14:textFill>
                  <w14:solidFill>
                    <w14:schemeClr w14:val="tx1"/>
                  </w14:solidFill>
                </w14:textFill>
              </w:rPr>
            </w:pPr>
          </w:p>
          <w:p w14:paraId="29FE4F6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b w:val="0"/>
                <w:bCs/>
                <w:color w:val="000000" w:themeColor="text1"/>
                <w:kern w:val="2"/>
                <w:sz w:val="24"/>
                <w:szCs w:val="24"/>
                <w14:textFill>
                  <w14:solidFill>
                    <w14:schemeClr w14:val="tx1"/>
                  </w14:solidFill>
                </w14:textFill>
              </w:rPr>
            </w:pPr>
          </w:p>
          <w:p w14:paraId="311EBB4A">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b w:val="0"/>
                <w:bCs/>
                <w:color w:val="000000" w:themeColor="text1"/>
                <w:kern w:val="2"/>
                <w:sz w:val="24"/>
                <w:szCs w:val="24"/>
                <w14:textFill>
                  <w14:solidFill>
                    <w14:schemeClr w14:val="tx1"/>
                  </w14:solidFill>
                </w14:textFill>
              </w:rPr>
            </w:pPr>
          </w:p>
          <w:p w14:paraId="4E48BFF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b w:val="0"/>
                <w:bCs/>
                <w:color w:val="000000" w:themeColor="text1"/>
                <w:kern w:val="2"/>
                <w:sz w:val="24"/>
                <w:szCs w:val="24"/>
                <w14:textFill>
                  <w14:solidFill>
                    <w14:schemeClr w14:val="tx1"/>
                  </w14:solidFill>
                </w14:textFill>
              </w:rPr>
            </w:pPr>
          </w:p>
          <w:p w14:paraId="2CF94401">
            <w:pPr>
              <w:widowControl/>
              <w:jc w:val="left"/>
              <w:rPr>
                <w:rFonts w:ascii="Times New Roman" w:hAnsi="Times New Roman" w:eastAsia="宋体" w:cs="Times New Roman"/>
                <w:b w:val="0"/>
                <w:bCs/>
                <w:color w:val="000000" w:themeColor="text1"/>
                <w:kern w:val="2"/>
                <w:sz w:val="21"/>
                <w:szCs w:val="21"/>
                <w14:textFill>
                  <w14:solidFill>
                    <w14:schemeClr w14:val="tx1"/>
                  </w14:solidFill>
                </w14:textFill>
              </w:rPr>
            </w:pPr>
          </w:p>
          <w:p w14:paraId="5FDA2118">
            <w:pPr>
              <w:widowControl/>
              <w:jc w:val="left"/>
              <w:rPr>
                <w:rFonts w:ascii="Times New Roman" w:hAnsi="Times New Roman" w:eastAsia="宋体" w:cs="Times New Roman"/>
                <w:b/>
                <w:color w:val="000000" w:themeColor="text1"/>
                <w:kern w:val="2"/>
                <w:sz w:val="21"/>
                <w:szCs w:val="21"/>
                <w14:textFill>
                  <w14:solidFill>
                    <w14:schemeClr w14:val="tx1"/>
                  </w14:solidFill>
                </w14:textFill>
              </w:rPr>
            </w:pPr>
          </w:p>
          <w:p w14:paraId="4F40BF84">
            <w:pPr>
              <w:widowControl/>
              <w:jc w:val="left"/>
              <w:rPr>
                <w:rFonts w:ascii="Times New Roman" w:hAnsi="Times New Roman" w:eastAsia="宋体" w:cs="Times New Roman"/>
                <w:b/>
                <w:color w:val="000000" w:themeColor="text1"/>
                <w:kern w:val="2"/>
                <w:sz w:val="21"/>
                <w:szCs w:val="21"/>
                <w14:textFill>
                  <w14:solidFill>
                    <w14:schemeClr w14:val="tx1"/>
                  </w14:solidFill>
                </w14:textFill>
              </w:rPr>
            </w:pPr>
          </w:p>
          <w:p w14:paraId="29309E67">
            <w:pPr>
              <w:widowControl/>
              <w:jc w:val="left"/>
              <w:rPr>
                <w:rFonts w:ascii="Times New Roman" w:hAnsi="Times New Roman" w:eastAsia="宋体" w:cs="Times New Roman"/>
                <w:b/>
                <w:color w:val="000000" w:themeColor="text1"/>
                <w:kern w:val="2"/>
                <w:sz w:val="21"/>
                <w:szCs w:val="21"/>
                <w14:textFill>
                  <w14:solidFill>
                    <w14:schemeClr w14:val="tx1"/>
                  </w14:solidFill>
                </w14:textFill>
              </w:rPr>
            </w:pPr>
          </w:p>
          <w:p w14:paraId="03A24944">
            <w:pPr>
              <w:widowControl/>
              <w:jc w:val="left"/>
              <w:rPr>
                <w:rFonts w:ascii="Times New Roman" w:hAnsi="Times New Roman" w:eastAsia="宋体" w:cs="Times New Roman"/>
                <w:b/>
                <w:color w:val="000000" w:themeColor="text1"/>
                <w:kern w:val="2"/>
                <w:sz w:val="21"/>
                <w:szCs w:val="21"/>
                <w14:textFill>
                  <w14:solidFill>
                    <w14:schemeClr w14:val="tx1"/>
                  </w14:solidFill>
                </w14:textFill>
              </w:rPr>
            </w:pPr>
          </w:p>
          <w:p w14:paraId="0F8760A7">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Cs w:val="24"/>
                <w:vertAlign w:val="baseline"/>
                <w14:textFill>
                  <w14:solidFill>
                    <w14:schemeClr w14:val="tx1"/>
                  </w14:solidFill>
                </w14:textFill>
              </w:rPr>
            </w:pPr>
          </w:p>
        </w:tc>
      </w:tr>
    </w:tbl>
    <w:p w14:paraId="4E783040">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Cs w:val="24"/>
          <w14:textFill>
            <w14:solidFill>
              <w14:schemeClr w14:val="tx1"/>
            </w14:solidFill>
          </w14:textFill>
        </w:rPr>
        <w:sectPr>
          <w:pgSz w:w="16840" w:h="11907" w:orient="landscape"/>
          <w:pgMar w:top="1247" w:right="1440" w:bottom="1247" w:left="1440" w:header="851" w:footer="850" w:gutter="0"/>
          <w:pgBorders>
            <w:top w:val="none" w:sz="0" w:space="0"/>
            <w:left w:val="none" w:sz="0" w:space="0"/>
            <w:bottom w:val="none" w:sz="0" w:space="0"/>
            <w:right w:val="none" w:sz="0" w:space="0"/>
          </w:pgBorders>
          <w:cols w:space="0" w:num="1"/>
          <w:rtlGutter w:val="0"/>
          <w:docGrid w:linePitch="312" w:charSpace="0"/>
        </w:sectPr>
      </w:pPr>
    </w:p>
    <w:tbl>
      <w:tblPr>
        <w:tblStyle w:val="32"/>
        <w:tblW w:w="0" w:type="auto"/>
        <w:tblInd w:w="1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8306"/>
      </w:tblGrid>
      <w:tr w14:paraId="6AA7F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 w:type="dxa"/>
          </w:tcPr>
          <w:p w14:paraId="7A702044">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left"/>
              <w:textAlignment w:val="auto"/>
              <w:outlineLvl w:val="0"/>
              <w:rPr>
                <w:rFonts w:hint="default" w:ascii="Times New Roman" w:hAnsi="Times New Roman" w:cs="Times New Roman"/>
                <w:snapToGrid w:val="0"/>
                <w:color w:val="000000" w:themeColor="text1"/>
                <w:szCs w:val="24"/>
                <w:vertAlign w:val="baseline"/>
                <w14:textFill>
                  <w14:solidFill>
                    <w14:schemeClr w14:val="tx1"/>
                  </w14:solidFill>
                </w14:textFill>
              </w:rPr>
            </w:pPr>
          </w:p>
        </w:tc>
        <w:tc>
          <w:tcPr>
            <w:tcW w:w="8238" w:type="dxa"/>
          </w:tcPr>
          <w:p w14:paraId="38229A73">
            <w:pPr>
              <w:spacing w:line="360" w:lineRule="auto"/>
              <w:ind w:firstLine="482" w:firstLineChars="200"/>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2）二类区</w:t>
            </w:r>
          </w:p>
          <w:p w14:paraId="61B9E19E">
            <w:pPr>
              <w:spacing w:line="360" w:lineRule="auto"/>
              <w:ind w:firstLine="480" w:firstLineChars="200"/>
              <w:rPr>
                <w:rFonts w:ascii="Times New Roman" w:hAnsi="Times New Roman" w:eastAsia="宋体" w:cs="Times New Roman"/>
                <w:color w:val="000000" w:themeColor="text1"/>
                <w:sz w:val="24"/>
                <w:highlight w:val="none"/>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①</w:t>
            </w:r>
            <w:r>
              <w:rPr>
                <w:rFonts w:ascii="Times New Roman" w:hAnsi="Times New Roman" w:eastAsia="宋体" w:cs="Times New Roman"/>
                <w:color w:val="000000" w:themeColor="text1"/>
                <w:sz w:val="24"/>
                <w:highlight w:val="none"/>
                <w14:textFill>
                  <w14:solidFill>
                    <w14:schemeClr w14:val="tx1"/>
                  </w14:solidFill>
                </w14:textFill>
              </w:rPr>
              <w:t>空气质量达标区判定</w:t>
            </w:r>
          </w:p>
          <w:p w14:paraId="63876C78">
            <w:pPr>
              <w:spacing w:line="360" w:lineRule="auto"/>
              <w:ind w:firstLine="480" w:firstLineChars="200"/>
              <w:rPr>
                <w:rFonts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项目所在地为</w:t>
            </w:r>
            <w:r>
              <w:rPr>
                <w:rFonts w:hint="eastAsia" w:cs="Times New Roman"/>
                <w:color w:val="000000" w:themeColor="text1"/>
                <w:sz w:val="24"/>
                <w:lang w:val="en-US" w:eastAsia="zh-CN"/>
                <w14:textFill>
                  <w14:solidFill>
                    <w14:schemeClr w14:val="tx1"/>
                  </w14:solidFill>
                </w14:textFill>
              </w:rPr>
              <w:t>易门产业园区麦子田片区</w:t>
            </w:r>
            <w:r>
              <w:rPr>
                <w:rFonts w:hint="eastAsia" w:ascii="Times New Roman" w:hAnsi="Times New Roman" w:eastAsia="宋体" w:cs="Times New Roman"/>
                <w:color w:val="000000" w:themeColor="text1"/>
                <w:sz w:val="24"/>
                <w:szCs w:val="24"/>
                <w:highlight w:val="none"/>
                <w14:textFill>
                  <w14:solidFill>
                    <w14:schemeClr w14:val="tx1"/>
                  </w14:solidFill>
                </w14:textFill>
              </w:rPr>
              <w:t>，根据大气环境功能区划</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14:textFill>
                  <w14:solidFill>
                    <w14:schemeClr w14:val="tx1"/>
                  </w14:solidFill>
                </w14:textFill>
              </w:rPr>
              <w:t>区域环境空气为</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《环境空气质量标准》（GB3095-20</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26</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14:textFill>
                  <w14:solidFill>
                    <w14:schemeClr w14:val="tx1"/>
                  </w14:solidFill>
                </w14:textFill>
              </w:rPr>
              <w:t>中的二类区</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，执行《环境空气质量标准》（GB3095-20</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26</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表1过渡阶段二级浓度限值和表2二级浓度限值</w:t>
            </w:r>
            <w:r>
              <w:rPr>
                <w:rFonts w:ascii="Times New Roman" w:hAnsi="Times New Roman" w:eastAsia="宋体" w:cs="Times New Roman"/>
                <w:color w:val="000000" w:themeColor="text1"/>
                <w:sz w:val="24"/>
                <w:highlight w:val="none"/>
                <w14:textFill>
                  <w14:solidFill>
                    <w14:schemeClr w14:val="tx1"/>
                  </w14:solidFill>
                </w14:textFill>
              </w:rPr>
              <w:t>。</w:t>
            </w:r>
          </w:p>
          <w:p w14:paraId="2EBC237B">
            <w:pPr>
              <w:widowControl/>
              <w:spacing w:line="360" w:lineRule="auto"/>
              <w:ind w:firstLine="482"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达标区判定：</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易门县布设有一个环境空气自动监测站点，位于易门县中医院，位于项目区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西</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南侧约</w:t>
            </w:r>
            <w:r>
              <w:rPr>
                <w:rFonts w:hint="eastAsia" w:cs="Times New Roman"/>
                <w:color w:val="000000" w:themeColor="text1"/>
                <w:sz w:val="24"/>
                <w:szCs w:val="24"/>
                <w:highlight w:val="none"/>
                <w:lang w:val="en-US" w:eastAsia="zh-CN"/>
                <w14:textFill>
                  <w14:solidFill>
                    <w14:schemeClr w14:val="tx1"/>
                  </w14:solidFill>
                </w14:textFill>
              </w:rPr>
              <w:t>14.25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km处，根据易门县人民政府网发布的《202</w:t>
            </w:r>
            <w:r>
              <w:rPr>
                <w:rFonts w:hint="eastAsia" w:cs="Times New Roman"/>
                <w:color w:val="000000" w:themeColor="text1"/>
                <w:sz w:val="24"/>
                <w:szCs w:val="24"/>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年易门县生态环境状况公报》</w:t>
            </w:r>
            <w:r>
              <w:rPr>
                <w:rFonts w:hint="eastAsia" w:cs="Times New Roman"/>
                <w:color w:val="000000" w:themeColor="text1"/>
                <w:sz w:val="24"/>
                <w:szCs w:val="24"/>
                <w:highlight w:val="none"/>
                <w:lang w:val="en-US" w:eastAsia="zh-CN"/>
                <w14:textFill>
                  <w14:solidFill>
                    <w14:schemeClr w14:val="tx1"/>
                  </w14:solidFill>
                </w14:textFill>
              </w:rPr>
              <w:t>（易门县人民政府2025年6月24日）</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，202</w:t>
            </w:r>
            <w:r>
              <w:rPr>
                <w:rFonts w:hint="eastAsia" w:cs="Times New Roman"/>
                <w:color w:val="000000" w:themeColor="text1"/>
                <w:sz w:val="24"/>
                <w:szCs w:val="24"/>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年县城区（中医院楼顶监测点）共开展空气环境质量监测36</w:t>
            </w:r>
            <w:r>
              <w:rPr>
                <w:rFonts w:hint="eastAsia" w:cs="Times New Roman"/>
                <w:color w:val="000000" w:themeColor="text1"/>
                <w:sz w:val="24"/>
                <w:szCs w:val="24"/>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天，其中达一级：</w:t>
            </w:r>
            <w:r>
              <w:rPr>
                <w:rFonts w:hint="eastAsia" w:cs="Times New Roman"/>
                <w:color w:val="000000" w:themeColor="text1"/>
                <w:sz w:val="24"/>
                <w:szCs w:val="24"/>
                <w:highlight w:val="none"/>
                <w:lang w:val="en-US" w:eastAsia="zh-CN"/>
                <w14:textFill>
                  <w14:solidFill>
                    <w14:schemeClr w14:val="tx1"/>
                  </w14:solidFill>
                </w14:textFill>
              </w:rPr>
              <w:t>252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天，占</w:t>
            </w:r>
            <w:r>
              <w:rPr>
                <w:rFonts w:hint="eastAsia" w:cs="Times New Roman"/>
                <w:color w:val="000000" w:themeColor="text1"/>
                <w:sz w:val="24"/>
                <w:szCs w:val="24"/>
                <w:highlight w:val="none"/>
                <w:lang w:val="en-US" w:eastAsia="zh-CN"/>
                <w14:textFill>
                  <w14:solidFill>
                    <w14:schemeClr w14:val="tx1"/>
                  </w14:solidFill>
                </w14:textFill>
              </w:rPr>
              <w:t>70</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%；二级：1</w:t>
            </w:r>
            <w:r>
              <w:rPr>
                <w:rFonts w:hint="eastAsia" w:cs="Times New Roman"/>
                <w:color w:val="000000" w:themeColor="text1"/>
                <w:sz w:val="24"/>
                <w:szCs w:val="24"/>
                <w:highlight w:val="none"/>
                <w:lang w:val="en-US" w:eastAsia="zh-CN"/>
                <w14:textFill>
                  <w14:solidFill>
                    <w14:schemeClr w14:val="tx1"/>
                  </w14:solidFill>
                </w14:textFill>
              </w:rPr>
              <w:t>07</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天，占</w:t>
            </w:r>
            <w:r>
              <w:rPr>
                <w:rFonts w:hint="eastAsia" w:cs="Times New Roman"/>
                <w:color w:val="000000" w:themeColor="text1"/>
                <w:sz w:val="24"/>
                <w:szCs w:val="24"/>
                <w:highlight w:val="none"/>
                <w:lang w:val="en-US" w:eastAsia="zh-CN"/>
                <w14:textFill>
                  <w14:solidFill>
                    <w14:schemeClr w14:val="tx1"/>
                  </w14:solidFill>
                </w14:textFill>
              </w:rPr>
              <w:t>29.7</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%，超标</w:t>
            </w:r>
            <w:r>
              <w:rPr>
                <w:rFonts w:hint="eastAsia" w:cs="Times New Roman"/>
                <w:color w:val="000000" w:themeColor="text1"/>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天（O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超标</w:t>
            </w:r>
            <w:r>
              <w:rPr>
                <w:rFonts w:hint="eastAsia" w:cs="Times New Roman"/>
                <w:color w:val="000000" w:themeColor="text1"/>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天），占</w:t>
            </w:r>
            <w:r>
              <w:rPr>
                <w:rFonts w:hint="eastAsia" w:cs="Times New Roman"/>
                <w:color w:val="000000" w:themeColor="text1"/>
                <w:sz w:val="24"/>
                <w:szCs w:val="24"/>
                <w:highlight w:val="none"/>
                <w:lang w:val="en-US" w:eastAsia="zh-CN"/>
                <w14:textFill>
                  <w14:solidFill>
                    <w14:schemeClr w14:val="tx1"/>
                  </w14:solidFill>
                </w14:textFill>
              </w:rPr>
              <w:t>0.3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%，环境空气质量优良率为</w:t>
            </w:r>
            <w:r>
              <w:rPr>
                <w:rFonts w:hint="eastAsia" w:cs="Times New Roman"/>
                <w:color w:val="000000" w:themeColor="text1"/>
                <w:sz w:val="24"/>
                <w:szCs w:val="24"/>
                <w:highlight w:val="none"/>
                <w:lang w:val="en-US" w:eastAsia="zh-CN"/>
                <w14:textFill>
                  <w14:solidFill>
                    <w14:schemeClr w14:val="tx1"/>
                  </w14:solidFill>
                </w14:textFill>
              </w:rPr>
              <w:t>99.7</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%，与202</w:t>
            </w:r>
            <w:r>
              <w:rPr>
                <w:rFonts w:hint="eastAsia" w:cs="Times New Roman"/>
                <w:color w:val="000000" w:themeColor="text1"/>
                <w:sz w:val="24"/>
                <w:szCs w:val="24"/>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年</w:t>
            </w:r>
            <w:r>
              <w:rPr>
                <w:rFonts w:hint="eastAsia" w:cs="Times New Roman"/>
                <w:color w:val="000000" w:themeColor="text1"/>
                <w:sz w:val="24"/>
                <w:szCs w:val="24"/>
                <w:highlight w:val="none"/>
                <w:lang w:val="en-US" w:eastAsia="zh-CN"/>
                <w14:textFill>
                  <w14:solidFill>
                    <w14:schemeClr w14:val="tx1"/>
                  </w14:solidFill>
                </w14:textFill>
              </w:rPr>
              <w:t>98.7</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%相比</w:t>
            </w:r>
            <w:r>
              <w:rPr>
                <w:rFonts w:hint="eastAsia" w:cs="Times New Roman"/>
                <w:color w:val="000000" w:themeColor="text1"/>
                <w:sz w:val="24"/>
                <w:szCs w:val="24"/>
                <w:highlight w:val="none"/>
                <w:lang w:val="en-US" w:eastAsia="zh-CN"/>
                <w14:textFill>
                  <w14:solidFill>
                    <w14:schemeClr w14:val="tx1"/>
                  </w14:solidFill>
                </w14:textFill>
              </w:rPr>
              <w:t>上升</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0.8%</w:t>
            </w:r>
            <w:r>
              <w:rPr>
                <w:rFonts w:hint="eastAsia" w:cs="Times New Roman"/>
                <w:color w:val="000000" w:themeColor="text1"/>
                <w:sz w:val="24"/>
                <w:szCs w:val="24"/>
                <w:highlight w:val="none"/>
                <w:lang w:val="en-US" w:eastAsia="zh-CN"/>
                <w14:textFill>
                  <w14:solidFill>
                    <w14:schemeClr w14:val="tx1"/>
                  </w14:solidFill>
                </w14:textFill>
              </w:rPr>
              <w:t>。各监测指标类别均为二级及以上，空气质量达标，项目所在地易门县在评价基准年2024年为环境空气质量达标区。</w:t>
            </w:r>
          </w:p>
          <w:p w14:paraId="0281F0D2">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left"/>
              <w:textAlignment w:val="auto"/>
              <w:outlineLvl w:val="0"/>
              <w:rPr>
                <w:rFonts w:hint="eastAsia" w:ascii="Times New Roman" w:hAnsi="Times New Roman" w:cs="Times New Roman"/>
                <w:snapToGrid w:val="0"/>
                <w:color w:val="000000" w:themeColor="text1"/>
                <w:szCs w:val="24"/>
                <w:vertAlign w:val="baseline"/>
                <w:lang w:val="en-US" w:eastAsia="zh-CN"/>
                <w14:textFill>
                  <w14:solidFill>
                    <w14:schemeClr w14:val="tx1"/>
                  </w14:solidFill>
                </w14:textFill>
              </w:rPr>
            </w:pPr>
            <w:bookmarkStart w:id="18" w:name="_Toc2747"/>
            <w:bookmarkStart w:id="19" w:name="_Toc5175"/>
            <w:bookmarkStart w:id="20" w:name="_Toc11172"/>
            <w:r>
              <w:rPr>
                <w:rFonts w:hint="eastAsia" w:ascii="Times New Roman" w:hAnsi="Times New Roman" w:cs="Times New Roman"/>
                <w:snapToGrid w:val="0"/>
                <w:color w:val="000000" w:themeColor="text1"/>
                <w:szCs w:val="24"/>
                <w:vertAlign w:val="baseline"/>
                <w:lang w:val="en-US" w:eastAsia="zh-CN"/>
                <w14:textFill>
                  <w14:solidFill>
                    <w14:schemeClr w14:val="tx1"/>
                  </w14:solidFill>
                </w14:textFill>
              </w:rPr>
              <w:t>②二类区补充监测</w:t>
            </w:r>
            <w:bookmarkEnd w:id="18"/>
            <w:bookmarkEnd w:id="19"/>
            <w:bookmarkEnd w:id="20"/>
          </w:p>
          <w:p w14:paraId="2AA44DE3">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left"/>
              <w:textAlignment w:val="auto"/>
              <w:outlineLvl w:val="0"/>
              <w:rPr>
                <w:rFonts w:hint="default" w:ascii="Times New Roman" w:hAnsi="Times New Roman" w:cs="Times New Roman"/>
                <w:color w:val="000000" w:themeColor="text1"/>
                <w:sz w:val="24"/>
                <w:szCs w:val="32"/>
                <w:lang w:val="en-US" w:eastAsia="zh-CN"/>
                <w14:textFill>
                  <w14:solidFill>
                    <w14:schemeClr w14:val="tx1"/>
                  </w14:solidFill>
                </w14:textFill>
              </w:rPr>
            </w:pPr>
            <w:bookmarkStart w:id="21" w:name="_Toc30934"/>
            <w:bookmarkStart w:id="22" w:name="_Toc18926"/>
            <w:bookmarkStart w:id="23" w:name="_Toc7385"/>
            <w:r>
              <w:rPr>
                <w:rFonts w:hint="default" w:ascii="Times New Roman" w:hAnsi="Times New Roman" w:cs="Times New Roman"/>
                <w:snapToGrid w:val="0"/>
                <w:color w:val="000000" w:themeColor="text1"/>
                <w:szCs w:val="24"/>
                <w:vertAlign w:val="baseline"/>
                <w:lang w:val="en-US" w:eastAsia="zh-CN"/>
                <w14:textFill>
                  <w14:solidFill>
                    <w14:schemeClr w14:val="tx1"/>
                  </w14:solidFill>
                </w14:textFill>
              </w:rPr>
              <w:t>根据本项目产污特点，项目的特征污染物为颗粒物、非甲烷总烃与甲醛。</w:t>
            </w:r>
            <w:r>
              <w:rPr>
                <w:rFonts w:hint="default" w:ascii="Times New Roman" w:hAnsi="Times New Roman" w:cs="Times New Roman"/>
                <w:color w:val="000000" w:themeColor="text1"/>
                <w:sz w:val="24"/>
                <w:szCs w:val="32"/>
                <w:lang w:val="en-US" w:eastAsia="zh-CN"/>
                <w14:textFill>
                  <w14:solidFill>
                    <w14:schemeClr w14:val="tx1"/>
                  </w14:solidFill>
                </w14:textFill>
              </w:rPr>
              <w:t>项目评价范围内未收集到国家或地方环境空气质量监测网中评价基准年的连续1年的监测数据，也未收集到评价范围内近3年与项目排放的污染物有关的历史监测资料。</w:t>
            </w:r>
            <w:bookmarkEnd w:id="21"/>
            <w:bookmarkEnd w:id="22"/>
            <w:bookmarkEnd w:id="23"/>
          </w:p>
          <w:p w14:paraId="04F2BD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本项目委托云南天倪检测有限公司对项目区其他污染物环境质量现状进行监测，具体如下：</w:t>
            </w:r>
          </w:p>
          <w:p w14:paraId="08ED04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监测项目：TSP、非甲烷总烃、甲醛，共3项；</w:t>
            </w:r>
          </w:p>
          <w:p w14:paraId="20E1F203">
            <w:pPr>
              <w:spacing w:line="360" w:lineRule="auto"/>
              <w:ind w:firstLine="480" w:firstLineChars="200"/>
              <w:jc w:val="left"/>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采样地点：厂区下风向设置1个监测点（A1，厂界下风向村东（1200m）处），共1个监测点；</w:t>
            </w:r>
          </w:p>
          <w:p w14:paraId="58B84C8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drawing>
                <wp:inline distT="0" distB="0" distL="114300" distR="114300">
                  <wp:extent cx="4233545" cy="3070225"/>
                  <wp:effectExtent l="0" t="0" r="14605" b="15875"/>
                  <wp:docPr id="35" name="图片 35" descr="一类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一类区"/>
                          <pic:cNvPicPr>
                            <a:picLocks noChangeAspect="1"/>
                          </pic:cNvPicPr>
                        </pic:nvPicPr>
                        <pic:blipFill>
                          <a:blip r:embed="rId17"/>
                          <a:stretch>
                            <a:fillRect/>
                          </a:stretch>
                        </pic:blipFill>
                        <pic:spPr>
                          <a:xfrm>
                            <a:off x="0" y="0"/>
                            <a:ext cx="4233545" cy="3070225"/>
                          </a:xfrm>
                          <a:prstGeom prst="rect">
                            <a:avLst/>
                          </a:prstGeom>
                        </pic:spPr>
                      </pic:pic>
                    </a:graphicData>
                  </a:graphic>
                </wp:inline>
              </w:drawing>
            </w:r>
          </w:p>
          <w:p w14:paraId="611340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图3-2 监测点位图</w:t>
            </w:r>
          </w:p>
          <w:p w14:paraId="27C520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32"/>
                <w:highlight w:val="none"/>
                <w:lang w:val="en-US" w:eastAsia="zh-CN"/>
                <w14:textFill>
                  <w14:solidFill>
                    <w14:schemeClr w14:val="tx1"/>
                  </w14:solidFill>
                </w14:textFill>
              </w:rPr>
            </w:pPr>
            <w:r>
              <w:rPr>
                <w:rFonts w:hint="eastAsia"/>
                <w:color w:val="000000" w:themeColor="text1"/>
                <w:sz w:val="24"/>
                <w:szCs w:val="32"/>
                <w:highlight w:val="none"/>
                <w:lang w:val="en-US" w:eastAsia="zh-CN"/>
                <w14:textFill>
                  <w14:solidFill>
                    <w14:schemeClr w14:val="tx1"/>
                  </w14:solidFill>
                </w14:textFill>
              </w:rPr>
              <w:t>监测时间：2026.6.27～2026.7.3，共7天；</w:t>
            </w:r>
          </w:p>
          <w:p w14:paraId="41D132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采样频率：1个监测点对总悬浮颗粒物提供至少24小时监测结果；甲醛与非甲烷总烃提供1小时监测结果，具体监测结果如下表所示。</w:t>
            </w:r>
          </w:p>
          <w:p w14:paraId="5FCEE092">
            <w:pPr>
              <w:widowControl/>
              <w:ind w:firstLine="422" w:firstLineChars="200"/>
              <w:jc w:val="center"/>
              <w:rPr>
                <w:rFonts w:ascii="宋体" w:hAnsi="Times New Roman" w:cs="Times New Roman"/>
                <w:color w:val="000000" w:themeColor="text1"/>
                <w:kern w:val="0"/>
                <w:sz w:val="24"/>
                <w:szCs w:val="20"/>
                <w14:textFill>
                  <w14:solidFill>
                    <w14:schemeClr w14:val="tx1"/>
                  </w14:solidFill>
                </w14:textFill>
              </w:rPr>
            </w:pPr>
            <w:r>
              <w:rPr>
                <w:rFonts w:ascii="Times New Roman" w:hAnsi="Times New Roman" w:cs="Times New Roman"/>
                <w:b/>
                <w:color w:val="000000" w:themeColor="text1"/>
                <w:kern w:val="0"/>
                <w:sz w:val="21"/>
                <w:szCs w:val="21"/>
                <w14:textFill>
                  <w14:solidFill>
                    <w14:schemeClr w14:val="tx1"/>
                  </w14:solidFill>
                </w14:textFill>
              </w:rPr>
              <w:t>表</w:t>
            </w:r>
            <w:r>
              <w:rPr>
                <w:rFonts w:hint="eastAsia" w:ascii="Times New Roman" w:hAnsi="Times New Roman" w:cs="Times New Roman"/>
                <w:b/>
                <w:color w:val="000000" w:themeColor="text1"/>
                <w:kern w:val="0"/>
                <w:sz w:val="21"/>
                <w:szCs w:val="21"/>
                <w:lang w:val="en-US" w:eastAsia="zh-CN"/>
                <w14:textFill>
                  <w14:solidFill>
                    <w14:schemeClr w14:val="tx1"/>
                  </w14:solidFill>
                </w14:textFill>
              </w:rPr>
              <w:t>3-</w:t>
            </w:r>
            <w:r>
              <w:rPr>
                <w:rFonts w:hint="eastAsia" w:cs="Times New Roman"/>
                <w:b/>
                <w:color w:val="000000" w:themeColor="text1"/>
                <w:kern w:val="0"/>
                <w:sz w:val="21"/>
                <w:szCs w:val="21"/>
                <w:lang w:val="en-US" w:eastAsia="zh-CN"/>
                <w14:textFill>
                  <w14:solidFill>
                    <w14:schemeClr w14:val="tx1"/>
                  </w14:solidFill>
                </w14:textFill>
              </w:rPr>
              <w:t>8</w:t>
            </w:r>
            <w:r>
              <w:rPr>
                <w:rFonts w:ascii="Times New Roman" w:hAnsi="Times New Roman" w:cs="Times New Roman"/>
                <w:b/>
                <w:color w:val="000000" w:themeColor="text1"/>
                <w:kern w:val="0"/>
                <w:sz w:val="21"/>
                <w:szCs w:val="21"/>
                <w14:textFill>
                  <w14:solidFill>
                    <w14:schemeClr w14:val="tx1"/>
                  </w14:solidFill>
                </w14:textFill>
              </w:rPr>
              <w:t xml:space="preserve">   </w:t>
            </w:r>
            <w:r>
              <w:rPr>
                <w:rFonts w:hint="eastAsia" w:ascii="Times New Roman" w:hAnsi="Times New Roman" w:cs="Times New Roman"/>
                <w:b/>
                <w:color w:val="000000" w:themeColor="text1"/>
                <w:kern w:val="0"/>
                <w:sz w:val="21"/>
                <w:szCs w:val="21"/>
                <w14:textFill>
                  <w14:solidFill>
                    <w14:schemeClr w14:val="tx1"/>
                  </w14:solidFill>
                </w14:textFill>
              </w:rPr>
              <w:t>TSP 24小时均值监测结果统计表</w:t>
            </w:r>
          </w:p>
          <w:tbl>
            <w:tblPr>
              <w:tblStyle w:val="3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66"/>
              <w:gridCol w:w="4412"/>
            </w:tblGrid>
            <w:tr w14:paraId="35555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9" w:type="pct"/>
                  <w:vMerge w:val="restart"/>
                  <w:noWrap w:val="0"/>
                  <w:tcMar>
                    <w:top w:w="0" w:type="dxa"/>
                    <w:left w:w="57" w:type="dxa"/>
                    <w:bottom w:w="0" w:type="dxa"/>
                    <w:right w:w="57" w:type="dxa"/>
                  </w:tcMar>
                  <w:vAlign w:val="center"/>
                </w:tcPr>
                <w:p w14:paraId="36D5A3AE">
                  <w:pPr>
                    <w:widowControl/>
                    <w:spacing w:line="380" w:lineRule="exact"/>
                    <w:jc w:val="center"/>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监测时间</w:t>
                  </w:r>
                </w:p>
              </w:tc>
              <w:tc>
                <w:tcPr>
                  <w:tcW w:w="2730" w:type="pct"/>
                  <w:noWrap w:val="0"/>
                  <w:tcMar>
                    <w:top w:w="0" w:type="dxa"/>
                    <w:left w:w="57" w:type="dxa"/>
                    <w:bottom w:w="0" w:type="dxa"/>
                    <w:right w:w="57" w:type="dxa"/>
                  </w:tcMar>
                  <w:vAlign w:val="center"/>
                </w:tcPr>
                <w:p w14:paraId="4F138440">
                  <w:pPr>
                    <w:widowControl w:val="0"/>
                    <w:jc w:val="center"/>
                    <w:rPr>
                      <w:rFonts w:ascii="Times New Roman" w:hAnsi="Times New Roman" w:cs="Times New Roman"/>
                      <w:b/>
                      <w:bCs/>
                      <w:color w:val="000000" w:themeColor="text1"/>
                      <w:kern w:val="2"/>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采样点位及监测结果（</w:t>
                  </w:r>
                  <w:r>
                    <w:rPr>
                      <w:rFonts w:hint="eastAsia" w:ascii="Times New Roman" w:hAnsi="Times New Roman" w:cs="Times New Roman"/>
                      <w:b/>
                      <w:bCs/>
                      <w:color w:val="000000" w:themeColor="text1"/>
                      <w:kern w:val="0"/>
                      <w:sz w:val="21"/>
                      <w:szCs w:val="21"/>
                      <w14:textFill>
                        <w14:solidFill>
                          <w14:schemeClr w14:val="tx1"/>
                        </w14:solidFill>
                      </w14:textFill>
                    </w:rPr>
                    <w:t>m</w:t>
                  </w:r>
                  <w:r>
                    <w:rPr>
                      <w:rFonts w:ascii="Times New Roman" w:hAnsi="Times New Roman" w:cs="Times New Roman"/>
                      <w:b/>
                      <w:bCs/>
                      <w:color w:val="000000" w:themeColor="text1"/>
                      <w:kern w:val="0"/>
                      <w:sz w:val="21"/>
                      <w:szCs w:val="21"/>
                      <w14:textFill>
                        <w14:solidFill>
                          <w14:schemeClr w14:val="tx1"/>
                        </w14:solidFill>
                      </w14:textFill>
                    </w:rPr>
                    <w:t>g/m</w:t>
                  </w:r>
                  <w:r>
                    <w:rPr>
                      <w:rFonts w:ascii="Times New Roman" w:hAnsi="Times New Roman" w:cs="Times New Roman"/>
                      <w:b/>
                      <w:bCs/>
                      <w:color w:val="000000" w:themeColor="text1"/>
                      <w:kern w:val="0"/>
                      <w:sz w:val="21"/>
                      <w:szCs w:val="21"/>
                      <w:vertAlign w:val="superscript"/>
                      <w14:textFill>
                        <w14:solidFill>
                          <w14:schemeClr w14:val="tx1"/>
                        </w14:solidFill>
                      </w14:textFill>
                    </w:rPr>
                    <w:t>3</w:t>
                  </w:r>
                  <w:r>
                    <w:rPr>
                      <w:rFonts w:ascii="Times New Roman" w:hAnsi="Times New Roman" w:cs="Times New Roman"/>
                      <w:b/>
                      <w:bCs/>
                      <w:color w:val="000000" w:themeColor="text1"/>
                      <w:kern w:val="0"/>
                      <w:sz w:val="21"/>
                      <w:szCs w:val="21"/>
                      <w14:textFill>
                        <w14:solidFill>
                          <w14:schemeClr w14:val="tx1"/>
                        </w14:solidFill>
                      </w14:textFill>
                    </w:rPr>
                    <w:t>）</w:t>
                  </w:r>
                </w:p>
              </w:tc>
            </w:tr>
            <w:tr w14:paraId="4ADB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9" w:type="pct"/>
                  <w:vMerge w:val="continue"/>
                  <w:noWrap w:val="0"/>
                  <w:tcMar>
                    <w:top w:w="0" w:type="dxa"/>
                    <w:left w:w="57" w:type="dxa"/>
                    <w:bottom w:w="0" w:type="dxa"/>
                    <w:right w:w="57" w:type="dxa"/>
                  </w:tcMar>
                  <w:vAlign w:val="center"/>
                </w:tcPr>
                <w:p w14:paraId="5166B501">
                  <w:pPr>
                    <w:widowControl/>
                    <w:spacing w:line="380" w:lineRule="exact"/>
                    <w:jc w:val="center"/>
                    <w:rPr>
                      <w:rFonts w:ascii="Times New Roman" w:hAnsi="Times New Roman" w:cs="Times New Roman"/>
                      <w:b/>
                      <w:bCs/>
                      <w:color w:val="000000" w:themeColor="text1"/>
                      <w:kern w:val="0"/>
                      <w:sz w:val="21"/>
                      <w:szCs w:val="21"/>
                      <w14:textFill>
                        <w14:solidFill>
                          <w14:schemeClr w14:val="tx1"/>
                        </w14:solidFill>
                      </w14:textFill>
                    </w:rPr>
                  </w:pPr>
                </w:p>
              </w:tc>
              <w:tc>
                <w:tcPr>
                  <w:tcW w:w="2730" w:type="pct"/>
                  <w:noWrap w:val="0"/>
                  <w:tcMar>
                    <w:top w:w="0" w:type="dxa"/>
                    <w:left w:w="57" w:type="dxa"/>
                    <w:bottom w:w="0" w:type="dxa"/>
                    <w:right w:w="57" w:type="dxa"/>
                  </w:tcMar>
                  <w:vAlign w:val="center"/>
                </w:tcPr>
                <w:p w14:paraId="19744ECF">
                  <w:pPr>
                    <w:widowControl/>
                    <w:spacing w:line="380" w:lineRule="exact"/>
                    <w:jc w:val="center"/>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厂界下风向村东（</w:t>
                  </w:r>
                  <w:r>
                    <w:rPr>
                      <w:rFonts w:hint="eastAsia" w:ascii="Times New Roman" w:hAnsi="Times New Roman" w:cs="Times New Roman"/>
                      <w:b/>
                      <w:bCs/>
                      <w:color w:val="000000" w:themeColor="text1"/>
                      <w:kern w:val="0"/>
                      <w:sz w:val="21"/>
                      <w:szCs w:val="21"/>
                      <w:lang w:val="en-US" w:eastAsia="zh-CN"/>
                      <w14:textFill>
                        <w14:solidFill>
                          <w14:schemeClr w14:val="tx1"/>
                        </w14:solidFill>
                      </w14:textFill>
                    </w:rPr>
                    <w:t>12</w:t>
                  </w:r>
                  <w:r>
                    <w:rPr>
                      <w:rFonts w:ascii="Times New Roman" w:hAnsi="Times New Roman" w:cs="Times New Roman"/>
                      <w:b/>
                      <w:bCs/>
                      <w:color w:val="000000" w:themeColor="text1"/>
                      <w:kern w:val="0"/>
                      <w:sz w:val="21"/>
                      <w:szCs w:val="21"/>
                      <w14:textFill>
                        <w14:solidFill>
                          <w14:schemeClr w14:val="tx1"/>
                        </w14:solidFill>
                      </w14:textFill>
                    </w:rPr>
                    <w:t>00m）</w:t>
                  </w:r>
                </w:p>
              </w:tc>
            </w:tr>
            <w:tr w14:paraId="12ACF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9" w:type="pct"/>
                  <w:noWrap w:val="0"/>
                  <w:tcMar>
                    <w:top w:w="0" w:type="dxa"/>
                    <w:left w:w="57" w:type="dxa"/>
                    <w:bottom w:w="0" w:type="dxa"/>
                    <w:right w:w="57" w:type="dxa"/>
                  </w:tcMar>
                  <w:vAlign w:val="center"/>
                </w:tcPr>
                <w:p w14:paraId="0A820B31">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2026.06.27</w:t>
                  </w:r>
                </w:p>
              </w:tc>
              <w:tc>
                <w:tcPr>
                  <w:tcW w:w="2730" w:type="pct"/>
                  <w:noWrap w:val="0"/>
                  <w:tcMar>
                    <w:top w:w="0" w:type="dxa"/>
                    <w:left w:w="57" w:type="dxa"/>
                    <w:bottom w:w="0" w:type="dxa"/>
                    <w:right w:w="57" w:type="dxa"/>
                  </w:tcMar>
                  <w:vAlign w:val="center"/>
                </w:tcPr>
                <w:p w14:paraId="4F4455E0">
                  <w:pPr>
                    <w:widowControl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0.116</w:t>
                  </w:r>
                </w:p>
              </w:tc>
            </w:tr>
            <w:tr w14:paraId="08CC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9" w:type="pct"/>
                  <w:noWrap w:val="0"/>
                  <w:tcMar>
                    <w:top w:w="0" w:type="dxa"/>
                    <w:left w:w="57" w:type="dxa"/>
                    <w:bottom w:w="0" w:type="dxa"/>
                    <w:right w:w="57" w:type="dxa"/>
                  </w:tcMar>
                  <w:vAlign w:val="center"/>
                </w:tcPr>
                <w:p w14:paraId="6983C33D">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8</w:t>
                  </w:r>
                </w:p>
              </w:tc>
              <w:tc>
                <w:tcPr>
                  <w:tcW w:w="2730" w:type="pct"/>
                  <w:noWrap w:val="0"/>
                  <w:tcMar>
                    <w:top w:w="0" w:type="dxa"/>
                    <w:left w:w="57" w:type="dxa"/>
                    <w:bottom w:w="0" w:type="dxa"/>
                    <w:right w:w="57" w:type="dxa"/>
                  </w:tcMar>
                  <w:vAlign w:val="center"/>
                </w:tcPr>
                <w:p w14:paraId="282175BF">
                  <w:pPr>
                    <w:widowControl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0.111</w:t>
                  </w:r>
                </w:p>
              </w:tc>
            </w:tr>
            <w:tr w14:paraId="783A0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9" w:type="pct"/>
                  <w:noWrap w:val="0"/>
                  <w:tcMar>
                    <w:top w:w="0" w:type="dxa"/>
                    <w:left w:w="57" w:type="dxa"/>
                    <w:bottom w:w="0" w:type="dxa"/>
                    <w:right w:w="57" w:type="dxa"/>
                  </w:tcMar>
                  <w:vAlign w:val="center"/>
                </w:tcPr>
                <w:p w14:paraId="55AB5667">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9</w:t>
                  </w:r>
                </w:p>
              </w:tc>
              <w:tc>
                <w:tcPr>
                  <w:tcW w:w="2730" w:type="pct"/>
                  <w:noWrap w:val="0"/>
                  <w:tcMar>
                    <w:top w:w="0" w:type="dxa"/>
                    <w:left w:w="57" w:type="dxa"/>
                    <w:bottom w:w="0" w:type="dxa"/>
                    <w:right w:w="57" w:type="dxa"/>
                  </w:tcMar>
                  <w:vAlign w:val="center"/>
                </w:tcPr>
                <w:p w14:paraId="4C5AD018">
                  <w:pPr>
                    <w:widowControl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0.099</w:t>
                  </w:r>
                </w:p>
              </w:tc>
            </w:tr>
            <w:tr w14:paraId="55C3C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9" w:type="pct"/>
                  <w:noWrap w:val="0"/>
                  <w:tcMar>
                    <w:top w:w="0" w:type="dxa"/>
                    <w:left w:w="57" w:type="dxa"/>
                    <w:bottom w:w="0" w:type="dxa"/>
                    <w:right w:w="57" w:type="dxa"/>
                  </w:tcMar>
                  <w:vAlign w:val="center"/>
                </w:tcPr>
                <w:p w14:paraId="0E84E4DE">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30</w:t>
                  </w:r>
                </w:p>
              </w:tc>
              <w:tc>
                <w:tcPr>
                  <w:tcW w:w="2730" w:type="pct"/>
                  <w:noWrap w:val="0"/>
                  <w:tcMar>
                    <w:top w:w="0" w:type="dxa"/>
                    <w:left w:w="57" w:type="dxa"/>
                    <w:bottom w:w="0" w:type="dxa"/>
                    <w:right w:w="57" w:type="dxa"/>
                  </w:tcMar>
                  <w:vAlign w:val="center"/>
                </w:tcPr>
                <w:p w14:paraId="55232459">
                  <w:pPr>
                    <w:widowControl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0.104</w:t>
                  </w:r>
                </w:p>
              </w:tc>
            </w:tr>
            <w:tr w14:paraId="4E558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9" w:type="pct"/>
                  <w:noWrap w:val="0"/>
                  <w:tcMar>
                    <w:top w:w="0" w:type="dxa"/>
                    <w:left w:w="57" w:type="dxa"/>
                    <w:bottom w:w="0" w:type="dxa"/>
                    <w:right w:w="57" w:type="dxa"/>
                  </w:tcMar>
                  <w:vAlign w:val="center"/>
                </w:tcPr>
                <w:p w14:paraId="31E7D5E0">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2026.07.01</w:t>
                  </w:r>
                </w:p>
              </w:tc>
              <w:tc>
                <w:tcPr>
                  <w:tcW w:w="2730" w:type="pct"/>
                  <w:noWrap w:val="0"/>
                  <w:tcMar>
                    <w:top w:w="0" w:type="dxa"/>
                    <w:left w:w="57" w:type="dxa"/>
                    <w:bottom w:w="0" w:type="dxa"/>
                    <w:right w:w="57" w:type="dxa"/>
                  </w:tcMar>
                  <w:vAlign w:val="center"/>
                </w:tcPr>
                <w:p w14:paraId="22070F15">
                  <w:pPr>
                    <w:widowControl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0.110</w:t>
                  </w:r>
                </w:p>
              </w:tc>
            </w:tr>
            <w:tr w14:paraId="05094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9" w:type="pct"/>
                  <w:noWrap w:val="0"/>
                  <w:tcMar>
                    <w:top w:w="0" w:type="dxa"/>
                    <w:left w:w="57" w:type="dxa"/>
                    <w:bottom w:w="0" w:type="dxa"/>
                    <w:right w:w="57" w:type="dxa"/>
                  </w:tcMar>
                  <w:vAlign w:val="center"/>
                </w:tcPr>
                <w:p w14:paraId="0288E8AD">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7</w:t>
                  </w: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02</w:t>
                  </w:r>
                </w:p>
              </w:tc>
              <w:tc>
                <w:tcPr>
                  <w:tcW w:w="2730" w:type="pct"/>
                  <w:noWrap w:val="0"/>
                  <w:tcMar>
                    <w:top w:w="0" w:type="dxa"/>
                    <w:left w:w="57" w:type="dxa"/>
                    <w:bottom w:w="0" w:type="dxa"/>
                    <w:right w:w="57" w:type="dxa"/>
                  </w:tcMar>
                  <w:vAlign w:val="center"/>
                </w:tcPr>
                <w:p w14:paraId="23C05B7F">
                  <w:pPr>
                    <w:widowControl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0.100</w:t>
                  </w:r>
                </w:p>
              </w:tc>
            </w:tr>
            <w:tr w14:paraId="50E79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9" w:type="pct"/>
                  <w:noWrap w:val="0"/>
                  <w:tcMar>
                    <w:top w:w="0" w:type="dxa"/>
                    <w:left w:w="57" w:type="dxa"/>
                    <w:bottom w:w="0" w:type="dxa"/>
                    <w:right w:w="57" w:type="dxa"/>
                  </w:tcMar>
                  <w:vAlign w:val="center"/>
                </w:tcPr>
                <w:p w14:paraId="5D0E73C7">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7</w:t>
                  </w: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03</w:t>
                  </w:r>
                </w:p>
              </w:tc>
              <w:tc>
                <w:tcPr>
                  <w:tcW w:w="2730" w:type="pct"/>
                  <w:noWrap w:val="0"/>
                  <w:tcMar>
                    <w:top w:w="0" w:type="dxa"/>
                    <w:left w:w="57" w:type="dxa"/>
                    <w:bottom w:w="0" w:type="dxa"/>
                    <w:right w:w="57" w:type="dxa"/>
                  </w:tcMar>
                  <w:vAlign w:val="center"/>
                </w:tcPr>
                <w:p w14:paraId="5431D609">
                  <w:pPr>
                    <w:widowControl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0.117</w:t>
                  </w:r>
                </w:p>
              </w:tc>
            </w:tr>
            <w:tr w14:paraId="46DCA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9" w:type="pct"/>
                  <w:noWrap w:val="0"/>
                  <w:tcMar>
                    <w:top w:w="0" w:type="dxa"/>
                    <w:left w:w="57" w:type="dxa"/>
                    <w:bottom w:w="0" w:type="dxa"/>
                    <w:right w:w="57" w:type="dxa"/>
                  </w:tcMar>
                  <w:vAlign w:val="center"/>
                </w:tcPr>
                <w:p w14:paraId="16C68039">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标准值</w:t>
                  </w:r>
                </w:p>
              </w:tc>
              <w:tc>
                <w:tcPr>
                  <w:tcW w:w="2730" w:type="pct"/>
                  <w:noWrap w:val="0"/>
                  <w:tcMar>
                    <w:top w:w="0" w:type="dxa"/>
                    <w:left w:w="57" w:type="dxa"/>
                    <w:bottom w:w="0" w:type="dxa"/>
                    <w:right w:w="57" w:type="dxa"/>
                  </w:tcMar>
                  <w:vAlign w:val="center"/>
                </w:tcPr>
                <w:p w14:paraId="025C867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0.</w:t>
                  </w:r>
                  <w:r>
                    <w:rPr>
                      <w:rFonts w:ascii="Times New Roman" w:hAnsi="Times New Roman" w:cs="Times New Roman"/>
                      <w:color w:val="000000" w:themeColor="text1"/>
                      <w:kern w:val="0"/>
                      <w:sz w:val="21"/>
                      <w:szCs w:val="21"/>
                      <w14:textFill>
                        <w14:solidFill>
                          <w14:schemeClr w14:val="tx1"/>
                        </w14:solidFill>
                      </w14:textFill>
                    </w:rPr>
                    <w:t>300</w:t>
                  </w:r>
                </w:p>
              </w:tc>
            </w:tr>
            <w:tr w14:paraId="03084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jc w:val="center"/>
              </w:trPr>
              <w:tc>
                <w:tcPr>
                  <w:tcW w:w="2269" w:type="pct"/>
                  <w:noWrap w:val="0"/>
                  <w:tcMar>
                    <w:top w:w="0" w:type="dxa"/>
                    <w:left w:w="57" w:type="dxa"/>
                    <w:bottom w:w="0" w:type="dxa"/>
                    <w:right w:w="57" w:type="dxa"/>
                  </w:tcMar>
                  <w:vAlign w:val="center"/>
                </w:tcPr>
                <w:p w14:paraId="4FCD8F15">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达标情况</w:t>
                  </w:r>
                </w:p>
              </w:tc>
              <w:tc>
                <w:tcPr>
                  <w:tcW w:w="2730" w:type="pct"/>
                  <w:noWrap w:val="0"/>
                  <w:tcMar>
                    <w:top w:w="0" w:type="dxa"/>
                    <w:left w:w="57" w:type="dxa"/>
                    <w:bottom w:w="0" w:type="dxa"/>
                    <w:right w:w="57" w:type="dxa"/>
                  </w:tcMar>
                  <w:vAlign w:val="center"/>
                </w:tcPr>
                <w:p w14:paraId="546EC709">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达标</w:t>
                  </w:r>
                </w:p>
              </w:tc>
            </w:tr>
          </w:tbl>
          <w:p w14:paraId="1BF1606B">
            <w:pPr>
              <w:pStyle w:val="15"/>
              <w:widowControl/>
              <w:spacing w:line="240" w:lineRule="auto"/>
              <w:jc w:val="center"/>
              <w:rPr>
                <w:rFonts w:cs="Courier New"/>
                <w:color w:val="000000" w:themeColor="text1"/>
                <w:sz w:val="21"/>
                <w14:textFill>
                  <w14:solidFill>
                    <w14:schemeClr w14:val="tx1"/>
                  </w14:solidFill>
                </w14:textFill>
              </w:rPr>
            </w:pPr>
            <w:r>
              <w:rPr>
                <w:rFonts w:ascii="Times New Roman" w:hAnsi="Times New Roman" w:cs="Times New Roman"/>
                <w:b/>
                <w:color w:val="000000" w:themeColor="text1"/>
                <w:sz w:val="21"/>
                <w14:textFill>
                  <w14:solidFill>
                    <w14:schemeClr w14:val="tx1"/>
                  </w14:solidFill>
                </w14:textFill>
              </w:rPr>
              <w:t>表</w:t>
            </w:r>
            <w:r>
              <w:rPr>
                <w:rFonts w:hint="eastAsia" w:ascii="Times New Roman" w:hAnsi="Times New Roman" w:cs="Times New Roman"/>
                <w:b/>
                <w:color w:val="000000" w:themeColor="text1"/>
                <w:sz w:val="21"/>
                <w:lang w:val="en-US" w:eastAsia="zh-CN"/>
                <w14:textFill>
                  <w14:solidFill>
                    <w14:schemeClr w14:val="tx1"/>
                  </w14:solidFill>
                </w14:textFill>
              </w:rPr>
              <w:t>3-9</w:t>
            </w:r>
            <w:r>
              <w:rPr>
                <w:rFonts w:ascii="Times New Roman" w:hAnsi="Times New Roman" w:cs="Times New Roman"/>
                <w:b/>
                <w:color w:val="000000" w:themeColor="text1"/>
                <w:sz w:val="21"/>
                <w14:textFill>
                  <w14:solidFill>
                    <w14:schemeClr w14:val="tx1"/>
                  </w14:solidFill>
                </w14:textFill>
              </w:rPr>
              <w:t xml:space="preserve">   </w:t>
            </w:r>
            <w:r>
              <w:rPr>
                <w:rFonts w:hint="eastAsia" w:ascii="Times New Roman" w:hAnsi="Times New Roman" w:cs="Times New Roman"/>
                <w:b/>
                <w:color w:val="000000" w:themeColor="text1"/>
                <w:sz w:val="21"/>
                <w:lang w:val="en-US" w:eastAsia="zh-CN"/>
                <w14:textFill>
                  <w14:solidFill>
                    <w14:schemeClr w14:val="tx1"/>
                  </w14:solidFill>
                </w14:textFill>
              </w:rPr>
              <w:t>非甲烷总烃</w:t>
            </w:r>
            <w:r>
              <w:rPr>
                <w:rFonts w:hint="eastAsia" w:ascii="Times New Roman" w:hAnsi="Times New Roman" w:cs="Times New Roman"/>
                <w:b/>
                <w:color w:val="000000" w:themeColor="text1"/>
                <w:sz w:val="21"/>
                <w14:textFill>
                  <w14:solidFill>
                    <w14:schemeClr w14:val="tx1"/>
                  </w14:solidFill>
                </w14:textFill>
              </w:rPr>
              <w:t xml:space="preserve"> 1小时均值监测结果统计表</w:t>
            </w:r>
          </w:p>
          <w:tbl>
            <w:tblPr>
              <w:tblStyle w:val="31"/>
              <w:tblW w:w="8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64"/>
              <w:gridCol w:w="4416"/>
            </w:tblGrid>
            <w:tr w14:paraId="0DED2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restart"/>
                  <w:noWrap w:val="0"/>
                  <w:tcMar>
                    <w:top w:w="0" w:type="dxa"/>
                    <w:left w:w="57" w:type="dxa"/>
                    <w:bottom w:w="0" w:type="dxa"/>
                    <w:right w:w="57" w:type="dxa"/>
                  </w:tcMar>
                  <w:vAlign w:val="center"/>
                </w:tcPr>
                <w:p w14:paraId="5DD02A18">
                  <w:pPr>
                    <w:widowControl/>
                    <w:spacing w:line="380" w:lineRule="exact"/>
                    <w:jc w:val="center"/>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监测时间</w:t>
                  </w:r>
                </w:p>
              </w:tc>
              <w:tc>
                <w:tcPr>
                  <w:tcW w:w="2732" w:type="pct"/>
                  <w:noWrap w:val="0"/>
                  <w:tcMar>
                    <w:top w:w="0" w:type="dxa"/>
                    <w:left w:w="57" w:type="dxa"/>
                    <w:bottom w:w="0" w:type="dxa"/>
                    <w:right w:w="57" w:type="dxa"/>
                  </w:tcMar>
                  <w:vAlign w:val="center"/>
                </w:tcPr>
                <w:p w14:paraId="3F32272E">
                  <w:pPr>
                    <w:widowControl w:val="0"/>
                    <w:jc w:val="center"/>
                    <w:rPr>
                      <w:rFonts w:ascii="Times New Roman" w:hAnsi="Times New Roman" w:cs="Times New Roman"/>
                      <w:b/>
                      <w:bCs/>
                      <w:color w:val="000000" w:themeColor="text1"/>
                      <w:kern w:val="2"/>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采样点位及监测结果（</w:t>
                  </w:r>
                  <w:r>
                    <w:rPr>
                      <w:rFonts w:hint="eastAsia" w:cs="Times New Roman"/>
                      <w:b/>
                      <w:bCs/>
                      <w:color w:val="000000" w:themeColor="text1"/>
                      <w:kern w:val="0"/>
                      <w:sz w:val="21"/>
                      <w:szCs w:val="21"/>
                      <w:lang w:val="en-US" w:eastAsia="zh-CN"/>
                      <w14:textFill>
                        <w14:solidFill>
                          <w14:schemeClr w14:val="tx1"/>
                        </w14:solidFill>
                      </w14:textFill>
                    </w:rPr>
                    <w:t>m</w:t>
                  </w:r>
                  <w:r>
                    <w:rPr>
                      <w:rFonts w:ascii="Times New Roman" w:hAnsi="Times New Roman" w:cs="Times New Roman"/>
                      <w:b/>
                      <w:bCs/>
                      <w:color w:val="000000" w:themeColor="text1"/>
                      <w:kern w:val="0"/>
                      <w:sz w:val="21"/>
                      <w:szCs w:val="21"/>
                      <w14:textFill>
                        <w14:solidFill>
                          <w14:schemeClr w14:val="tx1"/>
                        </w14:solidFill>
                      </w14:textFill>
                    </w:rPr>
                    <w:t>g/m</w:t>
                  </w:r>
                  <w:r>
                    <w:rPr>
                      <w:rFonts w:ascii="Times New Roman" w:hAnsi="Times New Roman" w:cs="Times New Roman"/>
                      <w:b/>
                      <w:bCs/>
                      <w:color w:val="000000" w:themeColor="text1"/>
                      <w:kern w:val="0"/>
                      <w:sz w:val="21"/>
                      <w:szCs w:val="21"/>
                      <w:vertAlign w:val="superscript"/>
                      <w14:textFill>
                        <w14:solidFill>
                          <w14:schemeClr w14:val="tx1"/>
                        </w14:solidFill>
                      </w14:textFill>
                    </w:rPr>
                    <w:t>3</w:t>
                  </w:r>
                  <w:r>
                    <w:rPr>
                      <w:rFonts w:ascii="Times New Roman" w:hAnsi="Times New Roman" w:cs="Times New Roman"/>
                      <w:b/>
                      <w:bCs/>
                      <w:color w:val="000000" w:themeColor="text1"/>
                      <w:kern w:val="0"/>
                      <w:sz w:val="21"/>
                      <w:szCs w:val="21"/>
                      <w14:textFill>
                        <w14:solidFill>
                          <w14:schemeClr w14:val="tx1"/>
                        </w14:solidFill>
                      </w14:textFill>
                    </w:rPr>
                    <w:t>）</w:t>
                  </w:r>
                </w:p>
              </w:tc>
            </w:tr>
            <w:tr w14:paraId="74BBE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pct"/>
                  <w:vMerge w:val="continue"/>
                  <w:noWrap w:val="0"/>
                  <w:tcMar>
                    <w:top w:w="0" w:type="dxa"/>
                    <w:left w:w="57" w:type="dxa"/>
                    <w:bottom w:w="0" w:type="dxa"/>
                    <w:right w:w="57" w:type="dxa"/>
                  </w:tcMar>
                  <w:vAlign w:val="center"/>
                </w:tcPr>
                <w:p w14:paraId="5C1363A1">
                  <w:pPr>
                    <w:widowControl/>
                    <w:spacing w:line="380" w:lineRule="exact"/>
                    <w:jc w:val="center"/>
                    <w:rPr>
                      <w:rFonts w:ascii="Times New Roman" w:hAnsi="Times New Roman" w:cs="Times New Roman"/>
                      <w:b/>
                      <w:bCs/>
                      <w:color w:val="000000" w:themeColor="text1"/>
                      <w:kern w:val="0"/>
                      <w:sz w:val="21"/>
                      <w:szCs w:val="21"/>
                      <w14:textFill>
                        <w14:solidFill>
                          <w14:schemeClr w14:val="tx1"/>
                        </w14:solidFill>
                      </w14:textFill>
                    </w:rPr>
                  </w:pPr>
                </w:p>
              </w:tc>
              <w:tc>
                <w:tcPr>
                  <w:tcW w:w="2732" w:type="pct"/>
                  <w:noWrap w:val="0"/>
                  <w:tcMar>
                    <w:top w:w="0" w:type="dxa"/>
                    <w:left w:w="57" w:type="dxa"/>
                    <w:bottom w:w="0" w:type="dxa"/>
                    <w:right w:w="57" w:type="dxa"/>
                  </w:tcMar>
                  <w:vAlign w:val="center"/>
                </w:tcPr>
                <w:p w14:paraId="3B1F2419">
                  <w:pPr>
                    <w:widowControl/>
                    <w:spacing w:line="380" w:lineRule="exact"/>
                    <w:jc w:val="center"/>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厂界下风向村东（</w:t>
                  </w:r>
                  <w:r>
                    <w:rPr>
                      <w:rFonts w:hint="eastAsia" w:ascii="Times New Roman" w:hAnsi="Times New Roman" w:cs="Times New Roman"/>
                      <w:b/>
                      <w:bCs/>
                      <w:color w:val="000000" w:themeColor="text1"/>
                      <w:kern w:val="0"/>
                      <w:sz w:val="21"/>
                      <w:szCs w:val="21"/>
                      <w:lang w:val="en-US" w:eastAsia="zh-CN"/>
                      <w14:textFill>
                        <w14:solidFill>
                          <w14:schemeClr w14:val="tx1"/>
                        </w14:solidFill>
                      </w14:textFill>
                    </w:rPr>
                    <w:t>12</w:t>
                  </w:r>
                  <w:r>
                    <w:rPr>
                      <w:rFonts w:ascii="Times New Roman" w:hAnsi="Times New Roman" w:cs="Times New Roman"/>
                      <w:b/>
                      <w:bCs/>
                      <w:color w:val="000000" w:themeColor="text1"/>
                      <w:kern w:val="0"/>
                      <w:sz w:val="21"/>
                      <w:szCs w:val="21"/>
                      <w14:textFill>
                        <w14:solidFill>
                          <w14:schemeClr w14:val="tx1"/>
                        </w14:solidFill>
                      </w14:textFill>
                    </w:rPr>
                    <w:t>00m）</w:t>
                  </w:r>
                </w:p>
              </w:tc>
            </w:tr>
            <w:tr w14:paraId="3464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restart"/>
                  <w:noWrap w:val="0"/>
                  <w:tcMar>
                    <w:top w:w="0" w:type="dxa"/>
                    <w:left w:w="57" w:type="dxa"/>
                    <w:bottom w:w="0" w:type="dxa"/>
                    <w:right w:w="57" w:type="dxa"/>
                  </w:tcMar>
                  <w:vAlign w:val="center"/>
                </w:tcPr>
                <w:p w14:paraId="7687EFD5">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2026.06.27</w:t>
                  </w:r>
                </w:p>
              </w:tc>
              <w:tc>
                <w:tcPr>
                  <w:tcW w:w="4416" w:type="dxa"/>
                  <w:noWrap w:val="0"/>
                  <w:tcMar>
                    <w:top w:w="0" w:type="dxa"/>
                    <w:left w:w="57" w:type="dxa"/>
                    <w:bottom w:w="0" w:type="dxa"/>
                    <w:right w:w="57" w:type="dxa"/>
                  </w:tcMar>
                  <w:vAlign w:val="center"/>
                </w:tcPr>
                <w:p w14:paraId="59B25AF8">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0.99</w:t>
                  </w:r>
                </w:p>
              </w:tc>
            </w:tr>
            <w:tr w14:paraId="125E3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4ADB2307">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4416" w:type="dxa"/>
                  <w:noWrap w:val="0"/>
                  <w:tcMar>
                    <w:top w:w="0" w:type="dxa"/>
                    <w:left w:w="57" w:type="dxa"/>
                    <w:bottom w:w="0" w:type="dxa"/>
                    <w:right w:w="57" w:type="dxa"/>
                  </w:tcMar>
                  <w:vAlign w:val="center"/>
                </w:tcPr>
                <w:p w14:paraId="2BA33A50">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0.93</w:t>
                  </w:r>
                </w:p>
              </w:tc>
            </w:tr>
            <w:tr w14:paraId="39BCD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6276991F">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4416" w:type="dxa"/>
                  <w:noWrap w:val="0"/>
                  <w:tcMar>
                    <w:top w:w="0" w:type="dxa"/>
                    <w:left w:w="57" w:type="dxa"/>
                    <w:bottom w:w="0" w:type="dxa"/>
                    <w:right w:w="57" w:type="dxa"/>
                  </w:tcMar>
                  <w:vAlign w:val="center"/>
                </w:tcPr>
                <w:p w14:paraId="73DFFE3F">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0.89</w:t>
                  </w:r>
                </w:p>
              </w:tc>
            </w:tr>
            <w:tr w14:paraId="6FDEF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4B85265C">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4416" w:type="dxa"/>
                  <w:noWrap w:val="0"/>
                  <w:tcMar>
                    <w:top w:w="0" w:type="dxa"/>
                    <w:left w:w="57" w:type="dxa"/>
                    <w:bottom w:w="0" w:type="dxa"/>
                    <w:right w:w="57" w:type="dxa"/>
                  </w:tcMar>
                  <w:vAlign w:val="center"/>
                </w:tcPr>
                <w:p w14:paraId="4EEC55B6">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0.86</w:t>
                  </w:r>
                </w:p>
              </w:tc>
            </w:tr>
            <w:tr w14:paraId="7A50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restart"/>
                  <w:noWrap w:val="0"/>
                  <w:tcMar>
                    <w:top w:w="0" w:type="dxa"/>
                    <w:left w:w="57" w:type="dxa"/>
                    <w:bottom w:w="0" w:type="dxa"/>
                    <w:right w:w="57" w:type="dxa"/>
                  </w:tcMar>
                  <w:vAlign w:val="center"/>
                </w:tcPr>
                <w:p w14:paraId="63C5E6B3">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8</w:t>
                  </w:r>
                </w:p>
              </w:tc>
              <w:tc>
                <w:tcPr>
                  <w:tcW w:w="4416" w:type="dxa"/>
                  <w:noWrap w:val="0"/>
                  <w:tcMar>
                    <w:top w:w="0" w:type="dxa"/>
                    <w:left w:w="57" w:type="dxa"/>
                    <w:bottom w:w="0" w:type="dxa"/>
                    <w:right w:w="57" w:type="dxa"/>
                  </w:tcMar>
                  <w:vAlign w:val="center"/>
                </w:tcPr>
                <w:p w14:paraId="1B799117">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0.78</w:t>
                  </w:r>
                </w:p>
              </w:tc>
            </w:tr>
            <w:tr w14:paraId="2492A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7267C12A">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4416" w:type="dxa"/>
                  <w:noWrap w:val="0"/>
                  <w:tcMar>
                    <w:top w:w="0" w:type="dxa"/>
                    <w:left w:w="57" w:type="dxa"/>
                    <w:bottom w:w="0" w:type="dxa"/>
                    <w:right w:w="57" w:type="dxa"/>
                  </w:tcMar>
                  <w:vAlign w:val="center"/>
                </w:tcPr>
                <w:p w14:paraId="6905C892">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0.87</w:t>
                  </w:r>
                </w:p>
              </w:tc>
            </w:tr>
            <w:tr w14:paraId="784A9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77FED189">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4416" w:type="dxa"/>
                  <w:noWrap w:val="0"/>
                  <w:tcMar>
                    <w:top w:w="0" w:type="dxa"/>
                    <w:left w:w="57" w:type="dxa"/>
                    <w:bottom w:w="0" w:type="dxa"/>
                    <w:right w:w="57" w:type="dxa"/>
                  </w:tcMar>
                  <w:vAlign w:val="center"/>
                </w:tcPr>
                <w:p w14:paraId="2B8C79AB">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0.75</w:t>
                  </w:r>
                </w:p>
              </w:tc>
            </w:tr>
            <w:tr w14:paraId="51A6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2A9E4DD2">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4416" w:type="dxa"/>
                  <w:noWrap w:val="0"/>
                  <w:tcMar>
                    <w:top w:w="0" w:type="dxa"/>
                    <w:left w:w="57" w:type="dxa"/>
                    <w:bottom w:w="0" w:type="dxa"/>
                    <w:right w:w="57" w:type="dxa"/>
                  </w:tcMar>
                  <w:vAlign w:val="center"/>
                </w:tcPr>
                <w:p w14:paraId="66856394">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0.70</w:t>
                  </w:r>
                </w:p>
              </w:tc>
            </w:tr>
            <w:tr w14:paraId="2AE62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pct"/>
                  <w:vMerge w:val="restart"/>
                  <w:noWrap w:val="0"/>
                  <w:tcMar>
                    <w:top w:w="0" w:type="dxa"/>
                    <w:left w:w="57" w:type="dxa"/>
                    <w:bottom w:w="0" w:type="dxa"/>
                    <w:right w:w="57" w:type="dxa"/>
                  </w:tcMar>
                  <w:vAlign w:val="center"/>
                </w:tcPr>
                <w:p w14:paraId="40421075">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9</w:t>
                  </w:r>
                </w:p>
              </w:tc>
              <w:tc>
                <w:tcPr>
                  <w:tcW w:w="4416" w:type="dxa"/>
                  <w:noWrap w:val="0"/>
                  <w:tcMar>
                    <w:top w:w="0" w:type="dxa"/>
                    <w:left w:w="57" w:type="dxa"/>
                    <w:bottom w:w="0" w:type="dxa"/>
                    <w:right w:w="57" w:type="dxa"/>
                  </w:tcMar>
                  <w:vAlign w:val="center"/>
                </w:tcPr>
                <w:p w14:paraId="48370E0A">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0.76</w:t>
                  </w:r>
                </w:p>
              </w:tc>
            </w:tr>
            <w:tr w14:paraId="2C1E6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pct"/>
                  <w:vMerge w:val="continue"/>
                  <w:noWrap w:val="0"/>
                  <w:tcMar>
                    <w:top w:w="0" w:type="dxa"/>
                    <w:left w:w="57" w:type="dxa"/>
                    <w:bottom w:w="0" w:type="dxa"/>
                    <w:right w:w="57" w:type="dxa"/>
                  </w:tcMar>
                  <w:vAlign w:val="center"/>
                </w:tcPr>
                <w:p w14:paraId="2E9F5392">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4416" w:type="dxa"/>
                  <w:noWrap w:val="0"/>
                  <w:tcMar>
                    <w:top w:w="0" w:type="dxa"/>
                    <w:left w:w="57" w:type="dxa"/>
                    <w:bottom w:w="0" w:type="dxa"/>
                    <w:right w:w="57" w:type="dxa"/>
                  </w:tcMar>
                  <w:vAlign w:val="center"/>
                </w:tcPr>
                <w:p w14:paraId="61BFC78A">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0.74</w:t>
                  </w:r>
                </w:p>
              </w:tc>
            </w:tr>
            <w:tr w14:paraId="0A54E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pct"/>
                  <w:vMerge w:val="continue"/>
                  <w:noWrap w:val="0"/>
                  <w:tcMar>
                    <w:top w:w="0" w:type="dxa"/>
                    <w:left w:w="57" w:type="dxa"/>
                    <w:bottom w:w="0" w:type="dxa"/>
                    <w:right w:w="57" w:type="dxa"/>
                  </w:tcMar>
                  <w:vAlign w:val="center"/>
                </w:tcPr>
                <w:p w14:paraId="06D0B733">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4416" w:type="dxa"/>
                  <w:noWrap w:val="0"/>
                  <w:tcMar>
                    <w:top w:w="0" w:type="dxa"/>
                    <w:left w:w="57" w:type="dxa"/>
                    <w:bottom w:w="0" w:type="dxa"/>
                    <w:right w:w="57" w:type="dxa"/>
                  </w:tcMar>
                  <w:vAlign w:val="center"/>
                </w:tcPr>
                <w:p w14:paraId="678BF570">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0.68</w:t>
                  </w:r>
                </w:p>
              </w:tc>
            </w:tr>
            <w:tr w14:paraId="52738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pct"/>
                  <w:vMerge w:val="continue"/>
                  <w:noWrap w:val="0"/>
                  <w:tcMar>
                    <w:top w:w="0" w:type="dxa"/>
                    <w:left w:w="57" w:type="dxa"/>
                    <w:bottom w:w="0" w:type="dxa"/>
                    <w:right w:w="57" w:type="dxa"/>
                  </w:tcMar>
                  <w:vAlign w:val="center"/>
                </w:tcPr>
                <w:p w14:paraId="1A1B0225">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4416" w:type="dxa"/>
                  <w:noWrap w:val="0"/>
                  <w:tcMar>
                    <w:top w:w="0" w:type="dxa"/>
                    <w:left w:w="57" w:type="dxa"/>
                    <w:bottom w:w="0" w:type="dxa"/>
                    <w:right w:w="57" w:type="dxa"/>
                  </w:tcMar>
                  <w:vAlign w:val="center"/>
                </w:tcPr>
                <w:p w14:paraId="68DB31FA">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0.64</w:t>
                  </w:r>
                </w:p>
              </w:tc>
            </w:tr>
            <w:tr w14:paraId="389D5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restart"/>
                  <w:noWrap w:val="0"/>
                  <w:tcMar>
                    <w:top w:w="0" w:type="dxa"/>
                    <w:left w:w="57" w:type="dxa"/>
                    <w:bottom w:w="0" w:type="dxa"/>
                    <w:right w:w="57" w:type="dxa"/>
                  </w:tcMar>
                  <w:vAlign w:val="center"/>
                </w:tcPr>
                <w:p w14:paraId="26C02C36">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30</w:t>
                  </w:r>
                </w:p>
              </w:tc>
              <w:tc>
                <w:tcPr>
                  <w:tcW w:w="4416" w:type="dxa"/>
                  <w:noWrap w:val="0"/>
                  <w:tcMar>
                    <w:top w:w="0" w:type="dxa"/>
                    <w:left w:w="57" w:type="dxa"/>
                    <w:bottom w:w="0" w:type="dxa"/>
                    <w:right w:w="57" w:type="dxa"/>
                  </w:tcMar>
                  <w:vAlign w:val="center"/>
                </w:tcPr>
                <w:p w14:paraId="4B08B4C1">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0.69</w:t>
                  </w:r>
                </w:p>
              </w:tc>
            </w:tr>
            <w:tr w14:paraId="53FF9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126A1B74">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4416" w:type="dxa"/>
                  <w:noWrap w:val="0"/>
                  <w:tcMar>
                    <w:top w:w="0" w:type="dxa"/>
                    <w:left w:w="57" w:type="dxa"/>
                    <w:bottom w:w="0" w:type="dxa"/>
                    <w:right w:w="57" w:type="dxa"/>
                  </w:tcMar>
                  <w:vAlign w:val="center"/>
                </w:tcPr>
                <w:p w14:paraId="776A4257">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0.62</w:t>
                  </w:r>
                </w:p>
              </w:tc>
            </w:tr>
            <w:tr w14:paraId="190B0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41089E6D">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4416" w:type="dxa"/>
                  <w:noWrap w:val="0"/>
                  <w:tcMar>
                    <w:top w:w="0" w:type="dxa"/>
                    <w:left w:w="57" w:type="dxa"/>
                    <w:bottom w:w="0" w:type="dxa"/>
                    <w:right w:w="57" w:type="dxa"/>
                  </w:tcMar>
                  <w:vAlign w:val="center"/>
                </w:tcPr>
                <w:p w14:paraId="13160EE4">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0.56</w:t>
                  </w:r>
                </w:p>
              </w:tc>
            </w:tr>
            <w:tr w14:paraId="4FAD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71EBAE1B">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4416" w:type="dxa"/>
                  <w:noWrap w:val="0"/>
                  <w:tcMar>
                    <w:top w:w="0" w:type="dxa"/>
                    <w:left w:w="57" w:type="dxa"/>
                    <w:bottom w:w="0" w:type="dxa"/>
                    <w:right w:w="57" w:type="dxa"/>
                  </w:tcMar>
                  <w:vAlign w:val="center"/>
                </w:tcPr>
                <w:p w14:paraId="36DE7626">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0.55</w:t>
                  </w:r>
                </w:p>
              </w:tc>
            </w:tr>
            <w:tr w14:paraId="372AC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restart"/>
                  <w:noWrap w:val="0"/>
                  <w:tcMar>
                    <w:top w:w="0" w:type="dxa"/>
                    <w:left w:w="57" w:type="dxa"/>
                    <w:bottom w:w="0" w:type="dxa"/>
                    <w:right w:w="57" w:type="dxa"/>
                  </w:tcMar>
                  <w:vAlign w:val="center"/>
                </w:tcPr>
                <w:p w14:paraId="28C5B50B">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2026.07.01</w:t>
                  </w:r>
                </w:p>
              </w:tc>
              <w:tc>
                <w:tcPr>
                  <w:tcW w:w="4416" w:type="dxa"/>
                  <w:noWrap w:val="0"/>
                  <w:tcMar>
                    <w:top w:w="0" w:type="dxa"/>
                    <w:left w:w="57" w:type="dxa"/>
                    <w:bottom w:w="0" w:type="dxa"/>
                    <w:right w:w="57" w:type="dxa"/>
                  </w:tcMar>
                  <w:vAlign w:val="center"/>
                </w:tcPr>
                <w:p w14:paraId="69CE26DB">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0.79</w:t>
                  </w:r>
                </w:p>
              </w:tc>
            </w:tr>
            <w:tr w14:paraId="2058A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041E7DD4">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4416" w:type="dxa"/>
                  <w:noWrap w:val="0"/>
                  <w:tcMar>
                    <w:top w:w="0" w:type="dxa"/>
                    <w:left w:w="57" w:type="dxa"/>
                    <w:bottom w:w="0" w:type="dxa"/>
                    <w:right w:w="57" w:type="dxa"/>
                  </w:tcMar>
                  <w:vAlign w:val="center"/>
                </w:tcPr>
                <w:p w14:paraId="1933D816">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0.83</w:t>
                  </w:r>
                </w:p>
              </w:tc>
            </w:tr>
            <w:tr w14:paraId="6EC61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5AE80233">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4416" w:type="dxa"/>
                  <w:noWrap w:val="0"/>
                  <w:tcMar>
                    <w:top w:w="0" w:type="dxa"/>
                    <w:left w:w="57" w:type="dxa"/>
                    <w:bottom w:w="0" w:type="dxa"/>
                    <w:right w:w="57" w:type="dxa"/>
                  </w:tcMar>
                  <w:vAlign w:val="center"/>
                </w:tcPr>
                <w:p w14:paraId="16D58BAC">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0.72</w:t>
                  </w:r>
                </w:p>
              </w:tc>
            </w:tr>
            <w:tr w14:paraId="1C2AF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125540F5">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4416" w:type="dxa"/>
                  <w:noWrap w:val="0"/>
                  <w:tcMar>
                    <w:top w:w="0" w:type="dxa"/>
                    <w:left w:w="57" w:type="dxa"/>
                    <w:bottom w:w="0" w:type="dxa"/>
                    <w:right w:w="57" w:type="dxa"/>
                  </w:tcMar>
                  <w:vAlign w:val="center"/>
                </w:tcPr>
                <w:p w14:paraId="26F31FEE">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0.74</w:t>
                  </w:r>
                </w:p>
              </w:tc>
            </w:tr>
            <w:tr w14:paraId="0F229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restart"/>
                  <w:noWrap w:val="0"/>
                  <w:tcMar>
                    <w:top w:w="0" w:type="dxa"/>
                    <w:left w:w="57" w:type="dxa"/>
                    <w:bottom w:w="0" w:type="dxa"/>
                    <w:right w:w="57" w:type="dxa"/>
                  </w:tcMar>
                  <w:vAlign w:val="center"/>
                </w:tcPr>
                <w:p w14:paraId="0E8F8985">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7</w:t>
                  </w: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02</w:t>
                  </w:r>
                </w:p>
              </w:tc>
              <w:tc>
                <w:tcPr>
                  <w:tcW w:w="4416" w:type="dxa"/>
                  <w:noWrap w:val="0"/>
                  <w:tcMar>
                    <w:top w:w="0" w:type="dxa"/>
                    <w:left w:w="57" w:type="dxa"/>
                    <w:bottom w:w="0" w:type="dxa"/>
                    <w:right w:w="57" w:type="dxa"/>
                  </w:tcMar>
                  <w:vAlign w:val="center"/>
                </w:tcPr>
                <w:p w14:paraId="016EF298">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0.86</w:t>
                  </w:r>
                </w:p>
              </w:tc>
            </w:tr>
            <w:tr w14:paraId="55D14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10B8DA1C">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4416" w:type="dxa"/>
                  <w:noWrap w:val="0"/>
                  <w:tcMar>
                    <w:top w:w="0" w:type="dxa"/>
                    <w:left w:w="57" w:type="dxa"/>
                    <w:bottom w:w="0" w:type="dxa"/>
                    <w:right w:w="57" w:type="dxa"/>
                  </w:tcMar>
                  <w:vAlign w:val="center"/>
                </w:tcPr>
                <w:p w14:paraId="6E5D355B">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0.83</w:t>
                  </w:r>
                </w:p>
              </w:tc>
            </w:tr>
            <w:tr w14:paraId="2F8BB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6F5E10EF">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4416" w:type="dxa"/>
                  <w:noWrap w:val="0"/>
                  <w:tcMar>
                    <w:top w:w="0" w:type="dxa"/>
                    <w:left w:w="57" w:type="dxa"/>
                    <w:bottom w:w="0" w:type="dxa"/>
                    <w:right w:w="57" w:type="dxa"/>
                  </w:tcMar>
                  <w:vAlign w:val="center"/>
                </w:tcPr>
                <w:p w14:paraId="3E3C8186">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0.71</w:t>
                  </w:r>
                </w:p>
              </w:tc>
            </w:tr>
            <w:tr w14:paraId="7C7D1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5B05A9FB">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4416" w:type="dxa"/>
                  <w:noWrap w:val="0"/>
                  <w:tcMar>
                    <w:top w:w="0" w:type="dxa"/>
                    <w:left w:w="57" w:type="dxa"/>
                    <w:bottom w:w="0" w:type="dxa"/>
                    <w:right w:w="57" w:type="dxa"/>
                  </w:tcMar>
                  <w:vAlign w:val="center"/>
                </w:tcPr>
                <w:p w14:paraId="2D4C7243">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0.80</w:t>
                  </w:r>
                </w:p>
              </w:tc>
            </w:tr>
            <w:tr w14:paraId="2685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pct"/>
                  <w:vMerge w:val="restart"/>
                  <w:noWrap w:val="0"/>
                  <w:tcMar>
                    <w:top w:w="0" w:type="dxa"/>
                    <w:left w:w="57" w:type="dxa"/>
                    <w:bottom w:w="0" w:type="dxa"/>
                    <w:right w:w="57" w:type="dxa"/>
                  </w:tcMar>
                  <w:vAlign w:val="center"/>
                </w:tcPr>
                <w:p w14:paraId="03D918FC">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7</w:t>
                  </w: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03</w:t>
                  </w:r>
                </w:p>
              </w:tc>
              <w:tc>
                <w:tcPr>
                  <w:tcW w:w="4416" w:type="dxa"/>
                  <w:noWrap w:val="0"/>
                  <w:tcMar>
                    <w:top w:w="0" w:type="dxa"/>
                    <w:left w:w="57" w:type="dxa"/>
                    <w:bottom w:w="0" w:type="dxa"/>
                    <w:right w:w="57" w:type="dxa"/>
                  </w:tcMar>
                  <w:vAlign w:val="center"/>
                </w:tcPr>
                <w:p w14:paraId="4C4EBCA4">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0.90</w:t>
                  </w:r>
                </w:p>
              </w:tc>
            </w:tr>
            <w:tr w14:paraId="7EA8D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pct"/>
                  <w:vMerge w:val="continue"/>
                  <w:noWrap w:val="0"/>
                  <w:tcMar>
                    <w:top w:w="0" w:type="dxa"/>
                    <w:left w:w="57" w:type="dxa"/>
                    <w:bottom w:w="0" w:type="dxa"/>
                    <w:right w:w="57" w:type="dxa"/>
                  </w:tcMar>
                  <w:vAlign w:val="center"/>
                </w:tcPr>
                <w:p w14:paraId="455B352C">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4416" w:type="dxa"/>
                  <w:noWrap w:val="0"/>
                  <w:tcMar>
                    <w:top w:w="0" w:type="dxa"/>
                    <w:left w:w="57" w:type="dxa"/>
                    <w:bottom w:w="0" w:type="dxa"/>
                    <w:right w:w="57" w:type="dxa"/>
                  </w:tcMar>
                  <w:vAlign w:val="center"/>
                </w:tcPr>
                <w:p w14:paraId="071C7CDA">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0.84</w:t>
                  </w:r>
                </w:p>
              </w:tc>
            </w:tr>
            <w:tr w14:paraId="5DD80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pct"/>
                  <w:vMerge w:val="continue"/>
                  <w:noWrap w:val="0"/>
                  <w:tcMar>
                    <w:top w:w="0" w:type="dxa"/>
                    <w:left w:w="57" w:type="dxa"/>
                    <w:bottom w:w="0" w:type="dxa"/>
                    <w:right w:w="57" w:type="dxa"/>
                  </w:tcMar>
                  <w:vAlign w:val="center"/>
                </w:tcPr>
                <w:p w14:paraId="11394AE6">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4416" w:type="dxa"/>
                  <w:noWrap w:val="0"/>
                  <w:tcMar>
                    <w:top w:w="0" w:type="dxa"/>
                    <w:left w:w="57" w:type="dxa"/>
                    <w:bottom w:w="0" w:type="dxa"/>
                    <w:right w:w="57" w:type="dxa"/>
                  </w:tcMar>
                  <w:vAlign w:val="center"/>
                </w:tcPr>
                <w:p w14:paraId="11ED318D">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0.88</w:t>
                  </w:r>
                </w:p>
              </w:tc>
            </w:tr>
            <w:tr w14:paraId="3377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pct"/>
                  <w:vMerge w:val="continue"/>
                  <w:noWrap w:val="0"/>
                  <w:tcMar>
                    <w:top w:w="0" w:type="dxa"/>
                    <w:left w:w="57" w:type="dxa"/>
                    <w:bottom w:w="0" w:type="dxa"/>
                    <w:right w:w="57" w:type="dxa"/>
                  </w:tcMar>
                  <w:vAlign w:val="center"/>
                </w:tcPr>
                <w:p w14:paraId="665A8C92">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4416" w:type="dxa"/>
                  <w:noWrap w:val="0"/>
                  <w:tcMar>
                    <w:top w:w="0" w:type="dxa"/>
                    <w:left w:w="57" w:type="dxa"/>
                    <w:bottom w:w="0" w:type="dxa"/>
                    <w:right w:w="57" w:type="dxa"/>
                  </w:tcMar>
                  <w:vAlign w:val="center"/>
                </w:tcPr>
                <w:p w14:paraId="6A6D828B">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0.72</w:t>
                  </w:r>
                </w:p>
              </w:tc>
            </w:tr>
            <w:tr w14:paraId="34DC6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pct"/>
                  <w:noWrap w:val="0"/>
                  <w:tcMar>
                    <w:top w:w="0" w:type="dxa"/>
                    <w:left w:w="57" w:type="dxa"/>
                    <w:bottom w:w="0" w:type="dxa"/>
                    <w:right w:w="57" w:type="dxa"/>
                  </w:tcMar>
                  <w:vAlign w:val="center"/>
                </w:tcPr>
                <w:p w14:paraId="77963C92">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标准值</w:t>
                  </w:r>
                </w:p>
              </w:tc>
              <w:tc>
                <w:tcPr>
                  <w:tcW w:w="2732" w:type="pct"/>
                  <w:noWrap w:val="0"/>
                  <w:tcMar>
                    <w:top w:w="0" w:type="dxa"/>
                    <w:left w:w="57" w:type="dxa"/>
                    <w:bottom w:w="0" w:type="dxa"/>
                    <w:right w:w="57" w:type="dxa"/>
                  </w:tcMar>
                  <w:vAlign w:val="center"/>
                </w:tcPr>
                <w:p w14:paraId="06194081">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2.00</w:t>
                  </w:r>
                </w:p>
              </w:tc>
            </w:tr>
            <w:tr w14:paraId="0DD05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jc w:val="center"/>
              </w:trPr>
              <w:tc>
                <w:tcPr>
                  <w:tcW w:w="2267" w:type="pct"/>
                  <w:noWrap w:val="0"/>
                  <w:tcMar>
                    <w:top w:w="0" w:type="dxa"/>
                    <w:left w:w="57" w:type="dxa"/>
                    <w:bottom w:w="0" w:type="dxa"/>
                    <w:right w:w="57" w:type="dxa"/>
                  </w:tcMar>
                  <w:vAlign w:val="center"/>
                </w:tcPr>
                <w:p w14:paraId="588DBEE5">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达标情况</w:t>
                  </w:r>
                </w:p>
              </w:tc>
              <w:tc>
                <w:tcPr>
                  <w:tcW w:w="2732" w:type="pct"/>
                  <w:noWrap w:val="0"/>
                  <w:tcMar>
                    <w:top w:w="0" w:type="dxa"/>
                    <w:left w:w="57" w:type="dxa"/>
                    <w:bottom w:w="0" w:type="dxa"/>
                    <w:right w:w="57" w:type="dxa"/>
                  </w:tcMar>
                  <w:vAlign w:val="center"/>
                </w:tcPr>
                <w:p w14:paraId="3ACE806A">
                  <w:pPr>
                    <w:widowControl/>
                    <w:jc w:val="center"/>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达标</w:t>
                  </w:r>
                </w:p>
              </w:tc>
            </w:tr>
          </w:tbl>
          <w:p w14:paraId="22A4317A">
            <w:pPr>
              <w:widowControl/>
              <w:spacing w:line="240" w:lineRule="auto"/>
              <w:jc w:val="center"/>
              <w:rPr>
                <w:rFonts w:ascii="宋体" w:hAnsi="Courier New" w:eastAsia="宋体" w:cs="Courier New"/>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表</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3-</w:t>
            </w:r>
            <w:r>
              <w:rPr>
                <w:rFonts w:hint="eastAsia" w:cs="Times New Roman"/>
                <w:b/>
                <w:color w:val="000000" w:themeColor="text1"/>
                <w:kern w:val="2"/>
                <w:sz w:val="21"/>
                <w:szCs w:val="21"/>
                <w:lang w:val="en-US" w:eastAsia="zh-CN" w:bidi="ar-SA"/>
                <w14:textFill>
                  <w14:solidFill>
                    <w14:schemeClr w14:val="tx1"/>
                  </w14:solidFill>
                </w14:textFill>
              </w:rPr>
              <w:t>10</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甲醛 1小时均值监测结果统计表</w:t>
            </w:r>
          </w:p>
          <w:tbl>
            <w:tblPr>
              <w:tblStyle w:val="31"/>
              <w:tblW w:w="49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54"/>
              <w:gridCol w:w="4405"/>
            </w:tblGrid>
            <w:tr w14:paraId="32DAB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restart"/>
                  <w:noWrap w:val="0"/>
                  <w:tcMar>
                    <w:top w:w="0" w:type="dxa"/>
                    <w:left w:w="57" w:type="dxa"/>
                    <w:bottom w:w="0" w:type="dxa"/>
                    <w:right w:w="57" w:type="dxa"/>
                  </w:tcMar>
                  <w:vAlign w:val="center"/>
                </w:tcPr>
                <w:p w14:paraId="7C294095">
                  <w:pPr>
                    <w:widowControl/>
                    <w:spacing w:line="380" w:lineRule="exact"/>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监测时间</w:t>
                  </w:r>
                </w:p>
              </w:tc>
              <w:tc>
                <w:tcPr>
                  <w:tcW w:w="2732" w:type="pct"/>
                  <w:noWrap w:val="0"/>
                  <w:tcMar>
                    <w:top w:w="0" w:type="dxa"/>
                    <w:left w:w="57" w:type="dxa"/>
                    <w:bottom w:w="0" w:type="dxa"/>
                    <w:right w:w="57" w:type="dxa"/>
                  </w:tcMar>
                  <w:vAlign w:val="center"/>
                </w:tcPr>
                <w:p w14:paraId="51A6815C">
                  <w:pPr>
                    <w:widowControl w:val="0"/>
                    <w:jc w:val="center"/>
                    <w:rPr>
                      <w:rFonts w:ascii="Times New Roman" w:hAnsi="Times New Roman" w:eastAsia="宋体" w:cs="Times New Roman"/>
                      <w:b/>
                      <w:bCs/>
                      <w:color w:val="000000" w:themeColor="text1"/>
                      <w:kern w:val="2"/>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采样点位及监测结果（</w:t>
                  </w:r>
                  <w:r>
                    <w:rPr>
                      <w:rFonts w:hint="eastAsia" w:cs="Times New Roman"/>
                      <w:b/>
                      <w:bCs/>
                      <w:color w:val="000000" w:themeColor="text1"/>
                      <w:kern w:val="0"/>
                      <w:sz w:val="21"/>
                      <w:szCs w:val="21"/>
                      <w:lang w:val="en-US" w:eastAsia="zh-CN"/>
                      <w14:textFill>
                        <w14:solidFill>
                          <w14:schemeClr w14:val="tx1"/>
                        </w14:solidFill>
                      </w14:textFill>
                    </w:rPr>
                    <w:t>m</w:t>
                  </w:r>
                  <w:r>
                    <w:rPr>
                      <w:rFonts w:ascii="Times New Roman" w:hAnsi="Times New Roman" w:eastAsia="宋体" w:cs="Times New Roman"/>
                      <w:b/>
                      <w:bCs/>
                      <w:color w:val="000000" w:themeColor="text1"/>
                      <w:kern w:val="0"/>
                      <w:sz w:val="21"/>
                      <w:szCs w:val="21"/>
                      <w14:textFill>
                        <w14:solidFill>
                          <w14:schemeClr w14:val="tx1"/>
                        </w14:solidFill>
                      </w14:textFill>
                    </w:rPr>
                    <w:t>g/m</w:t>
                  </w:r>
                  <w:r>
                    <w:rPr>
                      <w:rFonts w:ascii="Times New Roman" w:hAnsi="Times New Roman" w:eastAsia="宋体" w:cs="Times New Roman"/>
                      <w:b/>
                      <w:bCs/>
                      <w:color w:val="000000" w:themeColor="text1"/>
                      <w:kern w:val="0"/>
                      <w:sz w:val="21"/>
                      <w:szCs w:val="21"/>
                      <w:vertAlign w:val="superscript"/>
                      <w14:textFill>
                        <w14:solidFill>
                          <w14:schemeClr w14:val="tx1"/>
                        </w14:solidFill>
                      </w14:textFill>
                    </w:rPr>
                    <w:t>3</w:t>
                  </w:r>
                  <w:r>
                    <w:rPr>
                      <w:rFonts w:ascii="Times New Roman" w:hAnsi="Times New Roman" w:eastAsia="宋体" w:cs="Times New Roman"/>
                      <w:b/>
                      <w:bCs/>
                      <w:color w:val="000000" w:themeColor="text1"/>
                      <w:kern w:val="0"/>
                      <w:sz w:val="21"/>
                      <w:szCs w:val="21"/>
                      <w14:textFill>
                        <w14:solidFill>
                          <w14:schemeClr w14:val="tx1"/>
                        </w14:solidFill>
                      </w14:textFill>
                    </w:rPr>
                    <w:t>）</w:t>
                  </w:r>
                </w:p>
              </w:tc>
            </w:tr>
            <w:tr w14:paraId="40212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pct"/>
                  <w:vMerge w:val="continue"/>
                  <w:noWrap w:val="0"/>
                  <w:tcMar>
                    <w:top w:w="0" w:type="dxa"/>
                    <w:left w:w="57" w:type="dxa"/>
                    <w:bottom w:w="0" w:type="dxa"/>
                    <w:right w:w="57" w:type="dxa"/>
                  </w:tcMar>
                  <w:vAlign w:val="center"/>
                </w:tcPr>
                <w:p w14:paraId="14A8FAD4">
                  <w:pPr>
                    <w:widowControl/>
                    <w:spacing w:line="380" w:lineRule="exact"/>
                    <w:jc w:val="center"/>
                    <w:rPr>
                      <w:rFonts w:ascii="Times New Roman" w:hAnsi="Times New Roman" w:eastAsia="宋体" w:cs="Times New Roman"/>
                      <w:b/>
                      <w:bCs/>
                      <w:color w:val="000000" w:themeColor="text1"/>
                      <w:kern w:val="0"/>
                      <w:sz w:val="21"/>
                      <w:szCs w:val="21"/>
                      <w14:textFill>
                        <w14:solidFill>
                          <w14:schemeClr w14:val="tx1"/>
                        </w14:solidFill>
                      </w14:textFill>
                    </w:rPr>
                  </w:pPr>
                </w:p>
              </w:tc>
              <w:tc>
                <w:tcPr>
                  <w:tcW w:w="2732" w:type="pct"/>
                  <w:noWrap w:val="0"/>
                  <w:tcMar>
                    <w:top w:w="0" w:type="dxa"/>
                    <w:left w:w="57" w:type="dxa"/>
                    <w:bottom w:w="0" w:type="dxa"/>
                    <w:right w:w="57" w:type="dxa"/>
                  </w:tcMar>
                  <w:vAlign w:val="center"/>
                </w:tcPr>
                <w:p w14:paraId="339A5072">
                  <w:pPr>
                    <w:widowControl/>
                    <w:spacing w:line="380" w:lineRule="exact"/>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厂界下风向村东（</w:t>
                  </w: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12</w:t>
                  </w:r>
                  <w:r>
                    <w:rPr>
                      <w:rFonts w:ascii="Times New Roman" w:hAnsi="Times New Roman" w:eastAsia="宋体" w:cs="Times New Roman"/>
                      <w:b/>
                      <w:bCs/>
                      <w:color w:val="000000" w:themeColor="text1"/>
                      <w:kern w:val="0"/>
                      <w:sz w:val="21"/>
                      <w:szCs w:val="21"/>
                      <w14:textFill>
                        <w14:solidFill>
                          <w14:schemeClr w14:val="tx1"/>
                        </w14:solidFill>
                      </w14:textFill>
                    </w:rPr>
                    <w:t>00m）</w:t>
                  </w:r>
                </w:p>
              </w:tc>
            </w:tr>
            <w:tr w14:paraId="74209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restart"/>
                  <w:noWrap w:val="0"/>
                  <w:tcMar>
                    <w:top w:w="0" w:type="dxa"/>
                    <w:left w:w="57" w:type="dxa"/>
                    <w:bottom w:w="0" w:type="dxa"/>
                    <w:right w:w="57" w:type="dxa"/>
                  </w:tcMar>
                  <w:vAlign w:val="center"/>
                </w:tcPr>
                <w:p w14:paraId="507954C1">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kern w:val="2"/>
                      <w:sz w:val="21"/>
                      <w:szCs w:val="21"/>
                      <w:vertAlign w:val="baseline"/>
                      <w:lang w:val="en-US" w:eastAsia="zh-CN" w:bidi="ar-SA"/>
                      <w14:textFill>
                        <w14:solidFill>
                          <w14:schemeClr w14:val="tx1"/>
                        </w14:solidFill>
                      </w14:textFill>
                    </w:rPr>
                    <w:t>2026.06.27</w:t>
                  </w:r>
                </w:p>
              </w:tc>
              <w:tc>
                <w:tcPr>
                  <w:tcW w:w="2732" w:type="pct"/>
                  <w:noWrap w:val="0"/>
                  <w:tcMar>
                    <w:top w:w="0" w:type="dxa"/>
                    <w:left w:w="57" w:type="dxa"/>
                    <w:bottom w:w="0" w:type="dxa"/>
                    <w:right w:w="57" w:type="dxa"/>
                  </w:tcMar>
                  <w:vAlign w:val="center"/>
                </w:tcPr>
                <w:p w14:paraId="7D4E3837">
                  <w:pPr>
                    <w:widowControl/>
                    <w:jc w:val="center"/>
                    <w:textAlignment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7DB85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02751FD5">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2732" w:type="pct"/>
                  <w:noWrap w:val="0"/>
                  <w:tcMar>
                    <w:top w:w="0" w:type="dxa"/>
                    <w:left w:w="57" w:type="dxa"/>
                    <w:bottom w:w="0" w:type="dxa"/>
                    <w:right w:w="57" w:type="dxa"/>
                  </w:tcMar>
                  <w:vAlign w:val="center"/>
                </w:tcPr>
                <w:p w14:paraId="1E1D4D7C">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03887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668C8E19">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2732" w:type="pct"/>
                  <w:shd w:val="clear" w:color="auto" w:fill="auto"/>
                  <w:noWrap w:val="0"/>
                  <w:tcMar>
                    <w:top w:w="0" w:type="dxa"/>
                    <w:left w:w="57" w:type="dxa"/>
                    <w:bottom w:w="0" w:type="dxa"/>
                    <w:right w:w="57" w:type="dxa"/>
                  </w:tcMar>
                  <w:vAlign w:val="center"/>
                </w:tcPr>
                <w:p w14:paraId="7CC15793">
                  <w:pPr>
                    <w:widowControl/>
                    <w:jc w:val="center"/>
                    <w:textAlignment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0EB1F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56785A4D">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2732" w:type="pct"/>
                  <w:shd w:val="clear" w:color="auto" w:fill="auto"/>
                  <w:noWrap w:val="0"/>
                  <w:tcMar>
                    <w:top w:w="0" w:type="dxa"/>
                    <w:left w:w="57" w:type="dxa"/>
                    <w:bottom w:w="0" w:type="dxa"/>
                    <w:right w:w="57" w:type="dxa"/>
                  </w:tcMar>
                  <w:vAlign w:val="center"/>
                </w:tcPr>
                <w:p w14:paraId="5E82A756">
                  <w:pPr>
                    <w:widowControl/>
                    <w:jc w:val="center"/>
                    <w:textAlignment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62BA9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restart"/>
                  <w:noWrap w:val="0"/>
                  <w:tcMar>
                    <w:top w:w="0" w:type="dxa"/>
                    <w:left w:w="57" w:type="dxa"/>
                    <w:bottom w:w="0" w:type="dxa"/>
                    <w:right w:w="57" w:type="dxa"/>
                  </w:tcMar>
                  <w:vAlign w:val="center"/>
                </w:tcPr>
                <w:p w14:paraId="4519E28D">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8</w:t>
                  </w:r>
                </w:p>
              </w:tc>
              <w:tc>
                <w:tcPr>
                  <w:tcW w:w="2732" w:type="pct"/>
                  <w:shd w:val="clear" w:color="auto" w:fill="auto"/>
                  <w:noWrap w:val="0"/>
                  <w:tcMar>
                    <w:top w:w="0" w:type="dxa"/>
                    <w:left w:w="57" w:type="dxa"/>
                    <w:bottom w:w="0" w:type="dxa"/>
                    <w:right w:w="57" w:type="dxa"/>
                  </w:tcMar>
                  <w:vAlign w:val="center"/>
                </w:tcPr>
                <w:p w14:paraId="4D4817F0">
                  <w:pPr>
                    <w:widowControl/>
                    <w:jc w:val="center"/>
                    <w:textAlignment w:val="center"/>
                    <w:rPr>
                      <w:rFonts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177C6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0523DEAC">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732" w:type="pct"/>
                  <w:noWrap w:val="0"/>
                  <w:tcMar>
                    <w:top w:w="0" w:type="dxa"/>
                    <w:left w:w="57" w:type="dxa"/>
                    <w:bottom w:w="0" w:type="dxa"/>
                    <w:right w:w="57" w:type="dxa"/>
                  </w:tcMar>
                  <w:vAlign w:val="center"/>
                </w:tcPr>
                <w:p w14:paraId="243163F8">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243B3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059F02D2">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732" w:type="pct"/>
                  <w:noWrap w:val="0"/>
                  <w:tcMar>
                    <w:top w:w="0" w:type="dxa"/>
                    <w:left w:w="57" w:type="dxa"/>
                    <w:bottom w:w="0" w:type="dxa"/>
                    <w:right w:w="57" w:type="dxa"/>
                  </w:tcMar>
                  <w:vAlign w:val="center"/>
                </w:tcPr>
                <w:p w14:paraId="4B512CE8">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03083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2CEF7CC7">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732" w:type="pct"/>
                  <w:noWrap w:val="0"/>
                  <w:tcMar>
                    <w:top w:w="0" w:type="dxa"/>
                    <w:left w:w="57" w:type="dxa"/>
                    <w:bottom w:w="0" w:type="dxa"/>
                    <w:right w:w="57" w:type="dxa"/>
                  </w:tcMar>
                  <w:vAlign w:val="center"/>
                </w:tcPr>
                <w:p w14:paraId="258A110F">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07F20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pct"/>
                  <w:vMerge w:val="restart"/>
                  <w:noWrap w:val="0"/>
                  <w:tcMar>
                    <w:top w:w="0" w:type="dxa"/>
                    <w:left w:w="57" w:type="dxa"/>
                    <w:bottom w:w="0" w:type="dxa"/>
                    <w:right w:w="57" w:type="dxa"/>
                  </w:tcMar>
                  <w:vAlign w:val="center"/>
                </w:tcPr>
                <w:p w14:paraId="3A605EB9">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9</w:t>
                  </w:r>
                </w:p>
              </w:tc>
              <w:tc>
                <w:tcPr>
                  <w:tcW w:w="2732" w:type="pct"/>
                  <w:noWrap w:val="0"/>
                  <w:tcMar>
                    <w:top w:w="0" w:type="dxa"/>
                    <w:left w:w="57" w:type="dxa"/>
                    <w:bottom w:w="0" w:type="dxa"/>
                    <w:right w:w="57" w:type="dxa"/>
                  </w:tcMar>
                  <w:vAlign w:val="center"/>
                </w:tcPr>
                <w:p w14:paraId="1408533D">
                  <w:pPr>
                    <w:widowControl/>
                    <w:jc w:val="center"/>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26595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pct"/>
                  <w:vMerge w:val="continue"/>
                  <w:noWrap w:val="0"/>
                  <w:tcMar>
                    <w:top w:w="0" w:type="dxa"/>
                    <w:left w:w="57" w:type="dxa"/>
                    <w:bottom w:w="0" w:type="dxa"/>
                    <w:right w:w="57" w:type="dxa"/>
                  </w:tcMar>
                  <w:vAlign w:val="center"/>
                </w:tcPr>
                <w:p w14:paraId="532CD161">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732" w:type="pct"/>
                  <w:noWrap w:val="0"/>
                  <w:tcMar>
                    <w:top w:w="0" w:type="dxa"/>
                    <w:left w:w="57" w:type="dxa"/>
                    <w:bottom w:w="0" w:type="dxa"/>
                    <w:right w:w="57" w:type="dxa"/>
                  </w:tcMar>
                  <w:vAlign w:val="center"/>
                </w:tcPr>
                <w:p w14:paraId="3E1212FD">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7A709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pct"/>
                  <w:vMerge w:val="continue"/>
                  <w:noWrap w:val="0"/>
                  <w:tcMar>
                    <w:top w:w="0" w:type="dxa"/>
                    <w:left w:w="57" w:type="dxa"/>
                    <w:bottom w:w="0" w:type="dxa"/>
                    <w:right w:w="57" w:type="dxa"/>
                  </w:tcMar>
                  <w:vAlign w:val="center"/>
                </w:tcPr>
                <w:p w14:paraId="38CEDB7A">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732" w:type="pct"/>
                  <w:noWrap w:val="0"/>
                  <w:tcMar>
                    <w:top w:w="0" w:type="dxa"/>
                    <w:left w:w="57" w:type="dxa"/>
                    <w:bottom w:w="0" w:type="dxa"/>
                    <w:right w:w="57" w:type="dxa"/>
                  </w:tcMar>
                  <w:vAlign w:val="center"/>
                </w:tcPr>
                <w:p w14:paraId="0F44FE98">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282E9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pct"/>
                  <w:vMerge w:val="continue"/>
                  <w:noWrap w:val="0"/>
                  <w:tcMar>
                    <w:top w:w="0" w:type="dxa"/>
                    <w:left w:w="57" w:type="dxa"/>
                    <w:bottom w:w="0" w:type="dxa"/>
                    <w:right w:w="57" w:type="dxa"/>
                  </w:tcMar>
                  <w:vAlign w:val="center"/>
                </w:tcPr>
                <w:p w14:paraId="60EACE61">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732" w:type="pct"/>
                  <w:noWrap w:val="0"/>
                  <w:tcMar>
                    <w:top w:w="0" w:type="dxa"/>
                    <w:left w:w="57" w:type="dxa"/>
                    <w:bottom w:w="0" w:type="dxa"/>
                    <w:right w:w="57" w:type="dxa"/>
                  </w:tcMar>
                  <w:vAlign w:val="center"/>
                </w:tcPr>
                <w:p w14:paraId="2D55DBDE">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010FA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restart"/>
                  <w:noWrap w:val="0"/>
                  <w:tcMar>
                    <w:top w:w="0" w:type="dxa"/>
                    <w:left w:w="57" w:type="dxa"/>
                    <w:bottom w:w="0" w:type="dxa"/>
                    <w:right w:w="57" w:type="dxa"/>
                  </w:tcMar>
                  <w:vAlign w:val="center"/>
                </w:tcPr>
                <w:p w14:paraId="3E247DA0">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30</w:t>
                  </w:r>
                </w:p>
              </w:tc>
              <w:tc>
                <w:tcPr>
                  <w:tcW w:w="2732" w:type="pct"/>
                  <w:noWrap w:val="0"/>
                  <w:tcMar>
                    <w:top w:w="0" w:type="dxa"/>
                    <w:left w:w="57" w:type="dxa"/>
                    <w:bottom w:w="0" w:type="dxa"/>
                    <w:right w:w="57" w:type="dxa"/>
                  </w:tcMar>
                  <w:vAlign w:val="center"/>
                </w:tcPr>
                <w:p w14:paraId="1702AAC4">
                  <w:pPr>
                    <w:widowControl/>
                    <w:jc w:val="center"/>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5D583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06A1E5EB">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732" w:type="pct"/>
                  <w:noWrap w:val="0"/>
                  <w:tcMar>
                    <w:top w:w="0" w:type="dxa"/>
                    <w:left w:w="57" w:type="dxa"/>
                    <w:bottom w:w="0" w:type="dxa"/>
                    <w:right w:w="57" w:type="dxa"/>
                  </w:tcMar>
                  <w:vAlign w:val="center"/>
                </w:tcPr>
                <w:p w14:paraId="517EDDBC">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4BD6A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2BEBC621">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732" w:type="pct"/>
                  <w:noWrap w:val="0"/>
                  <w:tcMar>
                    <w:top w:w="0" w:type="dxa"/>
                    <w:left w:w="57" w:type="dxa"/>
                    <w:bottom w:w="0" w:type="dxa"/>
                    <w:right w:w="57" w:type="dxa"/>
                  </w:tcMar>
                  <w:vAlign w:val="center"/>
                </w:tcPr>
                <w:p w14:paraId="004A5FAC">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66D8E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3464B696">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732" w:type="pct"/>
                  <w:noWrap w:val="0"/>
                  <w:tcMar>
                    <w:top w:w="0" w:type="dxa"/>
                    <w:left w:w="57" w:type="dxa"/>
                    <w:bottom w:w="0" w:type="dxa"/>
                    <w:right w:w="57" w:type="dxa"/>
                  </w:tcMar>
                  <w:vAlign w:val="center"/>
                </w:tcPr>
                <w:p w14:paraId="633A312C">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6A713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restart"/>
                  <w:noWrap w:val="0"/>
                  <w:tcMar>
                    <w:top w:w="0" w:type="dxa"/>
                    <w:left w:w="57" w:type="dxa"/>
                    <w:bottom w:w="0" w:type="dxa"/>
                    <w:right w:w="57" w:type="dxa"/>
                  </w:tcMar>
                  <w:vAlign w:val="center"/>
                </w:tcPr>
                <w:p w14:paraId="77CBFCD3">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2026.07.01</w:t>
                  </w:r>
                </w:p>
              </w:tc>
              <w:tc>
                <w:tcPr>
                  <w:tcW w:w="2732" w:type="pct"/>
                  <w:noWrap w:val="0"/>
                  <w:tcMar>
                    <w:top w:w="0" w:type="dxa"/>
                    <w:left w:w="57" w:type="dxa"/>
                    <w:bottom w:w="0" w:type="dxa"/>
                    <w:right w:w="57" w:type="dxa"/>
                  </w:tcMar>
                  <w:vAlign w:val="center"/>
                </w:tcPr>
                <w:p w14:paraId="484DBACE">
                  <w:pPr>
                    <w:widowControl/>
                    <w:jc w:val="center"/>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7456B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40FD9CF8">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732" w:type="pct"/>
                  <w:noWrap w:val="0"/>
                  <w:tcMar>
                    <w:top w:w="0" w:type="dxa"/>
                    <w:left w:w="57" w:type="dxa"/>
                    <w:bottom w:w="0" w:type="dxa"/>
                    <w:right w:w="57" w:type="dxa"/>
                  </w:tcMar>
                  <w:vAlign w:val="center"/>
                </w:tcPr>
                <w:p w14:paraId="77FD56D4">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0ED7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25839646">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732" w:type="pct"/>
                  <w:noWrap w:val="0"/>
                  <w:tcMar>
                    <w:top w:w="0" w:type="dxa"/>
                    <w:left w:w="57" w:type="dxa"/>
                    <w:bottom w:w="0" w:type="dxa"/>
                    <w:right w:w="57" w:type="dxa"/>
                  </w:tcMar>
                  <w:vAlign w:val="center"/>
                </w:tcPr>
                <w:p w14:paraId="753449A0">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52664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37234226">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732" w:type="pct"/>
                  <w:noWrap w:val="0"/>
                  <w:tcMar>
                    <w:top w:w="0" w:type="dxa"/>
                    <w:left w:w="57" w:type="dxa"/>
                    <w:bottom w:w="0" w:type="dxa"/>
                    <w:right w:w="57" w:type="dxa"/>
                  </w:tcMar>
                  <w:vAlign w:val="center"/>
                </w:tcPr>
                <w:p w14:paraId="1133D72B">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4EC48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restart"/>
                  <w:noWrap w:val="0"/>
                  <w:tcMar>
                    <w:top w:w="0" w:type="dxa"/>
                    <w:left w:w="57" w:type="dxa"/>
                    <w:bottom w:w="0" w:type="dxa"/>
                    <w:right w:w="57" w:type="dxa"/>
                  </w:tcMar>
                  <w:vAlign w:val="center"/>
                </w:tcPr>
                <w:p w14:paraId="4BF8605A">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7</w:t>
                  </w: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02</w:t>
                  </w:r>
                </w:p>
              </w:tc>
              <w:tc>
                <w:tcPr>
                  <w:tcW w:w="2732" w:type="pct"/>
                  <w:noWrap w:val="0"/>
                  <w:tcMar>
                    <w:top w:w="0" w:type="dxa"/>
                    <w:left w:w="57" w:type="dxa"/>
                    <w:bottom w:w="0" w:type="dxa"/>
                    <w:right w:w="57" w:type="dxa"/>
                  </w:tcMar>
                  <w:vAlign w:val="center"/>
                </w:tcPr>
                <w:p w14:paraId="292987DF">
                  <w:pPr>
                    <w:widowControl/>
                    <w:jc w:val="center"/>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7E3CD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43803888">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732" w:type="pct"/>
                  <w:noWrap w:val="0"/>
                  <w:tcMar>
                    <w:top w:w="0" w:type="dxa"/>
                    <w:left w:w="57" w:type="dxa"/>
                    <w:bottom w:w="0" w:type="dxa"/>
                    <w:right w:w="57" w:type="dxa"/>
                  </w:tcMar>
                  <w:vAlign w:val="center"/>
                </w:tcPr>
                <w:p w14:paraId="4F01EED2">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65AE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568E15D5">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732" w:type="pct"/>
                  <w:noWrap w:val="0"/>
                  <w:tcMar>
                    <w:top w:w="0" w:type="dxa"/>
                    <w:left w:w="57" w:type="dxa"/>
                    <w:bottom w:w="0" w:type="dxa"/>
                    <w:right w:w="57" w:type="dxa"/>
                  </w:tcMar>
                  <w:vAlign w:val="center"/>
                </w:tcPr>
                <w:p w14:paraId="38292B60">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3BC2E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pct"/>
                  <w:vMerge w:val="continue"/>
                  <w:noWrap w:val="0"/>
                  <w:tcMar>
                    <w:top w:w="0" w:type="dxa"/>
                    <w:left w:w="57" w:type="dxa"/>
                    <w:bottom w:w="0" w:type="dxa"/>
                    <w:right w:w="57" w:type="dxa"/>
                  </w:tcMar>
                  <w:vAlign w:val="center"/>
                </w:tcPr>
                <w:p w14:paraId="219C7164">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732" w:type="pct"/>
                  <w:noWrap w:val="0"/>
                  <w:tcMar>
                    <w:top w:w="0" w:type="dxa"/>
                    <w:left w:w="57" w:type="dxa"/>
                    <w:bottom w:w="0" w:type="dxa"/>
                    <w:right w:w="57" w:type="dxa"/>
                  </w:tcMar>
                  <w:vAlign w:val="center"/>
                </w:tcPr>
                <w:p w14:paraId="7304D62C">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6F1F8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pct"/>
                  <w:vMerge w:val="restart"/>
                  <w:noWrap w:val="0"/>
                  <w:tcMar>
                    <w:top w:w="0" w:type="dxa"/>
                    <w:left w:w="57" w:type="dxa"/>
                    <w:bottom w:w="0" w:type="dxa"/>
                    <w:right w:w="57" w:type="dxa"/>
                  </w:tcMar>
                  <w:vAlign w:val="center"/>
                </w:tcPr>
                <w:p w14:paraId="2F737B6D">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7</w:t>
                  </w: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w:t>
                  </w:r>
                  <w:r>
                    <w:rPr>
                      <w:rFonts w:hint="eastAsia" w:cs="Times New Roman"/>
                      <w:b w:val="0"/>
                      <w:bCs/>
                      <w:color w:val="000000" w:themeColor="text1"/>
                      <w:kern w:val="2"/>
                      <w:sz w:val="21"/>
                      <w:szCs w:val="21"/>
                      <w:vertAlign w:val="baseline"/>
                      <w:lang w:val="en-US" w:eastAsia="zh-CN" w:bidi="ar-SA"/>
                      <w14:textFill>
                        <w14:solidFill>
                          <w14:schemeClr w14:val="tx1"/>
                        </w14:solidFill>
                      </w14:textFill>
                    </w:rPr>
                    <w:t>03</w:t>
                  </w:r>
                </w:p>
              </w:tc>
              <w:tc>
                <w:tcPr>
                  <w:tcW w:w="2732" w:type="pct"/>
                  <w:noWrap w:val="0"/>
                  <w:tcMar>
                    <w:top w:w="0" w:type="dxa"/>
                    <w:left w:w="57" w:type="dxa"/>
                    <w:bottom w:w="0" w:type="dxa"/>
                    <w:right w:w="57" w:type="dxa"/>
                  </w:tcMar>
                  <w:vAlign w:val="center"/>
                </w:tcPr>
                <w:p w14:paraId="2396D541">
                  <w:pPr>
                    <w:widowControl/>
                    <w:jc w:val="center"/>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22CA9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pct"/>
                  <w:vMerge w:val="continue"/>
                  <w:noWrap w:val="0"/>
                  <w:tcMar>
                    <w:top w:w="0" w:type="dxa"/>
                    <w:left w:w="57" w:type="dxa"/>
                    <w:bottom w:w="0" w:type="dxa"/>
                    <w:right w:w="57" w:type="dxa"/>
                  </w:tcMar>
                  <w:vAlign w:val="center"/>
                </w:tcPr>
                <w:p w14:paraId="69951A58">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732" w:type="pct"/>
                  <w:noWrap w:val="0"/>
                  <w:tcMar>
                    <w:top w:w="0" w:type="dxa"/>
                    <w:left w:w="57" w:type="dxa"/>
                    <w:bottom w:w="0" w:type="dxa"/>
                    <w:right w:w="57" w:type="dxa"/>
                  </w:tcMar>
                  <w:vAlign w:val="center"/>
                </w:tcPr>
                <w:p w14:paraId="5BF510D8">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46A4D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pct"/>
                  <w:vMerge w:val="continue"/>
                  <w:noWrap w:val="0"/>
                  <w:tcMar>
                    <w:top w:w="0" w:type="dxa"/>
                    <w:left w:w="57" w:type="dxa"/>
                    <w:bottom w:w="0" w:type="dxa"/>
                    <w:right w:w="57" w:type="dxa"/>
                  </w:tcMar>
                  <w:vAlign w:val="center"/>
                </w:tcPr>
                <w:p w14:paraId="7D408403">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732" w:type="pct"/>
                  <w:noWrap w:val="0"/>
                  <w:tcMar>
                    <w:top w:w="0" w:type="dxa"/>
                    <w:left w:w="57" w:type="dxa"/>
                    <w:bottom w:w="0" w:type="dxa"/>
                    <w:right w:w="57" w:type="dxa"/>
                  </w:tcMar>
                  <w:vAlign w:val="center"/>
                </w:tcPr>
                <w:p w14:paraId="76FB3D80">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59CAC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pct"/>
                  <w:vMerge w:val="continue"/>
                  <w:noWrap w:val="0"/>
                  <w:tcMar>
                    <w:top w:w="0" w:type="dxa"/>
                    <w:left w:w="57" w:type="dxa"/>
                    <w:bottom w:w="0" w:type="dxa"/>
                    <w:right w:w="57" w:type="dxa"/>
                  </w:tcMar>
                  <w:vAlign w:val="center"/>
                </w:tcPr>
                <w:p w14:paraId="7B5FA526">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732" w:type="pct"/>
                  <w:noWrap w:val="0"/>
                  <w:tcMar>
                    <w:top w:w="0" w:type="dxa"/>
                    <w:left w:w="57" w:type="dxa"/>
                    <w:bottom w:w="0" w:type="dxa"/>
                    <w:right w:w="57" w:type="dxa"/>
                  </w:tcMar>
                  <w:vAlign w:val="center"/>
                </w:tcPr>
                <w:p w14:paraId="2872ED52">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ND</w:t>
                  </w:r>
                </w:p>
              </w:tc>
            </w:tr>
            <w:tr w14:paraId="0393A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pct"/>
                  <w:noWrap w:val="0"/>
                  <w:tcMar>
                    <w:top w:w="0" w:type="dxa"/>
                    <w:left w:w="57" w:type="dxa"/>
                    <w:bottom w:w="0" w:type="dxa"/>
                    <w:right w:w="57" w:type="dxa"/>
                  </w:tcMar>
                  <w:vAlign w:val="center"/>
                </w:tcPr>
                <w:p w14:paraId="7618BD0C">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标准值</w:t>
                  </w:r>
                </w:p>
              </w:tc>
              <w:tc>
                <w:tcPr>
                  <w:tcW w:w="2732" w:type="pct"/>
                  <w:noWrap w:val="0"/>
                  <w:tcMar>
                    <w:top w:w="0" w:type="dxa"/>
                    <w:left w:w="57" w:type="dxa"/>
                    <w:bottom w:w="0" w:type="dxa"/>
                    <w:right w:w="57" w:type="dxa"/>
                  </w:tcMar>
                  <w:vAlign w:val="center"/>
                </w:tcPr>
                <w:p w14:paraId="498139C9">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0.0</w:t>
                  </w:r>
                  <w:r>
                    <w:rPr>
                      <w:rFonts w:hint="eastAsia" w:ascii="Times New Roman" w:hAnsi="Times New Roman" w:eastAsia="宋体" w:cs="Times New Roman"/>
                      <w:color w:val="000000" w:themeColor="text1"/>
                      <w:kern w:val="0"/>
                      <w:sz w:val="21"/>
                      <w:szCs w:val="21"/>
                      <w14:textFill>
                        <w14:solidFill>
                          <w14:schemeClr w14:val="tx1"/>
                        </w14:solidFill>
                      </w14:textFill>
                    </w:rPr>
                    <w:t>5</w:t>
                  </w:r>
                </w:p>
              </w:tc>
            </w:tr>
            <w:tr w14:paraId="3A814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jc w:val="center"/>
              </w:trPr>
              <w:tc>
                <w:tcPr>
                  <w:tcW w:w="2267" w:type="pct"/>
                  <w:noWrap w:val="0"/>
                  <w:tcMar>
                    <w:top w:w="0" w:type="dxa"/>
                    <w:left w:w="57" w:type="dxa"/>
                    <w:bottom w:w="0" w:type="dxa"/>
                    <w:right w:w="57" w:type="dxa"/>
                  </w:tcMar>
                  <w:vAlign w:val="center"/>
                </w:tcPr>
                <w:p w14:paraId="4A6E4AD7">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达标情况</w:t>
                  </w:r>
                </w:p>
              </w:tc>
              <w:tc>
                <w:tcPr>
                  <w:tcW w:w="2732" w:type="pct"/>
                  <w:noWrap w:val="0"/>
                  <w:tcMar>
                    <w:top w:w="0" w:type="dxa"/>
                    <w:left w:w="57" w:type="dxa"/>
                    <w:bottom w:w="0" w:type="dxa"/>
                    <w:right w:w="57" w:type="dxa"/>
                  </w:tcMar>
                  <w:vAlign w:val="center"/>
                </w:tcPr>
                <w:p w14:paraId="704E5FF4">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达标</w:t>
                  </w:r>
                </w:p>
              </w:tc>
            </w:tr>
            <w:tr w14:paraId="3B21E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jc w:val="center"/>
              </w:trPr>
              <w:tc>
                <w:tcPr>
                  <w:tcW w:w="5000" w:type="pct"/>
                  <w:gridSpan w:val="2"/>
                  <w:noWrap w:val="0"/>
                  <w:tcMar>
                    <w:top w:w="0" w:type="dxa"/>
                    <w:left w:w="57" w:type="dxa"/>
                    <w:bottom w:w="0" w:type="dxa"/>
                    <w:right w:w="57" w:type="dxa"/>
                  </w:tcMar>
                  <w:vAlign w:val="center"/>
                </w:tcPr>
                <w:p w14:paraId="6B8BD194">
                  <w:pPr>
                    <w:widowControl/>
                    <w:jc w:val="left"/>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注：“ND”表明未检出</w:t>
                  </w:r>
                </w:p>
              </w:tc>
            </w:tr>
          </w:tbl>
          <w:p w14:paraId="6ADCD6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从监测结果来看，TSP日均值满足《《环境空气质量标准》（GB3095-2026）表1过渡阶段二级浓度限值和表2二级浓度限值，甲醛1小时均满足《环境影响评价技术导则 大气环境》（HJ-2018）附录D标准要求。非甲烷总烃1小时均满足《大气污染物综合排放标准详解》中非甲烷总烃参考限值。</w:t>
            </w:r>
          </w:p>
          <w:p w14:paraId="4A35B4C2">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color w:val="000000" w:themeColor="text1"/>
                <w:sz w:val="24"/>
                <w:lang w:eastAsia="zh-CN"/>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2、地表水环境质量现状</w:t>
            </w:r>
          </w:p>
          <w:p w14:paraId="365BC39C">
            <w:pPr>
              <w:adjustRightInd w:val="0"/>
              <w:snapToGrid w:val="0"/>
              <w:spacing w:line="360" w:lineRule="auto"/>
              <w:ind w:firstLine="480" w:firstLineChars="200"/>
              <w:rPr>
                <w:rFonts w:hint="eastAsia"/>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现场勘查，</w:t>
            </w:r>
            <w:r>
              <w:rPr>
                <w:color w:val="000000" w:themeColor="text1"/>
                <w:sz w:val="24"/>
                <w:szCs w:val="24"/>
                <w14:textFill>
                  <w14:solidFill>
                    <w14:schemeClr w14:val="tx1"/>
                  </w14:solidFill>
                </w14:textFill>
              </w:rPr>
              <w:t>项目附近主要的地表水体为位于</w:t>
            </w:r>
            <w:r>
              <w:rPr>
                <w:rFonts w:hint="eastAsia"/>
                <w:color w:val="000000" w:themeColor="text1"/>
                <w:sz w:val="24"/>
                <w:szCs w:val="24"/>
                <w14:textFill>
                  <w14:solidFill>
                    <w14:schemeClr w14:val="tx1"/>
                  </w14:solidFill>
                </w14:textFill>
              </w:rPr>
              <w:t>项目北面</w:t>
            </w:r>
            <w:r>
              <w:rPr>
                <w:rFonts w:hint="eastAsia"/>
                <w:color w:val="000000" w:themeColor="text1"/>
                <w:sz w:val="24"/>
                <w:szCs w:val="24"/>
                <w:lang w:val="en-US" w:eastAsia="zh-CN"/>
                <w14:textFill>
                  <w14:solidFill>
                    <w14:schemeClr w14:val="tx1"/>
                  </w14:solidFill>
                </w14:textFill>
              </w:rPr>
              <w:t>2</w:t>
            </w:r>
            <w:r>
              <w:rPr>
                <w:rFonts w:hint="eastAsia"/>
                <w:color w:val="000000" w:themeColor="text1"/>
                <w:sz w:val="24"/>
                <w:szCs w:val="24"/>
                <w14:textFill>
                  <w14:solidFill>
                    <w14:schemeClr w14:val="tx1"/>
                  </w14:solidFill>
                </w14:textFill>
              </w:rPr>
              <w:t>km的扒河。</w:t>
            </w:r>
            <w:r>
              <w:rPr>
                <w:rFonts w:hint="default"/>
                <w:color w:val="000000" w:themeColor="text1"/>
                <w:sz w:val="24"/>
                <w:szCs w:val="24"/>
                <w14:textFill>
                  <w14:solidFill>
                    <w14:schemeClr w14:val="tx1"/>
                  </w14:solidFill>
                </w14:textFill>
              </w:rPr>
              <w:t>根据云南省水利厅《云南省水功能区划》（第二版）（云水发〔2014〕19号），扒河（易门柏树—易门大谷厂），水功能区划为农业用水区，2030年水质目标Ⅲ类，执行《地表水环境质量标准》（GB3838-2002）Ⅲ类水质标准</w:t>
            </w:r>
            <w:r>
              <w:rPr>
                <w:rFonts w:hint="eastAsia"/>
                <w:color w:val="000000" w:themeColor="text1"/>
                <w:sz w:val="24"/>
                <w:szCs w:val="24"/>
                <w14:textFill>
                  <w14:solidFill>
                    <w14:schemeClr w14:val="tx1"/>
                  </w14:solidFill>
                </w14:textFill>
              </w:rPr>
              <w:t>。</w:t>
            </w:r>
          </w:p>
          <w:p w14:paraId="479807EE">
            <w:pPr>
              <w:adjustRightInd w:val="0"/>
              <w:snapToGrid w:val="0"/>
              <w:spacing w:line="360" w:lineRule="auto"/>
              <w:ind w:firstLine="480" w:firstLineChars="200"/>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根据《202</w:t>
            </w:r>
            <w:r>
              <w:rPr>
                <w:rFonts w:hint="eastAsia"/>
                <w:color w:val="000000" w:themeColor="text1"/>
                <w:sz w:val="24"/>
                <w:szCs w:val="24"/>
                <w:lang w:val="en-US" w:eastAsia="zh-CN"/>
                <w14:textFill>
                  <w14:solidFill>
                    <w14:schemeClr w14:val="tx1"/>
                  </w14:solidFill>
                </w14:textFill>
              </w:rPr>
              <w:t>4</w:t>
            </w:r>
            <w:r>
              <w:rPr>
                <w:rFonts w:hint="eastAsia"/>
                <w:color w:val="000000" w:themeColor="text1"/>
                <w:sz w:val="24"/>
                <w:szCs w:val="24"/>
                <w14:textFill>
                  <w14:solidFill>
                    <w14:schemeClr w14:val="tx1"/>
                  </w14:solidFill>
                </w14:textFill>
              </w:rPr>
              <w:t>年易门县生态环境状况公报》，202</w:t>
            </w:r>
            <w:r>
              <w:rPr>
                <w:rFonts w:hint="eastAsia"/>
                <w:color w:val="000000" w:themeColor="text1"/>
                <w:sz w:val="24"/>
                <w:szCs w:val="24"/>
                <w:lang w:val="en-US" w:eastAsia="zh-CN"/>
                <w14:textFill>
                  <w14:solidFill>
                    <w14:schemeClr w14:val="tx1"/>
                  </w14:solidFill>
                </w14:textFill>
              </w:rPr>
              <w:t>4</w:t>
            </w:r>
            <w:r>
              <w:rPr>
                <w:rFonts w:hint="eastAsia"/>
                <w:color w:val="000000" w:themeColor="text1"/>
                <w:sz w:val="24"/>
                <w:szCs w:val="24"/>
                <w14:textFill>
                  <w14:solidFill>
                    <w14:schemeClr w14:val="tx1"/>
                  </w14:solidFill>
                </w14:textFill>
              </w:rPr>
              <w:t>年全县共有地表水国控断面2个，分别是绿汁江大桥断面和扒河大谷厂水管所断面，</w:t>
            </w:r>
            <w:r>
              <w:rPr>
                <w:rFonts w:hint="eastAsia"/>
                <w:color w:val="000000" w:themeColor="text1"/>
                <w:sz w:val="24"/>
                <w:szCs w:val="24"/>
                <w:lang w:val="en-US" w:eastAsia="zh-CN"/>
                <w14:textFill>
                  <w14:solidFill>
                    <w14:schemeClr w14:val="tx1"/>
                  </w14:solidFill>
                </w14:textFill>
              </w:rPr>
              <w:t>最近监测断面为扒河大谷厂水管所断面，位于本项目东南侧</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14:textFill>
                  <w14:solidFill>
                    <w14:schemeClr w14:val="tx1"/>
                  </w14:solidFill>
                </w14:textFill>
              </w:rPr>
              <w:t>202</w:t>
            </w:r>
            <w:r>
              <w:rPr>
                <w:rFonts w:hint="eastAsia"/>
                <w:color w:val="000000" w:themeColor="text1"/>
                <w:sz w:val="24"/>
                <w:szCs w:val="24"/>
                <w:lang w:val="en-US" w:eastAsia="zh-CN"/>
                <w14:textFill>
                  <w14:solidFill>
                    <w14:schemeClr w14:val="tx1"/>
                  </w14:solidFill>
                </w14:textFill>
              </w:rPr>
              <w:t>4</w:t>
            </w:r>
            <w:r>
              <w:rPr>
                <w:rFonts w:hint="eastAsia"/>
                <w:color w:val="000000" w:themeColor="text1"/>
                <w:sz w:val="24"/>
                <w:szCs w:val="24"/>
                <w14:textFill>
                  <w14:solidFill>
                    <w14:schemeClr w14:val="tx1"/>
                  </w14:solidFill>
                </w14:textFill>
              </w:rPr>
              <w:t>年扒河大谷厂水管所断面水质类别为Ⅱ类，项目区地表水环境质量现状较好。</w:t>
            </w:r>
          </w:p>
          <w:p w14:paraId="052879D9">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3、声环境质量现状</w:t>
            </w:r>
          </w:p>
          <w:p w14:paraId="5952A194">
            <w:pPr>
              <w:adjustRightInd w:val="0"/>
              <w:snapToGrid w:val="0"/>
              <w:spacing w:line="360" w:lineRule="auto"/>
              <w:ind w:firstLine="480" w:firstLineChars="200"/>
              <w:jc w:val="both"/>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项目位于</w:t>
            </w:r>
            <w:r>
              <w:rPr>
                <w:rFonts w:hint="eastAsia" w:cs="Times New Roman"/>
                <w:color w:val="000000" w:themeColor="text1"/>
                <w:sz w:val="24"/>
                <w:lang w:val="en-US" w:eastAsia="zh-CN"/>
                <w14:textFill>
                  <w14:solidFill>
                    <w14:schemeClr w14:val="tx1"/>
                  </w14:solidFill>
                </w14:textFill>
              </w:rPr>
              <w:t>易门产业园区麦子田片区</w:t>
            </w:r>
            <w:r>
              <w:rPr>
                <w:rFonts w:hint="default" w:ascii="Times New Roman" w:hAnsi="Times New Roman" w:cs="Times New Roman"/>
                <w:color w:val="000000" w:themeColor="text1"/>
                <w:sz w:val="24"/>
                <w14:textFill>
                  <w14:solidFill>
                    <w14:schemeClr w14:val="tx1"/>
                  </w14:solidFill>
                </w14:textFill>
              </w:rPr>
              <w:t>。根据《</w:t>
            </w:r>
            <w:r>
              <w:rPr>
                <w:rFonts w:hint="eastAsia" w:cs="Times New Roman"/>
                <w:color w:val="000000" w:themeColor="text1"/>
                <w:sz w:val="24"/>
                <w:lang w:val="en-US" w:eastAsia="zh-CN"/>
                <w14:textFill>
                  <w14:solidFill>
                    <w14:schemeClr w14:val="tx1"/>
                  </w14:solidFill>
                </w14:textFill>
              </w:rPr>
              <w:t>云南易门产业园区总体规划（修编）（2021-2035年）环境影响报告书</w:t>
            </w:r>
            <w:r>
              <w:rPr>
                <w:rFonts w:hint="default" w:ascii="Times New Roman" w:hAnsi="Times New Roman" w:cs="Times New Roman"/>
                <w:color w:val="000000" w:themeColor="text1"/>
                <w:sz w:val="24"/>
                <w14:textFill>
                  <w14:solidFill>
                    <w14:schemeClr w14:val="tx1"/>
                  </w14:solidFill>
                </w14:textFill>
              </w:rPr>
              <w:t>》，评价区域噪声环境功能区划分为3类区，执行《声环境质量标准》（GB3096-2008）中的3类标准。根据现场踏勘，项目厂界外50m范围内无声环境保护目标。</w:t>
            </w:r>
          </w:p>
          <w:p w14:paraId="0CFF869A">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4、生态环境质量现状</w:t>
            </w:r>
          </w:p>
          <w:p w14:paraId="0DAB0F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napToGrid w:val="0"/>
                <w:color w:val="000000" w:themeColor="text1"/>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项目</w:t>
            </w:r>
            <w:r>
              <w:rPr>
                <w:rFonts w:hint="eastAsia" w:cs="Times New Roman"/>
                <w:color w:val="000000" w:themeColor="text1"/>
                <w:sz w:val="24"/>
                <w:highlight w:val="none"/>
                <w:lang w:val="en-US" w:eastAsia="zh-CN"/>
                <w14:textFill>
                  <w14:solidFill>
                    <w14:schemeClr w14:val="tx1"/>
                  </w14:solidFill>
                </w14:textFill>
              </w:rPr>
              <w:t>位于</w:t>
            </w:r>
            <w:r>
              <w:rPr>
                <w:rFonts w:hint="eastAsia" w:cs="Times New Roman"/>
                <w:color w:val="000000" w:themeColor="text1"/>
                <w:sz w:val="24"/>
                <w:lang w:val="en-US" w:eastAsia="zh-CN"/>
                <w14:textFill>
                  <w14:solidFill>
                    <w14:schemeClr w14:val="tx1"/>
                  </w14:solidFill>
                </w14:textFill>
              </w:rPr>
              <w:t>易门产业园区麦子田片区</w:t>
            </w:r>
            <w:r>
              <w:rPr>
                <w:rFonts w:hint="eastAsia" w:cs="Times New Roman"/>
                <w:color w:val="000000" w:themeColor="text1"/>
                <w:sz w:val="24"/>
                <w:highlight w:val="none"/>
                <w:lang w:val="en-US" w:eastAsia="zh-CN"/>
                <w14:textFill>
                  <w14:solidFill>
                    <w14:schemeClr w14:val="tx1"/>
                  </w14:solidFill>
                </w14:textFill>
              </w:rPr>
              <w:t>，人为活动频繁，已无原生植被。项目调查范围内未发现国家和地方重点保护野生动植物，也无古树名树</w:t>
            </w:r>
            <w:r>
              <w:rPr>
                <w:rFonts w:hint="default" w:ascii="Times New Roman" w:hAnsi="Times New Roman" w:cs="Times New Roman"/>
                <w:color w:val="000000" w:themeColor="text1"/>
                <w:sz w:val="24"/>
                <w:highlight w:val="none"/>
                <w14:textFill>
                  <w14:solidFill>
                    <w14:schemeClr w14:val="tx1"/>
                  </w14:solidFill>
                </w14:textFill>
              </w:rPr>
              <w:t>。</w:t>
            </w:r>
          </w:p>
        </w:tc>
      </w:tr>
      <w:tr w14:paraId="0AB09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577" w:type="dxa"/>
            <w:vAlign w:val="center"/>
          </w:tcPr>
          <w:p w14:paraId="23300082">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szCs w:val="24"/>
                <w:vertAlign w:val="baseline"/>
                <w:lang w:val="en-US" w:eastAsia="zh-CN"/>
                <w14:textFill>
                  <w14:solidFill>
                    <w14:schemeClr w14:val="tx1"/>
                  </w14:solidFill>
                </w14:textFill>
              </w:rPr>
            </w:pPr>
            <w:bookmarkStart w:id="24" w:name="_Toc931"/>
            <w:bookmarkStart w:id="25" w:name="_Toc22239"/>
            <w:bookmarkStart w:id="26" w:name="_Toc20030"/>
            <w:r>
              <w:rPr>
                <w:rFonts w:hint="eastAsia" w:ascii="Times New Roman" w:hAnsi="Times New Roman" w:cs="Times New Roman"/>
                <w:snapToGrid w:val="0"/>
                <w:color w:val="000000" w:themeColor="text1"/>
                <w:szCs w:val="24"/>
                <w:vertAlign w:val="baseline"/>
                <w:lang w:val="en-US" w:eastAsia="zh-CN"/>
                <w14:textFill>
                  <w14:solidFill>
                    <w14:schemeClr w14:val="tx1"/>
                  </w14:solidFill>
                </w14:textFill>
              </w:rPr>
              <w:t>环境保护目标</w:t>
            </w:r>
            <w:bookmarkEnd w:id="24"/>
            <w:bookmarkEnd w:id="25"/>
            <w:bookmarkEnd w:id="26"/>
          </w:p>
        </w:tc>
        <w:tc>
          <w:tcPr>
            <w:tcW w:w="8238" w:type="dxa"/>
          </w:tcPr>
          <w:p w14:paraId="6CC01F22">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left"/>
              <w:textAlignment w:val="auto"/>
              <w:outlineLvl w:val="0"/>
              <w:rPr>
                <w:rFonts w:hint="default" w:ascii="Times New Roman" w:hAnsi="Times New Roman" w:cs="Times New Roman"/>
                <w:snapToGrid w:val="0"/>
                <w:color w:val="000000" w:themeColor="text1"/>
                <w:szCs w:val="24"/>
                <w:vertAlign w:val="baseline"/>
                <w14:textFill>
                  <w14:solidFill>
                    <w14:schemeClr w14:val="tx1"/>
                  </w14:solidFill>
                </w14:textFill>
              </w:rPr>
            </w:pPr>
            <w:bookmarkStart w:id="27" w:name="_Toc9519"/>
            <w:bookmarkStart w:id="28" w:name="_Toc29516"/>
            <w:bookmarkStart w:id="29" w:name="_Toc14408"/>
            <w:r>
              <w:rPr>
                <w:rFonts w:hint="default" w:ascii="Times New Roman" w:hAnsi="Times New Roman" w:cs="Times New Roman"/>
                <w:snapToGrid w:val="0"/>
                <w:color w:val="000000" w:themeColor="text1"/>
                <w:szCs w:val="24"/>
                <w:vertAlign w:val="baseline"/>
                <w14:textFill>
                  <w14:solidFill>
                    <w14:schemeClr w14:val="tx1"/>
                  </w14:solidFill>
                </w14:textFill>
              </w:rPr>
              <w:t>项目位于</w:t>
            </w:r>
            <w:r>
              <w:rPr>
                <w:rFonts w:hint="default" w:ascii="Times New Roman" w:hAnsi="Times New Roman" w:cs="Times New Roman"/>
                <w:snapToGrid w:val="0"/>
                <w:color w:val="000000" w:themeColor="text1"/>
                <w:szCs w:val="24"/>
                <w:vertAlign w:val="baseline"/>
                <w:lang w:val="en-US" w:eastAsia="zh-CN"/>
                <w14:textFill>
                  <w14:solidFill>
                    <w14:schemeClr w14:val="tx1"/>
                  </w14:solidFill>
                </w14:textFill>
              </w:rPr>
              <w:t>易门产业园区麦子田片区</w:t>
            </w:r>
            <w:r>
              <w:rPr>
                <w:rFonts w:hint="default" w:ascii="Times New Roman" w:hAnsi="Times New Roman" w:cs="Times New Roman"/>
                <w:snapToGrid w:val="0"/>
                <w:color w:val="000000" w:themeColor="text1"/>
                <w:szCs w:val="24"/>
                <w:vertAlign w:val="baseline"/>
                <w:lang w:eastAsia="zh-CN"/>
                <w14:textFill>
                  <w14:solidFill>
                    <w14:schemeClr w14:val="tx1"/>
                  </w14:solidFill>
                </w14:textFill>
              </w:rPr>
              <w:t>，</w:t>
            </w:r>
            <w:r>
              <w:rPr>
                <w:rFonts w:hint="default" w:ascii="Times New Roman" w:hAnsi="Times New Roman" w:cs="Times New Roman"/>
                <w:snapToGrid w:val="0"/>
                <w:color w:val="000000" w:themeColor="text1"/>
                <w:szCs w:val="24"/>
                <w:vertAlign w:val="baseline"/>
                <w14:textFill>
                  <w14:solidFill>
                    <w14:schemeClr w14:val="tx1"/>
                  </w14:solidFill>
                </w14:textFill>
              </w:rPr>
              <w:t>根据调查环境保护目标情况如下：</w:t>
            </w:r>
            <w:bookmarkEnd w:id="27"/>
            <w:bookmarkEnd w:id="28"/>
            <w:bookmarkEnd w:id="29"/>
          </w:p>
          <w:p w14:paraId="1DDB4ABB">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2" w:firstLineChars="200"/>
              <w:jc w:val="left"/>
              <w:textAlignment w:val="auto"/>
              <w:outlineLvl w:val="0"/>
              <w:rPr>
                <w:rFonts w:hint="default" w:ascii="Times New Roman" w:hAnsi="Times New Roman" w:cs="Times New Roman"/>
                <w:b/>
                <w:bCs/>
                <w:snapToGrid w:val="0"/>
                <w:color w:val="000000" w:themeColor="text1"/>
                <w:szCs w:val="24"/>
                <w:vertAlign w:val="baseline"/>
                <w14:textFill>
                  <w14:solidFill>
                    <w14:schemeClr w14:val="tx1"/>
                  </w14:solidFill>
                </w14:textFill>
              </w:rPr>
            </w:pPr>
            <w:bookmarkStart w:id="30" w:name="_Toc30438"/>
            <w:bookmarkStart w:id="31" w:name="_Toc9274"/>
            <w:bookmarkStart w:id="32" w:name="_Toc7979"/>
            <w:r>
              <w:rPr>
                <w:rFonts w:hint="default" w:ascii="Times New Roman" w:hAnsi="Times New Roman" w:cs="Times New Roman"/>
                <w:b/>
                <w:bCs/>
                <w:snapToGrid w:val="0"/>
                <w:color w:val="000000" w:themeColor="text1"/>
                <w:szCs w:val="24"/>
                <w:vertAlign w:val="baseline"/>
                <w14:textFill>
                  <w14:solidFill>
                    <w14:schemeClr w14:val="tx1"/>
                  </w14:solidFill>
                </w14:textFill>
              </w:rPr>
              <w:t>1、大气环境</w:t>
            </w:r>
            <w:bookmarkEnd w:id="30"/>
            <w:bookmarkEnd w:id="31"/>
            <w:bookmarkEnd w:id="32"/>
          </w:p>
          <w:p w14:paraId="6FD90D44">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outlineLvl w:val="0"/>
              <w:rPr>
                <w:rFonts w:hint="default" w:ascii="Times New Roman" w:hAnsi="Times New Roman" w:cs="Times New Roman"/>
                <w:snapToGrid w:val="0"/>
                <w:color w:val="000000" w:themeColor="text1"/>
                <w:szCs w:val="24"/>
                <w:vertAlign w:val="baseline"/>
                <w14:textFill>
                  <w14:solidFill>
                    <w14:schemeClr w14:val="tx1"/>
                  </w14:solidFill>
                </w14:textFill>
              </w:rPr>
            </w:pPr>
            <w:bookmarkStart w:id="33" w:name="_Toc10780"/>
            <w:bookmarkStart w:id="34" w:name="_Toc7596"/>
            <w:bookmarkStart w:id="35" w:name="_Toc3516"/>
            <w:r>
              <w:rPr>
                <w:rFonts w:hint="default" w:ascii="Times New Roman" w:hAnsi="Times New Roman" w:cs="Times New Roman"/>
                <w:snapToGrid w:val="0"/>
                <w:color w:val="000000" w:themeColor="text1"/>
                <w:szCs w:val="24"/>
                <w:vertAlign w:val="baseline"/>
                <w14:textFill>
                  <w14:solidFill>
                    <w14:schemeClr w14:val="tx1"/>
                  </w14:solidFill>
                </w14:textFill>
              </w:rPr>
              <w:t>根据现场调查，</w:t>
            </w:r>
            <w:r>
              <w:rPr>
                <w:rFonts w:hint="eastAsia" w:ascii="Times New Roman" w:hAnsi="Times New Roman" w:cs="Times New Roman"/>
                <w:snapToGrid w:val="0"/>
                <w:color w:val="000000" w:themeColor="text1"/>
                <w:szCs w:val="24"/>
                <w:vertAlign w:val="baseline"/>
                <w:lang w:val="en-US" w:eastAsia="zh-CN"/>
                <w14:textFill>
                  <w14:solidFill>
                    <w14:schemeClr w14:val="tx1"/>
                  </w14:solidFill>
                </w14:textFill>
              </w:rPr>
              <w:t>以及</w:t>
            </w:r>
            <w:r>
              <w:rPr>
                <w:rFonts w:hint="default" w:ascii="Times New Roman" w:hAnsi="Times New Roman" w:cs="Times New Roman"/>
                <w:snapToGrid w:val="0"/>
                <w:color w:val="000000" w:themeColor="text1"/>
                <w:szCs w:val="24"/>
                <w:vertAlign w:val="baseline"/>
                <w14:textFill>
                  <w14:solidFill>
                    <w14:schemeClr w14:val="tx1"/>
                  </w14:solidFill>
                </w14:textFill>
              </w:rPr>
              <w:t>《环境影响评价技术导则-大气环境》（HJ2.2-2018）的要求</w:t>
            </w:r>
            <w:r>
              <w:rPr>
                <w:rFonts w:hint="default" w:ascii="Times New Roman" w:hAnsi="Times New Roman" w:cs="Times New Roman"/>
                <w:snapToGrid w:val="0"/>
                <w:color w:val="000000" w:themeColor="text1"/>
                <w:szCs w:val="24"/>
                <w:vertAlign w:val="baseline"/>
                <w:lang w:val="en-US" w:eastAsia="zh-CN"/>
                <w14:textFill>
                  <w14:solidFill>
                    <w14:schemeClr w14:val="tx1"/>
                  </w14:solidFill>
                </w14:textFill>
              </w:rPr>
              <w:t>与估算结果，本项目大气评价范围为以项目厂址为中心区域，自厂界外延，边长5km的矩形区域，</w:t>
            </w:r>
            <w:r>
              <w:rPr>
                <w:rFonts w:hint="eastAsia" w:ascii="Times New Roman" w:hAnsi="Times New Roman" w:cs="Times New Roman"/>
                <w:snapToGrid w:val="0"/>
                <w:color w:val="000000" w:themeColor="text1"/>
                <w:szCs w:val="24"/>
                <w:vertAlign w:val="baseline"/>
                <w:lang w:val="en-US" w:eastAsia="zh-CN"/>
                <w14:textFill>
                  <w14:solidFill>
                    <w14:schemeClr w14:val="tx1"/>
                  </w14:solidFill>
                </w14:textFill>
              </w:rPr>
              <w:t>评价</w:t>
            </w:r>
            <w:r>
              <w:rPr>
                <w:rFonts w:hint="default" w:ascii="Times New Roman" w:hAnsi="Times New Roman" w:cs="Times New Roman"/>
                <w:snapToGrid w:val="0"/>
                <w:color w:val="000000" w:themeColor="text1"/>
                <w:szCs w:val="24"/>
                <w:vertAlign w:val="baseline"/>
                <w:lang w:val="en-US" w:eastAsia="zh-CN"/>
                <w14:textFill>
                  <w14:solidFill>
                    <w14:schemeClr w14:val="tx1"/>
                  </w14:solidFill>
                </w14:textFill>
              </w:rPr>
              <w:t>范围</w:t>
            </w:r>
            <w:r>
              <w:rPr>
                <w:rFonts w:hint="default" w:ascii="Times New Roman" w:hAnsi="Times New Roman" w:cs="Times New Roman"/>
                <w:snapToGrid w:val="0"/>
                <w:color w:val="000000" w:themeColor="text1"/>
                <w:szCs w:val="24"/>
                <w:vertAlign w:val="baseline"/>
                <w14:textFill>
                  <w14:solidFill>
                    <w14:schemeClr w14:val="tx1"/>
                  </w14:solidFill>
                </w14:textFill>
              </w:rPr>
              <w:t>内分布有</w:t>
            </w:r>
            <w:r>
              <w:rPr>
                <w:rFonts w:hint="eastAsia" w:ascii="Times New Roman" w:hAnsi="Times New Roman" w:cs="Times New Roman"/>
                <w:snapToGrid w:val="0"/>
                <w:color w:val="000000" w:themeColor="text1"/>
                <w:szCs w:val="24"/>
                <w:vertAlign w:val="baseline"/>
                <w:lang w:val="en-US" w:eastAsia="zh-CN"/>
                <w14:textFill>
                  <w14:solidFill>
                    <w14:schemeClr w14:val="tx1"/>
                  </w14:solidFill>
                </w14:textFill>
              </w:rPr>
              <w:t>翠柏自然保护区、麦子田村、马家箐、瓦家箐、杨宝庒村</w:t>
            </w:r>
            <w:r>
              <w:rPr>
                <w:rFonts w:hint="default" w:ascii="Times New Roman" w:hAnsi="Times New Roman" w:cs="Times New Roman"/>
                <w:snapToGrid w:val="0"/>
                <w:color w:val="000000" w:themeColor="text1"/>
                <w:szCs w:val="24"/>
                <w:vertAlign w:val="baseline"/>
                <w14:textFill>
                  <w14:solidFill>
                    <w14:schemeClr w14:val="tx1"/>
                  </w14:solidFill>
                </w14:textFill>
              </w:rPr>
              <w:t>等大气</w:t>
            </w:r>
            <w:r>
              <w:rPr>
                <w:rFonts w:hint="default" w:ascii="Times New Roman" w:hAnsi="Times New Roman" w:cs="Times New Roman"/>
                <w:snapToGrid w:val="0"/>
                <w:color w:val="000000" w:themeColor="text1"/>
                <w:szCs w:val="24"/>
                <w:vertAlign w:val="baseline"/>
                <w:lang w:eastAsia="zh-CN"/>
                <w14:textFill>
                  <w14:solidFill>
                    <w14:schemeClr w14:val="tx1"/>
                  </w14:solidFill>
                </w14:textFill>
              </w:rPr>
              <w:t>环境保护</w:t>
            </w:r>
            <w:r>
              <w:rPr>
                <w:rFonts w:hint="default" w:ascii="Times New Roman" w:hAnsi="Times New Roman" w:cs="Times New Roman"/>
                <w:snapToGrid w:val="0"/>
                <w:color w:val="000000" w:themeColor="text1"/>
                <w:szCs w:val="24"/>
                <w:vertAlign w:val="baseline"/>
                <w14:textFill>
                  <w14:solidFill>
                    <w14:schemeClr w14:val="tx1"/>
                  </w14:solidFill>
                </w14:textFill>
              </w:rPr>
              <w:t>目标。</w:t>
            </w:r>
            <w:bookmarkEnd w:id="33"/>
            <w:bookmarkEnd w:id="34"/>
            <w:bookmarkEnd w:id="35"/>
          </w:p>
          <w:p w14:paraId="4853E724">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outlineLvl w:val="0"/>
              <w:rPr>
                <w:rFonts w:hint="default" w:ascii="Times New Roman" w:hAnsi="Times New Roman" w:cs="Times New Roman"/>
                <w:b/>
                <w:bCs/>
                <w:snapToGrid w:val="0"/>
                <w:color w:val="000000" w:themeColor="text1"/>
                <w:szCs w:val="24"/>
                <w:vertAlign w:val="baseline"/>
                <w14:textFill>
                  <w14:solidFill>
                    <w14:schemeClr w14:val="tx1"/>
                  </w14:solidFill>
                </w14:textFill>
              </w:rPr>
            </w:pPr>
            <w:bookmarkStart w:id="36" w:name="_Toc29975"/>
            <w:bookmarkStart w:id="37" w:name="_Toc25121"/>
            <w:bookmarkStart w:id="38" w:name="_Toc28548"/>
            <w:r>
              <w:rPr>
                <w:rFonts w:hint="default" w:ascii="Times New Roman" w:hAnsi="Times New Roman" w:cs="Times New Roman"/>
                <w:b/>
                <w:bCs/>
                <w:snapToGrid w:val="0"/>
                <w:color w:val="000000" w:themeColor="text1"/>
                <w:szCs w:val="24"/>
                <w:vertAlign w:val="baseline"/>
                <w14:textFill>
                  <w14:solidFill>
                    <w14:schemeClr w14:val="tx1"/>
                  </w14:solidFill>
                </w14:textFill>
              </w:rPr>
              <w:t>2、声环境</w:t>
            </w:r>
            <w:bookmarkEnd w:id="36"/>
            <w:bookmarkEnd w:id="37"/>
            <w:bookmarkEnd w:id="38"/>
          </w:p>
          <w:p w14:paraId="72119F6A">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outlineLvl w:val="0"/>
              <w:rPr>
                <w:rFonts w:hint="default" w:ascii="Times New Roman" w:hAnsi="Times New Roman" w:cs="Times New Roman"/>
                <w:snapToGrid w:val="0"/>
                <w:color w:val="000000" w:themeColor="text1"/>
                <w:szCs w:val="24"/>
                <w:vertAlign w:val="baseline"/>
                <w14:textFill>
                  <w14:solidFill>
                    <w14:schemeClr w14:val="tx1"/>
                  </w14:solidFill>
                </w14:textFill>
              </w:rPr>
            </w:pPr>
            <w:bookmarkStart w:id="39" w:name="_Toc2183"/>
            <w:bookmarkStart w:id="40" w:name="_Toc30127"/>
            <w:bookmarkStart w:id="41" w:name="_Toc3392"/>
            <w:r>
              <w:rPr>
                <w:rFonts w:hint="default" w:ascii="Times New Roman" w:hAnsi="Times New Roman" w:cs="Times New Roman"/>
                <w:snapToGrid w:val="0"/>
                <w:color w:val="000000" w:themeColor="text1"/>
                <w:szCs w:val="24"/>
                <w:vertAlign w:val="baseline"/>
                <w14:textFill>
                  <w14:solidFill>
                    <w14:schemeClr w14:val="tx1"/>
                  </w14:solidFill>
                </w14:textFill>
              </w:rPr>
              <w:t>根据现场调查，项目周围50m范围内无声环境保护目标。</w:t>
            </w:r>
            <w:bookmarkEnd w:id="39"/>
            <w:bookmarkEnd w:id="40"/>
            <w:bookmarkEnd w:id="41"/>
          </w:p>
          <w:p w14:paraId="5E16AAD5">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outlineLvl w:val="0"/>
              <w:rPr>
                <w:rFonts w:hint="default" w:ascii="Times New Roman" w:hAnsi="Times New Roman" w:cs="Times New Roman"/>
                <w:b/>
                <w:bCs/>
                <w:snapToGrid w:val="0"/>
                <w:color w:val="000000" w:themeColor="text1"/>
                <w:szCs w:val="24"/>
                <w:vertAlign w:val="baseline"/>
                <w14:textFill>
                  <w14:solidFill>
                    <w14:schemeClr w14:val="tx1"/>
                  </w14:solidFill>
                </w14:textFill>
              </w:rPr>
            </w:pPr>
            <w:bookmarkStart w:id="42" w:name="_Toc24311"/>
            <w:bookmarkStart w:id="43" w:name="_Toc9384"/>
            <w:bookmarkStart w:id="44" w:name="_Toc3413"/>
            <w:r>
              <w:rPr>
                <w:rFonts w:hint="default" w:ascii="Times New Roman" w:hAnsi="Times New Roman" w:cs="Times New Roman"/>
                <w:b/>
                <w:bCs/>
                <w:snapToGrid w:val="0"/>
                <w:color w:val="000000" w:themeColor="text1"/>
                <w:szCs w:val="24"/>
                <w:vertAlign w:val="baseline"/>
                <w14:textFill>
                  <w14:solidFill>
                    <w14:schemeClr w14:val="tx1"/>
                  </w14:solidFill>
                </w14:textFill>
              </w:rPr>
              <w:t>3、地下水环境</w:t>
            </w:r>
            <w:bookmarkEnd w:id="42"/>
            <w:bookmarkEnd w:id="43"/>
            <w:bookmarkEnd w:id="44"/>
          </w:p>
          <w:p w14:paraId="4690C510">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outlineLvl w:val="0"/>
              <w:rPr>
                <w:rFonts w:hint="default" w:ascii="Times New Roman" w:hAnsi="Times New Roman" w:cs="Times New Roman"/>
                <w:snapToGrid w:val="0"/>
                <w:color w:val="000000" w:themeColor="text1"/>
                <w:szCs w:val="24"/>
                <w:vertAlign w:val="baseline"/>
                <w14:textFill>
                  <w14:solidFill>
                    <w14:schemeClr w14:val="tx1"/>
                  </w14:solidFill>
                </w14:textFill>
              </w:rPr>
            </w:pPr>
            <w:bookmarkStart w:id="45" w:name="_Toc7474"/>
            <w:bookmarkStart w:id="46" w:name="_Toc481"/>
            <w:bookmarkStart w:id="47" w:name="_Toc20462"/>
            <w:r>
              <w:rPr>
                <w:rFonts w:hint="default" w:ascii="Times New Roman" w:hAnsi="Times New Roman" w:cs="Times New Roman"/>
                <w:snapToGrid w:val="0"/>
                <w:color w:val="000000" w:themeColor="text1"/>
                <w:szCs w:val="24"/>
                <w:vertAlign w:val="baseline"/>
                <w14:textFill>
                  <w14:solidFill>
                    <w14:schemeClr w14:val="tx1"/>
                  </w14:solidFill>
                </w14:textFill>
              </w:rPr>
              <w:t>厂界外500m范围内无地下水集中式饮用水水源和热水、矿泉水、温泉等特殊地下水资源。</w:t>
            </w:r>
            <w:bookmarkEnd w:id="45"/>
            <w:bookmarkEnd w:id="46"/>
            <w:bookmarkEnd w:id="47"/>
          </w:p>
          <w:p w14:paraId="286617F5">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outlineLvl w:val="0"/>
              <w:rPr>
                <w:rFonts w:hint="default" w:ascii="Times New Roman" w:hAnsi="Times New Roman" w:cs="Times New Roman"/>
                <w:b/>
                <w:bCs/>
                <w:snapToGrid w:val="0"/>
                <w:color w:val="000000" w:themeColor="text1"/>
                <w:szCs w:val="24"/>
                <w:vertAlign w:val="baseline"/>
                <w14:textFill>
                  <w14:solidFill>
                    <w14:schemeClr w14:val="tx1"/>
                  </w14:solidFill>
                </w14:textFill>
              </w:rPr>
            </w:pPr>
            <w:bookmarkStart w:id="48" w:name="_Toc7170"/>
            <w:bookmarkStart w:id="49" w:name="_Toc27808"/>
            <w:bookmarkStart w:id="50" w:name="_Toc1009"/>
            <w:r>
              <w:rPr>
                <w:rFonts w:hint="default" w:ascii="Times New Roman" w:hAnsi="Times New Roman" w:cs="Times New Roman"/>
                <w:b/>
                <w:bCs/>
                <w:snapToGrid w:val="0"/>
                <w:color w:val="000000" w:themeColor="text1"/>
                <w:szCs w:val="24"/>
                <w:vertAlign w:val="baseline"/>
                <w14:textFill>
                  <w14:solidFill>
                    <w14:schemeClr w14:val="tx1"/>
                  </w14:solidFill>
                </w14:textFill>
              </w:rPr>
              <w:t>4、生态环境</w:t>
            </w:r>
          </w:p>
          <w:p w14:paraId="7FAF9CF1">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outlineLvl w:val="0"/>
              <w:rPr>
                <w:rFonts w:hint="default" w:ascii="Times New Roman" w:hAnsi="Times New Roman" w:cs="Times New Roman"/>
                <w:snapToGrid w:val="0"/>
                <w:color w:val="000000" w:themeColor="text1"/>
                <w:szCs w:val="24"/>
                <w:vertAlign w:val="baseline"/>
                <w:lang w:val="en-US"/>
                <w14:textFill>
                  <w14:solidFill>
                    <w14:schemeClr w14:val="tx1"/>
                  </w14:solidFill>
                </w14:textFill>
              </w:rPr>
            </w:pPr>
            <w:bookmarkStart w:id="51" w:name="_Toc14399"/>
            <w:bookmarkStart w:id="52" w:name="_Toc26646"/>
            <w:bookmarkStart w:id="53" w:name="_Toc8823"/>
            <w:r>
              <w:rPr>
                <w:rFonts w:hint="default" w:ascii="Times New Roman" w:hAnsi="Times New Roman" w:cs="Times New Roman"/>
                <w:snapToGrid w:val="0"/>
                <w:color w:val="000000" w:themeColor="text1"/>
                <w:szCs w:val="24"/>
                <w:vertAlign w:val="baseline"/>
                <w14:textFill>
                  <w14:solidFill>
                    <w14:schemeClr w14:val="tx1"/>
                  </w14:solidFill>
                </w14:textFill>
              </w:rPr>
              <w:t>项目</w:t>
            </w:r>
            <w:r>
              <w:rPr>
                <w:rFonts w:hint="default" w:ascii="Times New Roman" w:hAnsi="Times New Roman" w:cs="Times New Roman"/>
                <w:snapToGrid w:val="0"/>
                <w:color w:val="000000" w:themeColor="text1"/>
                <w:szCs w:val="24"/>
                <w:vertAlign w:val="baseline"/>
                <w:lang w:val="en-US" w:eastAsia="zh-CN"/>
                <w14:textFill>
                  <w14:solidFill>
                    <w14:schemeClr w14:val="tx1"/>
                  </w14:solidFill>
                </w14:textFill>
              </w:rPr>
              <w:t>位于易门产业园区麦子田片区，</w:t>
            </w:r>
            <w:r>
              <w:rPr>
                <w:rFonts w:hint="eastAsia" w:ascii="Times New Roman" w:hAnsi="Times New Roman" w:cs="Times New Roman"/>
                <w:snapToGrid w:val="0"/>
                <w:color w:val="000000" w:themeColor="text1"/>
                <w:szCs w:val="24"/>
                <w:vertAlign w:val="baseline"/>
                <w:lang w:val="en-US" w:eastAsia="zh-CN"/>
                <w14:textFill>
                  <w14:solidFill>
                    <w14:schemeClr w14:val="tx1"/>
                  </w14:solidFill>
                </w14:textFill>
              </w:rPr>
              <w:t>租用已建成生产厂房，</w:t>
            </w:r>
            <w:r>
              <w:rPr>
                <w:rFonts w:hint="default" w:ascii="Times New Roman" w:hAnsi="Times New Roman" w:cs="Times New Roman"/>
                <w:snapToGrid w:val="0"/>
                <w:color w:val="000000" w:themeColor="text1"/>
                <w:szCs w:val="24"/>
                <w:vertAlign w:val="baseline"/>
                <w:lang w:val="en-US" w:eastAsia="zh-CN"/>
                <w14:textFill>
                  <w14:solidFill>
                    <w14:schemeClr w14:val="tx1"/>
                  </w14:solidFill>
                </w14:textFill>
              </w:rPr>
              <w:t>人为活动频繁，已无原生植被。项目调查范围内未发现国家和地方重点保护野生动植物，也无古树名树。</w:t>
            </w:r>
            <w:bookmarkEnd w:id="51"/>
            <w:bookmarkEnd w:id="52"/>
            <w:bookmarkEnd w:id="53"/>
          </w:p>
          <w:p w14:paraId="44ADB9B3">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b/>
                <w:bCs/>
                <w:snapToGrid w:val="0"/>
                <w:color w:val="000000" w:themeColor="text1"/>
                <w:sz w:val="21"/>
                <w:szCs w:val="21"/>
                <w:vertAlign w:val="baseline"/>
                <w14:textFill>
                  <w14:solidFill>
                    <w14:schemeClr w14:val="tx1"/>
                  </w14:solidFill>
                </w14:textFill>
              </w:rPr>
            </w:pPr>
            <w:bookmarkStart w:id="54" w:name="_Toc3358"/>
            <w:bookmarkStart w:id="55" w:name="_Toc25520"/>
            <w:bookmarkStart w:id="56" w:name="_Toc8282"/>
            <w:r>
              <w:rPr>
                <w:rFonts w:hint="default" w:ascii="Times New Roman" w:hAnsi="Times New Roman" w:cs="Times New Roman"/>
                <w:b/>
                <w:bCs/>
                <w:snapToGrid w:val="0"/>
                <w:color w:val="000000" w:themeColor="text1"/>
                <w:sz w:val="21"/>
                <w:szCs w:val="21"/>
                <w:vertAlign w:val="baseline"/>
                <w14:textFill>
                  <w14:solidFill>
                    <w14:schemeClr w14:val="tx1"/>
                  </w14:solidFill>
                </w14:textFill>
              </w:rPr>
              <w:t>表3-</w:t>
            </w:r>
            <w:r>
              <w:rPr>
                <w:rFonts w:hint="eastAsia" w:ascii="Times New Roman" w:hAnsi="Times New Roman" w:cs="Times New Roman"/>
                <w:b/>
                <w:bCs/>
                <w:snapToGrid w:val="0"/>
                <w:color w:val="000000" w:themeColor="text1"/>
                <w:sz w:val="21"/>
                <w:szCs w:val="21"/>
                <w:vertAlign w:val="baseline"/>
                <w:lang w:val="en-US" w:eastAsia="zh-CN"/>
                <w14:textFill>
                  <w14:solidFill>
                    <w14:schemeClr w14:val="tx1"/>
                  </w14:solidFill>
                </w14:textFill>
              </w:rPr>
              <w:t>11</w:t>
            </w:r>
            <w:r>
              <w:rPr>
                <w:rFonts w:hint="default" w:ascii="Times New Roman" w:hAnsi="Times New Roman" w:cs="Times New Roman"/>
                <w:b/>
                <w:bCs/>
                <w:snapToGrid w:val="0"/>
                <w:color w:val="000000" w:themeColor="text1"/>
                <w:sz w:val="21"/>
                <w:szCs w:val="21"/>
                <w:vertAlign w:val="baseline"/>
                <w14:textFill>
                  <w14:solidFill>
                    <w14:schemeClr w14:val="tx1"/>
                  </w14:solidFill>
                </w14:textFill>
              </w:rPr>
              <w:t xml:space="preserve">  项目周边主要环境保护目标</w:t>
            </w:r>
            <w:bookmarkEnd w:id="54"/>
            <w:bookmarkEnd w:id="55"/>
            <w:bookmarkEnd w:id="56"/>
          </w:p>
          <w:tbl>
            <w:tblPr>
              <w:tblStyle w:val="31"/>
              <w:tblW w:w="498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521"/>
              <w:gridCol w:w="1049"/>
              <w:gridCol w:w="1039"/>
              <w:gridCol w:w="2071"/>
              <w:gridCol w:w="686"/>
              <w:gridCol w:w="812"/>
              <w:gridCol w:w="1888"/>
            </w:tblGrid>
            <w:tr w14:paraId="6B8BF9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15" w:hRule="atLeast"/>
                <w:jc w:val="center"/>
              </w:trPr>
              <w:tc>
                <w:tcPr>
                  <w:tcW w:w="323" w:type="pct"/>
                  <w:vMerge w:val="restart"/>
                  <w:tcBorders>
                    <w:tl2br w:val="nil"/>
                    <w:tr2bl w:val="nil"/>
                  </w:tcBorders>
                  <w:vAlign w:val="center"/>
                </w:tcPr>
                <w:p w14:paraId="24FFE205">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b/>
                      <w:bCs/>
                      <w:snapToGrid w:val="0"/>
                      <w:color w:val="000000" w:themeColor="text1"/>
                      <w:sz w:val="21"/>
                      <w:szCs w:val="21"/>
                      <w:vertAlign w:val="baseline"/>
                      <w:lang w:val="en-US" w:eastAsia="zh-CN"/>
                      <w14:textFill>
                        <w14:solidFill>
                          <w14:schemeClr w14:val="tx1"/>
                        </w14:solidFill>
                      </w14:textFill>
                    </w:rPr>
                  </w:pPr>
                  <w:bookmarkStart w:id="57" w:name="_Toc7788"/>
                  <w:bookmarkStart w:id="58" w:name="_Toc16975"/>
                  <w:bookmarkStart w:id="59" w:name="_Toc22734"/>
                  <w:r>
                    <w:rPr>
                      <w:rFonts w:hint="default" w:ascii="Times New Roman" w:hAnsi="Times New Roman" w:cs="Times New Roman"/>
                      <w:b/>
                      <w:bCs/>
                      <w:snapToGrid w:val="0"/>
                      <w:color w:val="000000" w:themeColor="text1"/>
                      <w:sz w:val="21"/>
                      <w:szCs w:val="21"/>
                      <w:vertAlign w:val="baseline"/>
                      <w:lang w:val="en-US" w:eastAsia="zh-CN"/>
                      <w14:textFill>
                        <w14:solidFill>
                          <w14:schemeClr w14:val="tx1"/>
                        </w14:solidFill>
                      </w14:textFill>
                    </w:rPr>
                    <w:t>环境要素</w:t>
                  </w:r>
                  <w:bookmarkEnd w:id="57"/>
                  <w:bookmarkEnd w:id="58"/>
                  <w:bookmarkEnd w:id="59"/>
                </w:p>
              </w:tc>
              <w:tc>
                <w:tcPr>
                  <w:tcW w:w="1294" w:type="pct"/>
                  <w:gridSpan w:val="2"/>
                  <w:tcBorders>
                    <w:tl2br w:val="nil"/>
                    <w:tr2bl w:val="nil"/>
                  </w:tcBorders>
                  <w:vAlign w:val="center"/>
                </w:tcPr>
                <w:p w14:paraId="66C963D4">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b/>
                      <w:bCs/>
                      <w:snapToGrid w:val="0"/>
                      <w:color w:val="000000" w:themeColor="text1"/>
                      <w:sz w:val="21"/>
                      <w:szCs w:val="21"/>
                      <w:vertAlign w:val="baseline"/>
                      <w14:textFill>
                        <w14:solidFill>
                          <w14:schemeClr w14:val="tx1"/>
                        </w14:solidFill>
                      </w14:textFill>
                    </w:rPr>
                  </w:pPr>
                  <w:bookmarkStart w:id="60" w:name="_Toc575"/>
                  <w:bookmarkStart w:id="61" w:name="_Toc8009"/>
                  <w:bookmarkStart w:id="62" w:name="_Toc28874"/>
                  <w:r>
                    <w:rPr>
                      <w:rFonts w:hint="default" w:ascii="Times New Roman" w:hAnsi="Times New Roman" w:cs="Times New Roman"/>
                      <w:b/>
                      <w:bCs/>
                      <w:snapToGrid w:val="0"/>
                      <w:color w:val="000000" w:themeColor="text1"/>
                      <w:sz w:val="21"/>
                      <w:szCs w:val="21"/>
                      <w:vertAlign w:val="baseline"/>
                      <w14:textFill>
                        <w14:solidFill>
                          <w14:schemeClr w14:val="tx1"/>
                        </w14:solidFill>
                      </w14:textFill>
                    </w:rPr>
                    <w:t>坐标</w:t>
                  </w:r>
                  <w:bookmarkEnd w:id="60"/>
                  <w:bookmarkEnd w:id="61"/>
                  <w:bookmarkEnd w:id="62"/>
                </w:p>
              </w:tc>
              <w:tc>
                <w:tcPr>
                  <w:tcW w:w="1283" w:type="pct"/>
                  <w:vMerge w:val="restart"/>
                  <w:tcBorders>
                    <w:tl2br w:val="nil"/>
                    <w:tr2bl w:val="nil"/>
                  </w:tcBorders>
                  <w:vAlign w:val="center"/>
                </w:tcPr>
                <w:p w14:paraId="20AB39CC">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b/>
                      <w:bCs/>
                      <w:snapToGrid w:val="0"/>
                      <w:color w:val="000000" w:themeColor="text1"/>
                      <w:sz w:val="21"/>
                      <w:szCs w:val="21"/>
                      <w:vertAlign w:val="baseline"/>
                      <w14:textFill>
                        <w14:solidFill>
                          <w14:schemeClr w14:val="tx1"/>
                        </w14:solidFill>
                      </w14:textFill>
                    </w:rPr>
                  </w:pPr>
                  <w:bookmarkStart w:id="63" w:name="_Toc2760"/>
                  <w:bookmarkStart w:id="64" w:name="_Toc4194"/>
                  <w:bookmarkStart w:id="65" w:name="_Toc4635"/>
                  <w:r>
                    <w:rPr>
                      <w:rFonts w:hint="default" w:ascii="Times New Roman" w:hAnsi="Times New Roman" w:cs="Times New Roman"/>
                      <w:b/>
                      <w:bCs/>
                      <w:snapToGrid w:val="0"/>
                      <w:color w:val="000000" w:themeColor="text1"/>
                      <w:sz w:val="21"/>
                      <w:szCs w:val="21"/>
                      <w:vertAlign w:val="baseline"/>
                      <w14:textFill>
                        <w14:solidFill>
                          <w14:schemeClr w14:val="tx1"/>
                        </w14:solidFill>
                      </w14:textFill>
                    </w:rPr>
                    <w:t>保护目标名称</w:t>
                  </w:r>
                  <w:bookmarkEnd w:id="63"/>
                  <w:bookmarkEnd w:id="64"/>
                  <w:bookmarkEnd w:id="65"/>
                </w:p>
              </w:tc>
              <w:tc>
                <w:tcPr>
                  <w:tcW w:w="425" w:type="pct"/>
                  <w:vMerge w:val="restart"/>
                  <w:tcBorders>
                    <w:tl2br w:val="nil"/>
                    <w:tr2bl w:val="nil"/>
                  </w:tcBorders>
                  <w:vAlign w:val="center"/>
                </w:tcPr>
                <w:p w14:paraId="2FC2FA3B">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b/>
                      <w:bCs/>
                      <w:snapToGrid w:val="0"/>
                      <w:color w:val="000000" w:themeColor="text1"/>
                      <w:sz w:val="21"/>
                      <w:szCs w:val="21"/>
                      <w:vertAlign w:val="baseline"/>
                      <w14:textFill>
                        <w14:solidFill>
                          <w14:schemeClr w14:val="tx1"/>
                        </w14:solidFill>
                      </w14:textFill>
                    </w:rPr>
                  </w:pPr>
                  <w:bookmarkStart w:id="66" w:name="_Toc14385"/>
                  <w:bookmarkStart w:id="67" w:name="_Toc14901"/>
                  <w:bookmarkStart w:id="68" w:name="_Toc26862"/>
                  <w:r>
                    <w:rPr>
                      <w:rFonts w:hint="default" w:ascii="Times New Roman" w:hAnsi="Times New Roman" w:cs="Times New Roman"/>
                      <w:b/>
                      <w:bCs/>
                      <w:snapToGrid w:val="0"/>
                      <w:color w:val="000000" w:themeColor="text1"/>
                      <w:sz w:val="21"/>
                      <w:szCs w:val="21"/>
                      <w:vertAlign w:val="baseline"/>
                      <w14:textFill>
                        <w14:solidFill>
                          <w14:schemeClr w14:val="tx1"/>
                        </w14:solidFill>
                      </w14:textFill>
                    </w:rPr>
                    <w:t>方位</w:t>
                  </w:r>
                  <w:bookmarkEnd w:id="66"/>
                  <w:bookmarkEnd w:id="67"/>
                  <w:bookmarkEnd w:id="68"/>
                </w:p>
              </w:tc>
              <w:tc>
                <w:tcPr>
                  <w:tcW w:w="503" w:type="pct"/>
                  <w:vMerge w:val="restart"/>
                  <w:tcBorders>
                    <w:tl2br w:val="nil"/>
                    <w:tr2bl w:val="nil"/>
                  </w:tcBorders>
                  <w:vAlign w:val="center"/>
                </w:tcPr>
                <w:p w14:paraId="45EE8DF6">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b/>
                      <w:bCs/>
                      <w:snapToGrid w:val="0"/>
                      <w:color w:val="000000" w:themeColor="text1"/>
                      <w:sz w:val="21"/>
                      <w:szCs w:val="21"/>
                      <w:vertAlign w:val="baseline"/>
                      <w:lang w:val="en-US" w:eastAsia="zh-CN"/>
                      <w14:textFill>
                        <w14:solidFill>
                          <w14:schemeClr w14:val="tx1"/>
                        </w14:solidFill>
                      </w14:textFill>
                    </w:rPr>
                  </w:pPr>
                  <w:bookmarkStart w:id="69" w:name="_Toc4209"/>
                  <w:bookmarkStart w:id="70" w:name="_Toc10913"/>
                  <w:bookmarkStart w:id="71" w:name="_Toc3309"/>
                  <w:r>
                    <w:rPr>
                      <w:rFonts w:hint="default" w:ascii="Times New Roman" w:hAnsi="Times New Roman" w:cs="Times New Roman"/>
                      <w:b/>
                      <w:bCs/>
                      <w:snapToGrid w:val="0"/>
                      <w:color w:val="000000" w:themeColor="text1"/>
                      <w:sz w:val="21"/>
                      <w:szCs w:val="21"/>
                      <w:vertAlign w:val="baseline"/>
                      <w14:textFill>
                        <w14:solidFill>
                          <w14:schemeClr w14:val="tx1"/>
                        </w14:solidFill>
                      </w14:textFill>
                    </w:rPr>
                    <w:t>与项目厂界</w:t>
                  </w:r>
                  <w:r>
                    <w:rPr>
                      <w:rFonts w:hint="default" w:ascii="Times New Roman" w:hAnsi="Times New Roman" w:cs="Times New Roman"/>
                      <w:b/>
                      <w:bCs/>
                      <w:snapToGrid w:val="0"/>
                      <w:color w:val="000000" w:themeColor="text1"/>
                      <w:sz w:val="21"/>
                      <w:szCs w:val="21"/>
                      <w:vertAlign w:val="baseline"/>
                      <w:lang w:val="en-US" w:eastAsia="zh-CN"/>
                      <w14:textFill>
                        <w14:solidFill>
                          <w14:schemeClr w14:val="tx1"/>
                        </w14:solidFill>
                      </w14:textFill>
                    </w:rPr>
                    <w:t>最近距离</w:t>
                  </w:r>
                  <w:bookmarkEnd w:id="69"/>
                  <w:bookmarkEnd w:id="70"/>
                  <w:bookmarkEnd w:id="71"/>
                </w:p>
              </w:tc>
              <w:tc>
                <w:tcPr>
                  <w:tcW w:w="1170" w:type="pct"/>
                  <w:vMerge w:val="restart"/>
                  <w:tcBorders>
                    <w:tl2br w:val="nil"/>
                    <w:tr2bl w:val="nil"/>
                  </w:tcBorders>
                  <w:vAlign w:val="center"/>
                </w:tcPr>
                <w:p w14:paraId="30701CF7">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b/>
                      <w:bCs/>
                      <w:snapToGrid w:val="0"/>
                      <w:color w:val="000000" w:themeColor="text1"/>
                      <w:sz w:val="21"/>
                      <w:szCs w:val="21"/>
                      <w:vertAlign w:val="baseline"/>
                      <w14:textFill>
                        <w14:solidFill>
                          <w14:schemeClr w14:val="tx1"/>
                        </w14:solidFill>
                      </w14:textFill>
                    </w:rPr>
                  </w:pPr>
                  <w:bookmarkStart w:id="72" w:name="_Toc6240"/>
                  <w:bookmarkStart w:id="73" w:name="_Toc19051"/>
                  <w:bookmarkStart w:id="74" w:name="_Toc8185"/>
                  <w:r>
                    <w:rPr>
                      <w:rFonts w:hint="default" w:ascii="Times New Roman" w:hAnsi="Times New Roman" w:cs="Times New Roman"/>
                      <w:b/>
                      <w:bCs/>
                      <w:snapToGrid w:val="0"/>
                      <w:color w:val="000000" w:themeColor="text1"/>
                      <w:sz w:val="21"/>
                      <w:szCs w:val="21"/>
                      <w:vertAlign w:val="baseline"/>
                      <w14:textFill>
                        <w14:solidFill>
                          <w14:schemeClr w14:val="tx1"/>
                        </w14:solidFill>
                      </w14:textFill>
                    </w:rPr>
                    <w:t>保护要求</w:t>
                  </w:r>
                  <w:bookmarkEnd w:id="72"/>
                  <w:bookmarkEnd w:id="73"/>
                  <w:bookmarkEnd w:id="74"/>
                </w:p>
              </w:tc>
            </w:tr>
            <w:tr w14:paraId="4FB145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60" w:hRule="exact"/>
                <w:jc w:val="center"/>
              </w:trPr>
              <w:tc>
                <w:tcPr>
                  <w:tcW w:w="323" w:type="pct"/>
                  <w:vMerge w:val="continue"/>
                  <w:tcBorders>
                    <w:tl2br w:val="nil"/>
                    <w:tr2bl w:val="nil"/>
                  </w:tcBorders>
                  <w:vAlign w:val="center"/>
                </w:tcPr>
                <w:p w14:paraId="20CD8521">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p>
              </w:tc>
              <w:tc>
                <w:tcPr>
                  <w:tcW w:w="650" w:type="pct"/>
                  <w:tcBorders>
                    <w:tl2br w:val="nil"/>
                    <w:tr2bl w:val="nil"/>
                  </w:tcBorders>
                  <w:vAlign w:val="center"/>
                </w:tcPr>
                <w:p w14:paraId="13E4E431">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b/>
                      <w:bCs/>
                      <w:snapToGrid w:val="0"/>
                      <w:color w:val="000000" w:themeColor="text1"/>
                      <w:sz w:val="21"/>
                      <w:szCs w:val="21"/>
                      <w:vertAlign w:val="baseline"/>
                      <w14:textFill>
                        <w14:solidFill>
                          <w14:schemeClr w14:val="tx1"/>
                        </w14:solidFill>
                      </w14:textFill>
                    </w:rPr>
                  </w:pPr>
                  <w:bookmarkStart w:id="75" w:name="_Toc15949"/>
                  <w:bookmarkStart w:id="76" w:name="_Toc25608"/>
                  <w:bookmarkStart w:id="77" w:name="_Toc15839"/>
                  <w:r>
                    <w:rPr>
                      <w:rFonts w:hint="default" w:ascii="Times New Roman" w:hAnsi="Times New Roman" w:cs="Times New Roman"/>
                      <w:b/>
                      <w:bCs/>
                      <w:snapToGrid w:val="0"/>
                      <w:color w:val="000000" w:themeColor="text1"/>
                      <w:sz w:val="21"/>
                      <w:szCs w:val="21"/>
                      <w:vertAlign w:val="baseline"/>
                      <w14:textFill>
                        <w14:solidFill>
                          <w14:schemeClr w14:val="tx1"/>
                        </w14:solidFill>
                      </w14:textFill>
                    </w:rPr>
                    <w:t>经度</w:t>
                  </w:r>
                  <w:bookmarkEnd w:id="75"/>
                  <w:bookmarkEnd w:id="76"/>
                  <w:bookmarkEnd w:id="77"/>
                </w:p>
              </w:tc>
              <w:tc>
                <w:tcPr>
                  <w:tcW w:w="644" w:type="pct"/>
                  <w:tcBorders>
                    <w:tl2br w:val="nil"/>
                    <w:tr2bl w:val="nil"/>
                  </w:tcBorders>
                  <w:vAlign w:val="center"/>
                </w:tcPr>
                <w:p w14:paraId="0CD3CE0D">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b/>
                      <w:bCs/>
                      <w:snapToGrid w:val="0"/>
                      <w:color w:val="000000" w:themeColor="text1"/>
                      <w:sz w:val="21"/>
                      <w:szCs w:val="21"/>
                      <w:vertAlign w:val="baseline"/>
                      <w14:textFill>
                        <w14:solidFill>
                          <w14:schemeClr w14:val="tx1"/>
                        </w14:solidFill>
                      </w14:textFill>
                    </w:rPr>
                  </w:pPr>
                  <w:bookmarkStart w:id="78" w:name="_Toc32577"/>
                  <w:bookmarkStart w:id="79" w:name="_Toc964"/>
                  <w:bookmarkStart w:id="80" w:name="_Toc11115"/>
                  <w:r>
                    <w:rPr>
                      <w:rFonts w:hint="default" w:ascii="Times New Roman" w:hAnsi="Times New Roman" w:cs="Times New Roman"/>
                      <w:b/>
                      <w:bCs/>
                      <w:snapToGrid w:val="0"/>
                      <w:color w:val="000000" w:themeColor="text1"/>
                      <w:sz w:val="21"/>
                      <w:szCs w:val="21"/>
                      <w:vertAlign w:val="baseline"/>
                      <w14:textFill>
                        <w14:solidFill>
                          <w14:schemeClr w14:val="tx1"/>
                        </w14:solidFill>
                      </w14:textFill>
                    </w:rPr>
                    <w:t>纬度</w:t>
                  </w:r>
                  <w:bookmarkEnd w:id="78"/>
                  <w:bookmarkEnd w:id="79"/>
                  <w:bookmarkEnd w:id="80"/>
                </w:p>
              </w:tc>
              <w:tc>
                <w:tcPr>
                  <w:tcW w:w="1283" w:type="pct"/>
                  <w:vMerge w:val="continue"/>
                  <w:tcBorders>
                    <w:tl2br w:val="nil"/>
                    <w:tr2bl w:val="nil"/>
                  </w:tcBorders>
                  <w:vAlign w:val="center"/>
                </w:tcPr>
                <w:p w14:paraId="770F1F1E">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p>
              </w:tc>
              <w:tc>
                <w:tcPr>
                  <w:tcW w:w="425" w:type="pct"/>
                  <w:vMerge w:val="continue"/>
                  <w:tcBorders>
                    <w:tl2br w:val="nil"/>
                    <w:tr2bl w:val="nil"/>
                  </w:tcBorders>
                  <w:vAlign w:val="center"/>
                </w:tcPr>
                <w:p w14:paraId="6EB929C2">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p>
              </w:tc>
              <w:tc>
                <w:tcPr>
                  <w:tcW w:w="503" w:type="pct"/>
                  <w:vMerge w:val="continue"/>
                  <w:tcBorders>
                    <w:tl2br w:val="nil"/>
                    <w:tr2bl w:val="nil"/>
                  </w:tcBorders>
                  <w:vAlign w:val="center"/>
                </w:tcPr>
                <w:p w14:paraId="2C887AF4">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p>
              </w:tc>
              <w:tc>
                <w:tcPr>
                  <w:tcW w:w="1170" w:type="pct"/>
                  <w:vMerge w:val="continue"/>
                  <w:tcBorders>
                    <w:tl2br w:val="nil"/>
                    <w:tr2bl w:val="nil"/>
                  </w:tcBorders>
                  <w:vAlign w:val="center"/>
                </w:tcPr>
                <w:p w14:paraId="2E7B27F8">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p>
              </w:tc>
            </w:tr>
            <w:tr w14:paraId="31FD0C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3" w:hRule="atLeast"/>
                <w:jc w:val="center"/>
              </w:trPr>
              <w:tc>
                <w:tcPr>
                  <w:tcW w:w="323" w:type="pct"/>
                  <w:vMerge w:val="restart"/>
                  <w:tcBorders>
                    <w:tl2br w:val="nil"/>
                    <w:tr2bl w:val="nil"/>
                  </w:tcBorders>
                  <w:vAlign w:val="center"/>
                </w:tcPr>
                <w:p w14:paraId="431C1884">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81" w:name="_Toc16776"/>
                  <w:bookmarkStart w:id="82" w:name="_Toc6217"/>
                  <w:bookmarkStart w:id="83" w:name="_Toc18139"/>
                  <w:r>
                    <w:rPr>
                      <w:rFonts w:hint="default" w:ascii="Times New Roman" w:hAnsi="Times New Roman" w:cs="Times New Roman"/>
                      <w:snapToGrid w:val="0"/>
                      <w:color w:val="000000" w:themeColor="text1"/>
                      <w:sz w:val="21"/>
                      <w:szCs w:val="21"/>
                      <w:vertAlign w:val="baseline"/>
                      <w14:textFill>
                        <w14:solidFill>
                          <w14:schemeClr w14:val="tx1"/>
                        </w14:solidFill>
                      </w14:textFill>
                    </w:rPr>
                    <w:t>空气环境</w:t>
                  </w:r>
                  <w:bookmarkEnd w:id="81"/>
                  <w:bookmarkEnd w:id="82"/>
                  <w:bookmarkEnd w:id="83"/>
                </w:p>
              </w:tc>
              <w:tc>
                <w:tcPr>
                  <w:tcW w:w="650" w:type="pct"/>
                  <w:tcBorders>
                    <w:tl2br w:val="nil"/>
                    <w:tr2bl w:val="nil"/>
                  </w:tcBorders>
                  <w:vAlign w:val="center"/>
                </w:tcPr>
                <w:p w14:paraId="520AE7CA">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84" w:name="_Toc3521"/>
                  <w:bookmarkStart w:id="85" w:name="_Toc6782"/>
                  <w:bookmarkStart w:id="86" w:name="_Toc6458"/>
                  <w:r>
                    <w:rPr>
                      <w:rFonts w:hint="default" w:ascii="Times New Roman" w:hAnsi="Times New Roman" w:cs="Times New Roman"/>
                      <w:snapToGrid w:val="0"/>
                      <w:color w:val="000000" w:themeColor="text1"/>
                      <w:sz w:val="21"/>
                      <w:szCs w:val="21"/>
                      <w:vertAlign w:val="baseline"/>
                      <w:lang w:val="en-US" w:eastAsia="zh-CN"/>
                      <w14:textFill>
                        <w14:solidFill>
                          <w14:schemeClr w14:val="tx1"/>
                        </w14:solidFill>
                      </w14:textFill>
                    </w:rPr>
                    <w:t>102.2042</w:t>
                  </w:r>
                  <w:r>
                    <w:rPr>
                      <w:rFonts w:hint="default" w:ascii="Times New Roman" w:hAnsi="Times New Roman" w:cs="Times New Roman"/>
                      <w:snapToGrid w:val="0"/>
                      <w:color w:val="000000" w:themeColor="text1"/>
                      <w:sz w:val="21"/>
                      <w:szCs w:val="21"/>
                      <w:vertAlign w:val="baseline"/>
                      <w14:textFill>
                        <w14:solidFill>
                          <w14:schemeClr w14:val="tx1"/>
                        </w14:solidFill>
                      </w14:textFill>
                    </w:rPr>
                    <w:t>E</w:t>
                  </w:r>
                  <w:bookmarkEnd w:id="84"/>
                  <w:bookmarkEnd w:id="85"/>
                  <w:bookmarkEnd w:id="86"/>
                </w:p>
              </w:tc>
              <w:tc>
                <w:tcPr>
                  <w:tcW w:w="644" w:type="pct"/>
                  <w:tcBorders>
                    <w:tl2br w:val="nil"/>
                    <w:tr2bl w:val="nil"/>
                  </w:tcBorders>
                  <w:vAlign w:val="center"/>
                </w:tcPr>
                <w:p w14:paraId="51E00080">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87" w:name="_Toc19929"/>
                  <w:bookmarkStart w:id="88" w:name="_Toc23831"/>
                  <w:bookmarkStart w:id="89" w:name="_Toc25260"/>
                  <w:r>
                    <w:rPr>
                      <w:rFonts w:hint="default" w:ascii="Times New Roman" w:hAnsi="Times New Roman" w:cs="Times New Roman"/>
                      <w:snapToGrid w:val="0"/>
                      <w:color w:val="000000" w:themeColor="text1"/>
                      <w:sz w:val="21"/>
                      <w:szCs w:val="21"/>
                      <w:vertAlign w:val="baseline"/>
                      <w:lang w:val="en-US" w:eastAsia="zh-CN"/>
                      <w14:textFill>
                        <w14:solidFill>
                          <w14:schemeClr w14:val="tx1"/>
                        </w14:solidFill>
                      </w14:textFill>
                    </w:rPr>
                    <w:t>24.7766</w:t>
                  </w:r>
                  <w:r>
                    <w:rPr>
                      <w:rFonts w:hint="default" w:ascii="Times New Roman" w:hAnsi="Times New Roman" w:cs="Times New Roman"/>
                      <w:snapToGrid w:val="0"/>
                      <w:color w:val="000000" w:themeColor="text1"/>
                      <w:sz w:val="21"/>
                      <w:szCs w:val="21"/>
                      <w:vertAlign w:val="baseline"/>
                      <w14:textFill>
                        <w14:solidFill>
                          <w14:schemeClr w14:val="tx1"/>
                        </w14:solidFill>
                      </w14:textFill>
                    </w:rPr>
                    <w:t>N</w:t>
                  </w:r>
                  <w:bookmarkEnd w:id="87"/>
                  <w:bookmarkEnd w:id="88"/>
                  <w:bookmarkEnd w:id="89"/>
                </w:p>
              </w:tc>
              <w:tc>
                <w:tcPr>
                  <w:tcW w:w="1283" w:type="pct"/>
                  <w:tcBorders>
                    <w:tl2br w:val="nil"/>
                    <w:tr2bl w:val="nil"/>
                  </w:tcBorders>
                  <w:vAlign w:val="center"/>
                </w:tcPr>
                <w:p w14:paraId="0E6056D2">
                  <w:pPr>
                    <w:spacing w:line="240" w:lineRule="auto"/>
                    <w:ind w:firstLine="0" w:firstLineChars="0"/>
                    <w:jc w:val="cente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麦子田村</w:t>
                  </w:r>
                </w:p>
                <w:p w14:paraId="7488FC71">
                  <w:pPr>
                    <w:spacing w:line="240" w:lineRule="auto"/>
                    <w:ind w:firstLine="0" w:firstLineChars="0"/>
                    <w:jc w:val="center"/>
                    <w:rPr>
                      <w:rFonts w:hint="default" w:ascii="Times New Roman" w:hAnsi="Times New Roman"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（150户、525人）</w:t>
                  </w:r>
                </w:p>
              </w:tc>
              <w:tc>
                <w:tcPr>
                  <w:tcW w:w="425" w:type="pct"/>
                  <w:tcBorders>
                    <w:tl2br w:val="nil"/>
                    <w:tr2bl w:val="nil"/>
                  </w:tcBorders>
                  <w:vAlign w:val="center"/>
                </w:tcPr>
                <w:p w14:paraId="1A59D70A">
                  <w:pPr>
                    <w:spacing w:line="240" w:lineRule="auto"/>
                    <w:ind w:firstLine="0" w:firstLineChars="0"/>
                    <w:jc w:val="center"/>
                    <w:rPr>
                      <w:rFonts w:hint="default" w:ascii="Times New Roman" w:hAnsi="Times New Roman"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西南侧</w:t>
                  </w:r>
                </w:p>
              </w:tc>
              <w:tc>
                <w:tcPr>
                  <w:tcW w:w="503" w:type="pct"/>
                  <w:tcBorders>
                    <w:tl2br w:val="nil"/>
                    <w:tr2bl w:val="nil"/>
                  </w:tcBorders>
                  <w:vAlign w:val="center"/>
                </w:tcPr>
                <w:p w14:paraId="5ECA18C3">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90" w:name="_Toc28890"/>
                  <w:bookmarkStart w:id="91" w:name="_Toc14748"/>
                  <w:bookmarkStart w:id="92" w:name="_Toc29680"/>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1500</w:t>
                  </w:r>
                  <w:r>
                    <w:rPr>
                      <w:rFonts w:hint="default" w:ascii="Times New Roman" w:hAnsi="Times New Roman" w:eastAsia="宋体" w:cs="Times New Roman"/>
                      <w:smallCaps w:val="0"/>
                      <w:color w:val="000000" w:themeColor="text1"/>
                      <w:sz w:val="21"/>
                      <w:szCs w:val="21"/>
                      <w:highlight w:val="none"/>
                      <w14:textFill>
                        <w14:solidFill>
                          <w14:schemeClr w14:val="tx1"/>
                        </w14:solidFill>
                      </w14:textFill>
                    </w:rPr>
                    <w:t>m</w:t>
                  </w:r>
                  <w:bookmarkEnd w:id="90"/>
                  <w:bookmarkEnd w:id="91"/>
                  <w:bookmarkEnd w:id="92"/>
                </w:p>
              </w:tc>
              <w:tc>
                <w:tcPr>
                  <w:tcW w:w="1170" w:type="pct"/>
                  <w:vMerge w:val="restart"/>
                  <w:tcBorders>
                    <w:tl2br w:val="nil"/>
                    <w:tr2bl w:val="nil"/>
                  </w:tcBorders>
                  <w:vAlign w:val="center"/>
                </w:tcPr>
                <w:p w14:paraId="3D94C3DF">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both"/>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93" w:name="_Toc27731"/>
                  <w:bookmarkStart w:id="94" w:name="_Toc20392"/>
                  <w:bookmarkStart w:id="95" w:name="_Toc3592"/>
                  <w:r>
                    <w:rPr>
                      <w:rFonts w:hint="default" w:ascii="Times New Roman" w:hAnsi="Times New Roman" w:cs="Times New Roman"/>
                      <w:snapToGrid w:val="0"/>
                      <w:color w:val="000000" w:themeColor="text1"/>
                      <w:sz w:val="21"/>
                      <w:szCs w:val="21"/>
                      <w:vertAlign w:val="baseline"/>
                      <w:lang w:eastAsia="zh-CN"/>
                      <w14:textFill>
                        <w14:solidFill>
                          <w14:schemeClr w14:val="tx1"/>
                        </w14:solidFill>
                      </w14:textFill>
                    </w:rPr>
                    <w:t>《环境空气质量标准》（GB3095-20</w:t>
                  </w:r>
                  <w:r>
                    <w:rPr>
                      <w:rFonts w:hint="default" w:ascii="Times New Roman" w:hAnsi="Times New Roman" w:cs="Times New Roman"/>
                      <w:snapToGrid w:val="0"/>
                      <w:color w:val="000000" w:themeColor="text1"/>
                      <w:sz w:val="21"/>
                      <w:szCs w:val="21"/>
                      <w:vertAlign w:val="baseline"/>
                      <w:lang w:val="en-US" w:eastAsia="zh-CN"/>
                      <w14:textFill>
                        <w14:solidFill>
                          <w14:schemeClr w14:val="tx1"/>
                        </w14:solidFill>
                      </w14:textFill>
                    </w:rPr>
                    <w:t>26</w:t>
                  </w:r>
                  <w:r>
                    <w:rPr>
                      <w:rFonts w:hint="default" w:ascii="Times New Roman" w:hAnsi="Times New Roman" w:cs="Times New Roman"/>
                      <w:snapToGrid w:val="0"/>
                      <w:color w:val="000000" w:themeColor="text1"/>
                      <w:sz w:val="21"/>
                      <w:szCs w:val="21"/>
                      <w:vertAlign w:val="baseline"/>
                      <w:lang w:eastAsia="zh-CN"/>
                      <w14:textFill>
                        <w14:solidFill>
                          <w14:schemeClr w14:val="tx1"/>
                        </w14:solidFill>
                      </w14:textFill>
                    </w:rPr>
                    <w:t>）</w:t>
                  </w:r>
                  <w:r>
                    <w:rPr>
                      <w:rFonts w:hint="default" w:ascii="Times New Roman" w:hAnsi="Times New Roman" w:cs="Times New Roman"/>
                      <w:snapToGrid w:val="0"/>
                      <w:color w:val="000000" w:themeColor="text1"/>
                      <w:sz w:val="21"/>
                      <w:szCs w:val="21"/>
                      <w:vertAlign w:val="baseline"/>
                      <w:lang w:val="en-US" w:eastAsia="zh-CN"/>
                      <w14:textFill>
                        <w14:solidFill>
                          <w14:schemeClr w14:val="tx1"/>
                        </w14:solidFill>
                      </w14:textFill>
                    </w:rPr>
                    <w:t>表1过渡阶段二级浓度限值和表2二级浓度限值</w:t>
                  </w:r>
                  <w:bookmarkEnd w:id="93"/>
                  <w:bookmarkEnd w:id="94"/>
                  <w:bookmarkEnd w:id="95"/>
                </w:p>
              </w:tc>
            </w:tr>
            <w:tr w14:paraId="63F1C5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32" w:hRule="atLeast"/>
                <w:jc w:val="center"/>
              </w:trPr>
              <w:tc>
                <w:tcPr>
                  <w:tcW w:w="323" w:type="pct"/>
                  <w:vMerge w:val="continue"/>
                  <w:tcBorders>
                    <w:tl2br w:val="nil"/>
                    <w:tr2bl w:val="nil"/>
                  </w:tcBorders>
                  <w:vAlign w:val="center"/>
                </w:tcPr>
                <w:p w14:paraId="02184071">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p>
              </w:tc>
              <w:tc>
                <w:tcPr>
                  <w:tcW w:w="650" w:type="pct"/>
                  <w:tcBorders>
                    <w:tl2br w:val="nil"/>
                    <w:tr2bl w:val="nil"/>
                  </w:tcBorders>
                  <w:vAlign w:val="center"/>
                </w:tcPr>
                <w:p w14:paraId="58828479">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96" w:name="_Toc31870"/>
                  <w:bookmarkStart w:id="97" w:name="_Toc7239"/>
                  <w:bookmarkStart w:id="98" w:name="_Toc7117"/>
                  <w:r>
                    <w:rPr>
                      <w:rFonts w:hint="default" w:ascii="Times New Roman" w:hAnsi="Times New Roman" w:cs="Times New Roman"/>
                      <w:snapToGrid w:val="0"/>
                      <w:color w:val="000000" w:themeColor="text1"/>
                      <w:sz w:val="21"/>
                      <w:szCs w:val="21"/>
                      <w:vertAlign w:val="baseline"/>
                      <w:lang w:val="en-US" w:eastAsia="zh-CN"/>
                      <w14:textFill>
                        <w14:solidFill>
                          <w14:schemeClr w14:val="tx1"/>
                        </w14:solidFill>
                      </w14:textFill>
                    </w:rPr>
                    <w:t>102.2045</w:t>
                  </w:r>
                  <w:r>
                    <w:rPr>
                      <w:rFonts w:hint="default" w:ascii="Times New Roman" w:hAnsi="Times New Roman" w:cs="Times New Roman"/>
                      <w:snapToGrid w:val="0"/>
                      <w:color w:val="000000" w:themeColor="text1"/>
                      <w:sz w:val="21"/>
                      <w:szCs w:val="21"/>
                      <w:vertAlign w:val="baseline"/>
                      <w14:textFill>
                        <w14:solidFill>
                          <w14:schemeClr w14:val="tx1"/>
                        </w14:solidFill>
                      </w14:textFill>
                    </w:rPr>
                    <w:t>E</w:t>
                  </w:r>
                  <w:bookmarkEnd w:id="96"/>
                  <w:bookmarkEnd w:id="97"/>
                  <w:bookmarkEnd w:id="98"/>
                </w:p>
              </w:tc>
              <w:tc>
                <w:tcPr>
                  <w:tcW w:w="644" w:type="pct"/>
                  <w:tcBorders>
                    <w:tl2br w:val="nil"/>
                    <w:tr2bl w:val="nil"/>
                  </w:tcBorders>
                  <w:vAlign w:val="center"/>
                </w:tcPr>
                <w:p w14:paraId="6FDA5384">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99" w:name="_Toc11250"/>
                  <w:bookmarkStart w:id="100" w:name="_Toc30766"/>
                  <w:bookmarkStart w:id="101" w:name="_Toc12968"/>
                  <w:r>
                    <w:rPr>
                      <w:rFonts w:hint="default" w:ascii="Times New Roman" w:hAnsi="Times New Roman" w:cs="Times New Roman"/>
                      <w:snapToGrid w:val="0"/>
                      <w:color w:val="000000" w:themeColor="text1"/>
                      <w:sz w:val="21"/>
                      <w:szCs w:val="21"/>
                      <w:vertAlign w:val="baseline"/>
                      <w:lang w:val="en-US" w:eastAsia="zh-CN"/>
                      <w14:textFill>
                        <w14:solidFill>
                          <w14:schemeClr w14:val="tx1"/>
                        </w14:solidFill>
                      </w14:textFill>
                    </w:rPr>
                    <w:t>24.7803</w:t>
                  </w:r>
                  <w:r>
                    <w:rPr>
                      <w:rFonts w:hint="default" w:ascii="Times New Roman" w:hAnsi="Times New Roman" w:cs="Times New Roman"/>
                      <w:snapToGrid w:val="0"/>
                      <w:color w:val="000000" w:themeColor="text1"/>
                      <w:sz w:val="21"/>
                      <w:szCs w:val="21"/>
                      <w:vertAlign w:val="baseline"/>
                      <w14:textFill>
                        <w14:solidFill>
                          <w14:schemeClr w14:val="tx1"/>
                        </w14:solidFill>
                      </w14:textFill>
                    </w:rPr>
                    <w:t>N</w:t>
                  </w:r>
                  <w:bookmarkEnd w:id="99"/>
                  <w:bookmarkEnd w:id="100"/>
                  <w:bookmarkEnd w:id="101"/>
                </w:p>
              </w:tc>
              <w:tc>
                <w:tcPr>
                  <w:tcW w:w="1283" w:type="pct"/>
                  <w:tcBorders>
                    <w:tl2br w:val="nil"/>
                    <w:tr2bl w:val="nil"/>
                  </w:tcBorders>
                  <w:vAlign w:val="center"/>
                </w:tcPr>
                <w:p w14:paraId="380EF3F6">
                  <w:pPr>
                    <w:spacing w:line="240" w:lineRule="auto"/>
                    <w:ind w:firstLine="0" w:firstLineChars="0"/>
                    <w:jc w:val="cente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马家箐</w:t>
                  </w:r>
                </w:p>
                <w:p w14:paraId="1514CFDA">
                  <w:pPr>
                    <w:spacing w:line="240" w:lineRule="auto"/>
                    <w:ind w:firstLine="0" w:firstLineChars="0"/>
                    <w:jc w:val="center"/>
                    <w:rPr>
                      <w:rFonts w:hint="default" w:ascii="Times New Roman" w:hAnsi="Times New Roman"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（30户，约105人）</w:t>
                  </w:r>
                </w:p>
              </w:tc>
              <w:tc>
                <w:tcPr>
                  <w:tcW w:w="425" w:type="pct"/>
                  <w:tcBorders>
                    <w:tl2br w:val="nil"/>
                    <w:tr2bl w:val="nil"/>
                  </w:tcBorders>
                  <w:vAlign w:val="center"/>
                </w:tcPr>
                <w:p w14:paraId="53B9BBFE">
                  <w:pPr>
                    <w:spacing w:line="240" w:lineRule="auto"/>
                    <w:ind w:firstLine="0" w:firstLineChars="0"/>
                    <w:jc w:val="center"/>
                    <w:rPr>
                      <w:rFonts w:hint="default" w:ascii="Times New Roman" w:hAnsi="Times New Roman"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西南侧</w:t>
                  </w:r>
                </w:p>
              </w:tc>
              <w:tc>
                <w:tcPr>
                  <w:tcW w:w="503" w:type="pct"/>
                  <w:tcBorders>
                    <w:tl2br w:val="nil"/>
                    <w:tr2bl w:val="nil"/>
                  </w:tcBorders>
                  <w:vAlign w:val="center"/>
                </w:tcPr>
                <w:p w14:paraId="0EAF8518">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02" w:name="_Toc26649"/>
                  <w:bookmarkStart w:id="103" w:name="_Toc9394"/>
                  <w:bookmarkStart w:id="104" w:name="_Toc32630"/>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1300</w:t>
                  </w:r>
                  <w:r>
                    <w:rPr>
                      <w:rFonts w:hint="default" w:ascii="Times New Roman" w:hAnsi="Times New Roman" w:eastAsia="宋体" w:cs="Times New Roman"/>
                      <w:smallCaps w:val="0"/>
                      <w:color w:val="000000" w:themeColor="text1"/>
                      <w:sz w:val="21"/>
                      <w:szCs w:val="21"/>
                      <w:highlight w:val="none"/>
                      <w14:textFill>
                        <w14:solidFill>
                          <w14:schemeClr w14:val="tx1"/>
                        </w14:solidFill>
                      </w14:textFill>
                    </w:rPr>
                    <w:t>m</w:t>
                  </w:r>
                  <w:bookmarkEnd w:id="102"/>
                  <w:bookmarkEnd w:id="103"/>
                  <w:bookmarkEnd w:id="104"/>
                </w:p>
              </w:tc>
              <w:tc>
                <w:tcPr>
                  <w:tcW w:w="1170" w:type="pct"/>
                  <w:vMerge w:val="continue"/>
                  <w:tcBorders>
                    <w:tl2br w:val="nil"/>
                    <w:tr2bl w:val="nil"/>
                  </w:tcBorders>
                  <w:vAlign w:val="center"/>
                </w:tcPr>
                <w:p w14:paraId="22C84AFF">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p>
              </w:tc>
            </w:tr>
            <w:tr w14:paraId="154BCC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3" w:hRule="atLeast"/>
                <w:jc w:val="center"/>
              </w:trPr>
              <w:tc>
                <w:tcPr>
                  <w:tcW w:w="323" w:type="pct"/>
                  <w:vMerge w:val="continue"/>
                  <w:tcBorders>
                    <w:tl2br w:val="nil"/>
                    <w:tr2bl w:val="nil"/>
                  </w:tcBorders>
                  <w:vAlign w:val="center"/>
                </w:tcPr>
                <w:p w14:paraId="6EB74FD5">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p>
              </w:tc>
              <w:tc>
                <w:tcPr>
                  <w:tcW w:w="650" w:type="pct"/>
                  <w:tcBorders>
                    <w:tl2br w:val="nil"/>
                    <w:tr2bl w:val="nil"/>
                  </w:tcBorders>
                  <w:vAlign w:val="center"/>
                </w:tcPr>
                <w:p w14:paraId="2A81B25E">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05" w:name="_Toc31708"/>
                  <w:bookmarkStart w:id="106" w:name="_Toc25948"/>
                  <w:bookmarkStart w:id="107" w:name="_Toc2783"/>
                  <w:r>
                    <w:rPr>
                      <w:rFonts w:hint="default" w:ascii="Times New Roman" w:hAnsi="Times New Roman" w:cs="Times New Roman"/>
                      <w:snapToGrid w:val="0"/>
                      <w:color w:val="000000" w:themeColor="text1"/>
                      <w:sz w:val="21"/>
                      <w:szCs w:val="21"/>
                      <w:vertAlign w:val="baseline"/>
                      <w:lang w:val="en-US" w:eastAsia="zh-CN"/>
                      <w14:textFill>
                        <w14:solidFill>
                          <w14:schemeClr w14:val="tx1"/>
                        </w14:solidFill>
                      </w14:textFill>
                    </w:rPr>
                    <w:t>102.2210</w:t>
                  </w:r>
                  <w:r>
                    <w:rPr>
                      <w:rFonts w:hint="default" w:ascii="Times New Roman" w:hAnsi="Times New Roman" w:cs="Times New Roman"/>
                      <w:snapToGrid w:val="0"/>
                      <w:color w:val="000000" w:themeColor="text1"/>
                      <w:sz w:val="21"/>
                      <w:szCs w:val="21"/>
                      <w:vertAlign w:val="baseline"/>
                      <w14:textFill>
                        <w14:solidFill>
                          <w14:schemeClr w14:val="tx1"/>
                        </w14:solidFill>
                      </w14:textFill>
                    </w:rPr>
                    <w:t>E</w:t>
                  </w:r>
                  <w:bookmarkEnd w:id="105"/>
                  <w:bookmarkEnd w:id="106"/>
                  <w:bookmarkEnd w:id="107"/>
                </w:p>
              </w:tc>
              <w:tc>
                <w:tcPr>
                  <w:tcW w:w="644" w:type="pct"/>
                  <w:tcBorders>
                    <w:tl2br w:val="nil"/>
                    <w:tr2bl w:val="nil"/>
                  </w:tcBorders>
                  <w:vAlign w:val="center"/>
                </w:tcPr>
                <w:p w14:paraId="35B8245E">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08" w:name="_Toc18363"/>
                  <w:bookmarkStart w:id="109" w:name="_Toc18558"/>
                  <w:bookmarkStart w:id="110" w:name="_Toc23690"/>
                  <w:r>
                    <w:rPr>
                      <w:rFonts w:hint="default" w:ascii="Times New Roman" w:hAnsi="Times New Roman" w:cs="Times New Roman"/>
                      <w:snapToGrid w:val="0"/>
                      <w:color w:val="000000" w:themeColor="text1"/>
                      <w:sz w:val="21"/>
                      <w:szCs w:val="21"/>
                      <w:vertAlign w:val="baseline"/>
                      <w:lang w:val="en-US" w:eastAsia="zh-CN"/>
                      <w14:textFill>
                        <w14:solidFill>
                          <w14:schemeClr w14:val="tx1"/>
                        </w14:solidFill>
                      </w14:textFill>
                    </w:rPr>
                    <w:t>24.7703</w:t>
                  </w:r>
                  <w:r>
                    <w:rPr>
                      <w:rFonts w:hint="default" w:ascii="Times New Roman" w:hAnsi="Times New Roman" w:cs="Times New Roman"/>
                      <w:snapToGrid w:val="0"/>
                      <w:color w:val="000000" w:themeColor="text1"/>
                      <w:sz w:val="21"/>
                      <w:szCs w:val="21"/>
                      <w:vertAlign w:val="baseline"/>
                      <w14:textFill>
                        <w14:solidFill>
                          <w14:schemeClr w14:val="tx1"/>
                        </w14:solidFill>
                      </w14:textFill>
                    </w:rPr>
                    <w:t>N</w:t>
                  </w:r>
                  <w:bookmarkEnd w:id="108"/>
                  <w:bookmarkEnd w:id="109"/>
                  <w:bookmarkEnd w:id="110"/>
                </w:p>
              </w:tc>
              <w:tc>
                <w:tcPr>
                  <w:tcW w:w="1283" w:type="pct"/>
                  <w:tcBorders>
                    <w:tl2br w:val="nil"/>
                    <w:tr2bl w:val="nil"/>
                  </w:tcBorders>
                  <w:vAlign w:val="center"/>
                </w:tcPr>
                <w:p w14:paraId="4392B9BC">
                  <w:pPr>
                    <w:pStyle w:val="29"/>
                    <w:spacing w:after="0"/>
                    <w:ind w:firstLine="0" w:firstLineChars="0"/>
                    <w:jc w:val="center"/>
                    <w:rPr>
                      <w:rFonts w:ascii="Times New Roman" w:hAnsi="Times New Roman" w:eastAsia="宋体"/>
                      <w:color w:val="000000" w:themeColor="text1"/>
                      <w:sz w:val="21"/>
                      <w:szCs w:val="21"/>
                      <w:highlight w:val="none"/>
                      <w14:textFill>
                        <w14:solidFill>
                          <w14:schemeClr w14:val="tx1"/>
                        </w14:solidFill>
                      </w14:textFill>
                    </w:rPr>
                  </w:pPr>
                  <w:r>
                    <w:rPr>
                      <w:rFonts w:ascii="Times New Roman" w:hAnsi="Times New Roman" w:eastAsia="宋体"/>
                      <w:color w:val="000000" w:themeColor="text1"/>
                      <w:sz w:val="21"/>
                      <w:szCs w:val="21"/>
                      <w:highlight w:val="none"/>
                      <w14:textFill>
                        <w14:solidFill>
                          <w14:schemeClr w14:val="tx1"/>
                        </w14:solidFill>
                      </w14:textFill>
                    </w:rPr>
                    <w:t>杨</w:t>
                  </w:r>
                  <w:r>
                    <w:rPr>
                      <w:rFonts w:hint="eastAsia"/>
                      <w:color w:val="000000" w:themeColor="text1"/>
                      <w:sz w:val="21"/>
                      <w:szCs w:val="21"/>
                      <w:highlight w:val="none"/>
                      <w:lang w:val="en-US" w:eastAsia="zh-CN"/>
                      <w14:textFill>
                        <w14:solidFill>
                          <w14:schemeClr w14:val="tx1"/>
                        </w14:solidFill>
                      </w14:textFill>
                    </w:rPr>
                    <w:t>保</w:t>
                  </w:r>
                  <w:r>
                    <w:rPr>
                      <w:rFonts w:ascii="Times New Roman" w:hAnsi="Times New Roman" w:eastAsia="宋体"/>
                      <w:color w:val="000000" w:themeColor="text1"/>
                      <w:sz w:val="21"/>
                      <w:szCs w:val="21"/>
                      <w:highlight w:val="none"/>
                      <w14:textFill>
                        <w14:solidFill>
                          <w14:schemeClr w14:val="tx1"/>
                        </w14:solidFill>
                      </w14:textFill>
                    </w:rPr>
                    <w:t>庄村</w:t>
                  </w:r>
                </w:p>
                <w:p w14:paraId="669FE32C">
                  <w:pPr>
                    <w:pStyle w:val="29"/>
                    <w:spacing w:after="0"/>
                    <w:ind w:firstLine="0" w:firstLineChars="0"/>
                    <w:jc w:val="center"/>
                    <w:rPr>
                      <w:rFonts w:hint="eastAsia" w:ascii="Times New Roman" w:hAnsi="Times New Roman" w:eastAsia="宋体" w:cs="Times New Roman"/>
                      <w:snapToGrid w:val="0"/>
                      <w:color w:val="000000" w:themeColor="text1"/>
                      <w:sz w:val="21"/>
                      <w:szCs w:val="21"/>
                      <w:vertAlign w:val="baseline"/>
                      <w:lang w:eastAsia="zh-CN"/>
                      <w14:textFill>
                        <w14:solidFill>
                          <w14:schemeClr w14:val="tx1"/>
                        </w14:solidFill>
                      </w14:textFill>
                    </w:rPr>
                  </w:pPr>
                  <w:r>
                    <w:rPr>
                      <w:rFonts w:hint="eastAsia" w:ascii="Times New Roman" w:hAnsi="Times New Roman" w:eastAsia="宋体"/>
                      <w:color w:val="000000" w:themeColor="text1"/>
                      <w:sz w:val="21"/>
                      <w:szCs w:val="21"/>
                      <w:highlight w:val="none"/>
                      <w:lang w:eastAsia="zh-CN"/>
                      <w14:textFill>
                        <w14:solidFill>
                          <w14:schemeClr w14:val="tx1"/>
                        </w14:solidFill>
                      </w14:textFill>
                    </w:rPr>
                    <w:t>（200户，约700人）</w:t>
                  </w:r>
                </w:p>
              </w:tc>
              <w:tc>
                <w:tcPr>
                  <w:tcW w:w="425" w:type="pct"/>
                  <w:tcBorders>
                    <w:tl2br w:val="nil"/>
                    <w:tr2bl w:val="nil"/>
                  </w:tcBorders>
                  <w:vAlign w:val="center"/>
                </w:tcPr>
                <w:p w14:paraId="07D6247B">
                  <w:pPr>
                    <w:spacing w:line="240" w:lineRule="auto"/>
                    <w:ind w:firstLine="0" w:firstLineChars="0"/>
                    <w:jc w:val="center"/>
                    <w:rPr>
                      <w:rFonts w:hint="default" w:ascii="Times New Roman" w:hAnsi="Times New Roman"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东侧</w:t>
                  </w:r>
                </w:p>
              </w:tc>
              <w:tc>
                <w:tcPr>
                  <w:tcW w:w="503" w:type="pct"/>
                  <w:tcBorders>
                    <w:tl2br w:val="nil"/>
                    <w:tr2bl w:val="nil"/>
                  </w:tcBorders>
                  <w:vAlign w:val="center"/>
                </w:tcPr>
                <w:p w14:paraId="568C5B35">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11" w:name="_Toc17767"/>
                  <w:bookmarkStart w:id="112" w:name="_Toc19867"/>
                  <w:bookmarkStart w:id="113" w:name="_Toc8016"/>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1160</w:t>
                  </w:r>
                  <w:r>
                    <w:rPr>
                      <w:rFonts w:hint="default" w:ascii="Times New Roman" w:hAnsi="Times New Roman" w:eastAsia="宋体" w:cs="Times New Roman"/>
                      <w:smallCaps w:val="0"/>
                      <w:color w:val="000000" w:themeColor="text1"/>
                      <w:sz w:val="21"/>
                      <w:szCs w:val="21"/>
                      <w:highlight w:val="none"/>
                      <w14:textFill>
                        <w14:solidFill>
                          <w14:schemeClr w14:val="tx1"/>
                        </w14:solidFill>
                      </w14:textFill>
                    </w:rPr>
                    <w:t>m</w:t>
                  </w:r>
                  <w:bookmarkEnd w:id="111"/>
                  <w:bookmarkEnd w:id="112"/>
                  <w:bookmarkEnd w:id="113"/>
                </w:p>
              </w:tc>
              <w:tc>
                <w:tcPr>
                  <w:tcW w:w="1170" w:type="pct"/>
                  <w:vMerge w:val="continue"/>
                  <w:tcBorders>
                    <w:tl2br w:val="nil"/>
                    <w:tr2bl w:val="nil"/>
                  </w:tcBorders>
                  <w:vAlign w:val="center"/>
                </w:tcPr>
                <w:p w14:paraId="55A5A117">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p>
              </w:tc>
            </w:tr>
            <w:tr w14:paraId="0806CB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3" w:hRule="atLeast"/>
                <w:jc w:val="center"/>
              </w:trPr>
              <w:tc>
                <w:tcPr>
                  <w:tcW w:w="323" w:type="pct"/>
                  <w:vMerge w:val="continue"/>
                  <w:tcBorders>
                    <w:tl2br w:val="nil"/>
                    <w:tr2bl w:val="nil"/>
                  </w:tcBorders>
                  <w:vAlign w:val="center"/>
                </w:tcPr>
                <w:p w14:paraId="4D961B16">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p>
              </w:tc>
              <w:tc>
                <w:tcPr>
                  <w:tcW w:w="650" w:type="pct"/>
                  <w:tcBorders>
                    <w:tl2br w:val="nil"/>
                    <w:tr2bl w:val="nil"/>
                  </w:tcBorders>
                  <w:vAlign w:val="center"/>
                </w:tcPr>
                <w:p w14:paraId="257A8FC0">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14" w:name="_Toc24492"/>
                  <w:bookmarkStart w:id="115" w:name="_Toc25694"/>
                  <w:bookmarkStart w:id="116" w:name="_Toc19190"/>
                  <w:r>
                    <w:rPr>
                      <w:rFonts w:hint="default" w:ascii="Times New Roman" w:hAnsi="Times New Roman" w:cs="Times New Roman"/>
                      <w:snapToGrid w:val="0"/>
                      <w:color w:val="000000" w:themeColor="text1"/>
                      <w:sz w:val="21"/>
                      <w:szCs w:val="21"/>
                      <w:vertAlign w:val="baseline"/>
                      <w:lang w:val="en-US" w:eastAsia="zh-CN"/>
                      <w14:textFill>
                        <w14:solidFill>
                          <w14:schemeClr w14:val="tx1"/>
                        </w14:solidFill>
                      </w14:textFill>
                    </w:rPr>
                    <w:t>102.2236</w:t>
                  </w:r>
                  <w:r>
                    <w:rPr>
                      <w:rFonts w:hint="default" w:ascii="Times New Roman" w:hAnsi="Times New Roman" w:cs="Times New Roman"/>
                      <w:snapToGrid w:val="0"/>
                      <w:color w:val="000000" w:themeColor="text1"/>
                      <w:sz w:val="21"/>
                      <w:szCs w:val="21"/>
                      <w:vertAlign w:val="baseline"/>
                      <w14:textFill>
                        <w14:solidFill>
                          <w14:schemeClr w14:val="tx1"/>
                        </w14:solidFill>
                      </w14:textFill>
                    </w:rPr>
                    <w:t>E</w:t>
                  </w:r>
                  <w:bookmarkEnd w:id="114"/>
                  <w:bookmarkEnd w:id="115"/>
                  <w:bookmarkEnd w:id="116"/>
                </w:p>
              </w:tc>
              <w:tc>
                <w:tcPr>
                  <w:tcW w:w="644" w:type="pct"/>
                  <w:tcBorders>
                    <w:tl2br w:val="nil"/>
                    <w:tr2bl w:val="nil"/>
                  </w:tcBorders>
                  <w:vAlign w:val="center"/>
                </w:tcPr>
                <w:p w14:paraId="02C4771A">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17" w:name="_Toc3845"/>
                  <w:bookmarkStart w:id="118" w:name="_Toc28245"/>
                  <w:bookmarkStart w:id="119" w:name="_Toc4623"/>
                  <w:r>
                    <w:rPr>
                      <w:rFonts w:hint="default" w:ascii="Times New Roman" w:hAnsi="Times New Roman" w:cs="Times New Roman"/>
                      <w:snapToGrid w:val="0"/>
                      <w:color w:val="000000" w:themeColor="text1"/>
                      <w:sz w:val="21"/>
                      <w:szCs w:val="21"/>
                      <w:vertAlign w:val="baseline"/>
                      <w:lang w:val="en-US" w:eastAsia="zh-CN"/>
                      <w14:textFill>
                        <w14:solidFill>
                          <w14:schemeClr w14:val="tx1"/>
                        </w14:solidFill>
                      </w14:textFill>
                    </w:rPr>
                    <w:t>24.7843</w:t>
                  </w:r>
                  <w:r>
                    <w:rPr>
                      <w:rFonts w:hint="default" w:ascii="Times New Roman" w:hAnsi="Times New Roman" w:cs="Times New Roman"/>
                      <w:snapToGrid w:val="0"/>
                      <w:color w:val="000000" w:themeColor="text1"/>
                      <w:sz w:val="21"/>
                      <w:szCs w:val="21"/>
                      <w:vertAlign w:val="baseline"/>
                      <w14:textFill>
                        <w14:solidFill>
                          <w14:schemeClr w14:val="tx1"/>
                        </w14:solidFill>
                      </w14:textFill>
                    </w:rPr>
                    <w:t>N</w:t>
                  </w:r>
                  <w:bookmarkEnd w:id="117"/>
                  <w:bookmarkEnd w:id="118"/>
                  <w:bookmarkEnd w:id="119"/>
                </w:p>
              </w:tc>
              <w:tc>
                <w:tcPr>
                  <w:tcW w:w="1283" w:type="pct"/>
                  <w:tcBorders>
                    <w:tl2br w:val="nil"/>
                    <w:tr2bl w:val="nil"/>
                  </w:tcBorders>
                  <w:vAlign w:val="center"/>
                </w:tcPr>
                <w:p w14:paraId="0583E692">
                  <w:pPr>
                    <w:pStyle w:val="29"/>
                    <w:spacing w:after="0"/>
                    <w:ind w:firstLine="0" w:firstLineChars="0"/>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r>
                    <w:rPr>
                      <w:rFonts w:ascii="Times New Roman" w:hAnsi="Times New Roman" w:eastAsia="宋体"/>
                      <w:color w:val="000000" w:themeColor="text1"/>
                      <w:sz w:val="21"/>
                      <w:szCs w:val="21"/>
                      <w:highlight w:val="none"/>
                      <w14:textFill>
                        <w14:solidFill>
                          <w14:schemeClr w14:val="tx1"/>
                        </w14:solidFill>
                      </w14:textFill>
                    </w:rPr>
                    <w:t>小山凹</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村</w:t>
                  </w:r>
                </w:p>
                <w:p w14:paraId="4A061073">
                  <w:pPr>
                    <w:pStyle w:val="29"/>
                    <w:spacing w:after="0"/>
                    <w:ind w:firstLine="0" w:firstLineChars="0"/>
                    <w:jc w:val="center"/>
                    <w:rPr>
                      <w:rFonts w:hint="default" w:ascii="Times New Roman" w:hAnsi="Times New Roman"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（70户，约245人）</w:t>
                  </w:r>
                </w:p>
              </w:tc>
              <w:tc>
                <w:tcPr>
                  <w:tcW w:w="425" w:type="pct"/>
                  <w:tcBorders>
                    <w:tl2br w:val="nil"/>
                    <w:tr2bl w:val="nil"/>
                  </w:tcBorders>
                  <w:vAlign w:val="center"/>
                </w:tcPr>
                <w:p w14:paraId="21C7D8A6">
                  <w:pPr>
                    <w:spacing w:line="240" w:lineRule="auto"/>
                    <w:ind w:firstLine="0" w:firstLineChars="0"/>
                    <w:jc w:val="center"/>
                    <w:rPr>
                      <w:rFonts w:hint="default" w:ascii="Times New Roman" w:hAnsi="Times New Roman"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东侧</w:t>
                  </w:r>
                </w:p>
              </w:tc>
              <w:tc>
                <w:tcPr>
                  <w:tcW w:w="503" w:type="pct"/>
                  <w:tcBorders>
                    <w:tl2br w:val="nil"/>
                    <w:tr2bl w:val="nil"/>
                  </w:tcBorders>
                  <w:vAlign w:val="center"/>
                </w:tcPr>
                <w:p w14:paraId="606F2025">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20" w:name="_Toc6848"/>
                  <w:bookmarkStart w:id="121" w:name="_Toc15171"/>
                  <w:bookmarkStart w:id="122" w:name="_Toc31692"/>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350</w:t>
                  </w:r>
                  <w:r>
                    <w:rPr>
                      <w:rFonts w:hint="default" w:ascii="Times New Roman" w:hAnsi="Times New Roman" w:eastAsia="宋体" w:cs="Times New Roman"/>
                      <w:smallCaps w:val="0"/>
                      <w:color w:val="000000" w:themeColor="text1"/>
                      <w:sz w:val="21"/>
                      <w:szCs w:val="21"/>
                      <w:highlight w:val="none"/>
                      <w14:textFill>
                        <w14:solidFill>
                          <w14:schemeClr w14:val="tx1"/>
                        </w14:solidFill>
                      </w14:textFill>
                    </w:rPr>
                    <w:t>m</w:t>
                  </w:r>
                  <w:bookmarkEnd w:id="120"/>
                  <w:bookmarkEnd w:id="121"/>
                  <w:bookmarkEnd w:id="122"/>
                </w:p>
              </w:tc>
              <w:tc>
                <w:tcPr>
                  <w:tcW w:w="1170" w:type="pct"/>
                  <w:vMerge w:val="continue"/>
                  <w:tcBorders>
                    <w:tl2br w:val="nil"/>
                    <w:tr2bl w:val="nil"/>
                  </w:tcBorders>
                  <w:vAlign w:val="center"/>
                </w:tcPr>
                <w:p w14:paraId="468F8D87">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p>
              </w:tc>
            </w:tr>
            <w:tr w14:paraId="3E30EAE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3" w:hRule="atLeast"/>
                <w:jc w:val="center"/>
              </w:trPr>
              <w:tc>
                <w:tcPr>
                  <w:tcW w:w="323" w:type="pct"/>
                  <w:vMerge w:val="continue"/>
                  <w:tcBorders>
                    <w:tl2br w:val="nil"/>
                    <w:tr2bl w:val="nil"/>
                  </w:tcBorders>
                  <w:vAlign w:val="center"/>
                </w:tcPr>
                <w:p w14:paraId="34B6726C">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p>
              </w:tc>
              <w:tc>
                <w:tcPr>
                  <w:tcW w:w="650" w:type="pct"/>
                  <w:tcBorders>
                    <w:tl2br w:val="nil"/>
                    <w:tr2bl w:val="nil"/>
                  </w:tcBorders>
                  <w:vAlign w:val="center"/>
                </w:tcPr>
                <w:p w14:paraId="4EE111D2">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23" w:name="_Toc8366"/>
                  <w:bookmarkStart w:id="124" w:name="_Toc3035"/>
                  <w:bookmarkStart w:id="125" w:name="_Toc30416"/>
                  <w:r>
                    <w:rPr>
                      <w:rFonts w:hint="default" w:ascii="Times New Roman" w:hAnsi="Times New Roman" w:cs="Times New Roman"/>
                      <w:snapToGrid w:val="0"/>
                      <w:color w:val="000000" w:themeColor="text1"/>
                      <w:sz w:val="21"/>
                      <w:szCs w:val="21"/>
                      <w:vertAlign w:val="baseline"/>
                      <w:lang w:val="en-US" w:eastAsia="zh-CN"/>
                      <w14:textFill>
                        <w14:solidFill>
                          <w14:schemeClr w14:val="tx1"/>
                        </w14:solidFill>
                      </w14:textFill>
                    </w:rPr>
                    <w:t>102.2229</w:t>
                  </w:r>
                  <w:r>
                    <w:rPr>
                      <w:rFonts w:hint="default" w:ascii="Times New Roman" w:hAnsi="Times New Roman" w:cs="Times New Roman"/>
                      <w:snapToGrid w:val="0"/>
                      <w:color w:val="000000" w:themeColor="text1"/>
                      <w:sz w:val="21"/>
                      <w:szCs w:val="21"/>
                      <w:vertAlign w:val="baseline"/>
                      <w14:textFill>
                        <w14:solidFill>
                          <w14:schemeClr w14:val="tx1"/>
                        </w14:solidFill>
                      </w14:textFill>
                    </w:rPr>
                    <w:t>E</w:t>
                  </w:r>
                  <w:bookmarkEnd w:id="123"/>
                  <w:bookmarkEnd w:id="124"/>
                  <w:bookmarkEnd w:id="125"/>
                </w:p>
              </w:tc>
              <w:tc>
                <w:tcPr>
                  <w:tcW w:w="644" w:type="pct"/>
                  <w:tcBorders>
                    <w:tl2br w:val="nil"/>
                    <w:tr2bl w:val="nil"/>
                  </w:tcBorders>
                  <w:vAlign w:val="center"/>
                </w:tcPr>
                <w:p w14:paraId="4A5EE266">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26" w:name="_Toc7188"/>
                  <w:bookmarkStart w:id="127" w:name="_Toc16166"/>
                  <w:bookmarkStart w:id="128" w:name="_Toc6302"/>
                  <w:r>
                    <w:rPr>
                      <w:rFonts w:hint="default" w:ascii="Times New Roman" w:hAnsi="Times New Roman" w:cs="Times New Roman"/>
                      <w:snapToGrid w:val="0"/>
                      <w:color w:val="000000" w:themeColor="text1"/>
                      <w:sz w:val="21"/>
                      <w:szCs w:val="21"/>
                      <w:vertAlign w:val="baseline"/>
                      <w:lang w:val="en-US" w:eastAsia="zh-CN"/>
                      <w14:textFill>
                        <w14:solidFill>
                          <w14:schemeClr w14:val="tx1"/>
                        </w14:solidFill>
                      </w14:textFill>
                    </w:rPr>
                    <w:t>24.7996</w:t>
                  </w:r>
                  <w:r>
                    <w:rPr>
                      <w:rFonts w:hint="default" w:ascii="Times New Roman" w:hAnsi="Times New Roman" w:cs="Times New Roman"/>
                      <w:snapToGrid w:val="0"/>
                      <w:color w:val="000000" w:themeColor="text1"/>
                      <w:sz w:val="21"/>
                      <w:szCs w:val="21"/>
                      <w:vertAlign w:val="baseline"/>
                      <w14:textFill>
                        <w14:solidFill>
                          <w14:schemeClr w14:val="tx1"/>
                        </w14:solidFill>
                      </w14:textFill>
                    </w:rPr>
                    <w:t>N</w:t>
                  </w:r>
                  <w:bookmarkEnd w:id="126"/>
                  <w:bookmarkEnd w:id="127"/>
                  <w:bookmarkEnd w:id="128"/>
                </w:p>
              </w:tc>
              <w:tc>
                <w:tcPr>
                  <w:tcW w:w="1283" w:type="pct"/>
                  <w:tcBorders>
                    <w:tl2br w:val="nil"/>
                    <w:tr2bl w:val="nil"/>
                  </w:tcBorders>
                  <w:vAlign w:val="center"/>
                </w:tcPr>
                <w:p w14:paraId="38A9F736">
                  <w:pPr>
                    <w:pStyle w:val="29"/>
                    <w:spacing w:after="0"/>
                    <w:ind w:firstLine="0" w:firstLineChars="0"/>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村东</w:t>
                  </w:r>
                </w:p>
                <w:p w14:paraId="0D562484">
                  <w:pPr>
                    <w:pStyle w:val="29"/>
                    <w:spacing w:after="0"/>
                    <w:ind w:firstLine="0" w:firstLineChars="0"/>
                    <w:jc w:val="center"/>
                    <w:rPr>
                      <w:rFonts w:hint="default" w:ascii="Times New Roman" w:hAnsi="Times New Roman"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（74户，约297人）</w:t>
                  </w:r>
                </w:p>
              </w:tc>
              <w:tc>
                <w:tcPr>
                  <w:tcW w:w="425" w:type="pct"/>
                  <w:tcBorders>
                    <w:tl2br w:val="nil"/>
                    <w:tr2bl w:val="nil"/>
                  </w:tcBorders>
                  <w:vAlign w:val="center"/>
                </w:tcPr>
                <w:p w14:paraId="688F0476">
                  <w:pPr>
                    <w:spacing w:line="240" w:lineRule="auto"/>
                    <w:ind w:firstLine="0" w:firstLineChars="0"/>
                    <w:jc w:val="center"/>
                    <w:rPr>
                      <w:rFonts w:hint="default" w:ascii="Times New Roman" w:hAnsi="Times New Roman"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北侧</w:t>
                  </w:r>
                </w:p>
              </w:tc>
              <w:tc>
                <w:tcPr>
                  <w:tcW w:w="503" w:type="pct"/>
                  <w:tcBorders>
                    <w:tl2br w:val="nil"/>
                    <w:tr2bl w:val="nil"/>
                  </w:tcBorders>
                  <w:vAlign w:val="center"/>
                </w:tcPr>
                <w:p w14:paraId="26291844">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29" w:name="_Toc10420"/>
                  <w:bookmarkStart w:id="130" w:name="_Toc18594"/>
                  <w:bookmarkStart w:id="131" w:name="_Toc21440"/>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1150m</w:t>
                  </w:r>
                  <w:bookmarkEnd w:id="129"/>
                  <w:bookmarkEnd w:id="130"/>
                  <w:bookmarkEnd w:id="131"/>
                </w:p>
              </w:tc>
              <w:tc>
                <w:tcPr>
                  <w:tcW w:w="1170" w:type="pct"/>
                  <w:vMerge w:val="continue"/>
                  <w:tcBorders>
                    <w:tl2br w:val="nil"/>
                    <w:tr2bl w:val="nil"/>
                  </w:tcBorders>
                  <w:vAlign w:val="center"/>
                </w:tcPr>
                <w:p w14:paraId="32863431">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p>
              </w:tc>
            </w:tr>
            <w:tr w14:paraId="4C5AEF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3" w:hRule="atLeast"/>
                <w:jc w:val="center"/>
              </w:trPr>
              <w:tc>
                <w:tcPr>
                  <w:tcW w:w="323" w:type="pct"/>
                  <w:vMerge w:val="continue"/>
                  <w:tcBorders>
                    <w:tl2br w:val="nil"/>
                    <w:tr2bl w:val="nil"/>
                  </w:tcBorders>
                  <w:vAlign w:val="center"/>
                </w:tcPr>
                <w:p w14:paraId="451E15D3">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p>
              </w:tc>
              <w:tc>
                <w:tcPr>
                  <w:tcW w:w="650" w:type="pct"/>
                  <w:tcBorders>
                    <w:tl2br w:val="nil"/>
                    <w:tr2bl w:val="nil"/>
                  </w:tcBorders>
                  <w:vAlign w:val="center"/>
                </w:tcPr>
                <w:p w14:paraId="3F97D323">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32" w:name="_Toc913"/>
                  <w:bookmarkStart w:id="133" w:name="_Toc3986"/>
                  <w:bookmarkStart w:id="134" w:name="_Toc32734"/>
                  <w:r>
                    <w:rPr>
                      <w:rFonts w:hint="default" w:ascii="Times New Roman" w:hAnsi="Times New Roman" w:cs="Times New Roman"/>
                      <w:snapToGrid w:val="0"/>
                      <w:color w:val="000000" w:themeColor="text1"/>
                      <w:sz w:val="21"/>
                      <w:szCs w:val="21"/>
                      <w:vertAlign w:val="baseline"/>
                      <w:lang w:val="en-US" w:eastAsia="zh-CN"/>
                      <w14:textFill>
                        <w14:solidFill>
                          <w14:schemeClr w14:val="tx1"/>
                        </w14:solidFill>
                      </w14:textFill>
                    </w:rPr>
                    <w:t>102.2297</w:t>
                  </w:r>
                  <w:r>
                    <w:rPr>
                      <w:rFonts w:hint="default" w:ascii="Times New Roman" w:hAnsi="Times New Roman" w:cs="Times New Roman"/>
                      <w:snapToGrid w:val="0"/>
                      <w:color w:val="000000" w:themeColor="text1"/>
                      <w:sz w:val="21"/>
                      <w:szCs w:val="21"/>
                      <w:vertAlign w:val="baseline"/>
                      <w14:textFill>
                        <w14:solidFill>
                          <w14:schemeClr w14:val="tx1"/>
                        </w14:solidFill>
                      </w14:textFill>
                    </w:rPr>
                    <w:t>E</w:t>
                  </w:r>
                  <w:bookmarkEnd w:id="132"/>
                  <w:bookmarkEnd w:id="133"/>
                  <w:bookmarkEnd w:id="134"/>
                </w:p>
              </w:tc>
              <w:tc>
                <w:tcPr>
                  <w:tcW w:w="644" w:type="pct"/>
                  <w:tcBorders>
                    <w:tl2br w:val="nil"/>
                    <w:tr2bl w:val="nil"/>
                  </w:tcBorders>
                  <w:vAlign w:val="center"/>
                </w:tcPr>
                <w:p w14:paraId="29A0EA15">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35" w:name="_Toc18416"/>
                  <w:bookmarkStart w:id="136" w:name="_Toc26046"/>
                  <w:bookmarkStart w:id="137" w:name="_Toc22828"/>
                  <w:r>
                    <w:rPr>
                      <w:rFonts w:hint="default" w:ascii="Times New Roman" w:hAnsi="Times New Roman" w:cs="Times New Roman"/>
                      <w:snapToGrid w:val="0"/>
                      <w:color w:val="000000" w:themeColor="text1"/>
                      <w:sz w:val="21"/>
                      <w:szCs w:val="21"/>
                      <w:vertAlign w:val="baseline"/>
                      <w:lang w:val="en-US" w:eastAsia="zh-CN"/>
                      <w14:textFill>
                        <w14:solidFill>
                          <w14:schemeClr w14:val="tx1"/>
                        </w14:solidFill>
                      </w14:textFill>
                    </w:rPr>
                    <w:t>24.8036</w:t>
                  </w:r>
                  <w:r>
                    <w:rPr>
                      <w:rFonts w:hint="default" w:ascii="Times New Roman" w:hAnsi="Times New Roman" w:cs="Times New Roman"/>
                      <w:snapToGrid w:val="0"/>
                      <w:color w:val="000000" w:themeColor="text1"/>
                      <w:sz w:val="21"/>
                      <w:szCs w:val="21"/>
                      <w:vertAlign w:val="baseline"/>
                      <w14:textFill>
                        <w14:solidFill>
                          <w14:schemeClr w14:val="tx1"/>
                        </w14:solidFill>
                      </w14:textFill>
                    </w:rPr>
                    <w:t>N</w:t>
                  </w:r>
                  <w:bookmarkEnd w:id="135"/>
                  <w:bookmarkEnd w:id="136"/>
                  <w:bookmarkEnd w:id="137"/>
                </w:p>
              </w:tc>
              <w:tc>
                <w:tcPr>
                  <w:tcW w:w="1283" w:type="pct"/>
                  <w:tcBorders>
                    <w:tl2br w:val="nil"/>
                    <w:tr2bl w:val="nil"/>
                  </w:tcBorders>
                  <w:vAlign w:val="center"/>
                </w:tcPr>
                <w:p w14:paraId="75B4A5F7">
                  <w:pPr>
                    <w:pStyle w:val="29"/>
                    <w:spacing w:after="0"/>
                    <w:ind w:firstLine="0" w:firstLineChars="0"/>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大山凹村</w:t>
                  </w:r>
                </w:p>
                <w:p w14:paraId="03417789">
                  <w:pPr>
                    <w:pStyle w:val="29"/>
                    <w:spacing w:after="0"/>
                    <w:ind w:firstLine="0" w:firstLineChars="0"/>
                    <w:jc w:val="center"/>
                    <w:rPr>
                      <w:rFonts w:hint="default" w:ascii="Times New Roman" w:hAnsi="Times New Roman"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（80户，约280人）</w:t>
                  </w:r>
                </w:p>
              </w:tc>
              <w:tc>
                <w:tcPr>
                  <w:tcW w:w="425" w:type="pct"/>
                  <w:tcBorders>
                    <w:tl2br w:val="nil"/>
                    <w:tr2bl w:val="nil"/>
                  </w:tcBorders>
                  <w:vAlign w:val="center"/>
                </w:tcPr>
                <w:p w14:paraId="5F582F51">
                  <w:pPr>
                    <w:spacing w:line="240" w:lineRule="auto"/>
                    <w:ind w:firstLine="0" w:firstLineChars="0"/>
                    <w:jc w:val="center"/>
                    <w:rPr>
                      <w:rFonts w:hint="default" w:ascii="Times New Roman" w:hAnsi="Times New Roman"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北侧</w:t>
                  </w:r>
                </w:p>
              </w:tc>
              <w:tc>
                <w:tcPr>
                  <w:tcW w:w="503" w:type="pct"/>
                  <w:tcBorders>
                    <w:tl2br w:val="nil"/>
                    <w:tr2bl w:val="nil"/>
                  </w:tcBorders>
                  <w:vAlign w:val="center"/>
                </w:tcPr>
                <w:p w14:paraId="1C6E6153">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38" w:name="_Toc11540"/>
                  <w:bookmarkStart w:id="139" w:name="_Toc26958"/>
                  <w:bookmarkStart w:id="140" w:name="_Toc21615"/>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1800m</w:t>
                  </w:r>
                  <w:bookmarkEnd w:id="138"/>
                  <w:bookmarkEnd w:id="139"/>
                  <w:bookmarkEnd w:id="140"/>
                </w:p>
              </w:tc>
              <w:tc>
                <w:tcPr>
                  <w:tcW w:w="1170" w:type="pct"/>
                  <w:vMerge w:val="continue"/>
                  <w:tcBorders>
                    <w:tl2br w:val="nil"/>
                    <w:tr2bl w:val="nil"/>
                  </w:tcBorders>
                  <w:vAlign w:val="center"/>
                </w:tcPr>
                <w:p w14:paraId="7E118115">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p>
              </w:tc>
            </w:tr>
            <w:tr w14:paraId="205752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3" w:hRule="atLeast"/>
                <w:jc w:val="center"/>
              </w:trPr>
              <w:tc>
                <w:tcPr>
                  <w:tcW w:w="323" w:type="pct"/>
                  <w:vMerge w:val="continue"/>
                  <w:tcBorders>
                    <w:tl2br w:val="nil"/>
                    <w:tr2bl w:val="nil"/>
                  </w:tcBorders>
                  <w:vAlign w:val="center"/>
                </w:tcPr>
                <w:p w14:paraId="71CEC6BF">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p>
              </w:tc>
              <w:tc>
                <w:tcPr>
                  <w:tcW w:w="650" w:type="pct"/>
                  <w:tcBorders>
                    <w:tl2br w:val="nil"/>
                    <w:tr2bl w:val="nil"/>
                  </w:tcBorders>
                  <w:vAlign w:val="center"/>
                </w:tcPr>
                <w:p w14:paraId="0025458F">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41" w:name="_Toc8802"/>
                  <w:bookmarkStart w:id="142" w:name="_Toc22817"/>
                  <w:bookmarkStart w:id="143" w:name="_Toc15347"/>
                  <w:r>
                    <w:rPr>
                      <w:rFonts w:hint="default" w:ascii="Times New Roman" w:hAnsi="Times New Roman" w:cs="Times New Roman"/>
                      <w:snapToGrid w:val="0"/>
                      <w:color w:val="000000" w:themeColor="text1"/>
                      <w:sz w:val="21"/>
                      <w:szCs w:val="21"/>
                      <w:vertAlign w:val="baseline"/>
                      <w:lang w:val="en-US" w:eastAsia="zh-CN"/>
                      <w14:textFill>
                        <w14:solidFill>
                          <w14:schemeClr w14:val="tx1"/>
                        </w14:solidFill>
                      </w14:textFill>
                    </w:rPr>
                    <w:t>102.2180</w:t>
                  </w:r>
                  <w:r>
                    <w:rPr>
                      <w:rFonts w:hint="default" w:ascii="Times New Roman" w:hAnsi="Times New Roman" w:cs="Times New Roman"/>
                      <w:snapToGrid w:val="0"/>
                      <w:color w:val="000000" w:themeColor="text1"/>
                      <w:sz w:val="21"/>
                      <w:szCs w:val="21"/>
                      <w:vertAlign w:val="baseline"/>
                      <w14:textFill>
                        <w14:solidFill>
                          <w14:schemeClr w14:val="tx1"/>
                        </w14:solidFill>
                      </w14:textFill>
                    </w:rPr>
                    <w:t>E</w:t>
                  </w:r>
                  <w:bookmarkEnd w:id="141"/>
                  <w:bookmarkEnd w:id="142"/>
                  <w:bookmarkEnd w:id="143"/>
                </w:p>
              </w:tc>
              <w:tc>
                <w:tcPr>
                  <w:tcW w:w="644" w:type="pct"/>
                  <w:tcBorders>
                    <w:tl2br w:val="nil"/>
                    <w:tr2bl w:val="nil"/>
                  </w:tcBorders>
                  <w:vAlign w:val="center"/>
                </w:tcPr>
                <w:p w14:paraId="34E723FC">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44" w:name="_Toc24965"/>
                  <w:bookmarkStart w:id="145" w:name="_Toc18436"/>
                  <w:bookmarkStart w:id="146" w:name="_Toc22836"/>
                  <w:r>
                    <w:rPr>
                      <w:rFonts w:hint="default" w:ascii="Times New Roman" w:hAnsi="Times New Roman" w:cs="Times New Roman"/>
                      <w:snapToGrid w:val="0"/>
                      <w:color w:val="000000" w:themeColor="text1"/>
                      <w:sz w:val="21"/>
                      <w:szCs w:val="21"/>
                      <w:vertAlign w:val="baseline"/>
                      <w:lang w:val="en-US" w:eastAsia="zh-CN"/>
                      <w14:textFill>
                        <w14:solidFill>
                          <w14:schemeClr w14:val="tx1"/>
                        </w14:solidFill>
                      </w14:textFill>
                    </w:rPr>
                    <w:t>24.8002</w:t>
                  </w:r>
                  <w:r>
                    <w:rPr>
                      <w:rFonts w:hint="default" w:ascii="Times New Roman" w:hAnsi="Times New Roman" w:cs="Times New Roman"/>
                      <w:snapToGrid w:val="0"/>
                      <w:color w:val="000000" w:themeColor="text1"/>
                      <w:sz w:val="21"/>
                      <w:szCs w:val="21"/>
                      <w:vertAlign w:val="baseline"/>
                      <w14:textFill>
                        <w14:solidFill>
                          <w14:schemeClr w14:val="tx1"/>
                        </w14:solidFill>
                      </w14:textFill>
                    </w:rPr>
                    <w:t>N</w:t>
                  </w:r>
                  <w:bookmarkEnd w:id="144"/>
                  <w:bookmarkEnd w:id="145"/>
                  <w:bookmarkEnd w:id="146"/>
                </w:p>
              </w:tc>
              <w:tc>
                <w:tcPr>
                  <w:tcW w:w="1283" w:type="pct"/>
                  <w:tcBorders>
                    <w:tl2br w:val="nil"/>
                    <w:tr2bl w:val="nil"/>
                  </w:tcBorders>
                  <w:vAlign w:val="center"/>
                </w:tcPr>
                <w:p w14:paraId="23FD5C31">
                  <w:pPr>
                    <w:pStyle w:val="29"/>
                    <w:spacing w:after="0"/>
                    <w:ind w:firstLine="0" w:firstLineChars="0"/>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摩所村</w:t>
                  </w:r>
                </w:p>
                <w:p w14:paraId="1E8F39D3">
                  <w:pPr>
                    <w:pStyle w:val="29"/>
                    <w:spacing w:after="0"/>
                    <w:ind w:firstLine="0" w:firstLineChars="0"/>
                    <w:jc w:val="center"/>
                    <w:rPr>
                      <w:rFonts w:hint="default" w:ascii="Times New Roman" w:hAnsi="Times New Roman"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（170户，约595人）</w:t>
                  </w:r>
                </w:p>
              </w:tc>
              <w:tc>
                <w:tcPr>
                  <w:tcW w:w="425" w:type="pct"/>
                  <w:tcBorders>
                    <w:tl2br w:val="nil"/>
                    <w:tr2bl w:val="nil"/>
                  </w:tcBorders>
                  <w:vAlign w:val="center"/>
                </w:tcPr>
                <w:p w14:paraId="78EF5F72">
                  <w:pPr>
                    <w:spacing w:line="240" w:lineRule="auto"/>
                    <w:ind w:firstLine="0" w:firstLineChars="0"/>
                    <w:jc w:val="center"/>
                    <w:rPr>
                      <w:rFonts w:hint="default" w:ascii="Times New Roman" w:hAnsi="Times New Roman"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北侧</w:t>
                  </w:r>
                </w:p>
              </w:tc>
              <w:tc>
                <w:tcPr>
                  <w:tcW w:w="503" w:type="pct"/>
                  <w:tcBorders>
                    <w:tl2br w:val="nil"/>
                    <w:tr2bl w:val="nil"/>
                  </w:tcBorders>
                  <w:vAlign w:val="center"/>
                </w:tcPr>
                <w:p w14:paraId="269E3AA3">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47" w:name="_Toc30380"/>
                  <w:bookmarkStart w:id="148" w:name="_Toc21902"/>
                  <w:bookmarkStart w:id="149" w:name="_Toc12441"/>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1000m</w:t>
                  </w:r>
                  <w:bookmarkEnd w:id="147"/>
                  <w:bookmarkEnd w:id="148"/>
                  <w:bookmarkEnd w:id="149"/>
                </w:p>
              </w:tc>
              <w:tc>
                <w:tcPr>
                  <w:tcW w:w="1170" w:type="pct"/>
                  <w:vMerge w:val="continue"/>
                  <w:tcBorders>
                    <w:tl2br w:val="nil"/>
                    <w:tr2bl w:val="nil"/>
                  </w:tcBorders>
                  <w:vAlign w:val="center"/>
                </w:tcPr>
                <w:p w14:paraId="69DB0FA7">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p>
              </w:tc>
            </w:tr>
            <w:tr w14:paraId="1C68EDE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3" w:hRule="atLeast"/>
                <w:jc w:val="center"/>
              </w:trPr>
              <w:tc>
                <w:tcPr>
                  <w:tcW w:w="323" w:type="pct"/>
                  <w:vMerge w:val="continue"/>
                  <w:tcBorders>
                    <w:tl2br w:val="nil"/>
                    <w:tr2bl w:val="nil"/>
                  </w:tcBorders>
                  <w:vAlign w:val="center"/>
                </w:tcPr>
                <w:p w14:paraId="2B410A9D">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p>
              </w:tc>
              <w:tc>
                <w:tcPr>
                  <w:tcW w:w="650" w:type="pct"/>
                  <w:tcBorders>
                    <w:tl2br w:val="nil"/>
                    <w:tr2bl w:val="nil"/>
                  </w:tcBorders>
                  <w:vAlign w:val="center"/>
                </w:tcPr>
                <w:p w14:paraId="5812C6EF">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lang w:val="en-US" w:eastAsia="zh-CN"/>
                      <w14:textFill>
                        <w14:solidFill>
                          <w14:schemeClr w14:val="tx1"/>
                        </w14:solidFill>
                      </w14:textFill>
                    </w:rPr>
                  </w:pPr>
                  <w:bookmarkStart w:id="150" w:name="_Toc15216"/>
                  <w:bookmarkStart w:id="151" w:name="_Toc18323"/>
                  <w:bookmarkStart w:id="152" w:name="_Toc26908"/>
                  <w:r>
                    <w:rPr>
                      <w:rFonts w:hint="eastAsia" w:ascii="Times New Roman" w:hAnsi="Times New Roman" w:cs="Times New Roman"/>
                      <w:snapToGrid w:val="0"/>
                      <w:color w:val="000000" w:themeColor="text1"/>
                      <w:sz w:val="21"/>
                      <w:szCs w:val="21"/>
                      <w:vertAlign w:val="baseline"/>
                      <w:lang w:val="en-US" w:eastAsia="zh-CN"/>
                      <w14:textFill>
                        <w14:solidFill>
                          <w14:schemeClr w14:val="tx1"/>
                        </w14:solidFill>
                      </w14:textFill>
                    </w:rPr>
                    <w:t>/</w:t>
                  </w:r>
                  <w:bookmarkEnd w:id="150"/>
                  <w:bookmarkEnd w:id="151"/>
                  <w:bookmarkEnd w:id="152"/>
                </w:p>
              </w:tc>
              <w:tc>
                <w:tcPr>
                  <w:tcW w:w="644" w:type="pct"/>
                  <w:tcBorders>
                    <w:tl2br w:val="nil"/>
                    <w:tr2bl w:val="nil"/>
                  </w:tcBorders>
                  <w:vAlign w:val="center"/>
                </w:tcPr>
                <w:p w14:paraId="61533D67">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lang w:val="en-US" w:eastAsia="zh-CN"/>
                      <w14:textFill>
                        <w14:solidFill>
                          <w14:schemeClr w14:val="tx1"/>
                        </w14:solidFill>
                      </w14:textFill>
                    </w:rPr>
                  </w:pPr>
                  <w:bookmarkStart w:id="153" w:name="_Toc29403"/>
                  <w:bookmarkStart w:id="154" w:name="_Toc14584"/>
                  <w:bookmarkStart w:id="155" w:name="_Toc17874"/>
                  <w:r>
                    <w:rPr>
                      <w:rFonts w:hint="eastAsia" w:ascii="Times New Roman" w:hAnsi="Times New Roman" w:cs="Times New Roman"/>
                      <w:snapToGrid w:val="0"/>
                      <w:color w:val="000000" w:themeColor="text1"/>
                      <w:sz w:val="21"/>
                      <w:szCs w:val="21"/>
                      <w:vertAlign w:val="baseline"/>
                      <w:lang w:val="en-US" w:eastAsia="zh-CN"/>
                      <w14:textFill>
                        <w14:solidFill>
                          <w14:schemeClr w14:val="tx1"/>
                        </w14:solidFill>
                      </w14:textFill>
                    </w:rPr>
                    <w:t>/</w:t>
                  </w:r>
                  <w:bookmarkEnd w:id="153"/>
                  <w:bookmarkEnd w:id="154"/>
                  <w:bookmarkEnd w:id="155"/>
                </w:p>
              </w:tc>
              <w:tc>
                <w:tcPr>
                  <w:tcW w:w="1283" w:type="pct"/>
                  <w:tcBorders>
                    <w:tl2br w:val="nil"/>
                    <w:tr2bl w:val="nil"/>
                  </w:tcBorders>
                  <w:vAlign w:val="center"/>
                </w:tcPr>
                <w:p w14:paraId="458F560E">
                  <w:pPr>
                    <w:pStyle w:val="29"/>
                    <w:spacing w:after="0"/>
                    <w:ind w:firstLine="0" w:firstLineChars="0"/>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翠柏自然保护区</w:t>
                  </w:r>
                </w:p>
              </w:tc>
              <w:tc>
                <w:tcPr>
                  <w:tcW w:w="425" w:type="pct"/>
                  <w:tcBorders>
                    <w:tl2br w:val="nil"/>
                    <w:tr2bl w:val="nil"/>
                  </w:tcBorders>
                  <w:vAlign w:val="center"/>
                </w:tcPr>
                <w:p w14:paraId="58F821A9">
                  <w:pPr>
                    <w:spacing w:line="240" w:lineRule="auto"/>
                    <w:ind w:firstLine="0" w:firstLineChars="0"/>
                    <w:jc w:val="center"/>
                    <w:rPr>
                      <w:rFonts w:hint="default"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pPr>
                  <w:r>
                    <w:rPr>
                      <w:rFonts w:hint="eastAsia" w:cs="Times New Roman"/>
                      <w:smallCaps w:val="0"/>
                      <w:color w:val="000000" w:themeColor="text1"/>
                      <w:sz w:val="21"/>
                      <w:szCs w:val="21"/>
                      <w:highlight w:val="none"/>
                      <w:lang w:val="en-US" w:eastAsia="zh-CN"/>
                      <w14:textFill>
                        <w14:solidFill>
                          <w14:schemeClr w14:val="tx1"/>
                        </w14:solidFill>
                      </w14:textFill>
                    </w:rPr>
                    <w:t>东北侧</w:t>
                  </w:r>
                </w:p>
              </w:tc>
              <w:tc>
                <w:tcPr>
                  <w:tcW w:w="503" w:type="pct"/>
                  <w:tcBorders>
                    <w:tl2br w:val="nil"/>
                    <w:tr2bl w:val="nil"/>
                  </w:tcBorders>
                  <w:vAlign w:val="center"/>
                </w:tcPr>
                <w:p w14:paraId="49DB42F9">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smallCaps w:val="0"/>
                      <w:color w:val="000000" w:themeColor="text1"/>
                      <w:sz w:val="21"/>
                      <w:szCs w:val="21"/>
                      <w:highlight w:val="none"/>
                      <w:lang w:val="en-US" w:eastAsia="zh-CN"/>
                      <w14:textFill>
                        <w14:solidFill>
                          <w14:schemeClr w14:val="tx1"/>
                        </w14:solidFill>
                      </w14:textFill>
                    </w:rPr>
                    <w:t>1800</w:t>
                  </w: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m</w:t>
                  </w:r>
                </w:p>
              </w:tc>
              <w:tc>
                <w:tcPr>
                  <w:tcW w:w="1170" w:type="pct"/>
                  <w:tcBorders>
                    <w:tl2br w:val="nil"/>
                    <w:tr2bl w:val="nil"/>
                  </w:tcBorders>
                  <w:shd w:val="clear" w:color="auto" w:fill="auto"/>
                  <w:vAlign w:val="center"/>
                </w:tcPr>
                <w:p w14:paraId="6E590011">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156" w:name="_Toc5027"/>
                  <w:bookmarkStart w:id="157" w:name="_Toc14590"/>
                  <w:bookmarkStart w:id="158" w:name="_Toc5632"/>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《环境空气质量标准》（GB3095-2026）表1过渡阶段</w:t>
                  </w:r>
                  <w:r>
                    <w:rPr>
                      <w:rFonts w:hint="eastAsia"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一</w:t>
                  </w:r>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级浓度限值和表2</w:t>
                  </w:r>
                  <w:r>
                    <w:rPr>
                      <w:rFonts w:hint="eastAsia"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一</w:t>
                  </w:r>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级浓度限值</w:t>
                  </w:r>
                  <w:bookmarkEnd w:id="156"/>
                  <w:bookmarkEnd w:id="157"/>
                  <w:bookmarkEnd w:id="158"/>
                </w:p>
              </w:tc>
            </w:tr>
            <w:tr w14:paraId="19C27F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3" w:hRule="atLeast"/>
                <w:jc w:val="center"/>
              </w:trPr>
              <w:tc>
                <w:tcPr>
                  <w:tcW w:w="323" w:type="pct"/>
                  <w:tcBorders>
                    <w:tl2br w:val="nil"/>
                    <w:tr2bl w:val="nil"/>
                  </w:tcBorders>
                  <w:vAlign w:val="center"/>
                </w:tcPr>
                <w:p w14:paraId="123AE57F">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59" w:name="_Toc5823"/>
                  <w:bookmarkStart w:id="160" w:name="_Toc5030"/>
                  <w:bookmarkStart w:id="161" w:name="_Toc11576"/>
                  <w:r>
                    <w:rPr>
                      <w:rFonts w:hint="default" w:ascii="Times New Roman" w:hAnsi="Times New Roman" w:cs="Times New Roman"/>
                      <w:snapToGrid w:val="0"/>
                      <w:color w:val="000000" w:themeColor="text1"/>
                      <w:sz w:val="21"/>
                      <w:szCs w:val="21"/>
                      <w:vertAlign w:val="baseline"/>
                      <w14:textFill>
                        <w14:solidFill>
                          <w14:schemeClr w14:val="tx1"/>
                        </w14:solidFill>
                      </w14:textFill>
                    </w:rPr>
                    <w:t>水环境</w:t>
                  </w:r>
                  <w:bookmarkEnd w:id="159"/>
                  <w:bookmarkEnd w:id="160"/>
                  <w:bookmarkEnd w:id="161"/>
                </w:p>
              </w:tc>
              <w:tc>
                <w:tcPr>
                  <w:tcW w:w="1294" w:type="pct"/>
                  <w:gridSpan w:val="2"/>
                  <w:tcBorders>
                    <w:tl2br w:val="nil"/>
                    <w:tr2bl w:val="nil"/>
                  </w:tcBorders>
                  <w:vAlign w:val="center"/>
                </w:tcPr>
                <w:p w14:paraId="5DDA39EE">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62" w:name="_Toc24629"/>
                  <w:bookmarkStart w:id="163" w:name="_Toc1595"/>
                  <w:bookmarkStart w:id="164" w:name="_Toc5296"/>
                  <w:r>
                    <w:rPr>
                      <w:rFonts w:hint="default" w:ascii="Times New Roman" w:hAnsi="Times New Roman" w:cs="Times New Roman"/>
                      <w:snapToGrid w:val="0"/>
                      <w:color w:val="000000" w:themeColor="text1"/>
                      <w:sz w:val="21"/>
                      <w:szCs w:val="21"/>
                      <w:vertAlign w:val="baseline"/>
                      <w14:textFill>
                        <w14:solidFill>
                          <w14:schemeClr w14:val="tx1"/>
                        </w14:solidFill>
                      </w14:textFill>
                    </w:rPr>
                    <w:t>/</w:t>
                  </w:r>
                  <w:bookmarkEnd w:id="162"/>
                  <w:bookmarkEnd w:id="163"/>
                  <w:bookmarkEnd w:id="164"/>
                </w:p>
              </w:tc>
              <w:tc>
                <w:tcPr>
                  <w:tcW w:w="1283" w:type="pct"/>
                  <w:tcBorders>
                    <w:tl2br w:val="nil"/>
                    <w:tr2bl w:val="nil"/>
                  </w:tcBorders>
                  <w:vAlign w:val="center"/>
                </w:tcPr>
                <w:p w14:paraId="68A2D9AF">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65" w:name="_Toc31"/>
                  <w:bookmarkStart w:id="166" w:name="_Toc30578"/>
                  <w:bookmarkStart w:id="167" w:name="_Toc12665"/>
                  <w:r>
                    <w:rPr>
                      <w:rFonts w:hint="default" w:ascii="Times New Roman" w:hAnsi="Times New Roman" w:cs="Times New Roman"/>
                      <w:snapToGrid w:val="0"/>
                      <w:color w:val="000000" w:themeColor="text1"/>
                      <w:sz w:val="21"/>
                      <w:szCs w:val="21"/>
                      <w:vertAlign w:val="baseline"/>
                      <w14:textFill>
                        <w14:solidFill>
                          <w14:schemeClr w14:val="tx1"/>
                        </w14:solidFill>
                      </w14:textFill>
                    </w:rPr>
                    <w:t>扒河</w:t>
                  </w:r>
                  <w:bookmarkEnd w:id="165"/>
                  <w:bookmarkEnd w:id="166"/>
                  <w:bookmarkEnd w:id="167"/>
                </w:p>
              </w:tc>
              <w:tc>
                <w:tcPr>
                  <w:tcW w:w="425" w:type="pct"/>
                  <w:tcBorders>
                    <w:tl2br w:val="nil"/>
                    <w:tr2bl w:val="nil"/>
                  </w:tcBorders>
                  <w:vAlign w:val="center"/>
                </w:tcPr>
                <w:p w14:paraId="639F0264">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68" w:name="_Toc11460"/>
                  <w:bookmarkStart w:id="169" w:name="_Toc3744"/>
                  <w:bookmarkStart w:id="170" w:name="_Toc9596"/>
                  <w:r>
                    <w:rPr>
                      <w:rFonts w:hint="eastAsia" w:ascii="Times New Roman" w:hAnsi="Times New Roman" w:cs="Times New Roman"/>
                      <w:snapToGrid w:val="0"/>
                      <w:color w:val="000000" w:themeColor="text1"/>
                      <w:sz w:val="21"/>
                      <w:szCs w:val="21"/>
                      <w:vertAlign w:val="baseline"/>
                      <w:lang w:val="en-US" w:eastAsia="zh-CN"/>
                      <w14:textFill>
                        <w14:solidFill>
                          <w14:schemeClr w14:val="tx1"/>
                        </w14:solidFill>
                      </w14:textFill>
                    </w:rPr>
                    <w:t>北</w:t>
                  </w:r>
                  <w:r>
                    <w:rPr>
                      <w:rFonts w:hint="default" w:ascii="Times New Roman" w:hAnsi="Times New Roman" w:cs="Times New Roman"/>
                      <w:snapToGrid w:val="0"/>
                      <w:color w:val="000000" w:themeColor="text1"/>
                      <w:sz w:val="21"/>
                      <w:szCs w:val="21"/>
                      <w:vertAlign w:val="baseline"/>
                      <w14:textFill>
                        <w14:solidFill>
                          <w14:schemeClr w14:val="tx1"/>
                        </w14:solidFill>
                      </w14:textFill>
                    </w:rPr>
                    <w:t>面</w:t>
                  </w:r>
                  <w:bookmarkEnd w:id="168"/>
                  <w:bookmarkEnd w:id="169"/>
                  <w:bookmarkEnd w:id="170"/>
                </w:p>
              </w:tc>
              <w:tc>
                <w:tcPr>
                  <w:tcW w:w="503" w:type="pct"/>
                  <w:tcBorders>
                    <w:tl2br w:val="nil"/>
                    <w:tr2bl w:val="nil"/>
                  </w:tcBorders>
                  <w:vAlign w:val="center"/>
                </w:tcPr>
                <w:p w14:paraId="70E1C113">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71" w:name="_Toc29783"/>
                  <w:bookmarkStart w:id="172" w:name="_Toc15662"/>
                  <w:bookmarkStart w:id="173" w:name="_Toc18905"/>
                  <w:r>
                    <w:rPr>
                      <w:rFonts w:hint="eastAsia" w:ascii="Times New Roman" w:hAnsi="Times New Roman" w:cs="Times New Roman"/>
                      <w:snapToGrid w:val="0"/>
                      <w:color w:val="000000" w:themeColor="text1"/>
                      <w:sz w:val="21"/>
                      <w:szCs w:val="21"/>
                      <w:vertAlign w:val="baseline"/>
                      <w:lang w:val="en-US" w:eastAsia="zh-CN"/>
                      <w14:textFill>
                        <w14:solidFill>
                          <w14:schemeClr w14:val="tx1"/>
                        </w14:solidFill>
                      </w14:textFill>
                    </w:rPr>
                    <w:t>2000</w:t>
                  </w:r>
                  <w:r>
                    <w:rPr>
                      <w:rFonts w:hint="default" w:ascii="Times New Roman" w:hAnsi="Times New Roman" w:cs="Times New Roman"/>
                      <w:snapToGrid w:val="0"/>
                      <w:color w:val="000000" w:themeColor="text1"/>
                      <w:sz w:val="21"/>
                      <w:szCs w:val="21"/>
                      <w:vertAlign w:val="baseline"/>
                      <w14:textFill>
                        <w14:solidFill>
                          <w14:schemeClr w14:val="tx1"/>
                        </w14:solidFill>
                      </w14:textFill>
                    </w:rPr>
                    <w:t>m</w:t>
                  </w:r>
                  <w:bookmarkEnd w:id="171"/>
                  <w:bookmarkEnd w:id="172"/>
                  <w:bookmarkEnd w:id="173"/>
                </w:p>
              </w:tc>
              <w:tc>
                <w:tcPr>
                  <w:tcW w:w="1170" w:type="pct"/>
                  <w:tcBorders>
                    <w:tl2br w:val="nil"/>
                    <w:tr2bl w:val="nil"/>
                  </w:tcBorders>
                  <w:vAlign w:val="center"/>
                </w:tcPr>
                <w:p w14:paraId="3DE0ED61">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74" w:name="_Toc2170"/>
                  <w:bookmarkStart w:id="175" w:name="_Toc5192"/>
                  <w:bookmarkStart w:id="176" w:name="_Toc272"/>
                  <w:r>
                    <w:rPr>
                      <w:rFonts w:hint="default" w:ascii="Times New Roman" w:hAnsi="Times New Roman" w:cs="Times New Roman"/>
                      <w:snapToGrid w:val="0"/>
                      <w:color w:val="000000" w:themeColor="text1"/>
                      <w:sz w:val="21"/>
                      <w:szCs w:val="21"/>
                      <w:vertAlign w:val="baseline"/>
                      <w14:textFill>
                        <w14:solidFill>
                          <w14:schemeClr w14:val="tx1"/>
                        </w14:solidFill>
                      </w14:textFill>
                    </w:rPr>
                    <w:t>《地表水环境质量标准》</w:t>
                  </w:r>
                  <w:bookmarkEnd w:id="174"/>
                  <w:bookmarkEnd w:id="175"/>
                  <w:bookmarkEnd w:id="176"/>
                </w:p>
                <w:p w14:paraId="71BD58C9">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 w:val="21"/>
                      <w:szCs w:val="21"/>
                      <w:vertAlign w:val="baseline"/>
                      <w14:textFill>
                        <w14:solidFill>
                          <w14:schemeClr w14:val="tx1"/>
                        </w14:solidFill>
                      </w14:textFill>
                    </w:rPr>
                  </w:pPr>
                  <w:bookmarkStart w:id="177" w:name="_Toc20895"/>
                  <w:bookmarkStart w:id="178" w:name="_Toc19721"/>
                  <w:bookmarkStart w:id="179" w:name="_Toc26698"/>
                  <w:r>
                    <w:rPr>
                      <w:rFonts w:hint="default" w:ascii="Times New Roman" w:hAnsi="Times New Roman" w:cs="Times New Roman"/>
                      <w:snapToGrid w:val="0"/>
                      <w:color w:val="000000" w:themeColor="text1"/>
                      <w:sz w:val="21"/>
                      <w:szCs w:val="21"/>
                      <w:vertAlign w:val="baseline"/>
                      <w14:textFill>
                        <w14:solidFill>
                          <w14:schemeClr w14:val="tx1"/>
                        </w14:solidFill>
                      </w14:textFill>
                    </w:rPr>
                    <w:t>（GB3838-2002）Ⅲ类标准</w:t>
                  </w:r>
                  <w:bookmarkEnd w:id="177"/>
                  <w:bookmarkEnd w:id="178"/>
                  <w:bookmarkEnd w:id="179"/>
                </w:p>
              </w:tc>
            </w:tr>
            <w:bookmarkEnd w:id="48"/>
            <w:bookmarkEnd w:id="49"/>
            <w:bookmarkEnd w:id="50"/>
          </w:tbl>
          <w:p w14:paraId="6C3A498A">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left"/>
              <w:textAlignment w:val="auto"/>
              <w:outlineLvl w:val="0"/>
              <w:rPr>
                <w:rFonts w:hint="default" w:ascii="Times New Roman" w:hAnsi="Times New Roman" w:cs="Times New Roman"/>
                <w:snapToGrid w:val="0"/>
                <w:color w:val="000000" w:themeColor="text1"/>
                <w:szCs w:val="24"/>
                <w:vertAlign w:val="baseline"/>
                <w14:textFill>
                  <w14:solidFill>
                    <w14:schemeClr w14:val="tx1"/>
                  </w14:solidFill>
                </w14:textFill>
              </w:rPr>
            </w:pPr>
          </w:p>
        </w:tc>
      </w:tr>
      <w:tr w14:paraId="38E82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3" w:hRule="atLeast"/>
        </w:trPr>
        <w:tc>
          <w:tcPr>
            <w:tcW w:w="577" w:type="dxa"/>
            <w:vAlign w:val="center"/>
          </w:tcPr>
          <w:p w14:paraId="197D1BC5">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szCs w:val="24"/>
                <w:vertAlign w:val="baseline"/>
                <w:lang w:val="en-US" w:eastAsia="zh-CN"/>
                <w14:textFill>
                  <w14:solidFill>
                    <w14:schemeClr w14:val="tx1"/>
                  </w14:solidFill>
                </w14:textFill>
              </w:rPr>
            </w:pPr>
            <w:bookmarkStart w:id="180" w:name="_Toc27090"/>
            <w:bookmarkStart w:id="181" w:name="_Toc4937"/>
            <w:bookmarkStart w:id="182" w:name="_Toc21466"/>
            <w:r>
              <w:rPr>
                <w:rFonts w:hint="eastAsia" w:ascii="Times New Roman" w:hAnsi="Times New Roman" w:cs="Times New Roman"/>
                <w:snapToGrid w:val="0"/>
                <w:color w:val="000000" w:themeColor="text1"/>
                <w:szCs w:val="24"/>
                <w:vertAlign w:val="baseline"/>
                <w:lang w:val="en-US" w:eastAsia="zh-CN"/>
                <w14:textFill>
                  <w14:solidFill>
                    <w14:schemeClr w14:val="tx1"/>
                  </w14:solidFill>
                </w14:textFill>
              </w:rPr>
              <w:t>污染物排放控制标准</w:t>
            </w:r>
            <w:bookmarkEnd w:id="180"/>
            <w:bookmarkEnd w:id="181"/>
            <w:bookmarkEnd w:id="182"/>
          </w:p>
        </w:tc>
        <w:tc>
          <w:tcPr>
            <w:tcW w:w="8238" w:type="dxa"/>
          </w:tcPr>
          <w:p w14:paraId="6DD17119">
            <w:pPr>
              <w:keepNext/>
              <w:keepLines/>
              <w:pageBreakBefore w:val="0"/>
              <w:widowControl w:val="0"/>
              <w:kinsoku/>
              <w:wordWrap/>
              <w:overflowPunct/>
              <w:topLinePunct w:val="0"/>
              <w:autoSpaceDE/>
              <w:autoSpaceDN/>
              <w:bidi w:val="0"/>
              <w:adjustRightInd w:val="0"/>
              <w:snapToGrid w:val="0"/>
              <w:spacing w:before="0" w:after="0" w:line="360" w:lineRule="auto"/>
              <w:ind w:firstLine="482" w:firstLineChars="200"/>
              <w:jc w:val="both"/>
              <w:textAlignment w:val="auto"/>
              <w:outlineLvl w:val="1"/>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bookmarkStart w:id="183" w:name="_Toc3004"/>
            <w:bookmarkStart w:id="184" w:name="_Toc31459"/>
            <w:bookmarkStart w:id="185" w:name="_Toc4285"/>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1、施工期污染物排放标准</w:t>
            </w:r>
            <w:bookmarkEnd w:id="183"/>
            <w:bookmarkEnd w:id="184"/>
            <w:bookmarkEnd w:id="185"/>
          </w:p>
          <w:p w14:paraId="41AB3BE5">
            <w:pPr>
              <w:adjustRightInd w:val="0"/>
              <w:snapToGrid w:val="0"/>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（1）施工期粉尘执行《大气污染物综合排放标准》（GB16297-1996）</w:t>
            </w:r>
            <w:r>
              <w:rPr>
                <w:rFonts w:hint="eastAsia" w:ascii="Times New Roman" w:hAnsi="Times New Roman" w:eastAsia="宋体" w:cs="Times New Roman"/>
                <w:color w:val="000000" w:themeColor="text1"/>
                <w:sz w:val="24"/>
                <w:lang w:val="en-US" w:eastAsia="zh-CN"/>
                <w14:textFill>
                  <w14:solidFill>
                    <w14:schemeClr w14:val="tx1"/>
                  </w14:solidFill>
                </w14:textFill>
              </w:rPr>
              <w:t>表2中</w:t>
            </w:r>
            <w:r>
              <w:rPr>
                <w:rFonts w:hint="default" w:ascii="Times New Roman" w:hAnsi="Times New Roman" w:eastAsia="宋体" w:cs="Times New Roman"/>
                <w:color w:val="000000" w:themeColor="text1"/>
                <w:sz w:val="24"/>
                <w14:textFill>
                  <w14:solidFill>
                    <w14:schemeClr w14:val="tx1"/>
                  </w14:solidFill>
                </w14:textFill>
              </w:rPr>
              <w:t>颗粒物无组织排放限值，标准限值见表3-</w:t>
            </w:r>
            <w:r>
              <w:rPr>
                <w:rFonts w:hint="eastAsia" w:ascii="Times New Roman" w:hAnsi="Times New Roman" w:eastAsia="宋体" w:cs="Times New Roman"/>
                <w:color w:val="000000" w:themeColor="text1"/>
                <w:sz w:val="24"/>
                <w:lang w:val="en-US" w:eastAsia="zh-CN"/>
                <w14:textFill>
                  <w14:solidFill>
                    <w14:schemeClr w14:val="tx1"/>
                  </w14:solidFill>
                </w14:textFill>
              </w:rPr>
              <w:t>1</w:t>
            </w:r>
            <w:r>
              <w:rPr>
                <w:rFonts w:hint="eastAsia" w:cs="Times New Roman"/>
                <w:color w:val="000000" w:themeColor="text1"/>
                <w:sz w:val="24"/>
                <w:lang w:val="en-US" w:eastAsia="zh-CN"/>
                <w14:textFill>
                  <w14:solidFill>
                    <w14:schemeClr w14:val="tx1"/>
                  </w14:solidFill>
                </w14:textFill>
              </w:rPr>
              <w:t>2</w:t>
            </w:r>
            <w:r>
              <w:rPr>
                <w:rFonts w:hint="eastAsia" w:ascii="Times New Roman" w:hAnsi="Times New Roman" w:eastAsia="宋体" w:cs="Times New Roman"/>
                <w:color w:val="000000" w:themeColor="text1"/>
                <w:sz w:val="24"/>
                <w:lang w:val="en-US" w:eastAsia="zh-CN"/>
                <w14:textFill>
                  <w14:solidFill>
                    <w14:schemeClr w14:val="tx1"/>
                  </w14:solidFill>
                </w14:textFill>
              </w:rPr>
              <w:t>。</w:t>
            </w:r>
          </w:p>
          <w:p w14:paraId="2E215352">
            <w:pPr>
              <w:widowControl w:val="0"/>
              <w:adjustRightInd w:val="0"/>
              <w:snapToGrid/>
              <w:spacing w:before="36" w:beforeLines="15" w:line="240" w:lineRule="auto"/>
              <w:ind w:firstLine="422" w:firstLineChars="200"/>
              <w:jc w:val="cente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表3-</w:t>
            </w: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1</w:t>
            </w:r>
            <w:r>
              <w:rPr>
                <w:rFonts w:hint="eastAsia" w:cs="Times New Roman"/>
                <w:b/>
                <w:bCs/>
                <w:color w:val="000000" w:themeColor="text1"/>
                <w:kern w:val="2"/>
                <w:sz w:val="21"/>
                <w:szCs w:val="21"/>
                <w:lang w:val="en-US" w:eastAsia="zh-CN" w:bidi="ar-SA"/>
                <w14:textFill>
                  <w14:solidFill>
                    <w14:schemeClr w14:val="tx1"/>
                  </w14:solidFill>
                </w14:textFill>
              </w:rPr>
              <w:t>2</w:t>
            </w: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 xml:space="preserve"> 大气污染物综合排放标准排放限值 单位：mg/m</w:t>
            </w:r>
            <w:r>
              <w:rPr>
                <w:rFonts w:hint="default" w:ascii="Times New Roman" w:hAnsi="Times New Roman" w:eastAsia="宋体" w:cs="Times New Roman"/>
                <w:b/>
                <w:bCs/>
                <w:color w:val="000000" w:themeColor="text1"/>
                <w:kern w:val="2"/>
                <w:sz w:val="21"/>
                <w:szCs w:val="21"/>
                <w:vertAlign w:val="superscript"/>
                <w:lang w:val="en-US" w:eastAsia="zh-CN" w:bidi="ar-SA"/>
                <w14:textFill>
                  <w14:solidFill>
                    <w14:schemeClr w14:val="tx1"/>
                  </w14:solidFill>
                </w14:textFill>
              </w:rPr>
              <w:t>3</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6"/>
              <w:gridCol w:w="2387"/>
              <w:gridCol w:w="3694"/>
            </w:tblGrid>
            <w:tr w14:paraId="42020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36" w:type="pct"/>
                  <w:noWrap w:val="0"/>
                  <w:vAlign w:val="top"/>
                </w:tcPr>
                <w:p w14:paraId="1FDFBB02">
                  <w:pPr>
                    <w:keepNext w:val="0"/>
                    <w:keepLines w:val="0"/>
                    <w:pageBreakBefore w:val="0"/>
                    <w:widowControl w:val="0"/>
                    <w:tabs>
                      <w:tab w:val="left" w:pos="1389"/>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t>项目</w:t>
                  </w:r>
                </w:p>
              </w:tc>
              <w:tc>
                <w:tcPr>
                  <w:tcW w:w="1477" w:type="pct"/>
                  <w:noWrap w:val="0"/>
                  <w:vAlign w:val="top"/>
                </w:tcPr>
                <w:p w14:paraId="5B2CE489">
                  <w:pPr>
                    <w:keepNext w:val="0"/>
                    <w:keepLines w:val="0"/>
                    <w:pageBreakBefore w:val="0"/>
                    <w:widowControl w:val="0"/>
                    <w:tabs>
                      <w:tab w:val="left" w:pos="1389"/>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监控点</w:t>
                  </w:r>
                </w:p>
              </w:tc>
              <w:tc>
                <w:tcPr>
                  <w:tcW w:w="2286" w:type="pct"/>
                  <w:noWrap w:val="0"/>
                  <w:vAlign w:val="top"/>
                </w:tcPr>
                <w:p w14:paraId="364D6D5A">
                  <w:pPr>
                    <w:keepNext w:val="0"/>
                    <w:keepLines w:val="0"/>
                    <w:pageBreakBefore w:val="0"/>
                    <w:widowControl w:val="0"/>
                    <w:tabs>
                      <w:tab w:val="left" w:pos="1389"/>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t>无组织排放监控浓度限值</w:t>
                  </w:r>
                </w:p>
              </w:tc>
            </w:tr>
            <w:tr w14:paraId="1542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36" w:type="pct"/>
                  <w:noWrap w:val="0"/>
                  <w:vAlign w:val="top"/>
                </w:tcPr>
                <w:p w14:paraId="12985D4F">
                  <w:pPr>
                    <w:keepNext w:val="0"/>
                    <w:keepLines w:val="0"/>
                    <w:pageBreakBefore w:val="0"/>
                    <w:widowControl w:val="0"/>
                    <w:tabs>
                      <w:tab w:val="left" w:pos="1389"/>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t>颗粒物</w:t>
                  </w:r>
                </w:p>
              </w:tc>
              <w:tc>
                <w:tcPr>
                  <w:tcW w:w="1477" w:type="pct"/>
                  <w:noWrap w:val="0"/>
                  <w:vAlign w:val="top"/>
                </w:tcPr>
                <w:p w14:paraId="759D4EDE">
                  <w:pPr>
                    <w:keepNext w:val="0"/>
                    <w:keepLines w:val="0"/>
                    <w:pageBreakBefore w:val="0"/>
                    <w:widowControl w:val="0"/>
                    <w:tabs>
                      <w:tab w:val="left" w:pos="1389"/>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周界外浓度最高点</w:t>
                  </w:r>
                </w:p>
              </w:tc>
              <w:tc>
                <w:tcPr>
                  <w:tcW w:w="2286" w:type="pct"/>
                  <w:noWrap w:val="0"/>
                  <w:vAlign w:val="top"/>
                </w:tcPr>
                <w:p w14:paraId="44D8FC20">
                  <w:pPr>
                    <w:keepNext w:val="0"/>
                    <w:keepLines w:val="0"/>
                    <w:pageBreakBefore w:val="0"/>
                    <w:widowControl w:val="0"/>
                    <w:tabs>
                      <w:tab w:val="left" w:pos="1389"/>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t>1.0</w:t>
                  </w:r>
                </w:p>
              </w:tc>
            </w:tr>
          </w:tbl>
          <w:p w14:paraId="040145E8">
            <w:pPr>
              <w:adjustRightInd w:val="0"/>
              <w:snapToGrid w:val="0"/>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（2）施工厂界噪声执行《建筑施工场界环境噪声排放标准》（GB12523-20</w:t>
            </w:r>
            <w:r>
              <w:rPr>
                <w:rFonts w:hint="eastAsia" w:cs="Times New Roman"/>
                <w:color w:val="000000" w:themeColor="text1"/>
                <w:sz w:val="24"/>
                <w:lang w:val="en-US" w:eastAsia="zh-CN"/>
                <w14:textFill>
                  <w14:solidFill>
                    <w14:schemeClr w14:val="tx1"/>
                  </w14:solidFill>
                </w14:textFill>
              </w:rPr>
              <w:t>25</w:t>
            </w:r>
            <w:r>
              <w:rPr>
                <w:rFonts w:hint="default" w:ascii="Times New Roman" w:hAnsi="Times New Roman" w:eastAsia="宋体" w:cs="Times New Roman"/>
                <w:color w:val="000000" w:themeColor="text1"/>
                <w:sz w:val="24"/>
                <w14:textFill>
                  <w14:solidFill>
                    <w14:schemeClr w14:val="tx1"/>
                  </w14:solidFill>
                </w14:textFill>
              </w:rPr>
              <w:t>），标准限值见表3-</w:t>
            </w:r>
            <w:r>
              <w:rPr>
                <w:rFonts w:hint="eastAsia" w:ascii="Times New Roman" w:hAnsi="Times New Roman" w:eastAsia="宋体" w:cs="Times New Roman"/>
                <w:color w:val="000000" w:themeColor="text1"/>
                <w:sz w:val="24"/>
                <w:lang w:val="en-US" w:eastAsia="zh-CN"/>
                <w14:textFill>
                  <w14:solidFill>
                    <w14:schemeClr w14:val="tx1"/>
                  </w14:solidFill>
                </w14:textFill>
              </w:rPr>
              <w:t>1</w:t>
            </w:r>
            <w:r>
              <w:rPr>
                <w:rFonts w:hint="eastAsia" w:cs="Times New Roman"/>
                <w:color w:val="000000" w:themeColor="text1"/>
                <w:sz w:val="24"/>
                <w:lang w:val="en-US" w:eastAsia="zh-CN"/>
                <w14:textFill>
                  <w14:solidFill>
                    <w14:schemeClr w14:val="tx1"/>
                  </w14:solidFill>
                </w14:textFill>
              </w:rPr>
              <w:t>3</w:t>
            </w:r>
            <w:r>
              <w:rPr>
                <w:rFonts w:hint="default" w:ascii="Times New Roman" w:hAnsi="Times New Roman" w:eastAsia="宋体" w:cs="Times New Roman"/>
                <w:color w:val="000000" w:themeColor="text1"/>
                <w:sz w:val="24"/>
                <w14:textFill>
                  <w14:solidFill>
                    <w14:schemeClr w14:val="tx1"/>
                  </w14:solidFill>
                </w14:textFill>
              </w:rPr>
              <w:t>。</w:t>
            </w:r>
          </w:p>
          <w:p w14:paraId="4553FAA6">
            <w:pPr>
              <w:keepNext w:val="0"/>
              <w:keepLines w:val="0"/>
              <w:pageBreakBefore w:val="0"/>
              <w:widowControl w:val="0"/>
              <w:kinsoku/>
              <w:wordWrap/>
              <w:overflowPunct/>
              <w:topLinePunct w:val="0"/>
              <w:autoSpaceDE/>
              <w:autoSpaceDN/>
              <w:bidi w:val="0"/>
              <w:adjustRightInd w:val="0"/>
              <w:snapToGrid/>
              <w:spacing w:before="0" w:line="240" w:lineRule="auto"/>
              <w:ind w:firstLine="0" w:firstLineChars="0"/>
              <w:jc w:val="center"/>
              <w:textAlignment w:val="auto"/>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表3-</w:t>
            </w: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1</w:t>
            </w:r>
            <w:r>
              <w:rPr>
                <w:rFonts w:hint="eastAsia" w:cs="Times New Roman"/>
                <w:b/>
                <w:bCs/>
                <w:color w:val="000000" w:themeColor="text1"/>
                <w:kern w:val="2"/>
                <w:sz w:val="21"/>
                <w:szCs w:val="21"/>
                <w:lang w:val="en-US" w:eastAsia="zh-CN" w:bidi="ar-SA"/>
                <w14:textFill>
                  <w14:solidFill>
                    <w14:schemeClr w14:val="tx1"/>
                  </w14:solidFill>
                </w14:textFill>
              </w:rPr>
              <w:t>3</w:t>
            </w: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 xml:space="preserve">  建筑施工噪声执行标准限值 单位：Leq[dB</w:t>
            </w:r>
            <w:r>
              <w:rPr>
                <w:rFonts w:hint="eastAsia" w:cs="Times New Roman"/>
                <w:b/>
                <w:bCs/>
                <w:color w:val="000000" w:themeColor="text1"/>
                <w:kern w:val="2"/>
                <w:sz w:val="21"/>
                <w:szCs w:val="21"/>
                <w:lang w:val="en-US" w:eastAsia="zh-CN" w:bidi="ar-SA"/>
                <w14:textFill>
                  <w14:solidFill>
                    <w14:schemeClr w14:val="tx1"/>
                  </w14:solidFill>
                </w14:textFill>
              </w:rPr>
              <w:t>（</w:t>
            </w: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A</w:t>
            </w:r>
            <w:r>
              <w:rPr>
                <w:rFonts w:hint="eastAsia" w:cs="Times New Roman"/>
                <w:b/>
                <w:bCs/>
                <w:color w:val="000000" w:themeColor="text1"/>
                <w:kern w:val="2"/>
                <w:sz w:val="21"/>
                <w:szCs w:val="21"/>
                <w:lang w:val="en-US" w:eastAsia="zh-CN" w:bidi="ar-SA"/>
                <w14:textFill>
                  <w14:solidFill>
                    <w14:schemeClr w14:val="tx1"/>
                  </w14:solidFill>
                </w14:textFill>
              </w:rPr>
              <w:t>）</w:t>
            </w: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w:t>
            </w:r>
          </w:p>
          <w:tbl>
            <w:tblPr>
              <w:tblStyle w:val="3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39"/>
              <w:gridCol w:w="4039"/>
            </w:tblGrid>
            <w:tr w14:paraId="12D33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top"/>
                </w:tcPr>
                <w:p w14:paraId="1F7F2650">
                  <w:pPr>
                    <w:keepNext w:val="0"/>
                    <w:keepLines w:val="0"/>
                    <w:pageBreakBefore w:val="0"/>
                    <w:widowControl w:val="0"/>
                    <w:tabs>
                      <w:tab w:val="left" w:pos="1389"/>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t>昼间</w:t>
                  </w:r>
                </w:p>
              </w:tc>
              <w:tc>
                <w:tcPr>
                  <w:tcW w:w="2500" w:type="pct"/>
                  <w:noWrap w:val="0"/>
                  <w:vAlign w:val="top"/>
                </w:tcPr>
                <w:p w14:paraId="3E69930F">
                  <w:pPr>
                    <w:keepNext w:val="0"/>
                    <w:keepLines w:val="0"/>
                    <w:pageBreakBefore w:val="0"/>
                    <w:widowControl w:val="0"/>
                    <w:tabs>
                      <w:tab w:val="left" w:pos="1389"/>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t>夜间</w:t>
                  </w:r>
                </w:p>
              </w:tc>
            </w:tr>
            <w:tr w14:paraId="7AC2D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top"/>
                </w:tcPr>
                <w:p w14:paraId="61D953DA">
                  <w:pPr>
                    <w:keepNext w:val="0"/>
                    <w:keepLines w:val="0"/>
                    <w:pageBreakBefore w:val="0"/>
                    <w:widowControl w:val="0"/>
                    <w:tabs>
                      <w:tab w:val="left" w:pos="1389"/>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t>70</w:t>
                  </w:r>
                </w:p>
              </w:tc>
              <w:tc>
                <w:tcPr>
                  <w:tcW w:w="2500" w:type="pct"/>
                  <w:noWrap w:val="0"/>
                  <w:vAlign w:val="top"/>
                </w:tcPr>
                <w:p w14:paraId="05F3B484">
                  <w:pPr>
                    <w:keepNext w:val="0"/>
                    <w:keepLines w:val="0"/>
                    <w:pageBreakBefore w:val="0"/>
                    <w:widowControl w:val="0"/>
                    <w:tabs>
                      <w:tab w:val="left" w:pos="1389"/>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t>55</w:t>
                  </w:r>
                </w:p>
              </w:tc>
            </w:tr>
          </w:tbl>
          <w:p w14:paraId="6C6007AC">
            <w:pPr>
              <w:keepNext/>
              <w:keepLines/>
              <w:pageBreakBefore w:val="0"/>
              <w:widowControl w:val="0"/>
              <w:kinsoku/>
              <w:wordWrap/>
              <w:overflowPunct/>
              <w:topLinePunct w:val="0"/>
              <w:autoSpaceDE/>
              <w:autoSpaceDN/>
              <w:bidi w:val="0"/>
              <w:adjustRightInd w:val="0"/>
              <w:snapToGrid w:val="0"/>
              <w:spacing w:before="0" w:after="0" w:line="360" w:lineRule="auto"/>
              <w:ind w:left="0" w:leftChars="0" w:firstLine="482" w:firstLineChars="200"/>
              <w:jc w:val="both"/>
              <w:textAlignment w:val="auto"/>
              <w:outlineLvl w:val="1"/>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bookmarkStart w:id="186" w:name="_Toc18037"/>
            <w:bookmarkStart w:id="187" w:name="_Toc16097"/>
            <w:bookmarkStart w:id="188" w:name="_Toc28885"/>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运营期污染物排放标准</w:t>
            </w:r>
            <w:bookmarkEnd w:id="186"/>
            <w:bookmarkEnd w:id="187"/>
            <w:bookmarkEnd w:id="188"/>
          </w:p>
          <w:p w14:paraId="5C4638EC">
            <w:pPr>
              <w:adjustRightInd w:val="0"/>
              <w:snapToGrid w:val="0"/>
              <w:spacing w:line="360" w:lineRule="auto"/>
              <w:ind w:firstLine="482" w:firstLineChars="200"/>
              <w:rPr>
                <w:rFonts w:hint="default" w:ascii="Times New Roman" w:hAnsi="Times New Roman" w:cs="Times New Roman"/>
                <w:b/>
                <w:bCs/>
                <w:color w:val="000000" w:themeColor="text1"/>
                <w:sz w:val="24"/>
                <w:highlight w:val="none"/>
                <w14:textFill>
                  <w14:solidFill>
                    <w14:schemeClr w14:val="tx1"/>
                  </w14:solidFill>
                </w14:textFill>
              </w:rPr>
            </w:pPr>
            <w:r>
              <w:rPr>
                <w:rFonts w:hint="default" w:ascii="Times New Roman" w:hAnsi="Times New Roman" w:cs="Times New Roman"/>
                <w:b/>
                <w:bCs/>
                <w:color w:val="000000" w:themeColor="text1"/>
                <w:sz w:val="24"/>
                <w:highlight w:val="none"/>
                <w14:textFill>
                  <w14:solidFill>
                    <w14:schemeClr w14:val="tx1"/>
                  </w14:solidFill>
                </w14:textFill>
              </w:rPr>
              <w:t>（1）废水排放标准</w:t>
            </w:r>
          </w:p>
          <w:p w14:paraId="7041F93D">
            <w:pPr>
              <w:adjustRightInd w:val="0"/>
              <w:snapToGrid w:val="0"/>
              <w:spacing w:line="360" w:lineRule="auto"/>
              <w:ind w:firstLine="480" w:firstLineChars="200"/>
              <w:rPr>
                <w:rFonts w:hint="default" w:ascii="Times New Roman" w:hAnsi="Times New Roman" w:cs="Times New Roman"/>
                <w:color w:val="000000" w:themeColor="text1"/>
                <w:sz w:val="24"/>
                <w:szCs w:val="21"/>
                <w:lang w:val="en-US" w:eastAsia="zh-CN"/>
                <w14:textFill>
                  <w14:solidFill>
                    <w14:schemeClr w14:val="tx1"/>
                  </w14:solidFill>
                </w14:textFill>
              </w:rPr>
            </w:pPr>
            <w:r>
              <w:rPr>
                <w:rFonts w:hint="eastAsia" w:ascii="Times New Roman" w:hAnsi="Times New Roman" w:cs="Times New Roman"/>
                <w:color w:val="000000" w:themeColor="text1"/>
                <w:sz w:val="24"/>
                <w:szCs w:val="21"/>
                <w:lang w:val="en-US" w:eastAsia="zh-CN"/>
                <w14:textFill>
                  <w14:solidFill>
                    <w14:schemeClr w14:val="tx1"/>
                  </w14:solidFill>
                </w14:textFill>
              </w:rPr>
              <w:t>项目产生生产废水循环使用不外排。</w:t>
            </w:r>
          </w:p>
          <w:p w14:paraId="650CF76B">
            <w:pPr>
              <w:keepNext/>
              <w:keepLines/>
              <w:pageBreakBefore w:val="0"/>
              <w:widowControl w:val="0"/>
              <w:kinsoku/>
              <w:wordWrap/>
              <w:overflowPunct/>
              <w:topLinePunct w:val="0"/>
              <w:autoSpaceDE/>
              <w:autoSpaceDN/>
              <w:bidi w:val="0"/>
              <w:adjustRightInd w:val="0"/>
              <w:snapToGrid w:val="0"/>
              <w:spacing w:before="0" w:after="0" w:line="360" w:lineRule="auto"/>
              <w:ind w:firstLine="480" w:firstLineChars="200"/>
              <w:jc w:val="both"/>
              <w:textAlignment w:val="auto"/>
              <w:outlineLvl w:val="1"/>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bookmarkStart w:id="189" w:name="_Toc17631"/>
            <w:bookmarkStart w:id="190" w:name="_Toc23035"/>
            <w:bookmarkStart w:id="191" w:name="_Toc11664"/>
            <w:r>
              <w:rPr>
                <w:rFonts w:hint="eastAsia" w:cs="Times New Roman"/>
                <w:color w:val="000000" w:themeColor="text1"/>
                <w:sz w:val="24"/>
                <w:szCs w:val="21"/>
                <w:lang w:val="en-US" w:eastAsia="zh-CN"/>
                <w14:textFill>
                  <w14:solidFill>
                    <w14:schemeClr w14:val="tx1"/>
                  </w14:solidFill>
                </w14:textFill>
              </w:rPr>
              <w:t>项目产生的</w:t>
            </w:r>
            <w:r>
              <w:rPr>
                <w:rFonts w:hint="eastAsia" w:cs="Times New Roman"/>
                <w:color w:val="000000" w:themeColor="text1"/>
                <w:kern w:val="2"/>
                <w:sz w:val="24"/>
                <w:szCs w:val="24"/>
                <w:highlight w:val="none"/>
                <w:lang w:val="en-US" w:eastAsia="zh-CN" w:bidi="ar-SA"/>
                <w14:textFill>
                  <w14:solidFill>
                    <w14:schemeClr w14:val="tx1"/>
                  </w14:solidFill>
                </w14:textFill>
              </w:rPr>
              <w:t>生活污水经污水依托云南联帆建材科技有限公司自建化粪池与污水站处理达《城市污水再生利用 城市杂用水水质》（GB/T 18920-2020）表1城市绿化、道路清扫标准后暂存于回用水池，非雨天回用于厂区绿化及道路浇洒，执行标准限值详见下表：</w:t>
            </w:r>
            <w:bookmarkEnd w:id="189"/>
            <w:bookmarkEnd w:id="190"/>
            <w:bookmarkEnd w:id="191"/>
          </w:p>
          <w:p w14:paraId="40F62B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color w:val="000000" w:themeColor="text1"/>
                <w:szCs w:val="21"/>
                <w14:textFill>
                  <w14:solidFill>
                    <w14:schemeClr w14:val="tx1"/>
                  </w14:solidFill>
                </w14:textFill>
              </w:rPr>
              <w:t>表3-</w:t>
            </w:r>
            <w:r>
              <w:rPr>
                <w:rFonts w:hint="eastAsia" w:ascii="Times New Roman" w:hAnsi="Times New Roman" w:eastAsia="宋体" w:cs="Times New Roman"/>
                <w:b/>
                <w:color w:val="000000" w:themeColor="text1"/>
                <w:szCs w:val="21"/>
                <w:lang w:val="en-US" w:eastAsia="zh-CN"/>
                <w14:textFill>
                  <w14:solidFill>
                    <w14:schemeClr w14:val="tx1"/>
                  </w14:solidFill>
                </w14:textFill>
              </w:rPr>
              <w:t>1</w:t>
            </w:r>
            <w:r>
              <w:rPr>
                <w:rFonts w:hint="eastAsia" w:cs="Times New Roman"/>
                <w:b/>
                <w:color w:val="000000" w:themeColor="text1"/>
                <w:szCs w:val="21"/>
                <w:lang w:val="en-US" w:eastAsia="zh-CN"/>
                <w14:textFill>
                  <w14:solidFill>
                    <w14:schemeClr w14:val="tx1"/>
                  </w14:solidFill>
                </w14:textFill>
              </w:rPr>
              <w:t>4</w:t>
            </w:r>
            <w:r>
              <w:rPr>
                <w:rFonts w:hint="eastAsia" w:ascii="Times New Roman" w:hAnsi="Times New Roman" w:eastAsia="宋体" w:cs="Times New Roman"/>
                <w:b/>
                <w:color w:val="000000" w:themeColor="text1"/>
                <w:szCs w:val="21"/>
                <w:lang w:val="en-US" w:eastAsia="zh-CN"/>
                <w14:textFill>
                  <w14:solidFill>
                    <w14:schemeClr w14:val="tx1"/>
                  </w14:solidFill>
                </w14:textFill>
              </w:rPr>
              <w:t xml:space="preserve">    </w:t>
            </w:r>
            <w:r>
              <w:rPr>
                <w:rFonts w:ascii="Times New Roman" w:hAnsi="Times New Roman" w:eastAsia="宋体" w:cs="Times New Roman"/>
                <w:b/>
                <w:bCs/>
                <w:color w:val="000000" w:themeColor="text1"/>
                <w:szCs w:val="21"/>
                <w14:textFill>
                  <w14:solidFill>
                    <w14:schemeClr w14:val="tx1"/>
                  </w14:solidFill>
                </w14:textFill>
              </w:rPr>
              <w:t>城市污水再生利用</w:t>
            </w:r>
          </w:p>
          <w:tbl>
            <w:tblPr>
              <w:tblStyle w:val="32"/>
              <w:tblW w:w="80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0"/>
              <w:gridCol w:w="3798"/>
              <w:gridCol w:w="3600"/>
            </w:tblGrid>
            <w:tr w14:paraId="6B8C1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50" w:type="dxa"/>
                  <w:vAlign w:val="center"/>
                </w:tcPr>
                <w:p w14:paraId="5A6E0885">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序号</w:t>
                  </w:r>
                </w:p>
              </w:tc>
              <w:tc>
                <w:tcPr>
                  <w:tcW w:w="3798" w:type="dxa"/>
                  <w:vAlign w:val="center"/>
                </w:tcPr>
                <w:p w14:paraId="0BB9DA45">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项目</w:t>
                  </w:r>
                </w:p>
              </w:tc>
              <w:tc>
                <w:tcPr>
                  <w:tcW w:w="3600" w:type="dxa"/>
                  <w:vAlign w:val="center"/>
                </w:tcPr>
                <w:p w14:paraId="4B960310">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城市绿化、道路清扫、消防建筑施工</w:t>
                  </w:r>
                </w:p>
              </w:tc>
            </w:tr>
            <w:tr w14:paraId="3F4E2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650" w:type="dxa"/>
                  <w:vAlign w:val="center"/>
                </w:tcPr>
                <w:p w14:paraId="30B28FF5">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1</w:t>
                  </w:r>
                </w:p>
              </w:tc>
              <w:tc>
                <w:tcPr>
                  <w:tcW w:w="3798" w:type="dxa"/>
                  <w:vAlign w:val="center"/>
                </w:tcPr>
                <w:p w14:paraId="04DF250A">
                  <w:pPr>
                    <w:keepNext w:val="0"/>
                    <w:keepLines w:val="0"/>
                    <w:pageBreakBefore w:val="0"/>
                    <w:widowControl w:val="0"/>
                    <w:kinsoku/>
                    <w:wordWrap/>
                    <w:overflowPunct/>
                    <w:topLinePunct w:val="0"/>
                    <w:autoSpaceDE/>
                    <w:autoSpaceDN/>
                    <w:bidi w:val="0"/>
                    <w:adjustRightInd/>
                    <w:snapToGrid/>
                    <w:spacing w:before="0" w:after="0"/>
                    <w:ind w:left="0" w:leftChars="0" w:firstLine="0"/>
                    <w:jc w:val="left"/>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pH</w:t>
                  </w:r>
                </w:p>
              </w:tc>
              <w:tc>
                <w:tcPr>
                  <w:tcW w:w="3600" w:type="dxa"/>
                  <w:vAlign w:val="center"/>
                </w:tcPr>
                <w:p w14:paraId="769CBCB3">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6.0~9.0</w:t>
                  </w:r>
                </w:p>
              </w:tc>
            </w:tr>
            <w:tr w14:paraId="68929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650" w:type="dxa"/>
                  <w:vAlign w:val="center"/>
                </w:tcPr>
                <w:p w14:paraId="210B9CAB">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2</w:t>
                  </w:r>
                </w:p>
              </w:tc>
              <w:tc>
                <w:tcPr>
                  <w:tcW w:w="3798" w:type="dxa"/>
                  <w:vAlign w:val="center"/>
                </w:tcPr>
                <w:p w14:paraId="1D19D637">
                  <w:pPr>
                    <w:keepNext w:val="0"/>
                    <w:keepLines w:val="0"/>
                    <w:pageBreakBefore w:val="0"/>
                    <w:widowControl w:val="0"/>
                    <w:kinsoku/>
                    <w:wordWrap/>
                    <w:overflowPunct/>
                    <w:topLinePunct w:val="0"/>
                    <w:autoSpaceDE/>
                    <w:autoSpaceDN/>
                    <w:bidi w:val="0"/>
                    <w:adjustRightInd/>
                    <w:snapToGrid/>
                    <w:spacing w:before="0" w:after="0"/>
                    <w:ind w:left="0" w:leftChars="0" w:firstLine="0"/>
                    <w:jc w:val="left"/>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色度，铂钴色度单位               ≤</w:t>
                  </w:r>
                </w:p>
              </w:tc>
              <w:tc>
                <w:tcPr>
                  <w:tcW w:w="3600" w:type="dxa"/>
                  <w:vAlign w:val="center"/>
                </w:tcPr>
                <w:p w14:paraId="19501581">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30</w:t>
                  </w:r>
                </w:p>
              </w:tc>
            </w:tr>
            <w:tr w14:paraId="19144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650" w:type="dxa"/>
                  <w:vAlign w:val="center"/>
                </w:tcPr>
                <w:p w14:paraId="5D759B8B">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3</w:t>
                  </w:r>
                </w:p>
              </w:tc>
              <w:tc>
                <w:tcPr>
                  <w:tcW w:w="3798" w:type="dxa"/>
                  <w:vAlign w:val="center"/>
                </w:tcPr>
                <w:p w14:paraId="375B0E14">
                  <w:pPr>
                    <w:keepNext w:val="0"/>
                    <w:keepLines w:val="0"/>
                    <w:pageBreakBefore w:val="0"/>
                    <w:widowControl w:val="0"/>
                    <w:kinsoku/>
                    <w:wordWrap/>
                    <w:overflowPunct/>
                    <w:topLinePunct w:val="0"/>
                    <w:autoSpaceDE/>
                    <w:autoSpaceDN/>
                    <w:bidi w:val="0"/>
                    <w:adjustRightInd/>
                    <w:snapToGrid/>
                    <w:spacing w:before="0" w:after="0"/>
                    <w:ind w:left="0" w:leftChars="0" w:firstLine="0"/>
                    <w:jc w:val="left"/>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嗅</w:t>
                  </w:r>
                </w:p>
              </w:tc>
              <w:tc>
                <w:tcPr>
                  <w:tcW w:w="3600" w:type="dxa"/>
                  <w:vAlign w:val="center"/>
                </w:tcPr>
                <w:p w14:paraId="091C1B69">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无不快感</w:t>
                  </w:r>
                </w:p>
              </w:tc>
            </w:tr>
            <w:tr w14:paraId="253A1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650" w:type="dxa"/>
                  <w:vAlign w:val="center"/>
                </w:tcPr>
                <w:p w14:paraId="3EAA1D41">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4</w:t>
                  </w:r>
                </w:p>
              </w:tc>
              <w:tc>
                <w:tcPr>
                  <w:tcW w:w="3798" w:type="dxa"/>
                  <w:vAlign w:val="center"/>
                </w:tcPr>
                <w:p w14:paraId="123A074A">
                  <w:pPr>
                    <w:keepNext w:val="0"/>
                    <w:keepLines w:val="0"/>
                    <w:pageBreakBefore w:val="0"/>
                    <w:widowControl w:val="0"/>
                    <w:kinsoku/>
                    <w:wordWrap/>
                    <w:overflowPunct/>
                    <w:topLinePunct w:val="0"/>
                    <w:autoSpaceDE/>
                    <w:autoSpaceDN/>
                    <w:bidi w:val="0"/>
                    <w:adjustRightInd/>
                    <w:snapToGrid/>
                    <w:spacing w:before="0" w:after="0"/>
                    <w:ind w:left="0" w:leftChars="0" w:firstLine="0"/>
                    <w:jc w:val="left"/>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浊度/NTU</w:t>
                  </w:r>
                  <w: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 xml:space="preserve"> </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 xml:space="preserve">                       ≤</w:t>
                  </w:r>
                </w:p>
              </w:tc>
              <w:tc>
                <w:tcPr>
                  <w:tcW w:w="3600" w:type="dxa"/>
                  <w:vAlign w:val="center"/>
                </w:tcPr>
                <w:p w14:paraId="1E212109">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10</w:t>
                  </w:r>
                </w:p>
              </w:tc>
            </w:tr>
            <w:tr w14:paraId="1538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650" w:type="dxa"/>
                  <w:vAlign w:val="center"/>
                </w:tcPr>
                <w:p w14:paraId="66E66115">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5</w:t>
                  </w:r>
                </w:p>
              </w:tc>
              <w:tc>
                <w:tcPr>
                  <w:tcW w:w="3798" w:type="dxa"/>
                  <w:vAlign w:val="center"/>
                </w:tcPr>
                <w:p w14:paraId="07C49EBB">
                  <w:pPr>
                    <w:keepNext w:val="0"/>
                    <w:keepLines w:val="0"/>
                    <w:pageBreakBefore w:val="0"/>
                    <w:widowControl w:val="0"/>
                    <w:kinsoku/>
                    <w:wordWrap/>
                    <w:overflowPunct/>
                    <w:topLinePunct w:val="0"/>
                    <w:autoSpaceDE/>
                    <w:autoSpaceDN/>
                    <w:bidi w:val="0"/>
                    <w:adjustRightInd/>
                    <w:snapToGrid/>
                    <w:spacing w:before="0" w:after="0"/>
                    <w:ind w:left="0" w:leftChars="0" w:firstLine="0"/>
                    <w:jc w:val="left"/>
                    <w:textAlignment w:val="auto"/>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五日生化需氧量（BOD</w:t>
                  </w:r>
                  <w:r>
                    <w:rPr>
                      <w:rFonts w:hint="default" w:ascii="Times New Roman" w:hAnsi="Times New Roman" w:eastAsia="宋体" w:cs="Times New Roman"/>
                      <w:b w:val="0"/>
                      <w:bCs w:val="0"/>
                      <w:color w:val="000000" w:themeColor="text1"/>
                      <w:kern w:val="2"/>
                      <w:sz w:val="21"/>
                      <w:szCs w:val="21"/>
                      <w:vertAlign w:val="subscript"/>
                      <w:lang w:val="en-US" w:eastAsia="zh-CN" w:bidi="ar-SA"/>
                      <w14:textFill>
                        <w14:solidFill>
                          <w14:schemeClr w14:val="tx1"/>
                        </w14:solidFill>
                      </w14:textFill>
                    </w:rPr>
                    <w:t>5</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 xml:space="preserve">）/（mg/L） ≤                                           </w:t>
                  </w:r>
                </w:p>
              </w:tc>
              <w:tc>
                <w:tcPr>
                  <w:tcW w:w="3600" w:type="dxa"/>
                  <w:vAlign w:val="center"/>
                </w:tcPr>
                <w:p w14:paraId="27AA7B73">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10</w:t>
                  </w:r>
                </w:p>
              </w:tc>
            </w:tr>
            <w:tr w14:paraId="1E81C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650" w:type="dxa"/>
                  <w:vAlign w:val="center"/>
                </w:tcPr>
                <w:p w14:paraId="0FDCBFB4">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6</w:t>
                  </w:r>
                </w:p>
              </w:tc>
              <w:tc>
                <w:tcPr>
                  <w:tcW w:w="3798" w:type="dxa"/>
                  <w:vAlign w:val="center"/>
                </w:tcPr>
                <w:p w14:paraId="69C4BEAA">
                  <w:pPr>
                    <w:keepNext w:val="0"/>
                    <w:keepLines w:val="0"/>
                    <w:pageBreakBefore w:val="0"/>
                    <w:widowControl w:val="0"/>
                    <w:kinsoku/>
                    <w:wordWrap/>
                    <w:overflowPunct/>
                    <w:topLinePunct w:val="0"/>
                    <w:autoSpaceDE/>
                    <w:autoSpaceDN/>
                    <w:bidi w:val="0"/>
                    <w:adjustRightInd/>
                    <w:snapToGrid/>
                    <w:spacing w:before="0" w:after="0"/>
                    <w:ind w:left="0" w:leftChars="0" w:firstLine="0"/>
                    <w:jc w:val="left"/>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氨氮/（mg/L）                    ≤</w:t>
                  </w:r>
                </w:p>
              </w:tc>
              <w:tc>
                <w:tcPr>
                  <w:tcW w:w="3600" w:type="dxa"/>
                  <w:vAlign w:val="center"/>
                </w:tcPr>
                <w:p w14:paraId="4BFDC031">
                  <w:pPr>
                    <w:keepNext w:val="0"/>
                    <w:keepLines w:val="0"/>
                    <w:pageBreakBefore w:val="0"/>
                    <w:widowControl w:val="0"/>
                    <w:kinsoku/>
                    <w:wordWrap/>
                    <w:overflowPunct/>
                    <w:topLinePunct w:val="0"/>
                    <w:autoSpaceDE/>
                    <w:autoSpaceDN/>
                    <w:bidi w:val="0"/>
                    <w:adjustRightInd/>
                    <w:snapToGrid/>
                    <w:spacing w:before="0" w:after="0"/>
                    <w:ind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8</w:t>
                  </w:r>
                </w:p>
              </w:tc>
            </w:tr>
            <w:tr w14:paraId="4569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650" w:type="dxa"/>
                  <w:vAlign w:val="center"/>
                </w:tcPr>
                <w:p w14:paraId="6928E75F">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7</w:t>
                  </w:r>
                </w:p>
              </w:tc>
              <w:tc>
                <w:tcPr>
                  <w:tcW w:w="3798" w:type="dxa"/>
                  <w:vAlign w:val="center"/>
                </w:tcPr>
                <w:p w14:paraId="2D29C0EC">
                  <w:pPr>
                    <w:keepNext w:val="0"/>
                    <w:keepLines w:val="0"/>
                    <w:pageBreakBefore w:val="0"/>
                    <w:widowControl w:val="0"/>
                    <w:kinsoku/>
                    <w:wordWrap/>
                    <w:overflowPunct/>
                    <w:topLinePunct w:val="0"/>
                    <w:autoSpaceDE/>
                    <w:autoSpaceDN/>
                    <w:bidi w:val="0"/>
                    <w:adjustRightInd/>
                    <w:snapToGrid/>
                    <w:spacing w:before="0" w:after="0"/>
                    <w:ind w:left="0" w:leftChars="0" w:firstLine="0"/>
                    <w:jc w:val="left"/>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阴离子表面活性剂/（mg/L）        ≤</w:t>
                  </w:r>
                </w:p>
              </w:tc>
              <w:tc>
                <w:tcPr>
                  <w:tcW w:w="3600" w:type="dxa"/>
                  <w:vAlign w:val="center"/>
                </w:tcPr>
                <w:p w14:paraId="1A068219">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0.5</w:t>
                  </w:r>
                </w:p>
              </w:tc>
            </w:tr>
            <w:tr w14:paraId="7E469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650" w:type="dxa"/>
                  <w:vAlign w:val="center"/>
                </w:tcPr>
                <w:p w14:paraId="6CF7F049">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8</w:t>
                  </w:r>
                </w:p>
              </w:tc>
              <w:tc>
                <w:tcPr>
                  <w:tcW w:w="3798" w:type="dxa"/>
                  <w:vAlign w:val="center"/>
                </w:tcPr>
                <w:p w14:paraId="3A1DFFB6">
                  <w:pPr>
                    <w:keepNext w:val="0"/>
                    <w:keepLines w:val="0"/>
                    <w:pageBreakBefore w:val="0"/>
                    <w:widowControl w:val="0"/>
                    <w:kinsoku/>
                    <w:wordWrap/>
                    <w:overflowPunct/>
                    <w:topLinePunct w:val="0"/>
                    <w:autoSpaceDE/>
                    <w:autoSpaceDN/>
                    <w:bidi w:val="0"/>
                    <w:adjustRightInd/>
                    <w:snapToGrid/>
                    <w:spacing w:before="0" w:after="0"/>
                    <w:ind w:left="0" w:leftChars="0" w:firstLine="0"/>
                    <w:jc w:val="left"/>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铁/（mg/L）                      ≤</w:t>
                  </w:r>
                </w:p>
              </w:tc>
              <w:tc>
                <w:tcPr>
                  <w:tcW w:w="3600" w:type="dxa"/>
                  <w:vAlign w:val="center"/>
                </w:tcPr>
                <w:p w14:paraId="3F91F3E0">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w:t>
                  </w:r>
                </w:p>
              </w:tc>
            </w:tr>
            <w:tr w14:paraId="67559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650" w:type="dxa"/>
                  <w:vAlign w:val="center"/>
                </w:tcPr>
                <w:p w14:paraId="50F11B51">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9</w:t>
                  </w:r>
                </w:p>
              </w:tc>
              <w:tc>
                <w:tcPr>
                  <w:tcW w:w="3798" w:type="dxa"/>
                  <w:vAlign w:val="center"/>
                </w:tcPr>
                <w:p w14:paraId="1BE5FFEF">
                  <w:pPr>
                    <w:keepNext w:val="0"/>
                    <w:keepLines w:val="0"/>
                    <w:pageBreakBefore w:val="0"/>
                    <w:widowControl w:val="0"/>
                    <w:kinsoku/>
                    <w:wordWrap/>
                    <w:overflowPunct/>
                    <w:topLinePunct w:val="0"/>
                    <w:autoSpaceDE/>
                    <w:autoSpaceDN/>
                    <w:bidi w:val="0"/>
                    <w:adjustRightInd/>
                    <w:snapToGrid/>
                    <w:spacing w:before="0" w:after="0"/>
                    <w:ind w:left="0" w:leftChars="0" w:firstLine="0"/>
                    <w:jc w:val="left"/>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锰/（mg/L）                      ≤</w:t>
                  </w:r>
                </w:p>
              </w:tc>
              <w:tc>
                <w:tcPr>
                  <w:tcW w:w="3600" w:type="dxa"/>
                  <w:vAlign w:val="center"/>
                </w:tcPr>
                <w:p w14:paraId="7E166D83">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w:t>
                  </w:r>
                </w:p>
              </w:tc>
            </w:tr>
            <w:tr w14:paraId="4159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650" w:type="dxa"/>
                  <w:vAlign w:val="center"/>
                </w:tcPr>
                <w:p w14:paraId="0474DBB6">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10</w:t>
                  </w:r>
                </w:p>
              </w:tc>
              <w:tc>
                <w:tcPr>
                  <w:tcW w:w="3798" w:type="dxa"/>
                  <w:vAlign w:val="center"/>
                </w:tcPr>
                <w:p w14:paraId="5B5889F6">
                  <w:pPr>
                    <w:keepNext w:val="0"/>
                    <w:keepLines w:val="0"/>
                    <w:pageBreakBefore w:val="0"/>
                    <w:widowControl w:val="0"/>
                    <w:kinsoku/>
                    <w:wordWrap/>
                    <w:overflowPunct/>
                    <w:topLinePunct w:val="0"/>
                    <w:autoSpaceDE/>
                    <w:autoSpaceDN/>
                    <w:bidi w:val="0"/>
                    <w:adjustRightInd/>
                    <w:snapToGrid/>
                    <w:spacing w:before="0" w:after="0"/>
                    <w:ind w:left="0" w:leftChars="0" w:firstLine="0"/>
                    <w:jc w:val="left"/>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溶解性总固体/（mg/L）            ≤</w:t>
                  </w:r>
                </w:p>
              </w:tc>
              <w:tc>
                <w:tcPr>
                  <w:tcW w:w="3600" w:type="dxa"/>
                  <w:vAlign w:val="center"/>
                </w:tcPr>
                <w:p w14:paraId="7D3F7FBD">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1000（2000）</w:t>
                  </w:r>
                  <w:r>
                    <w:rPr>
                      <w:rFonts w:hint="default" w:ascii="Times New Roman" w:hAnsi="Times New Roman" w:eastAsia="宋体" w:cs="Times New Roman"/>
                      <w:b w:val="0"/>
                      <w:bCs w:val="0"/>
                      <w:color w:val="000000" w:themeColor="text1"/>
                      <w:kern w:val="2"/>
                      <w:sz w:val="21"/>
                      <w:szCs w:val="21"/>
                      <w:vertAlign w:val="superscript"/>
                      <w:lang w:val="en-US" w:eastAsia="zh-CN" w:bidi="ar-SA"/>
                      <w14:textFill>
                        <w14:solidFill>
                          <w14:schemeClr w14:val="tx1"/>
                        </w14:solidFill>
                      </w14:textFill>
                    </w:rPr>
                    <w:t>a</w:t>
                  </w:r>
                </w:p>
              </w:tc>
            </w:tr>
            <w:tr w14:paraId="07E8F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650" w:type="dxa"/>
                  <w:vAlign w:val="center"/>
                </w:tcPr>
                <w:p w14:paraId="284F15B2">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11</w:t>
                  </w:r>
                </w:p>
              </w:tc>
              <w:tc>
                <w:tcPr>
                  <w:tcW w:w="3798" w:type="dxa"/>
                  <w:vAlign w:val="center"/>
                </w:tcPr>
                <w:p w14:paraId="10548B46">
                  <w:pPr>
                    <w:keepNext w:val="0"/>
                    <w:keepLines w:val="0"/>
                    <w:pageBreakBefore w:val="0"/>
                    <w:widowControl w:val="0"/>
                    <w:kinsoku/>
                    <w:wordWrap/>
                    <w:overflowPunct/>
                    <w:topLinePunct w:val="0"/>
                    <w:autoSpaceDE/>
                    <w:autoSpaceDN/>
                    <w:bidi w:val="0"/>
                    <w:adjustRightInd/>
                    <w:snapToGrid/>
                    <w:spacing w:before="0" w:after="0"/>
                    <w:ind w:left="0" w:leftChars="0" w:firstLine="0"/>
                    <w:jc w:val="left"/>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溶解氧/（mg/L）                  ≥</w:t>
                  </w:r>
                </w:p>
              </w:tc>
              <w:tc>
                <w:tcPr>
                  <w:tcW w:w="3600" w:type="dxa"/>
                  <w:vAlign w:val="center"/>
                </w:tcPr>
                <w:p w14:paraId="13CA1115">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2.0</w:t>
                  </w:r>
                </w:p>
              </w:tc>
            </w:tr>
            <w:tr w14:paraId="4636A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650" w:type="dxa"/>
                  <w:vAlign w:val="center"/>
                </w:tcPr>
                <w:p w14:paraId="6BDAE9E6">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12</w:t>
                  </w:r>
                </w:p>
              </w:tc>
              <w:tc>
                <w:tcPr>
                  <w:tcW w:w="3798" w:type="dxa"/>
                  <w:vAlign w:val="center"/>
                </w:tcPr>
                <w:p w14:paraId="695D58D9">
                  <w:pPr>
                    <w:keepNext w:val="0"/>
                    <w:keepLines w:val="0"/>
                    <w:pageBreakBefore w:val="0"/>
                    <w:widowControl w:val="0"/>
                    <w:kinsoku/>
                    <w:wordWrap/>
                    <w:overflowPunct/>
                    <w:topLinePunct w:val="0"/>
                    <w:autoSpaceDE/>
                    <w:autoSpaceDN/>
                    <w:bidi w:val="0"/>
                    <w:adjustRightInd/>
                    <w:snapToGrid/>
                    <w:spacing w:before="0" w:after="0"/>
                    <w:ind w:left="0" w:leftChars="0" w:firstLine="0"/>
                    <w:jc w:val="left"/>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总氯/（mg/L）                    ≥</w:t>
                  </w:r>
                </w:p>
              </w:tc>
              <w:tc>
                <w:tcPr>
                  <w:tcW w:w="3600" w:type="dxa"/>
                  <w:vAlign w:val="center"/>
                </w:tcPr>
                <w:p w14:paraId="1DB29FC2">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1.0（出厂），0.2</w:t>
                  </w:r>
                  <w:r>
                    <w:rPr>
                      <w:rFonts w:hint="default" w:ascii="Times New Roman" w:hAnsi="Times New Roman" w:eastAsia="宋体" w:cs="Times New Roman"/>
                      <w:b w:val="0"/>
                      <w:bCs w:val="0"/>
                      <w:color w:val="000000" w:themeColor="text1"/>
                      <w:kern w:val="2"/>
                      <w:sz w:val="21"/>
                      <w:szCs w:val="21"/>
                      <w:vertAlign w:val="superscript"/>
                      <w:lang w:val="en-US" w:eastAsia="zh-CN" w:bidi="ar-SA"/>
                      <w14:textFill>
                        <w14:solidFill>
                          <w14:schemeClr w14:val="tx1"/>
                        </w14:solidFill>
                      </w14:textFill>
                    </w:rPr>
                    <w:t>b</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（管网末端）</w:t>
                  </w:r>
                </w:p>
              </w:tc>
            </w:tr>
            <w:tr w14:paraId="78DE5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650" w:type="dxa"/>
                  <w:vAlign w:val="center"/>
                </w:tcPr>
                <w:p w14:paraId="20B6AA36">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13</w:t>
                  </w:r>
                </w:p>
              </w:tc>
              <w:tc>
                <w:tcPr>
                  <w:tcW w:w="3798" w:type="dxa"/>
                  <w:vAlign w:val="center"/>
                </w:tcPr>
                <w:p w14:paraId="77520D33">
                  <w:pPr>
                    <w:keepNext w:val="0"/>
                    <w:keepLines w:val="0"/>
                    <w:pageBreakBefore w:val="0"/>
                    <w:widowControl w:val="0"/>
                    <w:kinsoku/>
                    <w:wordWrap/>
                    <w:overflowPunct/>
                    <w:topLinePunct w:val="0"/>
                    <w:autoSpaceDE/>
                    <w:autoSpaceDN/>
                    <w:bidi w:val="0"/>
                    <w:adjustRightInd/>
                    <w:snapToGrid/>
                    <w:spacing w:before="0" w:after="0"/>
                    <w:ind w:left="0" w:leftChars="0" w:firstLine="0"/>
                    <w:jc w:val="left"/>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大肠埃希氏菌/（MPN/100mL或CFU/100mL）</w:t>
                  </w:r>
                </w:p>
              </w:tc>
              <w:tc>
                <w:tcPr>
                  <w:tcW w:w="3600" w:type="dxa"/>
                  <w:vAlign w:val="center"/>
                </w:tcPr>
                <w:p w14:paraId="56331216">
                  <w:pPr>
                    <w:keepNext w:val="0"/>
                    <w:keepLines w:val="0"/>
                    <w:pageBreakBefore w:val="0"/>
                    <w:widowControl w:val="0"/>
                    <w:kinsoku/>
                    <w:wordWrap/>
                    <w:overflowPunct/>
                    <w:topLinePunct w:val="0"/>
                    <w:autoSpaceDE/>
                    <w:autoSpaceDN/>
                    <w:bidi w:val="0"/>
                    <w:adjustRightInd/>
                    <w:snapToGrid/>
                    <w:spacing w:before="0" w:after="0"/>
                    <w:ind w:left="0" w:leftChars="0" w:firstLine="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无</w:t>
                  </w:r>
                  <w:r>
                    <w:rPr>
                      <w:rFonts w:hint="default" w:ascii="Times New Roman" w:hAnsi="Times New Roman" w:eastAsia="宋体" w:cs="Times New Roman"/>
                      <w:b w:val="0"/>
                      <w:bCs w:val="0"/>
                      <w:color w:val="000000" w:themeColor="text1"/>
                      <w:kern w:val="2"/>
                      <w:sz w:val="21"/>
                      <w:szCs w:val="21"/>
                      <w:vertAlign w:val="superscript"/>
                      <w:lang w:val="en-US" w:eastAsia="zh-CN" w:bidi="ar-SA"/>
                      <w14:textFill>
                        <w14:solidFill>
                          <w14:schemeClr w14:val="tx1"/>
                        </w14:solidFill>
                      </w14:textFill>
                    </w:rPr>
                    <w:t>c</w:t>
                  </w:r>
                </w:p>
              </w:tc>
            </w:tr>
            <w:tr w14:paraId="26B4E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8048" w:type="dxa"/>
                  <w:gridSpan w:val="3"/>
                  <w:vAlign w:val="center"/>
                </w:tcPr>
                <w:p w14:paraId="4DDB1977">
                  <w:pPr>
                    <w:keepNext w:val="0"/>
                    <w:keepLines w:val="0"/>
                    <w:pageBreakBefore w:val="0"/>
                    <w:widowControl w:val="0"/>
                    <w:kinsoku/>
                    <w:wordWrap/>
                    <w:overflowPunct/>
                    <w:topLinePunct w:val="0"/>
                    <w:autoSpaceDE/>
                    <w:autoSpaceDN/>
                    <w:bidi w:val="0"/>
                    <w:adjustRightInd/>
                    <w:snapToGrid/>
                    <w:spacing w:before="0" w:after="0"/>
                    <w:ind w:left="0" w:leftChars="0" w:firstLine="0"/>
                    <w:jc w:val="left"/>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注：</w:t>
                  </w:r>
                  <w:r>
                    <w:rPr>
                      <w:rFonts w:hint="eastAsia" w:cs="Times New Roman"/>
                      <w:b w:val="0"/>
                      <w:bCs w:val="0"/>
                      <w:color w:val="000000" w:themeColor="text1"/>
                      <w:kern w:val="2"/>
                      <w:sz w:val="21"/>
                      <w:szCs w:val="21"/>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w:t>
                  </w:r>
                  <w:r>
                    <w:rPr>
                      <w:rFonts w:hint="eastAsia" w:cs="Times New Roman"/>
                      <w:b w:val="0"/>
                      <w:bCs w:val="0"/>
                      <w:color w:val="000000" w:themeColor="text1"/>
                      <w:kern w:val="2"/>
                      <w:sz w:val="21"/>
                      <w:szCs w:val="21"/>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表示对此项指标无要求。</w:t>
                  </w:r>
                </w:p>
              </w:tc>
            </w:tr>
            <w:tr w14:paraId="19845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048" w:type="dxa"/>
                  <w:gridSpan w:val="3"/>
                  <w:vAlign w:val="center"/>
                </w:tcPr>
                <w:p w14:paraId="78B42276">
                  <w:pPr>
                    <w:keepNext w:val="0"/>
                    <w:keepLines w:val="0"/>
                    <w:pageBreakBefore w:val="0"/>
                    <w:widowControl w:val="0"/>
                    <w:kinsoku/>
                    <w:wordWrap/>
                    <w:overflowPunct/>
                    <w:topLinePunct w:val="0"/>
                    <w:autoSpaceDE/>
                    <w:autoSpaceDN/>
                    <w:bidi w:val="0"/>
                    <w:adjustRightInd/>
                    <w:snapToGrid/>
                    <w:spacing w:before="0" w:after="0"/>
                    <w:ind w:left="0" w:leftChars="0" w:firstLine="0"/>
                    <w:jc w:val="left"/>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vertAlign w:val="superscript"/>
                      <w:lang w:val="en-US" w:eastAsia="zh-CN" w:bidi="ar-SA"/>
                      <w14:textFill>
                        <w14:solidFill>
                          <w14:schemeClr w14:val="tx1"/>
                        </w14:solidFill>
                      </w14:textFill>
                    </w:rPr>
                    <w:t>a</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括号内指标值为沿海及本地水源中溶解性固体含量较高的区域指标。</w:t>
                  </w:r>
                </w:p>
                <w:p w14:paraId="232D5E5E">
                  <w:pPr>
                    <w:keepNext w:val="0"/>
                    <w:keepLines w:val="0"/>
                    <w:pageBreakBefore w:val="0"/>
                    <w:widowControl w:val="0"/>
                    <w:kinsoku/>
                    <w:wordWrap/>
                    <w:overflowPunct/>
                    <w:topLinePunct w:val="0"/>
                    <w:autoSpaceDE/>
                    <w:autoSpaceDN/>
                    <w:bidi w:val="0"/>
                    <w:adjustRightInd/>
                    <w:snapToGrid/>
                    <w:spacing w:before="0" w:after="0"/>
                    <w:ind w:left="0" w:leftChars="0" w:firstLine="0"/>
                    <w:jc w:val="left"/>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vertAlign w:val="superscript"/>
                      <w:lang w:val="en-US" w:eastAsia="zh-CN" w:bidi="ar-SA"/>
                      <w14:textFill>
                        <w14:solidFill>
                          <w14:schemeClr w14:val="tx1"/>
                        </w14:solidFill>
                      </w14:textFill>
                    </w:rPr>
                    <w:t>b</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用于城市绿化时，不应超过2.5mg/L。</w:t>
                  </w:r>
                </w:p>
                <w:p w14:paraId="335AECAE">
                  <w:pPr>
                    <w:keepNext w:val="0"/>
                    <w:keepLines w:val="0"/>
                    <w:pageBreakBefore w:val="0"/>
                    <w:widowControl w:val="0"/>
                    <w:kinsoku/>
                    <w:wordWrap/>
                    <w:overflowPunct/>
                    <w:topLinePunct w:val="0"/>
                    <w:autoSpaceDE/>
                    <w:autoSpaceDN/>
                    <w:bidi w:val="0"/>
                    <w:adjustRightInd/>
                    <w:snapToGrid/>
                    <w:spacing w:before="0" w:after="0"/>
                    <w:ind w:left="0" w:leftChars="0" w:firstLine="0"/>
                    <w:jc w:val="left"/>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vertAlign w:val="superscript"/>
                      <w:lang w:val="en-US" w:eastAsia="zh-CN" w:bidi="ar-SA"/>
                      <w14:textFill>
                        <w14:solidFill>
                          <w14:schemeClr w14:val="tx1"/>
                        </w14:solidFill>
                      </w14:textFill>
                    </w:rPr>
                    <w:t>c</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大肠埃希氏菌不应检出。</w:t>
                  </w:r>
                </w:p>
              </w:tc>
            </w:tr>
          </w:tbl>
          <w:p w14:paraId="6361E1A0">
            <w:pPr>
              <w:keepNext/>
              <w:keepLines/>
              <w:pageBreakBefore w:val="0"/>
              <w:widowControl w:val="0"/>
              <w:kinsoku/>
              <w:wordWrap/>
              <w:overflowPunct/>
              <w:topLinePunct w:val="0"/>
              <w:autoSpaceDE/>
              <w:autoSpaceDN/>
              <w:bidi w:val="0"/>
              <w:adjustRightInd w:val="0"/>
              <w:snapToGrid w:val="0"/>
              <w:spacing w:before="0" w:after="0" w:line="360" w:lineRule="auto"/>
              <w:ind w:firstLine="482" w:firstLineChars="200"/>
              <w:jc w:val="both"/>
              <w:textAlignment w:val="auto"/>
              <w:outlineLvl w:val="1"/>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bookmarkStart w:id="192" w:name="_Toc22823"/>
            <w:bookmarkStart w:id="193" w:name="_Toc26619"/>
            <w:bookmarkStart w:id="194" w:name="_Toc5331"/>
            <w:r>
              <w:rPr>
                <w:rFonts w:hint="eastAsia" w:ascii="Times New Roman" w:hAnsi="Times New Roman" w:cs="Times New Roman"/>
                <w:b/>
                <w:bCs/>
                <w:color w:val="000000" w:themeColor="text1"/>
                <w:kern w:val="2"/>
                <w:sz w:val="24"/>
                <w:szCs w:val="24"/>
                <w:lang w:val="en-US" w:eastAsia="zh-CN" w:bidi="ar-SA"/>
                <w14:textFill>
                  <w14:solidFill>
                    <w14:schemeClr w14:val="tx1"/>
                  </w14:solidFill>
                </w14:textFill>
              </w:rPr>
              <w:t>（2）废气排放标准</w:t>
            </w:r>
            <w:bookmarkEnd w:id="192"/>
            <w:bookmarkEnd w:id="193"/>
            <w:bookmarkEnd w:id="194"/>
          </w:p>
          <w:p w14:paraId="48036E21">
            <w:pPr>
              <w:keepNext/>
              <w:keepLines/>
              <w:pageBreakBefore w:val="0"/>
              <w:widowControl w:val="0"/>
              <w:kinsoku/>
              <w:wordWrap/>
              <w:overflowPunct/>
              <w:topLinePunct w:val="0"/>
              <w:autoSpaceDE/>
              <w:autoSpaceDN/>
              <w:bidi w:val="0"/>
              <w:adjustRightInd w:val="0"/>
              <w:snapToGrid w:val="0"/>
              <w:spacing w:before="0" w:after="0" w:line="360" w:lineRule="auto"/>
              <w:ind w:firstLine="482" w:firstLineChars="200"/>
              <w:jc w:val="both"/>
              <w:textAlignment w:val="auto"/>
              <w:outlineLvl w:val="1"/>
              <w:rPr>
                <w:rFonts w:hint="default" w:ascii="Times New Roman" w:hAnsi="Times New Roman" w:cs="Times New Roman"/>
                <w:b/>
                <w:bCs/>
                <w:color w:val="000000" w:themeColor="text1"/>
                <w:kern w:val="2"/>
                <w:sz w:val="24"/>
                <w:szCs w:val="24"/>
                <w:lang w:val="en-US" w:eastAsia="zh-CN" w:bidi="ar-SA"/>
                <w14:textFill>
                  <w14:solidFill>
                    <w14:schemeClr w14:val="tx1"/>
                  </w14:solidFill>
                </w14:textFill>
              </w:rPr>
            </w:pPr>
            <w:bookmarkStart w:id="195" w:name="_Toc1437"/>
            <w:bookmarkStart w:id="196" w:name="_Toc16887"/>
            <w:bookmarkStart w:id="197" w:name="_Toc24567"/>
            <w:r>
              <w:rPr>
                <w:rFonts w:hint="eastAsia" w:ascii="Times New Roman" w:hAnsi="Times New Roman" w:cs="Times New Roman"/>
                <w:b/>
                <w:bCs/>
                <w:color w:val="000000" w:themeColor="text1"/>
                <w:kern w:val="2"/>
                <w:sz w:val="24"/>
                <w:szCs w:val="24"/>
                <w:lang w:val="en-US" w:eastAsia="zh-CN" w:bidi="ar-SA"/>
                <w14:textFill>
                  <w14:solidFill>
                    <w14:schemeClr w14:val="tx1"/>
                  </w14:solidFill>
                </w14:textFill>
              </w:rPr>
              <w:t>1）电预热、模压成型、罩光废气：</w:t>
            </w:r>
            <w:r>
              <w:rPr>
                <w:rFonts w:hint="eastAsia" w:ascii="Times New Roman" w:hAnsi="Times New Roman" w:cs="Times New Roman"/>
                <w:b w:val="0"/>
                <w:bCs w:val="0"/>
                <w:color w:val="000000" w:themeColor="text1"/>
                <w:kern w:val="2"/>
                <w:sz w:val="24"/>
                <w:szCs w:val="24"/>
                <w:lang w:val="en-US" w:eastAsia="zh-CN" w:bidi="ar-SA"/>
                <w14:textFill>
                  <w14:solidFill>
                    <w14:schemeClr w14:val="tx1"/>
                  </w14:solidFill>
                </w14:textFill>
              </w:rPr>
              <w:t>电预热、模压成型、罩光废气产生的非甲烷总烃与甲醛经集气罩与密闭管道收集后通过</w:t>
            </w:r>
            <w:r>
              <w:rPr>
                <w:rFonts w:hint="eastAsia" w:cs="Times New Roman"/>
                <w:b w:val="0"/>
                <w:bCs w:val="0"/>
                <w:color w:val="000000" w:themeColor="text1"/>
                <w:kern w:val="2"/>
                <w:sz w:val="24"/>
                <w:szCs w:val="24"/>
                <w:lang w:val="en-US" w:eastAsia="zh-CN" w:bidi="ar-SA"/>
                <w14:textFill>
                  <w14:solidFill>
                    <w14:schemeClr w14:val="tx1"/>
                  </w14:solidFill>
                </w14:textFill>
              </w:rPr>
              <w:t>活性炭吸附/脱附+催化燃烧</w:t>
            </w:r>
            <w:r>
              <w:rPr>
                <w:rFonts w:hint="eastAsia" w:ascii="Times New Roman" w:hAnsi="Times New Roman" w:cs="Times New Roman"/>
                <w:b w:val="0"/>
                <w:bCs w:val="0"/>
                <w:color w:val="000000" w:themeColor="text1"/>
                <w:kern w:val="2"/>
                <w:sz w:val="24"/>
                <w:szCs w:val="24"/>
                <w:lang w:val="en-US" w:eastAsia="zh-CN" w:bidi="ar-SA"/>
                <w14:textFill>
                  <w14:solidFill>
                    <w14:schemeClr w14:val="tx1"/>
                  </w14:solidFill>
                </w14:textFill>
              </w:rPr>
              <w:t>处理后经15m高排气筒（DA001）排放。外排非甲烷总烃与甲醛执行《合成树脂工业污染物排放标准》（</w:t>
            </w:r>
            <w:r>
              <w:rPr>
                <w:rFonts w:hint="eastAsia" w:cs="Times New Roman"/>
                <w:b w:val="0"/>
                <w:bCs w:val="0"/>
                <w:color w:val="000000" w:themeColor="text1"/>
                <w:kern w:val="2"/>
                <w:sz w:val="24"/>
                <w:szCs w:val="24"/>
                <w:lang w:val="en-US" w:eastAsia="zh-CN" w:bidi="ar-SA"/>
                <w14:textFill>
                  <w14:solidFill>
                    <w14:schemeClr w14:val="tx1"/>
                  </w14:solidFill>
                </w14:textFill>
              </w:rPr>
              <w:t>GB31572-2015，含2024年修改单</w:t>
            </w:r>
            <w:r>
              <w:rPr>
                <w:rFonts w:hint="eastAsia" w:ascii="Times New Roman" w:hAnsi="Times New Roman" w:cs="Times New Roman"/>
                <w:b w:val="0"/>
                <w:bCs w:val="0"/>
                <w:color w:val="000000" w:themeColor="text1"/>
                <w:kern w:val="2"/>
                <w:sz w:val="24"/>
                <w:szCs w:val="24"/>
                <w:lang w:val="en-US" w:eastAsia="zh-CN" w:bidi="ar-SA"/>
                <w14:textFill>
                  <w14:solidFill>
                    <w14:schemeClr w14:val="tx1"/>
                  </w14:solidFill>
                </w14:textFill>
              </w:rPr>
              <w:t>）表4 大气污染物排放限值要求。</w:t>
            </w:r>
            <w:bookmarkEnd w:id="195"/>
            <w:bookmarkEnd w:id="196"/>
            <w:bookmarkEnd w:id="197"/>
          </w:p>
          <w:p w14:paraId="7E5F3AA5">
            <w:pPr>
              <w:keepNext/>
              <w:keepLines/>
              <w:pageBreakBefore w:val="0"/>
              <w:widowControl w:val="0"/>
              <w:kinsoku/>
              <w:wordWrap/>
              <w:overflowPunct/>
              <w:topLinePunct w:val="0"/>
              <w:autoSpaceDE/>
              <w:autoSpaceDN/>
              <w:bidi w:val="0"/>
              <w:adjustRightInd w:val="0"/>
              <w:snapToGrid w:val="0"/>
              <w:spacing w:before="0" w:after="0" w:line="360" w:lineRule="auto"/>
              <w:ind w:firstLine="482" w:firstLineChars="200"/>
              <w:jc w:val="both"/>
              <w:textAlignment w:val="auto"/>
              <w:outlineLvl w:val="1"/>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pPr>
            <w:bookmarkStart w:id="198" w:name="_Toc25088"/>
            <w:bookmarkStart w:id="199" w:name="_Toc20219"/>
            <w:bookmarkStart w:id="200" w:name="_Toc15876"/>
            <w:r>
              <w:rPr>
                <w:rFonts w:hint="eastAsia" w:ascii="Times New Roman" w:hAnsi="Times New Roman" w:cs="Times New Roman"/>
                <w:b/>
                <w:bCs/>
                <w:color w:val="000000" w:themeColor="text1"/>
                <w:kern w:val="2"/>
                <w:sz w:val="24"/>
                <w:szCs w:val="24"/>
                <w:lang w:val="en-US" w:eastAsia="zh-CN" w:bidi="ar-SA"/>
                <w14:textFill>
                  <w14:solidFill>
                    <w14:schemeClr w14:val="tx1"/>
                  </w14:solidFill>
                </w14:textFill>
              </w:rPr>
              <w:t>2）称量打磨废气：</w:t>
            </w:r>
            <w:r>
              <w:rPr>
                <w:rFonts w:hint="eastAsia" w:ascii="Times New Roman" w:hAnsi="Times New Roman" w:cs="Times New Roman"/>
                <w:b w:val="0"/>
                <w:bCs w:val="0"/>
                <w:color w:val="000000" w:themeColor="text1"/>
                <w:kern w:val="2"/>
                <w:sz w:val="24"/>
                <w:szCs w:val="24"/>
                <w:lang w:val="en-US" w:eastAsia="zh-CN" w:bidi="ar-SA"/>
                <w14:textFill>
                  <w14:solidFill>
                    <w14:schemeClr w14:val="tx1"/>
                  </w14:solidFill>
                </w14:textFill>
              </w:rPr>
              <w:t>人工称量与打磨产生的废气通过集气罩+布袋除尘器处理后经15m高排气筒（DA002）排放。外排颗粒物执行《合成树脂工业污染物排放标准》（</w:t>
            </w:r>
            <w:r>
              <w:rPr>
                <w:rFonts w:hint="eastAsia" w:cs="Times New Roman"/>
                <w:b w:val="0"/>
                <w:bCs w:val="0"/>
                <w:color w:val="000000" w:themeColor="text1"/>
                <w:kern w:val="2"/>
                <w:sz w:val="24"/>
                <w:szCs w:val="24"/>
                <w:lang w:val="en-US" w:eastAsia="zh-CN" w:bidi="ar-SA"/>
                <w14:textFill>
                  <w14:solidFill>
                    <w14:schemeClr w14:val="tx1"/>
                  </w14:solidFill>
                </w14:textFill>
              </w:rPr>
              <w:t>GB31572-2015，含2024年修改单</w:t>
            </w:r>
            <w:r>
              <w:rPr>
                <w:rFonts w:hint="eastAsia" w:ascii="Times New Roman" w:hAnsi="Times New Roman" w:cs="Times New Roman"/>
                <w:b w:val="0"/>
                <w:bCs w:val="0"/>
                <w:color w:val="000000" w:themeColor="text1"/>
                <w:kern w:val="2"/>
                <w:sz w:val="24"/>
                <w:szCs w:val="24"/>
                <w:lang w:val="en-US" w:eastAsia="zh-CN" w:bidi="ar-SA"/>
                <w14:textFill>
                  <w14:solidFill>
                    <w14:schemeClr w14:val="tx1"/>
                  </w14:solidFill>
                </w14:textFill>
              </w:rPr>
              <w:t>）表4 大气污染物排放限值要求。项目有组织废气排放标准详见下表：</w:t>
            </w:r>
            <w:bookmarkEnd w:id="198"/>
            <w:bookmarkEnd w:id="199"/>
            <w:bookmarkEnd w:id="200"/>
          </w:p>
          <w:p w14:paraId="6F62953B">
            <w:pPr>
              <w:widowControl w:val="0"/>
              <w:spacing w:before="20" w:after="20"/>
              <w:ind w:firstLine="420"/>
              <w:jc w:val="center"/>
              <w:rPr>
                <w:rFonts w:hint="default" w:ascii="Times New Roman" w:hAnsi="Times New Roman" w:eastAsia="宋体" w:cs="Times New Roman"/>
                <w:b/>
                <w:bCs/>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4"/>
                <w:lang w:val="en-US" w:eastAsia="zh-CN" w:bidi="ar-SA"/>
                <w14:textFill>
                  <w14:solidFill>
                    <w14:schemeClr w14:val="tx1"/>
                  </w14:solidFill>
                </w14:textFill>
              </w:rPr>
              <w:t>表3-</w:t>
            </w:r>
            <w:r>
              <w:rPr>
                <w:rFonts w:hint="eastAsia" w:ascii="Times New Roman" w:hAnsi="Times New Roman" w:eastAsia="宋体" w:cs="Times New Roman"/>
                <w:b/>
                <w:bCs/>
                <w:color w:val="000000" w:themeColor="text1"/>
                <w:kern w:val="2"/>
                <w:sz w:val="21"/>
                <w:szCs w:val="24"/>
                <w:lang w:val="en-US" w:eastAsia="zh-CN" w:bidi="ar-SA"/>
                <w14:textFill>
                  <w14:solidFill>
                    <w14:schemeClr w14:val="tx1"/>
                  </w14:solidFill>
                </w14:textFill>
              </w:rPr>
              <w:t>1</w:t>
            </w:r>
            <w:r>
              <w:rPr>
                <w:rFonts w:hint="eastAsia" w:cs="Times New Roman"/>
                <w:b/>
                <w:bCs/>
                <w:color w:val="000000" w:themeColor="text1"/>
                <w:kern w:val="2"/>
                <w:sz w:val="21"/>
                <w:szCs w:val="24"/>
                <w:lang w:val="en-US" w:eastAsia="zh-CN" w:bidi="ar-SA"/>
                <w14:textFill>
                  <w14:solidFill>
                    <w14:schemeClr w14:val="tx1"/>
                  </w14:solidFill>
                </w14:textFill>
              </w:rPr>
              <w:t>5</w:t>
            </w:r>
            <w:r>
              <w:rPr>
                <w:rFonts w:hint="default" w:ascii="Times New Roman" w:hAnsi="Times New Roman" w:eastAsia="宋体" w:cs="Times New Roman"/>
                <w:b/>
                <w:bCs/>
                <w:color w:val="000000" w:themeColor="text1"/>
                <w:kern w:val="2"/>
                <w:sz w:val="21"/>
                <w:szCs w:val="24"/>
                <w:lang w:val="en-US" w:eastAsia="zh-CN" w:bidi="ar-SA"/>
                <w14:textFill>
                  <w14:solidFill>
                    <w14:schemeClr w14:val="tx1"/>
                  </w14:solidFill>
                </w14:textFill>
              </w:rPr>
              <w:t xml:space="preserve"> </w:t>
            </w:r>
            <w:r>
              <w:rPr>
                <w:rFonts w:hint="eastAsia" w:ascii="Times New Roman" w:hAnsi="Times New Roman" w:eastAsia="宋体" w:cs="Times New Roman"/>
                <w:b/>
                <w:bCs/>
                <w:color w:val="000000" w:themeColor="text1"/>
                <w:kern w:val="2"/>
                <w:sz w:val="21"/>
                <w:szCs w:val="24"/>
                <w:lang w:val="en-US" w:eastAsia="zh-CN" w:bidi="ar-SA"/>
                <w14:textFill>
                  <w14:solidFill>
                    <w14:schemeClr w14:val="tx1"/>
                  </w14:solidFill>
                </w14:textFill>
              </w:rPr>
              <w:t>项目有组织</w:t>
            </w:r>
            <w:r>
              <w:rPr>
                <w:rFonts w:hint="default" w:ascii="Times New Roman" w:hAnsi="Times New Roman" w:eastAsia="宋体" w:cs="Times New Roman"/>
                <w:b/>
                <w:bCs/>
                <w:color w:val="000000" w:themeColor="text1"/>
                <w:kern w:val="2"/>
                <w:sz w:val="21"/>
                <w:szCs w:val="24"/>
                <w:lang w:val="en-US" w:eastAsia="zh-CN" w:bidi="ar-SA"/>
                <w14:textFill>
                  <w14:solidFill>
                    <w14:schemeClr w14:val="tx1"/>
                  </w14:solidFill>
                </w14:textFill>
              </w:rPr>
              <w:t>废气排放标准</w:t>
            </w:r>
          </w:p>
          <w:tbl>
            <w:tblPr>
              <w:tblStyle w:val="3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5"/>
              <w:gridCol w:w="1038"/>
              <w:gridCol w:w="1276"/>
              <w:gridCol w:w="864"/>
              <w:gridCol w:w="1245"/>
              <w:gridCol w:w="873"/>
              <w:gridCol w:w="1944"/>
            </w:tblGrid>
            <w:tr w14:paraId="6E3F2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8" w:type="pct"/>
                  <w:vAlign w:val="center"/>
                </w:tcPr>
                <w:p w14:paraId="14CE43E5">
                  <w:pPr>
                    <w:widowControl w:val="0"/>
                    <w:spacing w:before="20" w:after="20"/>
                    <w:ind w:left="0" w:leftChars="0" w:firstLine="0" w:firstLineChars="0"/>
                    <w:jc w:val="cente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t>排气筒</w:t>
                  </w:r>
                </w:p>
              </w:tc>
              <w:tc>
                <w:tcPr>
                  <w:tcW w:w="700" w:type="pct"/>
                  <w:vAlign w:val="center"/>
                </w:tcPr>
                <w:p w14:paraId="3CDF4243">
                  <w:pPr>
                    <w:widowControl w:val="0"/>
                    <w:spacing w:before="20" w:after="20"/>
                    <w:ind w:left="0" w:leftChars="0" w:firstLine="0" w:firstLineChars="0"/>
                    <w:jc w:val="cente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t>污染物</w:t>
                  </w:r>
                </w:p>
              </w:tc>
              <w:tc>
                <w:tcPr>
                  <w:tcW w:w="847" w:type="pct"/>
                  <w:vAlign w:val="center"/>
                </w:tcPr>
                <w:p w14:paraId="29D843D9">
                  <w:pPr>
                    <w:widowControl w:val="0"/>
                    <w:spacing w:before="20" w:after="20"/>
                    <w:ind w:left="0" w:leftChars="0" w:firstLine="0" w:firstLineChars="0"/>
                    <w:jc w:val="cente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t>最高允许排放浓度（</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mg/m³</w:t>
                  </w:r>
                  <w: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t>）</w:t>
                  </w:r>
                </w:p>
              </w:tc>
              <w:tc>
                <w:tcPr>
                  <w:tcW w:w="592" w:type="pct"/>
                  <w:vAlign w:val="center"/>
                </w:tcPr>
                <w:p w14:paraId="6C5FA59A">
                  <w:pPr>
                    <w:widowControl w:val="0"/>
                    <w:spacing w:before="20" w:after="20"/>
                    <w:ind w:left="0" w:leftChars="0" w:firstLine="0" w:firstLineChars="0"/>
                    <w:jc w:val="cente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t>排气筒高度（</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m）</w:t>
                  </w:r>
                </w:p>
              </w:tc>
              <w:tc>
                <w:tcPr>
                  <w:tcW w:w="828" w:type="pct"/>
                  <w:vAlign w:val="center"/>
                </w:tcPr>
                <w:p w14:paraId="3E47BF95">
                  <w:pPr>
                    <w:widowControl w:val="0"/>
                    <w:spacing w:before="20" w:after="20"/>
                    <w:ind w:left="0" w:leftChars="0" w:firstLine="0" w:firstLineChars="0"/>
                    <w:jc w:val="cente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t>最高允许排放速率（kg/h）</w:t>
                  </w:r>
                </w:p>
              </w:tc>
              <w:tc>
                <w:tcPr>
                  <w:tcW w:w="598" w:type="pct"/>
                  <w:vAlign w:val="center"/>
                </w:tcPr>
                <w:p w14:paraId="4A293FE8">
                  <w:pPr>
                    <w:widowControl w:val="0"/>
                    <w:spacing w:before="20" w:after="20"/>
                    <w:ind w:left="0" w:leftChars="0" w:firstLine="0" w:firstLineChars="0"/>
                    <w:jc w:val="cente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pPr>
                  <w:r>
                    <w:rPr>
                      <w:rFonts w:hint="eastAsia" w:cs="Times New Roman"/>
                      <w:b/>
                      <w:bCs/>
                      <w:color w:val="000000" w:themeColor="text1"/>
                      <w:kern w:val="2"/>
                      <w:sz w:val="21"/>
                      <w:szCs w:val="21"/>
                      <w:vertAlign w:val="baseline"/>
                      <w:lang w:val="en-US" w:eastAsia="zh-CN" w:bidi="ar-SA"/>
                      <w14:textFill>
                        <w14:solidFill>
                          <w14:schemeClr w14:val="tx1"/>
                        </w14:solidFill>
                      </w14:textFill>
                    </w:rPr>
                    <w:t>污染物排放监控位置</w:t>
                  </w:r>
                </w:p>
              </w:tc>
              <w:tc>
                <w:tcPr>
                  <w:tcW w:w="924" w:type="pct"/>
                  <w:vAlign w:val="center"/>
                </w:tcPr>
                <w:p w14:paraId="3735D56E">
                  <w:pPr>
                    <w:widowControl w:val="0"/>
                    <w:spacing w:before="20" w:after="20"/>
                    <w:ind w:left="0" w:leftChars="0" w:firstLine="0" w:firstLineChars="0"/>
                    <w:jc w:val="cente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t>执行标准</w:t>
                  </w:r>
                </w:p>
              </w:tc>
            </w:tr>
            <w:tr w14:paraId="43B47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508" w:type="pct"/>
                  <w:vMerge w:val="restart"/>
                  <w:vAlign w:val="center"/>
                </w:tcPr>
                <w:p w14:paraId="2855B5A5">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DA001</w:t>
                  </w:r>
                </w:p>
              </w:tc>
              <w:tc>
                <w:tcPr>
                  <w:tcW w:w="700" w:type="pct"/>
                  <w:vAlign w:val="center"/>
                </w:tcPr>
                <w:p w14:paraId="30C919F6">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非甲烷总烃</w:t>
                  </w:r>
                </w:p>
              </w:tc>
              <w:tc>
                <w:tcPr>
                  <w:tcW w:w="847" w:type="pct"/>
                  <w:vAlign w:val="center"/>
                </w:tcPr>
                <w:p w14:paraId="6A999C84">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100</w:t>
                  </w:r>
                </w:p>
              </w:tc>
              <w:tc>
                <w:tcPr>
                  <w:tcW w:w="592" w:type="pct"/>
                  <w:vAlign w:val="center"/>
                </w:tcPr>
                <w:p w14:paraId="27F45D3A">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15</w:t>
                  </w:r>
                </w:p>
              </w:tc>
              <w:tc>
                <w:tcPr>
                  <w:tcW w:w="828" w:type="pct"/>
                  <w:vAlign w:val="center"/>
                </w:tcPr>
                <w:p w14:paraId="035BB03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98" w:type="pct"/>
                  <w:vMerge w:val="restart"/>
                  <w:vAlign w:val="center"/>
                </w:tcPr>
                <w:p w14:paraId="62DBC2B3">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kern w:val="2"/>
                      <w:sz w:val="21"/>
                      <w:szCs w:val="21"/>
                      <w:vertAlign w:val="baseline"/>
                      <w:lang w:val="en-US" w:eastAsia="zh-CN" w:bidi="ar-SA"/>
                      <w14:textFill>
                        <w14:solidFill>
                          <w14:schemeClr w14:val="tx1"/>
                        </w14:solidFill>
                      </w14:textFill>
                    </w:rPr>
                    <w:t>生产设施排气筒</w:t>
                  </w:r>
                </w:p>
              </w:tc>
              <w:tc>
                <w:tcPr>
                  <w:tcW w:w="924" w:type="pct"/>
                  <w:vMerge w:val="restart"/>
                  <w:vAlign w:val="center"/>
                </w:tcPr>
                <w:p w14:paraId="27CE8F57">
                  <w:pPr>
                    <w:widowControl w:val="0"/>
                    <w:spacing w:before="20" w:after="20"/>
                    <w:ind w:left="0" w:leftChars="0" w:firstLine="0" w:firstLineChars="0"/>
                    <w:jc w:val="both"/>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t>《合成树脂工业污染物排放标准》（</w:t>
                  </w:r>
                  <w:r>
                    <w:rPr>
                      <w:rFonts w:hint="eastAsia" w:cs="Times New Roman"/>
                      <w:color w:val="000000" w:themeColor="text1"/>
                      <w:kern w:val="2"/>
                      <w:sz w:val="21"/>
                      <w:szCs w:val="21"/>
                      <w:vertAlign w:val="baseline"/>
                      <w:lang w:val="en-US" w:eastAsia="zh-CN" w:bidi="ar-SA"/>
                      <w14:textFill>
                        <w14:solidFill>
                          <w14:schemeClr w14:val="tx1"/>
                        </w14:solidFill>
                      </w14:textFill>
                    </w:rPr>
                    <w:t>GB31572-2015，含2024年修改单</w:t>
                  </w:r>
                  <w:r>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t>）表4 大气污染物排放限值要求</w:t>
                  </w:r>
                </w:p>
              </w:tc>
            </w:tr>
            <w:tr w14:paraId="6A07B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08" w:type="pct"/>
                  <w:vMerge w:val="continue"/>
                  <w:vAlign w:val="center"/>
                </w:tcPr>
                <w:p w14:paraId="167847BC">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700" w:type="pct"/>
                  <w:vAlign w:val="center"/>
                </w:tcPr>
                <w:p w14:paraId="71A5EFA3">
                  <w:pPr>
                    <w:widowControl w:val="0"/>
                    <w:spacing w:before="20" w:after="20"/>
                    <w:ind w:left="0" w:leftChars="0"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甲醛</w:t>
                  </w:r>
                </w:p>
              </w:tc>
              <w:tc>
                <w:tcPr>
                  <w:tcW w:w="847" w:type="pct"/>
                  <w:vAlign w:val="center"/>
                </w:tcPr>
                <w:p w14:paraId="690CB4B1">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5</w:t>
                  </w:r>
                </w:p>
              </w:tc>
              <w:tc>
                <w:tcPr>
                  <w:tcW w:w="592" w:type="pct"/>
                  <w:vAlign w:val="center"/>
                </w:tcPr>
                <w:p w14:paraId="6650C66D">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15</w:t>
                  </w:r>
                </w:p>
              </w:tc>
              <w:tc>
                <w:tcPr>
                  <w:tcW w:w="828" w:type="pct"/>
                  <w:vAlign w:val="center"/>
                </w:tcPr>
                <w:p w14:paraId="2D57EFC5">
                  <w:pPr>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98" w:type="pct"/>
                  <w:vMerge w:val="continue"/>
                  <w:vAlign w:val="center"/>
                </w:tcPr>
                <w:p w14:paraId="0373CDDB">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p>
              </w:tc>
              <w:tc>
                <w:tcPr>
                  <w:tcW w:w="924" w:type="pct"/>
                  <w:vMerge w:val="continue"/>
                  <w:vAlign w:val="center"/>
                </w:tcPr>
                <w:p w14:paraId="26017FEF">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p>
              </w:tc>
            </w:tr>
            <w:tr w14:paraId="0AF27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8" w:type="pct"/>
                  <w:vAlign w:val="center"/>
                </w:tcPr>
                <w:p w14:paraId="4E8ADB56">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DA002</w:t>
                  </w:r>
                </w:p>
              </w:tc>
              <w:tc>
                <w:tcPr>
                  <w:tcW w:w="700" w:type="pct"/>
                  <w:vAlign w:val="center"/>
                </w:tcPr>
                <w:p w14:paraId="157A564B">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颗粒物</w:t>
                  </w:r>
                </w:p>
              </w:tc>
              <w:tc>
                <w:tcPr>
                  <w:tcW w:w="847" w:type="pct"/>
                  <w:vAlign w:val="center"/>
                </w:tcPr>
                <w:p w14:paraId="22CAFEB3">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30</w:t>
                  </w:r>
                </w:p>
              </w:tc>
              <w:tc>
                <w:tcPr>
                  <w:tcW w:w="592" w:type="pct"/>
                  <w:vAlign w:val="center"/>
                </w:tcPr>
                <w:p w14:paraId="4EBF1139">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15</w:t>
                  </w:r>
                </w:p>
              </w:tc>
              <w:tc>
                <w:tcPr>
                  <w:tcW w:w="828" w:type="pct"/>
                  <w:vAlign w:val="center"/>
                </w:tcPr>
                <w:p w14:paraId="7E04565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98" w:type="pct"/>
                  <w:vMerge w:val="continue"/>
                  <w:vAlign w:val="center"/>
                </w:tcPr>
                <w:p w14:paraId="3BA9EE8A">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p>
              </w:tc>
              <w:tc>
                <w:tcPr>
                  <w:tcW w:w="924" w:type="pct"/>
                  <w:vMerge w:val="continue"/>
                  <w:vAlign w:val="center"/>
                </w:tcPr>
                <w:p w14:paraId="4474F484">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p>
              </w:tc>
            </w:tr>
          </w:tbl>
          <w:p w14:paraId="41D8F803">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3）无组织废气：</w:t>
            </w:r>
          </w:p>
          <w:p w14:paraId="6909857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厂界无组织废气颗粒物与非甲烷总烃执行《合成树脂工业污染物排放标准》（</w:t>
            </w:r>
            <w:r>
              <w:rPr>
                <w:rFonts w:hint="eastAsia" w:cs="Times New Roman"/>
                <w:b w:val="0"/>
                <w:bCs w:val="0"/>
                <w:color w:val="000000" w:themeColor="text1"/>
                <w:sz w:val="24"/>
                <w:szCs w:val="24"/>
                <w:lang w:val="en-US" w:eastAsia="zh-CN"/>
                <w14:textFill>
                  <w14:solidFill>
                    <w14:schemeClr w14:val="tx1"/>
                  </w14:solidFill>
                </w14:textFill>
              </w:rPr>
              <w:t>GB31572-2015，含2024年修改单</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）中表9 企业边界大气污染物浓度限值；厂界无组织甲醛执行《大气污染物综合排放标准》（GB16297-1996）中表2无组织排放限值要求；</w:t>
            </w:r>
            <w:r>
              <w:rPr>
                <w:rFonts w:hint="eastAsia" w:cs="Times New Roman"/>
                <w:b w:val="0"/>
                <w:bCs w:val="0"/>
                <w:color w:val="000000" w:themeColor="text1"/>
                <w:sz w:val="24"/>
                <w:szCs w:val="24"/>
                <w:lang w:val="en-US" w:eastAsia="zh-CN"/>
                <w14:textFill>
                  <w14:solidFill>
                    <w14:schemeClr w14:val="tx1"/>
                  </w14:solidFill>
                </w14:textFill>
              </w:rPr>
              <w:t>恶臭污染物执行《恶臭污染物排放标准》（GB14554-93）表1二级标准限值要求；</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厂界内非甲烷总烃浓度执行《挥发性有机物无组织排放控制标准》（GB37822-2019）附录表A.1中监控限值要求，标准值见下表。</w:t>
            </w:r>
          </w:p>
          <w:p w14:paraId="49249201">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bCs/>
                <w:color w:val="000000" w:themeColor="text1"/>
                <w:kern w:val="2"/>
                <w:sz w:val="21"/>
                <w:szCs w:val="24"/>
                <w:lang w:val="en-US" w:eastAsia="zh-CN" w:bidi="ar-SA"/>
                <w14:textFill>
                  <w14:solidFill>
                    <w14:schemeClr w14:val="tx1"/>
                  </w14:solidFill>
                </w14:textFill>
              </w:rPr>
            </w:pPr>
          </w:p>
          <w:p w14:paraId="6384F13D">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4"/>
                <w:lang w:val="en-US" w:eastAsia="zh-CN" w:bidi="ar-SA"/>
                <w14:textFill>
                  <w14:solidFill>
                    <w14:schemeClr w14:val="tx1"/>
                  </w14:solidFill>
                </w14:textFill>
              </w:rPr>
              <w:t>表3</w:t>
            </w:r>
            <w:r>
              <w:rPr>
                <w:rFonts w:hint="eastAsia" w:ascii="Times New Roman" w:hAnsi="Times New Roman" w:eastAsia="宋体" w:cs="Times New Roman"/>
                <w:b/>
                <w:bCs/>
                <w:color w:val="000000" w:themeColor="text1"/>
                <w:kern w:val="2"/>
                <w:sz w:val="21"/>
                <w:szCs w:val="24"/>
                <w:lang w:val="en-US" w:eastAsia="zh-CN" w:bidi="ar-SA"/>
                <w14:textFill>
                  <w14:solidFill>
                    <w14:schemeClr w14:val="tx1"/>
                  </w14:solidFill>
                </w14:textFill>
              </w:rPr>
              <w:t>-1</w:t>
            </w:r>
            <w:r>
              <w:rPr>
                <w:rFonts w:hint="eastAsia" w:cs="Times New Roman"/>
                <w:b/>
                <w:bCs/>
                <w:color w:val="000000" w:themeColor="text1"/>
                <w:kern w:val="2"/>
                <w:sz w:val="21"/>
                <w:szCs w:val="24"/>
                <w:lang w:val="en-US" w:eastAsia="zh-CN" w:bidi="ar-SA"/>
                <w14:textFill>
                  <w14:solidFill>
                    <w14:schemeClr w14:val="tx1"/>
                  </w14:solidFill>
                </w14:textFill>
              </w:rPr>
              <w:t>6</w:t>
            </w:r>
            <w:r>
              <w:rPr>
                <w:rFonts w:hint="default" w:ascii="Times New Roman" w:hAnsi="Times New Roman" w:eastAsia="宋体" w:cs="Times New Roman"/>
                <w:b/>
                <w:bCs/>
                <w:color w:val="000000" w:themeColor="text1"/>
                <w:kern w:val="2"/>
                <w:sz w:val="21"/>
                <w:szCs w:val="24"/>
                <w:lang w:val="en-US" w:eastAsia="zh-CN" w:bidi="ar-SA"/>
                <w14:textFill>
                  <w14:solidFill>
                    <w14:schemeClr w14:val="tx1"/>
                  </w14:solidFill>
                </w14:textFill>
              </w:rPr>
              <w:t xml:space="preserve">  厂界无组织排放标准</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1"/>
              <w:gridCol w:w="2019"/>
              <w:gridCol w:w="1673"/>
              <w:gridCol w:w="3199"/>
            </w:tblGrid>
            <w:tr w14:paraId="6B67D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Merge w:val="restart"/>
                  <w:vAlign w:val="center"/>
                </w:tcPr>
                <w:p w14:paraId="0E533C05">
                  <w:pPr>
                    <w:jc w:val="center"/>
                    <w:rPr>
                      <w:rFonts w:hint="default" w:ascii="Times New Roman" w:hAnsi="Times New Roman" w:eastAsia="宋体" w:cs="Times New Roman"/>
                      <w:b/>
                      <w:bCs/>
                      <w:color w:val="000000" w:themeColor="text1"/>
                      <w:kern w:val="2"/>
                      <w:sz w:val="21"/>
                      <w:szCs w:val="21"/>
                      <w:vertAlign w:val="baseline"/>
                      <w:lang w:val="en-US" w:eastAsia="zh-CN" w:bidi="zh-CN"/>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zh-CN"/>
                      <w14:textFill>
                        <w14:solidFill>
                          <w14:schemeClr w14:val="tx1"/>
                        </w14:solidFill>
                      </w14:textFill>
                    </w:rPr>
                    <w:t>污染物</w:t>
                  </w:r>
                </w:p>
              </w:tc>
              <w:tc>
                <w:tcPr>
                  <w:tcW w:w="3692" w:type="dxa"/>
                  <w:gridSpan w:val="2"/>
                  <w:vAlign w:val="center"/>
                </w:tcPr>
                <w:p w14:paraId="2AE42914">
                  <w:pPr>
                    <w:jc w:val="center"/>
                    <w:rPr>
                      <w:rFonts w:hint="default" w:ascii="Times New Roman" w:hAnsi="Times New Roman" w:eastAsia="宋体" w:cs="Times New Roman"/>
                      <w:b/>
                      <w:bCs/>
                      <w:color w:val="000000" w:themeColor="text1"/>
                      <w:kern w:val="2"/>
                      <w:sz w:val="21"/>
                      <w:szCs w:val="21"/>
                      <w:vertAlign w:val="baseline"/>
                      <w:lang w:val="en-US" w:eastAsia="zh-CN" w:bidi="zh-CN"/>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zh-CN"/>
                      <w14:textFill>
                        <w14:solidFill>
                          <w14:schemeClr w14:val="tx1"/>
                        </w14:solidFill>
                      </w14:textFill>
                    </w:rPr>
                    <w:t>无组织排放监控浓度限值</w:t>
                  </w:r>
                </w:p>
              </w:tc>
              <w:tc>
                <w:tcPr>
                  <w:tcW w:w="3199" w:type="dxa"/>
                  <w:vMerge w:val="restart"/>
                  <w:vAlign w:val="center"/>
                </w:tcPr>
                <w:p w14:paraId="119D41F5">
                  <w:pPr>
                    <w:jc w:val="center"/>
                    <w:rPr>
                      <w:rFonts w:hint="default" w:ascii="Times New Roman" w:hAnsi="Times New Roman" w:eastAsia="宋体" w:cs="Times New Roman"/>
                      <w:b/>
                      <w:bCs/>
                      <w:color w:val="000000" w:themeColor="text1"/>
                      <w:kern w:val="2"/>
                      <w:sz w:val="21"/>
                      <w:szCs w:val="21"/>
                      <w:vertAlign w:val="baseline"/>
                      <w:lang w:val="en-US" w:eastAsia="zh-CN" w:bidi="zh-CN"/>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zh-CN"/>
                      <w14:textFill>
                        <w14:solidFill>
                          <w14:schemeClr w14:val="tx1"/>
                        </w14:solidFill>
                      </w14:textFill>
                    </w:rPr>
                    <w:t>执行标准</w:t>
                  </w:r>
                </w:p>
              </w:tc>
            </w:tr>
            <w:tr w14:paraId="3CA3E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vMerge w:val="continue"/>
                  <w:vAlign w:val="center"/>
                </w:tcPr>
                <w:p w14:paraId="3A75A775">
                  <w:pPr>
                    <w:jc w:val="center"/>
                    <w:rPr>
                      <w:rFonts w:hint="default" w:ascii="Times New Roman" w:hAnsi="Times New Roman" w:eastAsia="宋体" w:cs="Times New Roman"/>
                      <w:color w:val="000000" w:themeColor="text1"/>
                      <w:vertAlign w:val="baseline"/>
                      <w14:textFill>
                        <w14:solidFill>
                          <w14:schemeClr w14:val="tx1"/>
                        </w14:solidFill>
                      </w14:textFill>
                    </w:rPr>
                  </w:pPr>
                </w:p>
              </w:tc>
              <w:tc>
                <w:tcPr>
                  <w:tcW w:w="2019" w:type="dxa"/>
                  <w:vAlign w:val="center"/>
                </w:tcPr>
                <w:p w14:paraId="0D972DBA">
                  <w:pPr>
                    <w:jc w:val="center"/>
                    <w:rPr>
                      <w:rFonts w:hint="default" w:ascii="Times New Roman" w:hAnsi="Times New Roman" w:eastAsia="宋体" w:cs="Times New Roman"/>
                      <w:b/>
                      <w:bCs/>
                      <w:color w:val="000000" w:themeColor="text1"/>
                      <w:kern w:val="2"/>
                      <w:sz w:val="21"/>
                      <w:szCs w:val="21"/>
                      <w:vertAlign w:val="baseline"/>
                      <w:lang w:val="en-US" w:eastAsia="zh-CN" w:bidi="zh-CN"/>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zh-CN"/>
                      <w14:textFill>
                        <w14:solidFill>
                          <w14:schemeClr w14:val="tx1"/>
                        </w14:solidFill>
                      </w14:textFill>
                    </w:rPr>
                    <w:t>监控点</w:t>
                  </w:r>
                </w:p>
              </w:tc>
              <w:tc>
                <w:tcPr>
                  <w:tcW w:w="1673" w:type="dxa"/>
                  <w:vAlign w:val="center"/>
                </w:tcPr>
                <w:p w14:paraId="0FA740FF">
                  <w:pPr>
                    <w:jc w:val="center"/>
                    <w:rPr>
                      <w:rFonts w:hint="default" w:ascii="Times New Roman" w:hAnsi="Times New Roman" w:eastAsia="宋体" w:cs="Times New Roman"/>
                      <w:b/>
                      <w:bCs/>
                      <w:color w:val="000000" w:themeColor="text1"/>
                      <w:kern w:val="2"/>
                      <w:sz w:val="21"/>
                      <w:szCs w:val="21"/>
                      <w:vertAlign w:val="baseline"/>
                      <w:lang w:val="en-US" w:eastAsia="zh-CN" w:bidi="zh-CN"/>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zh-CN"/>
                      <w14:textFill>
                        <w14:solidFill>
                          <w14:schemeClr w14:val="tx1"/>
                        </w14:solidFill>
                      </w14:textFill>
                    </w:rPr>
                    <w:t>浓度</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（mg/m</w:t>
                  </w:r>
                  <w:r>
                    <w:rPr>
                      <w:rFonts w:hint="eastAsia" w:ascii="Times New Roman" w:hAnsi="Times New Roman" w:eastAsia="宋体" w:cs="Times New Roman"/>
                      <w:color w:val="000000" w:themeColor="text1"/>
                      <w:kern w:val="2"/>
                      <w:sz w:val="24"/>
                      <w:szCs w:val="24"/>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p>
              </w:tc>
              <w:tc>
                <w:tcPr>
                  <w:tcW w:w="3199" w:type="dxa"/>
                  <w:vMerge w:val="continue"/>
                  <w:vAlign w:val="center"/>
                </w:tcPr>
                <w:p w14:paraId="4F6CA3FE">
                  <w:pPr>
                    <w:jc w:val="center"/>
                    <w:rPr>
                      <w:rFonts w:hint="default" w:ascii="Times New Roman" w:hAnsi="Times New Roman" w:eastAsia="宋体" w:cs="Times New Roman"/>
                      <w:color w:val="000000" w:themeColor="text1"/>
                      <w:vertAlign w:val="baseline"/>
                      <w14:textFill>
                        <w14:solidFill>
                          <w14:schemeClr w14:val="tx1"/>
                        </w14:solidFill>
                      </w14:textFill>
                    </w:rPr>
                  </w:pPr>
                </w:p>
              </w:tc>
            </w:tr>
            <w:tr w14:paraId="0DF12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081" w:type="dxa"/>
                  <w:vAlign w:val="center"/>
                </w:tcPr>
                <w:p w14:paraId="29E8B2CE">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颗粒物</w:t>
                  </w:r>
                </w:p>
              </w:tc>
              <w:tc>
                <w:tcPr>
                  <w:tcW w:w="2019" w:type="dxa"/>
                  <w:vAlign w:val="center"/>
                </w:tcPr>
                <w:p w14:paraId="014D234E">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周界外浓度最高点</w:t>
                  </w:r>
                </w:p>
              </w:tc>
              <w:tc>
                <w:tcPr>
                  <w:tcW w:w="1673" w:type="dxa"/>
                  <w:vAlign w:val="center"/>
                </w:tcPr>
                <w:p w14:paraId="43DA42E5">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1.0</w:t>
                  </w:r>
                </w:p>
              </w:tc>
              <w:tc>
                <w:tcPr>
                  <w:tcW w:w="3199" w:type="dxa"/>
                  <w:vMerge w:val="restart"/>
                  <w:vAlign w:val="center"/>
                </w:tcPr>
                <w:p w14:paraId="40BADEFC">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《合成树脂工业污染物排放标准》（</w:t>
                  </w:r>
                  <w:r>
                    <w:rPr>
                      <w:rFonts w:hint="eastAsia" w:cs="Times New Roman"/>
                      <w:color w:val="000000" w:themeColor="text1"/>
                      <w:kern w:val="2"/>
                      <w:sz w:val="21"/>
                      <w:szCs w:val="21"/>
                      <w:lang w:val="en-US" w:eastAsia="zh-CN" w:bidi="ar-SA"/>
                      <w14:textFill>
                        <w14:solidFill>
                          <w14:schemeClr w14:val="tx1"/>
                        </w14:solidFill>
                      </w14:textFill>
                    </w:rPr>
                    <w:t>GB31572-2015，含2024年修改单</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）中表9 企业边界大气污染物浓度限值</w:t>
                  </w:r>
                </w:p>
              </w:tc>
            </w:tr>
            <w:tr w14:paraId="3505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081" w:type="dxa"/>
                  <w:vAlign w:val="center"/>
                </w:tcPr>
                <w:p w14:paraId="35F85F79">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非甲烷总烃</w:t>
                  </w:r>
                </w:p>
              </w:tc>
              <w:tc>
                <w:tcPr>
                  <w:tcW w:w="2019" w:type="dxa"/>
                  <w:vAlign w:val="center"/>
                </w:tcPr>
                <w:p w14:paraId="29C9BBFA">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周界外浓度最高点</w:t>
                  </w:r>
                </w:p>
              </w:tc>
              <w:tc>
                <w:tcPr>
                  <w:tcW w:w="1673" w:type="dxa"/>
                  <w:vAlign w:val="center"/>
                </w:tcPr>
                <w:p w14:paraId="6E7656BE">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4.0</w:t>
                  </w:r>
                </w:p>
              </w:tc>
              <w:tc>
                <w:tcPr>
                  <w:tcW w:w="3199" w:type="dxa"/>
                  <w:vMerge w:val="continue"/>
                  <w:vAlign w:val="center"/>
                </w:tcPr>
                <w:p w14:paraId="73999E1C">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r>
            <w:tr w14:paraId="4E964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081" w:type="dxa"/>
                  <w:vAlign w:val="center"/>
                </w:tcPr>
                <w:p w14:paraId="13E541AD">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甲醛</w:t>
                  </w:r>
                </w:p>
              </w:tc>
              <w:tc>
                <w:tcPr>
                  <w:tcW w:w="2019" w:type="dxa"/>
                  <w:vAlign w:val="center"/>
                </w:tcPr>
                <w:p w14:paraId="6FE6A0DC">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周界外浓度最高点</w:t>
                  </w:r>
                </w:p>
              </w:tc>
              <w:tc>
                <w:tcPr>
                  <w:tcW w:w="1673" w:type="dxa"/>
                  <w:vAlign w:val="center"/>
                </w:tcPr>
                <w:p w14:paraId="5AB7A6D8">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0.25</w:t>
                  </w:r>
                </w:p>
              </w:tc>
              <w:tc>
                <w:tcPr>
                  <w:tcW w:w="3199" w:type="dxa"/>
                  <w:vAlign w:val="center"/>
                </w:tcPr>
                <w:p w14:paraId="369BB2A3">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《大气污染物综合排放标准》</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GB16297-1996）表2无组织排放限值要求</w:t>
                  </w:r>
                </w:p>
              </w:tc>
            </w:tr>
            <w:tr w14:paraId="46AD9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081" w:type="dxa"/>
                  <w:vAlign w:val="center"/>
                </w:tcPr>
                <w:p w14:paraId="3A64AC40">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臭气浓度</w:t>
                  </w:r>
                </w:p>
              </w:tc>
              <w:tc>
                <w:tcPr>
                  <w:tcW w:w="2019" w:type="dxa"/>
                  <w:vAlign w:val="center"/>
                </w:tcPr>
                <w:p w14:paraId="19B8C301">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周界外浓度最高点</w:t>
                  </w:r>
                </w:p>
              </w:tc>
              <w:tc>
                <w:tcPr>
                  <w:tcW w:w="1673" w:type="dxa"/>
                  <w:vAlign w:val="center"/>
                </w:tcPr>
                <w:p w14:paraId="32736900">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20无量纲</w:t>
                  </w:r>
                </w:p>
              </w:tc>
              <w:tc>
                <w:tcPr>
                  <w:tcW w:w="3199" w:type="dxa"/>
                  <w:vAlign w:val="center"/>
                </w:tcPr>
                <w:p w14:paraId="016E7A00">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《恶臭污染物排放标准》（GB14554-93）表1中恶臭污染物厂界浓度限值</w:t>
                  </w:r>
                </w:p>
              </w:tc>
            </w:tr>
          </w:tbl>
          <w:p w14:paraId="7D282DD1">
            <w:pPr>
              <w:keepNext w:val="0"/>
              <w:keepLines w:val="0"/>
              <w:pageBreakBefore w:val="0"/>
              <w:widowControl w:val="0"/>
              <w:tabs>
                <w:tab w:val="left" w:pos="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000000" w:themeColor="text1"/>
                <w:sz w:val="24"/>
                <w:szCs w:val="22"/>
                <w14:textFill>
                  <w14:solidFill>
                    <w14:schemeClr w14:val="tx1"/>
                  </w14:solidFill>
                </w14:textFill>
              </w:rPr>
            </w:pPr>
            <w:r>
              <w:rPr>
                <w:rFonts w:hint="eastAsia" w:ascii="Times New Roman" w:hAnsi="Times New Roman" w:eastAsia="宋体" w:cs="Times New Roman"/>
                <w:b/>
                <w:color w:val="000000" w:themeColor="text1"/>
                <w:szCs w:val="21"/>
                <w:lang w:val="en-US" w:eastAsia="zh-CN"/>
                <w14:textFill>
                  <w14:solidFill>
                    <w14:schemeClr w14:val="tx1"/>
                  </w14:solidFill>
                </w14:textFill>
              </w:rPr>
              <w:t>表3-1</w:t>
            </w:r>
            <w:r>
              <w:rPr>
                <w:rFonts w:hint="eastAsia" w:cs="Times New Roman"/>
                <w:b/>
                <w:color w:val="000000" w:themeColor="text1"/>
                <w:szCs w:val="21"/>
                <w:lang w:val="en-US" w:eastAsia="zh-CN"/>
                <w14:textFill>
                  <w14:solidFill>
                    <w14:schemeClr w14:val="tx1"/>
                  </w14:solidFill>
                </w14:textFill>
              </w:rPr>
              <w:t>7</w:t>
            </w:r>
            <w:r>
              <w:rPr>
                <w:rFonts w:hint="eastAsia" w:ascii="Times New Roman" w:hAnsi="Times New Roman" w:eastAsia="宋体" w:cs="Times New Roman"/>
                <w:b/>
                <w:color w:val="000000" w:themeColor="text1"/>
                <w:szCs w:val="21"/>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Cs w:val="21"/>
                <w14:textFill>
                  <w14:solidFill>
                    <w14:schemeClr w14:val="tx1"/>
                  </w14:solidFill>
                </w14:textFill>
              </w:rPr>
              <w:t>挥发性有机物无组织排放控制标准（单位：mg/m</w:t>
            </w:r>
            <w:r>
              <w:rPr>
                <w:rFonts w:hint="default" w:ascii="Times New Roman" w:hAnsi="Times New Roman" w:eastAsia="宋体" w:cs="Times New Roman"/>
                <w:b/>
                <w:color w:val="000000" w:themeColor="text1"/>
                <w:szCs w:val="21"/>
                <w:vertAlign w:val="superscript"/>
                <w14:textFill>
                  <w14:solidFill>
                    <w14:schemeClr w14:val="tx1"/>
                  </w14:solidFill>
                </w14:textFill>
              </w:rPr>
              <w:t>3</w:t>
            </w:r>
            <w:r>
              <w:rPr>
                <w:rFonts w:hint="default" w:ascii="Times New Roman" w:hAnsi="Times New Roman" w:eastAsia="宋体" w:cs="Times New Roman"/>
                <w:b/>
                <w:color w:val="000000" w:themeColor="text1"/>
                <w:szCs w:val="21"/>
                <w14:textFill>
                  <w14:solidFill>
                    <w14:schemeClr w14:val="tx1"/>
                  </w14:solidFill>
                </w14:textFill>
              </w:rPr>
              <w:t>）</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4"/>
              <w:gridCol w:w="1321"/>
              <w:gridCol w:w="2953"/>
              <w:gridCol w:w="2489"/>
            </w:tblGrid>
            <w:tr w14:paraId="74649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3" w:type="pct"/>
                  <w:vAlign w:val="center"/>
                </w:tcPr>
                <w:p w14:paraId="63A46858">
                  <w:pPr>
                    <w:tabs>
                      <w:tab w:val="left" w:pos="0"/>
                    </w:tabs>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污染物项目</w:t>
                  </w:r>
                </w:p>
              </w:tc>
              <w:tc>
                <w:tcPr>
                  <w:tcW w:w="817" w:type="pct"/>
                  <w:vAlign w:val="center"/>
                </w:tcPr>
                <w:p w14:paraId="459FCD45">
                  <w:pPr>
                    <w:tabs>
                      <w:tab w:val="left" w:pos="0"/>
                    </w:tabs>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排放限值</w:t>
                  </w:r>
                </w:p>
              </w:tc>
              <w:tc>
                <w:tcPr>
                  <w:tcW w:w="1827" w:type="pct"/>
                  <w:vAlign w:val="center"/>
                </w:tcPr>
                <w:p w14:paraId="65CE330C">
                  <w:pPr>
                    <w:tabs>
                      <w:tab w:val="left" w:pos="0"/>
                    </w:tabs>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限值含义</w:t>
                  </w:r>
                </w:p>
              </w:tc>
              <w:tc>
                <w:tcPr>
                  <w:tcW w:w="1540" w:type="pct"/>
                  <w:vAlign w:val="center"/>
                </w:tcPr>
                <w:p w14:paraId="0FC4E8B5">
                  <w:pPr>
                    <w:tabs>
                      <w:tab w:val="left" w:pos="0"/>
                    </w:tabs>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无组织排放监控位置</w:t>
                  </w:r>
                </w:p>
              </w:tc>
            </w:tr>
            <w:tr w14:paraId="6A6DA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3" w:type="pct"/>
                  <w:vMerge w:val="restart"/>
                  <w:vAlign w:val="center"/>
                </w:tcPr>
                <w:p w14:paraId="36F0390D">
                  <w:pPr>
                    <w:tabs>
                      <w:tab w:val="left" w:pos="0"/>
                    </w:tabs>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NMHC</w:t>
                  </w:r>
                </w:p>
              </w:tc>
              <w:tc>
                <w:tcPr>
                  <w:tcW w:w="817" w:type="pct"/>
                  <w:vAlign w:val="center"/>
                </w:tcPr>
                <w:p w14:paraId="32E1709E">
                  <w:pPr>
                    <w:tabs>
                      <w:tab w:val="left" w:pos="0"/>
                    </w:tabs>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10</w:t>
                  </w:r>
                </w:p>
              </w:tc>
              <w:tc>
                <w:tcPr>
                  <w:tcW w:w="1827" w:type="pct"/>
                  <w:vAlign w:val="center"/>
                </w:tcPr>
                <w:p w14:paraId="4DC73760">
                  <w:pPr>
                    <w:tabs>
                      <w:tab w:val="left" w:pos="0"/>
                    </w:tabs>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监控点处1h平均浓度值</w:t>
                  </w:r>
                </w:p>
              </w:tc>
              <w:tc>
                <w:tcPr>
                  <w:tcW w:w="1540" w:type="pct"/>
                  <w:vMerge w:val="restart"/>
                  <w:vAlign w:val="center"/>
                </w:tcPr>
                <w:p w14:paraId="5407A38B">
                  <w:pPr>
                    <w:tabs>
                      <w:tab w:val="left" w:pos="0"/>
                    </w:tabs>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厂房外设置监控点</w:t>
                  </w:r>
                </w:p>
              </w:tc>
            </w:tr>
            <w:tr w14:paraId="0EC70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3" w:type="pct"/>
                  <w:vMerge w:val="continue"/>
                  <w:vAlign w:val="center"/>
                </w:tcPr>
                <w:p w14:paraId="250B0614">
                  <w:pPr>
                    <w:tabs>
                      <w:tab w:val="left" w:pos="0"/>
                    </w:tabs>
                    <w:jc w:val="center"/>
                    <w:rPr>
                      <w:rFonts w:hint="default" w:ascii="Times New Roman" w:hAnsi="Times New Roman" w:eastAsia="宋体" w:cs="Times New Roman"/>
                      <w:bCs/>
                      <w:color w:val="000000" w:themeColor="text1"/>
                      <w:szCs w:val="21"/>
                      <w14:textFill>
                        <w14:solidFill>
                          <w14:schemeClr w14:val="tx1"/>
                        </w14:solidFill>
                      </w14:textFill>
                    </w:rPr>
                  </w:pPr>
                </w:p>
              </w:tc>
              <w:tc>
                <w:tcPr>
                  <w:tcW w:w="817" w:type="pct"/>
                  <w:vAlign w:val="center"/>
                </w:tcPr>
                <w:p w14:paraId="33283F4B">
                  <w:pPr>
                    <w:tabs>
                      <w:tab w:val="left" w:pos="0"/>
                    </w:tabs>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30</w:t>
                  </w:r>
                </w:p>
              </w:tc>
              <w:tc>
                <w:tcPr>
                  <w:tcW w:w="1827" w:type="pct"/>
                  <w:vAlign w:val="center"/>
                </w:tcPr>
                <w:p w14:paraId="02E9DAFC">
                  <w:pPr>
                    <w:tabs>
                      <w:tab w:val="left" w:pos="0"/>
                    </w:tabs>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监控点处任意一次浓度值</w:t>
                  </w:r>
                </w:p>
              </w:tc>
              <w:tc>
                <w:tcPr>
                  <w:tcW w:w="1540" w:type="pct"/>
                  <w:vMerge w:val="continue"/>
                  <w:vAlign w:val="center"/>
                </w:tcPr>
                <w:p w14:paraId="7B06C061">
                  <w:pPr>
                    <w:tabs>
                      <w:tab w:val="left" w:pos="0"/>
                    </w:tabs>
                    <w:jc w:val="center"/>
                    <w:rPr>
                      <w:rFonts w:hint="default" w:ascii="Times New Roman" w:hAnsi="Times New Roman" w:eastAsia="宋体" w:cs="Times New Roman"/>
                      <w:bCs/>
                      <w:color w:val="000000" w:themeColor="text1"/>
                      <w:szCs w:val="21"/>
                      <w14:textFill>
                        <w14:solidFill>
                          <w14:schemeClr w14:val="tx1"/>
                        </w14:solidFill>
                      </w14:textFill>
                    </w:rPr>
                  </w:pPr>
                </w:p>
              </w:tc>
            </w:tr>
          </w:tbl>
          <w:p w14:paraId="230D84FA">
            <w:pPr>
              <w:adjustRightInd w:val="0"/>
              <w:snapToGrid w:val="0"/>
              <w:spacing w:line="360" w:lineRule="auto"/>
              <w:ind w:firstLine="482" w:firstLineChars="200"/>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（3）噪声排放标准</w:t>
            </w:r>
          </w:p>
          <w:p w14:paraId="050D9AB6">
            <w:pPr>
              <w:adjustRightInd w:val="0"/>
              <w:snapToGrid w:val="0"/>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评价区域噪声环境功能区划分为3类区。运营期厂界噪声排放执行《工业企业厂界环境噪声排放标准》（GB12348-2008）3类标准。标准限值见表3-</w:t>
            </w:r>
            <w:r>
              <w:rPr>
                <w:rFonts w:hint="eastAsia" w:ascii="Times New Roman" w:hAnsi="Times New Roman" w:eastAsia="宋体" w:cs="Times New Roman"/>
                <w:color w:val="000000" w:themeColor="text1"/>
                <w:sz w:val="24"/>
                <w:lang w:val="en-US" w:eastAsia="zh-CN"/>
                <w14:textFill>
                  <w14:solidFill>
                    <w14:schemeClr w14:val="tx1"/>
                  </w14:solidFill>
                </w14:textFill>
              </w:rPr>
              <w:t>16</w:t>
            </w:r>
            <w:r>
              <w:rPr>
                <w:rFonts w:hint="default" w:ascii="Times New Roman" w:hAnsi="Times New Roman" w:eastAsia="宋体" w:cs="Times New Roman"/>
                <w:color w:val="000000" w:themeColor="text1"/>
                <w:sz w:val="24"/>
                <w14:textFill>
                  <w14:solidFill>
                    <w14:schemeClr w14:val="tx1"/>
                  </w14:solidFill>
                </w14:textFill>
              </w:rPr>
              <w:t>。</w:t>
            </w:r>
          </w:p>
          <w:p w14:paraId="77576CE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
                <w:color w:val="000000" w:themeColor="text1"/>
                <w:szCs w:val="21"/>
                <w:lang w:eastAsia="zh-CN"/>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表3-</w:t>
            </w:r>
            <w:r>
              <w:rPr>
                <w:rFonts w:hint="eastAsia" w:ascii="Times New Roman" w:hAnsi="Times New Roman" w:eastAsia="宋体" w:cs="Times New Roman"/>
                <w:b/>
                <w:color w:val="000000" w:themeColor="text1"/>
                <w:szCs w:val="21"/>
                <w:lang w:val="en-US" w:eastAsia="zh-CN"/>
                <w14:textFill>
                  <w14:solidFill>
                    <w14:schemeClr w14:val="tx1"/>
                  </w14:solidFill>
                </w14:textFill>
              </w:rPr>
              <w:t>1</w:t>
            </w:r>
            <w:r>
              <w:rPr>
                <w:rFonts w:hint="eastAsia" w:cs="Times New Roman"/>
                <w:b/>
                <w:color w:val="000000" w:themeColor="text1"/>
                <w:szCs w:val="21"/>
                <w:lang w:val="en-US" w:eastAsia="zh-CN"/>
                <w14:textFill>
                  <w14:solidFill>
                    <w14:schemeClr w14:val="tx1"/>
                  </w14:solidFill>
                </w14:textFill>
              </w:rPr>
              <w:t>8</w:t>
            </w:r>
            <w:r>
              <w:rPr>
                <w:rFonts w:hint="default" w:ascii="Times New Roman" w:hAnsi="Times New Roman" w:eastAsia="宋体" w:cs="Times New Roman"/>
                <w:b/>
                <w:color w:val="000000" w:themeColor="text1"/>
                <w:szCs w:val="21"/>
                <w14:textFill>
                  <w14:solidFill>
                    <w14:schemeClr w14:val="tx1"/>
                  </w14:solidFill>
                </w14:textFill>
              </w:rPr>
              <w:t xml:space="preserve">  工业企业厂界环境噪声排放标准  单位：dB</w:t>
            </w:r>
            <w:r>
              <w:rPr>
                <w:rFonts w:hint="eastAsia" w:cs="Times New Roman"/>
                <w:b/>
                <w:color w:val="000000" w:themeColor="text1"/>
                <w:szCs w:val="21"/>
                <w:lang w:eastAsia="zh-CN"/>
                <w14:textFill>
                  <w14:solidFill>
                    <w14:schemeClr w14:val="tx1"/>
                  </w14:solidFill>
                </w14:textFill>
              </w:rPr>
              <w:t>（</w:t>
            </w:r>
            <w:r>
              <w:rPr>
                <w:rFonts w:hint="default" w:ascii="Times New Roman" w:hAnsi="Times New Roman" w:eastAsia="宋体" w:cs="Times New Roman"/>
                <w:b/>
                <w:color w:val="000000" w:themeColor="text1"/>
                <w:szCs w:val="21"/>
                <w14:textFill>
                  <w14:solidFill>
                    <w14:schemeClr w14:val="tx1"/>
                  </w14:solidFill>
                </w14:textFill>
              </w:rPr>
              <w:t>A</w:t>
            </w:r>
            <w:r>
              <w:rPr>
                <w:rFonts w:hint="eastAsia" w:cs="Times New Roman"/>
                <w:b/>
                <w:color w:val="000000" w:themeColor="text1"/>
                <w:szCs w:val="21"/>
                <w:lang w:eastAsia="zh-CN"/>
                <w14:textFill>
                  <w14:solidFill>
                    <w14:schemeClr w14:val="tx1"/>
                  </w14:solidFill>
                </w14:textFill>
              </w:rPr>
              <w:t>）</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2"/>
              <w:gridCol w:w="2321"/>
              <w:gridCol w:w="1886"/>
              <w:gridCol w:w="1921"/>
            </w:tblGrid>
            <w:tr w14:paraId="585F1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208" w:type="pct"/>
                  <w:vMerge w:val="restart"/>
                  <w:tcBorders>
                    <w:top w:val="single" w:color="auto" w:sz="4" w:space="0"/>
                    <w:left w:val="single" w:color="auto" w:sz="4" w:space="0"/>
                    <w:right w:val="single" w:color="auto" w:sz="4" w:space="0"/>
                  </w:tcBorders>
                  <w:vAlign w:val="center"/>
                </w:tcPr>
                <w:p w14:paraId="1C2F5BBA">
                  <w:pPr>
                    <w:adjustRightInd w:val="0"/>
                    <w:snapToGrid w:val="0"/>
                    <w:jc w:val="center"/>
                    <w:rPr>
                      <w:rFonts w:hint="default" w:ascii="Times New Roman" w:hAnsi="Times New Roman" w:eastAsia="宋体" w:cs="Times New Roman"/>
                      <w:b/>
                      <w:bCs w:val="0"/>
                      <w:color w:val="000000" w:themeColor="text1"/>
                      <w:szCs w:val="21"/>
                      <w14:textFill>
                        <w14:solidFill>
                          <w14:schemeClr w14:val="tx1"/>
                        </w14:solidFill>
                      </w14:textFill>
                    </w:rPr>
                  </w:pPr>
                  <w:r>
                    <w:rPr>
                      <w:rFonts w:hint="default" w:ascii="Times New Roman" w:hAnsi="Times New Roman" w:eastAsia="宋体" w:cs="Times New Roman"/>
                      <w:b/>
                      <w:bCs w:val="0"/>
                      <w:color w:val="000000" w:themeColor="text1"/>
                      <w:szCs w:val="21"/>
                      <w14:textFill>
                        <w14:solidFill>
                          <w14:schemeClr w14:val="tx1"/>
                        </w14:solidFill>
                      </w14:textFill>
                    </w:rPr>
                    <w:t>厂界位置</w:t>
                  </w:r>
                </w:p>
              </w:tc>
              <w:tc>
                <w:tcPr>
                  <w:tcW w:w="1436" w:type="pct"/>
                  <w:vMerge w:val="restart"/>
                  <w:tcBorders>
                    <w:top w:val="single" w:color="auto" w:sz="4" w:space="0"/>
                    <w:left w:val="single" w:color="auto" w:sz="4" w:space="0"/>
                    <w:right w:val="single" w:color="auto" w:sz="4" w:space="0"/>
                  </w:tcBorders>
                  <w:vAlign w:val="center"/>
                </w:tcPr>
                <w:p w14:paraId="5AAC3AB7">
                  <w:pPr>
                    <w:adjustRightInd w:val="0"/>
                    <w:snapToGrid w:val="0"/>
                    <w:jc w:val="center"/>
                    <w:rPr>
                      <w:rFonts w:hint="default" w:ascii="Times New Roman" w:hAnsi="Times New Roman" w:eastAsia="宋体" w:cs="Times New Roman"/>
                      <w:b/>
                      <w:bCs w:val="0"/>
                      <w:color w:val="000000" w:themeColor="text1"/>
                      <w:szCs w:val="21"/>
                      <w14:textFill>
                        <w14:solidFill>
                          <w14:schemeClr w14:val="tx1"/>
                        </w14:solidFill>
                      </w14:textFill>
                    </w:rPr>
                  </w:pPr>
                  <w:r>
                    <w:rPr>
                      <w:rFonts w:hint="default" w:ascii="Times New Roman" w:hAnsi="Times New Roman" w:eastAsia="宋体" w:cs="Times New Roman"/>
                      <w:b/>
                      <w:bCs w:val="0"/>
                      <w:color w:val="000000" w:themeColor="text1"/>
                      <w:szCs w:val="21"/>
                      <w14:textFill>
                        <w14:solidFill>
                          <w14:schemeClr w14:val="tx1"/>
                        </w14:solidFill>
                      </w14:textFill>
                    </w:rPr>
                    <w:t>执行标准</w:t>
                  </w:r>
                </w:p>
              </w:tc>
              <w:tc>
                <w:tcPr>
                  <w:tcW w:w="2356" w:type="pct"/>
                  <w:gridSpan w:val="2"/>
                  <w:tcBorders>
                    <w:top w:val="single" w:color="auto" w:sz="4" w:space="0"/>
                    <w:left w:val="single" w:color="auto" w:sz="4" w:space="0"/>
                    <w:bottom w:val="single" w:color="auto" w:sz="4" w:space="0"/>
                    <w:right w:val="single" w:color="auto" w:sz="4" w:space="0"/>
                  </w:tcBorders>
                  <w:vAlign w:val="center"/>
                </w:tcPr>
                <w:p w14:paraId="18DEBA91">
                  <w:pPr>
                    <w:adjustRightInd w:val="0"/>
                    <w:snapToGrid w:val="0"/>
                    <w:jc w:val="center"/>
                    <w:rPr>
                      <w:rFonts w:hint="default" w:ascii="Times New Roman" w:hAnsi="Times New Roman" w:eastAsia="宋体" w:cs="Times New Roman"/>
                      <w:b/>
                      <w:bCs w:val="0"/>
                      <w:color w:val="000000" w:themeColor="text1"/>
                      <w:szCs w:val="21"/>
                      <w14:textFill>
                        <w14:solidFill>
                          <w14:schemeClr w14:val="tx1"/>
                        </w14:solidFill>
                      </w14:textFill>
                    </w:rPr>
                  </w:pPr>
                  <w:r>
                    <w:rPr>
                      <w:rFonts w:hint="default" w:ascii="Times New Roman" w:hAnsi="Times New Roman" w:eastAsia="宋体" w:cs="Times New Roman"/>
                      <w:b/>
                      <w:bCs w:val="0"/>
                      <w:color w:val="000000" w:themeColor="text1"/>
                      <w:szCs w:val="21"/>
                      <w14:textFill>
                        <w14:solidFill>
                          <w14:schemeClr w14:val="tx1"/>
                        </w14:solidFill>
                      </w14:textFill>
                    </w:rPr>
                    <w:t>排放限值</w:t>
                  </w:r>
                </w:p>
              </w:tc>
            </w:tr>
            <w:tr w14:paraId="7BEA3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08" w:type="pct"/>
                  <w:vMerge w:val="continue"/>
                  <w:tcBorders>
                    <w:left w:val="single" w:color="auto" w:sz="4" w:space="0"/>
                    <w:bottom w:val="single" w:color="auto" w:sz="4" w:space="0"/>
                    <w:right w:val="single" w:color="auto" w:sz="4" w:space="0"/>
                  </w:tcBorders>
                  <w:vAlign w:val="center"/>
                </w:tcPr>
                <w:p w14:paraId="4828D930">
                  <w:pPr>
                    <w:adjustRightInd w:val="0"/>
                    <w:snapToGrid w:val="0"/>
                    <w:jc w:val="center"/>
                    <w:rPr>
                      <w:rFonts w:hint="default" w:ascii="Times New Roman" w:hAnsi="Times New Roman" w:eastAsia="宋体" w:cs="Times New Roman"/>
                      <w:b/>
                      <w:bCs w:val="0"/>
                      <w:color w:val="000000" w:themeColor="text1"/>
                      <w:szCs w:val="21"/>
                      <w14:textFill>
                        <w14:solidFill>
                          <w14:schemeClr w14:val="tx1"/>
                        </w14:solidFill>
                      </w14:textFill>
                    </w:rPr>
                  </w:pPr>
                </w:p>
              </w:tc>
              <w:tc>
                <w:tcPr>
                  <w:tcW w:w="1436" w:type="pct"/>
                  <w:vMerge w:val="continue"/>
                  <w:tcBorders>
                    <w:left w:val="single" w:color="auto" w:sz="4" w:space="0"/>
                    <w:bottom w:val="single" w:color="auto" w:sz="4" w:space="0"/>
                    <w:right w:val="single" w:color="auto" w:sz="4" w:space="0"/>
                  </w:tcBorders>
                  <w:vAlign w:val="center"/>
                </w:tcPr>
                <w:p w14:paraId="20B0DFD7">
                  <w:pPr>
                    <w:adjustRightInd w:val="0"/>
                    <w:snapToGrid w:val="0"/>
                    <w:jc w:val="center"/>
                    <w:rPr>
                      <w:rFonts w:hint="default" w:ascii="Times New Roman" w:hAnsi="Times New Roman" w:eastAsia="宋体" w:cs="Times New Roman"/>
                      <w:b/>
                      <w:bCs w:val="0"/>
                      <w:color w:val="000000" w:themeColor="text1"/>
                      <w:szCs w:val="21"/>
                      <w14:textFill>
                        <w14:solidFill>
                          <w14:schemeClr w14:val="tx1"/>
                        </w14:solidFill>
                      </w14:textFill>
                    </w:rPr>
                  </w:pPr>
                </w:p>
              </w:tc>
              <w:tc>
                <w:tcPr>
                  <w:tcW w:w="1167" w:type="pct"/>
                  <w:tcBorders>
                    <w:top w:val="single" w:color="auto" w:sz="4" w:space="0"/>
                    <w:left w:val="single" w:color="auto" w:sz="4" w:space="0"/>
                    <w:bottom w:val="single" w:color="auto" w:sz="4" w:space="0"/>
                    <w:right w:val="single" w:color="auto" w:sz="4" w:space="0"/>
                  </w:tcBorders>
                  <w:vAlign w:val="center"/>
                </w:tcPr>
                <w:p w14:paraId="1697934F">
                  <w:pPr>
                    <w:adjustRightInd w:val="0"/>
                    <w:snapToGrid w:val="0"/>
                    <w:jc w:val="center"/>
                    <w:rPr>
                      <w:rFonts w:hint="default" w:ascii="Times New Roman" w:hAnsi="Times New Roman" w:eastAsia="宋体" w:cs="Times New Roman"/>
                      <w:b/>
                      <w:bCs w:val="0"/>
                      <w:color w:val="000000" w:themeColor="text1"/>
                      <w:szCs w:val="21"/>
                      <w14:textFill>
                        <w14:solidFill>
                          <w14:schemeClr w14:val="tx1"/>
                        </w14:solidFill>
                      </w14:textFill>
                    </w:rPr>
                  </w:pPr>
                  <w:r>
                    <w:rPr>
                      <w:rFonts w:hint="default" w:ascii="Times New Roman" w:hAnsi="Times New Roman" w:eastAsia="宋体" w:cs="Times New Roman"/>
                      <w:b/>
                      <w:bCs w:val="0"/>
                      <w:color w:val="000000" w:themeColor="text1"/>
                      <w:szCs w:val="21"/>
                      <w14:textFill>
                        <w14:solidFill>
                          <w14:schemeClr w14:val="tx1"/>
                        </w14:solidFill>
                      </w14:textFill>
                    </w:rPr>
                    <w:t>昼间</w:t>
                  </w:r>
                </w:p>
              </w:tc>
              <w:tc>
                <w:tcPr>
                  <w:tcW w:w="1189" w:type="pct"/>
                  <w:tcBorders>
                    <w:top w:val="single" w:color="auto" w:sz="4" w:space="0"/>
                    <w:left w:val="single" w:color="auto" w:sz="4" w:space="0"/>
                    <w:bottom w:val="single" w:color="auto" w:sz="4" w:space="0"/>
                    <w:right w:val="single" w:color="auto" w:sz="4" w:space="0"/>
                  </w:tcBorders>
                  <w:vAlign w:val="center"/>
                </w:tcPr>
                <w:p w14:paraId="47D568C9">
                  <w:pPr>
                    <w:adjustRightInd w:val="0"/>
                    <w:snapToGrid w:val="0"/>
                    <w:jc w:val="center"/>
                    <w:rPr>
                      <w:rFonts w:hint="default" w:ascii="Times New Roman" w:hAnsi="Times New Roman" w:eastAsia="宋体" w:cs="Times New Roman"/>
                      <w:b/>
                      <w:bCs w:val="0"/>
                      <w:color w:val="000000" w:themeColor="text1"/>
                      <w:szCs w:val="21"/>
                      <w14:textFill>
                        <w14:solidFill>
                          <w14:schemeClr w14:val="tx1"/>
                        </w14:solidFill>
                      </w14:textFill>
                    </w:rPr>
                  </w:pPr>
                  <w:r>
                    <w:rPr>
                      <w:rFonts w:hint="default" w:ascii="Times New Roman" w:hAnsi="Times New Roman" w:eastAsia="宋体" w:cs="Times New Roman"/>
                      <w:b/>
                      <w:bCs w:val="0"/>
                      <w:color w:val="000000" w:themeColor="text1"/>
                      <w:szCs w:val="21"/>
                      <w14:textFill>
                        <w14:solidFill>
                          <w14:schemeClr w14:val="tx1"/>
                        </w14:solidFill>
                      </w14:textFill>
                    </w:rPr>
                    <w:t>夜间</w:t>
                  </w:r>
                </w:p>
              </w:tc>
            </w:tr>
            <w:tr w14:paraId="1278F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08" w:type="pct"/>
                  <w:tcBorders>
                    <w:top w:val="single" w:color="auto" w:sz="4" w:space="0"/>
                    <w:left w:val="single" w:color="auto" w:sz="4" w:space="0"/>
                    <w:bottom w:val="single" w:color="auto" w:sz="4" w:space="0"/>
                    <w:right w:val="single" w:color="auto" w:sz="4" w:space="0"/>
                  </w:tcBorders>
                  <w:vAlign w:val="center"/>
                </w:tcPr>
                <w:p w14:paraId="27B2E287">
                  <w:pPr>
                    <w:adjustRightInd w:val="0"/>
                    <w:snapToGrid w:val="0"/>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项目厂界四周</w:t>
                  </w:r>
                </w:p>
              </w:tc>
              <w:tc>
                <w:tcPr>
                  <w:tcW w:w="1436" w:type="pct"/>
                  <w:tcBorders>
                    <w:top w:val="single" w:color="auto" w:sz="4" w:space="0"/>
                    <w:left w:val="single" w:color="auto" w:sz="4" w:space="0"/>
                    <w:bottom w:val="single" w:color="auto" w:sz="4" w:space="0"/>
                    <w:right w:val="single" w:color="auto" w:sz="4" w:space="0"/>
                  </w:tcBorders>
                  <w:vAlign w:val="center"/>
                </w:tcPr>
                <w:p w14:paraId="1C2A592D">
                  <w:pPr>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 xml:space="preserve">GB12348-2008  </w:t>
                  </w:r>
                  <w:r>
                    <w:rPr>
                      <w:rFonts w:hint="default" w:ascii="Times New Roman" w:hAnsi="Times New Roman" w:eastAsia="宋体" w:cs="Times New Roman"/>
                      <w:color w:val="000000" w:themeColor="text1"/>
                      <w:szCs w:val="21"/>
                      <w:lang w:val="en-US" w:eastAsia="zh-CN"/>
                      <w14:textFill>
                        <w14:solidFill>
                          <w14:schemeClr w14:val="tx1"/>
                        </w14:solidFill>
                      </w14:textFill>
                    </w:rPr>
                    <w:t>3</w:t>
                  </w:r>
                  <w:r>
                    <w:rPr>
                      <w:rFonts w:hint="default" w:ascii="Times New Roman" w:hAnsi="Times New Roman" w:eastAsia="宋体" w:cs="Times New Roman"/>
                      <w:color w:val="000000" w:themeColor="text1"/>
                      <w:szCs w:val="21"/>
                      <w14:textFill>
                        <w14:solidFill>
                          <w14:schemeClr w14:val="tx1"/>
                        </w14:solidFill>
                      </w14:textFill>
                    </w:rPr>
                    <w:t>类</w:t>
                  </w:r>
                </w:p>
              </w:tc>
              <w:tc>
                <w:tcPr>
                  <w:tcW w:w="1167" w:type="pct"/>
                  <w:tcBorders>
                    <w:top w:val="single" w:color="auto" w:sz="4" w:space="0"/>
                    <w:left w:val="single" w:color="auto" w:sz="4" w:space="0"/>
                    <w:bottom w:val="single" w:color="auto" w:sz="4" w:space="0"/>
                    <w:right w:val="single" w:color="auto" w:sz="4" w:space="0"/>
                  </w:tcBorders>
                  <w:vAlign w:val="center"/>
                </w:tcPr>
                <w:p w14:paraId="279017BA">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65</w:t>
                  </w:r>
                </w:p>
              </w:tc>
              <w:tc>
                <w:tcPr>
                  <w:tcW w:w="1189" w:type="pct"/>
                  <w:tcBorders>
                    <w:top w:val="single" w:color="auto" w:sz="4" w:space="0"/>
                    <w:left w:val="single" w:color="auto" w:sz="4" w:space="0"/>
                    <w:bottom w:val="single" w:color="auto" w:sz="4" w:space="0"/>
                    <w:right w:val="single" w:color="auto" w:sz="4" w:space="0"/>
                  </w:tcBorders>
                  <w:vAlign w:val="center"/>
                </w:tcPr>
                <w:p w14:paraId="25A6D602">
                  <w:pPr>
                    <w:adjustRightInd w:val="0"/>
                    <w:snapToGrid w:val="0"/>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5</w:t>
                  </w:r>
                  <w:r>
                    <w:rPr>
                      <w:rFonts w:hint="default" w:ascii="Times New Roman" w:hAnsi="Times New Roman" w:eastAsia="宋体" w:cs="Times New Roman"/>
                      <w:color w:val="000000" w:themeColor="text1"/>
                      <w:szCs w:val="21"/>
                      <w:lang w:val="en-US" w:eastAsia="zh-CN"/>
                      <w14:textFill>
                        <w14:solidFill>
                          <w14:schemeClr w14:val="tx1"/>
                        </w14:solidFill>
                      </w14:textFill>
                    </w:rPr>
                    <w:t>5</w:t>
                  </w:r>
                </w:p>
              </w:tc>
            </w:tr>
          </w:tbl>
          <w:p w14:paraId="6DBF1D50">
            <w:pPr>
              <w:adjustRightInd w:val="0"/>
              <w:snapToGrid w:val="0"/>
              <w:spacing w:line="360" w:lineRule="auto"/>
              <w:ind w:firstLine="472" w:firstLineChars="196"/>
              <w:jc w:val="left"/>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（4）固体废弃物</w:t>
            </w:r>
          </w:p>
          <w:p w14:paraId="4773572C">
            <w:pPr>
              <w:adjustRightInd w:val="0"/>
              <w:snapToGrid w:val="0"/>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一般工业固体废弃物执行《一般工业固体废物贮存和填埋污染控制标准》（GB 18599-2020）。</w:t>
            </w:r>
          </w:p>
          <w:p w14:paraId="6ED5892D">
            <w:pPr>
              <w:keepNext/>
              <w:keepLines/>
              <w:pageBreakBefore w:val="0"/>
              <w:widowControl w:val="0"/>
              <w:kinsoku/>
              <w:wordWrap/>
              <w:overflowPunct/>
              <w:topLinePunct w:val="0"/>
              <w:autoSpaceDE/>
              <w:autoSpaceDN/>
              <w:bidi w:val="0"/>
              <w:adjustRightInd w:val="0"/>
              <w:snapToGrid w:val="0"/>
              <w:spacing w:before="0" w:after="0" w:line="360" w:lineRule="auto"/>
              <w:ind w:firstLine="480" w:firstLineChars="200"/>
              <w:jc w:val="both"/>
              <w:textAlignment w:val="auto"/>
              <w:outlineLvl w:val="1"/>
              <w:rPr>
                <w:rFonts w:hint="default" w:ascii="Times New Roman" w:hAnsi="Times New Roman" w:cs="Times New Roman"/>
                <w:snapToGrid w:val="0"/>
                <w:color w:val="000000" w:themeColor="text1"/>
                <w:szCs w:val="24"/>
                <w:vertAlign w:val="baseline"/>
                <w14:textFill>
                  <w14:solidFill>
                    <w14:schemeClr w14:val="tx1"/>
                  </w14:solidFill>
                </w14:textFill>
              </w:rPr>
            </w:pPr>
            <w:bookmarkStart w:id="201" w:name="_Toc29436"/>
            <w:bookmarkStart w:id="202" w:name="_Toc11885"/>
            <w:bookmarkStart w:id="203" w:name="_Toc28199"/>
            <w:r>
              <w:rPr>
                <w:rFonts w:hint="default" w:ascii="Times New Roman" w:hAnsi="Times New Roman" w:eastAsia="宋体" w:cs="Times New Roman"/>
                <w:bCs/>
                <w:color w:val="000000" w:themeColor="text1"/>
                <w:kern w:val="0"/>
                <w:sz w:val="24"/>
                <w:szCs w:val="20"/>
                <w:lang w:val="en-US" w:eastAsia="zh-CN" w:bidi="ar-SA"/>
                <w14:textFill>
                  <w14:solidFill>
                    <w14:schemeClr w14:val="tx1"/>
                  </w14:solidFill>
                </w14:textFill>
              </w:rPr>
              <w:t>危险废物暂存执行《危险废物贮存污染控制标准》</w:t>
            </w:r>
            <w:r>
              <w:rPr>
                <w:rFonts w:hint="eastAsia" w:ascii="Times New Roman" w:hAnsi="Times New Roman" w:eastAsia="宋体" w:cs="Times New Roman"/>
                <w:bCs/>
                <w:color w:val="000000" w:themeColor="text1"/>
                <w:kern w:val="0"/>
                <w:sz w:val="24"/>
                <w:szCs w:val="20"/>
                <w:lang w:val="en-US" w:eastAsia="zh-CN" w:bidi="ar-SA"/>
                <w14:textFill>
                  <w14:solidFill>
                    <w14:schemeClr w14:val="tx1"/>
                  </w14:solidFill>
                </w14:textFill>
              </w:rPr>
              <w:t>（</w:t>
            </w:r>
            <w:r>
              <w:rPr>
                <w:rFonts w:hint="default" w:ascii="Times New Roman" w:hAnsi="Times New Roman" w:eastAsia="宋体" w:cs="Times New Roman"/>
                <w:bCs/>
                <w:color w:val="000000" w:themeColor="text1"/>
                <w:kern w:val="0"/>
                <w:sz w:val="24"/>
                <w:szCs w:val="20"/>
                <w:lang w:val="en-US" w:eastAsia="zh-CN" w:bidi="ar-SA"/>
                <w14:textFill>
                  <w14:solidFill>
                    <w14:schemeClr w14:val="tx1"/>
                  </w14:solidFill>
                </w14:textFill>
              </w:rPr>
              <w:t>GB18957-20</w:t>
            </w:r>
            <w:r>
              <w:rPr>
                <w:rFonts w:hint="eastAsia" w:ascii="Times New Roman" w:hAnsi="Times New Roman" w:eastAsia="宋体" w:cs="Times New Roman"/>
                <w:bCs/>
                <w:color w:val="000000" w:themeColor="text1"/>
                <w:kern w:val="0"/>
                <w:sz w:val="24"/>
                <w:szCs w:val="20"/>
                <w:lang w:val="en-US" w:eastAsia="zh-CN" w:bidi="ar-SA"/>
                <w14:textFill>
                  <w14:solidFill>
                    <w14:schemeClr w14:val="tx1"/>
                  </w14:solidFill>
                </w14:textFill>
              </w:rPr>
              <w:t>23）标准</w:t>
            </w:r>
            <w:r>
              <w:rPr>
                <w:rFonts w:hint="default" w:ascii="Times New Roman" w:hAnsi="Times New Roman" w:eastAsia="宋体" w:cs="Times New Roman"/>
                <w:bCs/>
                <w:color w:val="000000" w:themeColor="text1"/>
                <w:kern w:val="0"/>
                <w:sz w:val="24"/>
                <w:szCs w:val="20"/>
                <w:lang w:val="en-US" w:eastAsia="zh-CN" w:bidi="ar-SA"/>
                <w14:textFill>
                  <w14:solidFill>
                    <w14:schemeClr w14:val="tx1"/>
                  </w14:solidFill>
                </w14:textFill>
              </w:rPr>
              <w:t>。</w:t>
            </w:r>
            <w:bookmarkEnd w:id="201"/>
            <w:bookmarkEnd w:id="202"/>
            <w:bookmarkEnd w:id="203"/>
          </w:p>
        </w:tc>
      </w:tr>
      <w:tr w14:paraId="3D79A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 w:type="dxa"/>
            <w:vAlign w:val="center"/>
          </w:tcPr>
          <w:p w14:paraId="33EAC635">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Cs w:val="24"/>
                <w:vertAlign w:val="baseline"/>
                <w:lang w:val="en-US" w:eastAsia="zh-CN"/>
                <w14:textFill>
                  <w14:solidFill>
                    <w14:schemeClr w14:val="tx1"/>
                  </w14:solidFill>
                </w14:textFill>
              </w:rPr>
            </w:pPr>
            <w:bookmarkStart w:id="204" w:name="_Toc20954"/>
            <w:bookmarkStart w:id="205" w:name="_Toc4608"/>
            <w:bookmarkStart w:id="206" w:name="_Toc8838"/>
            <w:r>
              <w:rPr>
                <w:rFonts w:hint="eastAsia" w:ascii="Times New Roman" w:hAnsi="Times New Roman" w:cs="Times New Roman"/>
                <w:snapToGrid w:val="0"/>
                <w:color w:val="000000" w:themeColor="text1"/>
                <w:szCs w:val="24"/>
                <w:vertAlign w:val="baseline"/>
                <w:lang w:val="en-US" w:eastAsia="zh-CN"/>
                <w14:textFill>
                  <w14:solidFill>
                    <w14:schemeClr w14:val="tx1"/>
                  </w14:solidFill>
                </w14:textFill>
              </w:rPr>
              <w:t>总量控制指标</w:t>
            </w:r>
            <w:bookmarkEnd w:id="204"/>
            <w:bookmarkEnd w:id="205"/>
            <w:bookmarkEnd w:id="206"/>
          </w:p>
        </w:tc>
        <w:tc>
          <w:tcPr>
            <w:tcW w:w="8238" w:type="dxa"/>
          </w:tcPr>
          <w:p w14:paraId="2469D36C">
            <w:pPr>
              <w:spacing w:line="360" w:lineRule="auto"/>
              <w:ind w:firstLine="480"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根据本项目的排污特征，结合国家污染物排放总量控制原则，列出本项目建议执行的总量控制指标：</w:t>
            </w:r>
          </w:p>
          <w:p w14:paraId="2EE50FDF">
            <w:pPr>
              <w:spacing w:line="360" w:lineRule="auto"/>
              <w:ind w:firstLine="482" w:firstLineChars="200"/>
              <w:rPr>
                <w:rFonts w:hint="default" w:ascii="Times New Roman" w:hAnsi="Times New Roman" w:eastAsia="宋体" w:cs="Times New Roman"/>
                <w:b/>
                <w:color w:val="000000" w:themeColor="text1"/>
                <w:sz w:val="24"/>
                <w:highlight w:val="none"/>
                <w14:textFill>
                  <w14:solidFill>
                    <w14:schemeClr w14:val="tx1"/>
                  </w14:solidFill>
                </w14:textFill>
              </w:rPr>
            </w:pPr>
            <w:r>
              <w:rPr>
                <w:rFonts w:hint="default" w:ascii="Times New Roman" w:hAnsi="Times New Roman" w:eastAsia="宋体" w:cs="Times New Roman"/>
                <w:b/>
                <w:color w:val="000000" w:themeColor="text1"/>
                <w:sz w:val="24"/>
                <w:highlight w:val="none"/>
                <w14:textFill>
                  <w14:solidFill>
                    <w14:schemeClr w14:val="tx1"/>
                  </w14:solidFill>
                </w14:textFill>
              </w:rPr>
              <w:t>1、废气</w:t>
            </w:r>
          </w:p>
          <w:p w14:paraId="6D9DF825">
            <w:pPr>
              <w:spacing w:line="360" w:lineRule="auto"/>
              <w:ind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根据分析核算，</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项目排放废气总量为</w:t>
            </w:r>
            <w:r>
              <w:rPr>
                <w:rFonts w:hint="eastAsia" w:cs="Times New Roman"/>
                <w:color w:val="000000" w:themeColor="text1"/>
                <w:sz w:val="24"/>
                <w:highlight w:val="none"/>
                <w:lang w:val="en-US" w:eastAsia="zh-CN"/>
                <w14:textFill>
                  <w14:solidFill>
                    <w14:schemeClr w14:val="tx1"/>
                  </w14:solidFill>
                </w14:textFill>
              </w:rPr>
              <w:t>2916</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万</w:t>
            </w:r>
            <w:r>
              <w:rPr>
                <w:rFonts w:hint="default" w:ascii="Times New Roman" w:hAnsi="Times New Roman" w:eastAsia="宋体" w:cs="Times New Roman"/>
                <w:bCs/>
                <w:color w:val="000000" w:themeColor="text1"/>
                <w:kern w:val="0"/>
                <w:sz w:val="24"/>
                <w:highlight w:val="none"/>
                <w14:textFill>
                  <w14:solidFill>
                    <w14:schemeClr w14:val="tx1"/>
                  </w14:solidFill>
                </w14:textFill>
              </w:rPr>
              <w:t>m</w:t>
            </w:r>
            <w:r>
              <w:rPr>
                <w:rFonts w:hint="default" w:ascii="Times New Roman" w:hAnsi="Times New Roman" w:eastAsia="宋体" w:cs="Times New Roman"/>
                <w:bCs/>
                <w:color w:val="000000" w:themeColor="text1"/>
                <w:kern w:val="0"/>
                <w:sz w:val="24"/>
                <w:highlight w:val="none"/>
                <w:vertAlign w:val="superscript"/>
                <w14:textFill>
                  <w14:solidFill>
                    <w14:schemeClr w14:val="tx1"/>
                  </w14:solidFill>
                </w14:textFill>
              </w:rPr>
              <w:t>3</w:t>
            </w:r>
            <w:r>
              <w:rPr>
                <w:rFonts w:hint="default" w:ascii="Times New Roman" w:hAnsi="Times New Roman" w:eastAsia="宋体" w:cs="Times New Roman"/>
                <w:bCs/>
                <w:color w:val="000000" w:themeColor="text1"/>
                <w:kern w:val="0"/>
                <w:sz w:val="24"/>
                <w:highlight w:val="none"/>
                <w14:textFill>
                  <w14:solidFill>
                    <w14:schemeClr w14:val="tx1"/>
                  </w14:solidFill>
                </w14:textFill>
              </w:rPr>
              <w:t>/a</w:t>
            </w:r>
            <w:r>
              <w:rPr>
                <w:rFonts w:hint="default" w:ascii="Times New Roman" w:hAnsi="Times New Roman" w:eastAsia="宋体" w:cs="Times New Roman"/>
                <w:color w:val="000000" w:themeColor="text1"/>
                <w:sz w:val="24"/>
                <w:highlight w:val="none"/>
                <w14:textFill>
                  <w14:solidFill>
                    <w14:schemeClr w14:val="tx1"/>
                  </w14:solidFill>
                </w14:textFill>
              </w:rPr>
              <w:t>，</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项目</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有组织</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废气污染物</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排放总量为：非甲烷总烃：0.</w:t>
            </w:r>
            <w:r>
              <w:rPr>
                <w:rFonts w:hint="eastAsia" w:cs="Times New Roman"/>
                <w:color w:val="000000" w:themeColor="text1"/>
                <w:sz w:val="24"/>
                <w:highlight w:val="none"/>
                <w:lang w:val="en-US" w:eastAsia="zh-CN"/>
                <w14:textFill>
                  <w14:solidFill>
                    <w14:schemeClr w14:val="tx1"/>
                  </w14:solidFill>
                </w14:textFill>
              </w:rPr>
              <w:t>360</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t/a</w:t>
            </w:r>
            <w:r>
              <w:rPr>
                <w:rFonts w:hint="eastAsia" w:cs="Times New Roman"/>
                <w:color w:val="000000" w:themeColor="text1"/>
                <w:sz w:val="24"/>
                <w:highlight w:val="none"/>
                <w:lang w:val="en-US" w:eastAsia="zh-CN"/>
                <w14:textFill>
                  <w14:solidFill>
                    <w14:schemeClr w14:val="tx1"/>
                  </w14:solidFill>
                </w14:textFill>
              </w:rPr>
              <w:t>、甲醛：0.002t/a、</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颗粒物</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0.0</w:t>
            </w:r>
            <w:r>
              <w:rPr>
                <w:rFonts w:hint="eastAsia" w:cs="Times New Roman"/>
                <w:color w:val="000000" w:themeColor="text1"/>
                <w:sz w:val="24"/>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0t/a；</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无组织废气污染物</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排放总量为：</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非甲烷总烃：0.</w:t>
            </w:r>
            <w:r>
              <w:rPr>
                <w:rFonts w:hint="eastAsia" w:cs="Times New Roman"/>
                <w:color w:val="000000" w:themeColor="text1"/>
                <w:sz w:val="24"/>
                <w:highlight w:val="none"/>
                <w:lang w:val="en-US" w:eastAsia="zh-CN"/>
                <w14:textFill>
                  <w14:solidFill>
                    <w14:schemeClr w14:val="tx1"/>
                  </w14:solidFill>
                </w14:textFill>
              </w:rPr>
              <w:t>27</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0t/a、甲醛：0.00</w:t>
            </w:r>
            <w:r>
              <w:rPr>
                <w:rFonts w:hint="eastAsia" w:cs="Times New Roman"/>
                <w:color w:val="000000" w:themeColor="text1"/>
                <w:sz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t/a、颗粒物0.</w:t>
            </w:r>
            <w:r>
              <w:rPr>
                <w:rFonts w:hint="eastAsia" w:cs="Times New Roman"/>
                <w:color w:val="000000" w:themeColor="text1"/>
                <w:sz w:val="24"/>
                <w:highlight w:val="none"/>
                <w:lang w:val="en-US" w:eastAsia="zh-CN"/>
                <w14:textFill>
                  <w14:solidFill>
                    <w14:schemeClr w14:val="tx1"/>
                  </w14:solidFill>
                </w14:textFill>
              </w:rPr>
              <w:t>36</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0t/a</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p>
          <w:p w14:paraId="1063420B">
            <w:pPr>
              <w:spacing w:line="360" w:lineRule="auto"/>
              <w:ind w:firstLine="482" w:firstLineChars="200"/>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pPr>
            <w:r>
              <w:rPr>
                <w:rFonts w:hint="eastAsia" w:cs="Times New Roman"/>
                <w:b/>
                <w:color w:val="000000" w:themeColor="text1"/>
                <w:sz w:val="24"/>
                <w:highlight w:val="none"/>
                <w:lang w:val="en-US" w:eastAsia="zh-CN"/>
                <w14:textFill>
                  <w14:solidFill>
                    <w14:schemeClr w14:val="tx1"/>
                  </w14:solidFill>
                </w14:textFill>
              </w:rPr>
              <w:t>2、废水</w:t>
            </w:r>
          </w:p>
          <w:p w14:paraId="7DB81909">
            <w:pPr>
              <w:spacing w:line="360" w:lineRule="auto"/>
              <w:ind w:firstLine="480" w:firstLineChars="200"/>
              <w:rPr>
                <w:rFonts w:hint="default" w:cs="Times New Roman"/>
                <w:b w:val="0"/>
                <w:bCs/>
                <w:color w:val="000000" w:themeColor="text1"/>
                <w:sz w:val="24"/>
                <w:highlight w:val="none"/>
                <w:lang w:val="en-US" w:eastAsia="zh-CN"/>
                <w14:textFill>
                  <w14:solidFill>
                    <w14:schemeClr w14:val="tx1"/>
                  </w14:solidFill>
                </w14:textFill>
              </w:rPr>
            </w:pPr>
            <w:r>
              <w:rPr>
                <w:rFonts w:hint="eastAsia" w:cs="Times New Roman"/>
                <w:b w:val="0"/>
                <w:bCs/>
                <w:color w:val="000000" w:themeColor="text1"/>
                <w:sz w:val="24"/>
                <w:highlight w:val="none"/>
                <w:lang w:val="en-US" w:eastAsia="zh-CN"/>
                <w14:textFill>
                  <w14:solidFill>
                    <w14:schemeClr w14:val="tx1"/>
                  </w14:solidFill>
                </w14:textFill>
              </w:rPr>
              <w:t>废水无总量控制指标。</w:t>
            </w:r>
          </w:p>
          <w:p w14:paraId="70E97D5E">
            <w:pPr>
              <w:spacing w:line="360" w:lineRule="auto"/>
              <w:ind w:firstLine="482" w:firstLineChars="200"/>
              <w:rPr>
                <w:rFonts w:hint="default" w:ascii="Times New Roman" w:hAnsi="Times New Roman" w:eastAsia="宋体" w:cs="Times New Roman"/>
                <w:b/>
                <w:color w:val="000000" w:themeColor="text1"/>
                <w:sz w:val="24"/>
                <w:highlight w:val="none"/>
                <w14:textFill>
                  <w14:solidFill>
                    <w14:schemeClr w14:val="tx1"/>
                  </w14:solidFill>
                </w14:textFill>
              </w:rPr>
            </w:pPr>
            <w:r>
              <w:rPr>
                <w:rFonts w:hint="eastAsia" w:cs="Times New Roman"/>
                <w:b/>
                <w:color w:val="000000" w:themeColor="text1"/>
                <w:sz w:val="24"/>
                <w:highlight w:val="none"/>
                <w:lang w:val="en-US" w:eastAsia="zh-CN"/>
                <w14:textFill>
                  <w14:solidFill>
                    <w14:schemeClr w14:val="tx1"/>
                  </w14:solidFill>
                </w14:textFill>
              </w:rPr>
              <w:t>3</w:t>
            </w:r>
            <w:r>
              <w:rPr>
                <w:rFonts w:hint="default" w:ascii="Times New Roman" w:hAnsi="Times New Roman" w:eastAsia="宋体" w:cs="Times New Roman"/>
                <w:b/>
                <w:color w:val="000000" w:themeColor="text1"/>
                <w:sz w:val="24"/>
                <w:highlight w:val="none"/>
                <w14:textFill>
                  <w14:solidFill>
                    <w14:schemeClr w14:val="tx1"/>
                  </w14:solidFill>
                </w14:textFill>
              </w:rPr>
              <w:t>、固体废弃物</w:t>
            </w:r>
          </w:p>
          <w:p w14:paraId="0BAFBFEB">
            <w:pPr>
              <w:spacing w:line="360" w:lineRule="auto"/>
              <w:ind w:firstLine="480" w:firstLineChars="200"/>
              <w:rPr>
                <w:rFonts w:hint="default" w:ascii="Times New Roman" w:hAnsi="Times New Roman" w:eastAsia="宋体" w:cs="Times New Roman"/>
                <w:bCs/>
                <w:color w:val="000000" w:themeColor="text1"/>
                <w:kern w:val="0"/>
                <w:sz w:val="24"/>
                <w:szCs w:val="20"/>
                <w:lang w:val="en-US" w:eastAsia="zh-CN" w:bidi="ar-SA"/>
                <w14:textFill>
                  <w14:solidFill>
                    <w14:schemeClr w14:val="tx1"/>
                  </w14:solidFill>
                </w14:textFill>
              </w:rPr>
            </w:pPr>
            <w:bookmarkStart w:id="207" w:name="_Toc3917"/>
            <w:bookmarkStart w:id="208" w:name="_Toc32687"/>
            <w:bookmarkStart w:id="209" w:name="_Toc4477"/>
            <w:r>
              <w:rPr>
                <w:rFonts w:hint="default" w:ascii="Times New Roman" w:hAnsi="Times New Roman" w:eastAsia="宋体" w:cs="Times New Roman"/>
                <w:color w:val="000000" w:themeColor="text1"/>
                <w:sz w:val="24"/>
                <w:highlight w:val="none"/>
                <w14:textFill>
                  <w14:solidFill>
                    <w14:schemeClr w14:val="tx1"/>
                  </w14:solidFill>
                </w14:textFill>
              </w:rPr>
              <w:t>固废处置率为100%。</w:t>
            </w:r>
            <w:bookmarkEnd w:id="207"/>
            <w:bookmarkEnd w:id="208"/>
            <w:bookmarkEnd w:id="209"/>
          </w:p>
        </w:tc>
      </w:tr>
    </w:tbl>
    <w:p w14:paraId="0E89BB8E">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Cs w:val="24"/>
          <w14:textFill>
            <w14:solidFill>
              <w14:schemeClr w14:val="tx1"/>
            </w14:solidFill>
          </w14:textFill>
        </w:rPr>
      </w:pPr>
      <w:r>
        <w:rPr>
          <w:rFonts w:hint="default" w:ascii="Times New Roman" w:hAnsi="Times New Roman" w:cs="Times New Roman"/>
          <w:snapToGrid w:val="0"/>
          <w:color w:val="000000" w:themeColor="text1"/>
          <w:szCs w:val="24"/>
          <w14:textFill>
            <w14:solidFill>
              <w14:schemeClr w14:val="tx1"/>
            </w14:solidFill>
          </w14:textFill>
        </w:rPr>
        <w:br w:type="page"/>
      </w:r>
      <w:bookmarkStart w:id="210" w:name="_Toc24454"/>
      <w:bookmarkStart w:id="211" w:name="_Toc22030"/>
      <w:r>
        <w:rPr>
          <w:rFonts w:hint="default" w:ascii="Times New Roman" w:hAnsi="Times New Roman" w:cs="Times New Roman"/>
          <w:snapToGrid w:val="0"/>
          <w:color w:val="000000" w:themeColor="text1"/>
          <w:szCs w:val="24"/>
          <w14:textFill>
            <w14:solidFill>
              <w14:schemeClr w14:val="tx1"/>
            </w14:solidFill>
          </w14:textFill>
        </w:rPr>
        <w:t>四、主要环境影响和保护措施</w:t>
      </w:r>
      <w:bookmarkEnd w:id="210"/>
      <w:bookmarkEnd w:id="211"/>
    </w:p>
    <w:tbl>
      <w:tblPr>
        <w:tblStyle w:val="31"/>
        <w:tblW w:w="929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20"/>
        <w:gridCol w:w="8674"/>
      </w:tblGrid>
      <w:tr w14:paraId="0F69B4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0" w:type="dxa"/>
            <w:tcMar>
              <w:left w:w="28" w:type="dxa"/>
              <w:right w:w="28" w:type="dxa"/>
            </w:tcMar>
            <w:vAlign w:val="center"/>
          </w:tcPr>
          <w:p w14:paraId="33221BD1">
            <w:pPr>
              <w:pStyle w:val="26"/>
              <w:adjustRightInd w:val="0"/>
              <w:snapToGrid w:val="0"/>
              <w:spacing w:before="0" w:beforeAutospacing="0" w:after="0" w:afterAutospacing="0"/>
              <w:jc w:val="center"/>
              <w:rPr>
                <w:rFonts w:hint="default" w:ascii="Times New Roman" w:hAnsi="Times New Roman" w:cs="Times New Roman"/>
                <w:color w:val="000000" w:themeColor="text1"/>
                <w:szCs w:val="24"/>
                <w14:textFill>
                  <w14:solidFill>
                    <w14:schemeClr w14:val="tx1"/>
                  </w14:solidFill>
                </w14:textFill>
              </w:rPr>
            </w:pPr>
            <w:r>
              <w:rPr>
                <w:rFonts w:hint="default" w:ascii="Times New Roman" w:hAnsi="Times New Roman" w:cs="Times New Roman"/>
                <w:color w:val="000000" w:themeColor="text1"/>
                <w:szCs w:val="24"/>
                <w14:textFill>
                  <w14:solidFill>
                    <w14:schemeClr w14:val="tx1"/>
                  </w14:solidFill>
                </w14:textFill>
              </w:rPr>
              <w:t>施工</w:t>
            </w:r>
          </w:p>
          <w:p w14:paraId="709C5402">
            <w:pPr>
              <w:pStyle w:val="26"/>
              <w:adjustRightInd w:val="0"/>
              <w:snapToGrid w:val="0"/>
              <w:spacing w:before="0" w:beforeAutospacing="0" w:after="0" w:afterAutospacing="0"/>
              <w:jc w:val="center"/>
              <w:rPr>
                <w:rFonts w:hint="default" w:ascii="Times New Roman" w:hAnsi="Times New Roman" w:cs="Times New Roman"/>
                <w:color w:val="000000" w:themeColor="text1"/>
                <w:szCs w:val="24"/>
                <w14:textFill>
                  <w14:solidFill>
                    <w14:schemeClr w14:val="tx1"/>
                  </w14:solidFill>
                </w14:textFill>
              </w:rPr>
            </w:pPr>
            <w:r>
              <w:rPr>
                <w:rFonts w:hint="default" w:ascii="Times New Roman" w:hAnsi="Times New Roman" w:cs="Times New Roman"/>
                <w:color w:val="000000" w:themeColor="text1"/>
                <w:szCs w:val="24"/>
                <w14:textFill>
                  <w14:solidFill>
                    <w14:schemeClr w14:val="tx1"/>
                  </w14:solidFill>
                </w14:textFill>
              </w:rPr>
              <w:t>期环</w:t>
            </w:r>
          </w:p>
          <w:p w14:paraId="4257CFF8">
            <w:pPr>
              <w:pStyle w:val="26"/>
              <w:adjustRightInd w:val="0"/>
              <w:snapToGrid w:val="0"/>
              <w:spacing w:before="0" w:beforeAutospacing="0" w:after="0" w:afterAutospacing="0"/>
              <w:jc w:val="center"/>
              <w:rPr>
                <w:rFonts w:hint="default" w:ascii="Times New Roman" w:hAnsi="Times New Roman" w:cs="Times New Roman"/>
                <w:color w:val="000000" w:themeColor="text1"/>
                <w:szCs w:val="24"/>
                <w14:textFill>
                  <w14:solidFill>
                    <w14:schemeClr w14:val="tx1"/>
                  </w14:solidFill>
                </w14:textFill>
              </w:rPr>
            </w:pPr>
            <w:r>
              <w:rPr>
                <w:rFonts w:hint="default" w:ascii="Times New Roman" w:hAnsi="Times New Roman" w:cs="Times New Roman"/>
                <w:color w:val="000000" w:themeColor="text1"/>
                <w:szCs w:val="24"/>
                <w14:textFill>
                  <w14:solidFill>
                    <w14:schemeClr w14:val="tx1"/>
                  </w14:solidFill>
                </w14:textFill>
              </w:rPr>
              <w:t>境保</w:t>
            </w:r>
          </w:p>
          <w:p w14:paraId="1EE76956">
            <w:pPr>
              <w:pStyle w:val="26"/>
              <w:adjustRightInd w:val="0"/>
              <w:snapToGrid w:val="0"/>
              <w:spacing w:before="0" w:beforeAutospacing="0" w:after="0" w:afterAutospacing="0"/>
              <w:jc w:val="center"/>
              <w:rPr>
                <w:rFonts w:hint="default" w:ascii="Times New Roman" w:hAnsi="Times New Roman" w:cs="Times New Roman"/>
                <w:color w:val="000000" w:themeColor="text1"/>
                <w:szCs w:val="24"/>
                <w14:textFill>
                  <w14:solidFill>
                    <w14:schemeClr w14:val="tx1"/>
                  </w14:solidFill>
                </w14:textFill>
              </w:rPr>
            </w:pPr>
            <w:r>
              <w:rPr>
                <w:rFonts w:hint="default" w:ascii="Times New Roman" w:hAnsi="Times New Roman" w:cs="Times New Roman"/>
                <w:color w:val="000000" w:themeColor="text1"/>
                <w:szCs w:val="24"/>
                <w14:textFill>
                  <w14:solidFill>
                    <w14:schemeClr w14:val="tx1"/>
                  </w14:solidFill>
                </w14:textFill>
              </w:rPr>
              <w:t>护措</w:t>
            </w:r>
          </w:p>
          <w:p w14:paraId="40851D6F">
            <w:pPr>
              <w:pStyle w:val="26"/>
              <w:adjustRightInd w:val="0"/>
              <w:snapToGrid w:val="0"/>
              <w:spacing w:before="0" w:beforeAutospacing="0" w:after="0" w:afterAutospacing="0"/>
              <w:jc w:val="center"/>
              <w:rPr>
                <w:rFonts w:hint="default" w:ascii="Times New Roman" w:hAnsi="Times New Roman" w:cs="Times New Roman"/>
                <w:bCs/>
                <w:color w:val="000000" w:themeColor="text1"/>
                <w:szCs w:val="24"/>
                <w14:textFill>
                  <w14:solidFill>
                    <w14:schemeClr w14:val="tx1"/>
                  </w14:solidFill>
                </w14:textFill>
              </w:rPr>
            </w:pPr>
            <w:r>
              <w:rPr>
                <w:rFonts w:hint="default" w:ascii="Times New Roman" w:hAnsi="Times New Roman" w:cs="Times New Roman"/>
                <w:color w:val="000000" w:themeColor="text1"/>
                <w:szCs w:val="24"/>
                <w14:textFill>
                  <w14:solidFill>
                    <w14:schemeClr w14:val="tx1"/>
                  </w14:solidFill>
                </w14:textFill>
              </w:rPr>
              <w:t>施</w:t>
            </w:r>
          </w:p>
        </w:tc>
        <w:tc>
          <w:tcPr>
            <w:tcW w:w="8674" w:type="dxa"/>
            <w:vAlign w:val="center"/>
          </w:tcPr>
          <w:p w14:paraId="1F6BD1C3">
            <w:pPr>
              <w:adjustRightInd w:val="0"/>
              <w:snapToGrid w:val="0"/>
              <w:spacing w:line="360" w:lineRule="auto"/>
              <w:ind w:firstLine="480" w:firstLineChars="200"/>
              <w:rPr>
                <w:rFonts w:hint="default" w:ascii="Times New Roman" w:hAnsi="Times New Roman" w:cs="Times New Roman"/>
                <w:b w:val="0"/>
                <w:bCs/>
                <w:color w:val="000000" w:themeColor="text1"/>
                <w:sz w:val="24"/>
                <w:lang w:val="en-US" w:eastAsia="zh-CN"/>
                <w14:textFill>
                  <w14:solidFill>
                    <w14:schemeClr w14:val="tx1"/>
                  </w14:solidFill>
                </w14:textFill>
              </w:rPr>
            </w:pPr>
            <w:r>
              <w:rPr>
                <w:rFonts w:hint="default" w:ascii="Times New Roman" w:hAnsi="Times New Roman" w:cs="Times New Roman"/>
                <w:b w:val="0"/>
                <w:bCs/>
                <w:color w:val="000000" w:themeColor="text1"/>
                <w:sz w:val="24"/>
                <w:lang w:val="en-US" w:eastAsia="zh-CN"/>
                <w14:textFill>
                  <w14:solidFill>
                    <w14:schemeClr w14:val="tx1"/>
                  </w14:solidFill>
                </w14:textFill>
              </w:rPr>
              <w:t>本项目租用云南联帆建材科技有限公司内闲置厂房及闲置空地进行密胺餐具生产，施工期主要是对生产车间内部进行适应性改造，建设产品堆放区，在生产车间安装生产设备以及相关环保设施和配套辅助设施后投入使用。建设周期为2026年11月-2026年12月，共1个月。</w:t>
            </w:r>
          </w:p>
          <w:p w14:paraId="5144B336">
            <w:pPr>
              <w:adjustRightInd w:val="0"/>
              <w:snapToGrid w:val="0"/>
              <w:spacing w:line="360" w:lineRule="auto"/>
              <w:ind w:firstLine="480" w:firstLineChars="200"/>
              <w:rPr>
                <w:rFonts w:hint="default" w:ascii="Times New Roman" w:hAnsi="Times New Roman" w:cs="Times New Roman"/>
                <w:b w:val="0"/>
                <w:bCs/>
                <w:color w:val="000000" w:themeColor="text1"/>
                <w:sz w:val="24"/>
                <w:lang w:val="en-US"/>
                <w14:textFill>
                  <w14:solidFill>
                    <w14:schemeClr w14:val="tx1"/>
                  </w14:solidFill>
                </w14:textFill>
              </w:rPr>
            </w:pPr>
            <w:r>
              <w:rPr>
                <w:rFonts w:hint="default" w:ascii="Times New Roman" w:hAnsi="Times New Roman" w:cs="Times New Roman"/>
                <w:b w:val="0"/>
                <w:bCs/>
                <w:color w:val="000000" w:themeColor="text1"/>
                <w:sz w:val="24"/>
                <w:lang w:val="en-US" w:eastAsia="zh-CN"/>
                <w14:textFill>
                  <w14:solidFill>
                    <w14:schemeClr w14:val="tx1"/>
                  </w14:solidFill>
                </w14:textFill>
              </w:rPr>
              <w:t>项目施工工序主要为生产设备安装、辅助工程建设以及工程验收及设备调式等，从污染角度分析，施工期主要污染因子有：施工废气、施工噪声、施工固体废弃物、施工废水等。</w:t>
            </w:r>
            <w:r>
              <w:rPr>
                <w:rFonts w:hint="eastAsia" w:cs="Times New Roman"/>
                <w:b w:val="0"/>
                <w:bCs/>
                <w:color w:val="000000" w:themeColor="text1"/>
                <w:sz w:val="24"/>
                <w:lang w:val="en-US" w:eastAsia="zh-CN"/>
                <w14:textFill>
                  <w14:solidFill>
                    <w14:schemeClr w14:val="tx1"/>
                  </w14:solidFill>
                </w14:textFill>
              </w:rPr>
              <w:t>施工期污染防治措施如下：</w:t>
            </w:r>
          </w:p>
          <w:p w14:paraId="317C6384">
            <w:pPr>
              <w:adjustRightInd w:val="0"/>
              <w:snapToGrid w:val="0"/>
              <w:spacing w:line="360" w:lineRule="auto"/>
              <w:ind w:firstLine="482" w:firstLineChars="200"/>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1、施工期废气污染防治措施</w:t>
            </w:r>
          </w:p>
          <w:p w14:paraId="4639AE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①施工物料卸载应避免在大风天气时进行；</w:t>
            </w:r>
          </w:p>
          <w:p w14:paraId="503F53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fldChar w:fldCharType="begin"/>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instrText xml:space="preserve">= 2 \* GB3</w:instrTex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fldChar w:fldCharType="separate"/>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②</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fldChar w:fldCharType="end"/>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物料堆存及运输采用封闭措施；</w:t>
            </w:r>
          </w:p>
          <w:p w14:paraId="5218B7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fldChar w:fldCharType="begin"/>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instrText xml:space="preserve">= 3 \* GB3</w:instrTex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fldChar w:fldCharType="separate"/>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③</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fldChar w:fldCharType="end"/>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施工垃圾应及时清运，适量洒水，减少扬尘。</w:t>
            </w:r>
          </w:p>
          <w:p w14:paraId="2CB15268">
            <w:pPr>
              <w:adjustRightInd w:val="0"/>
              <w:snapToGrid w:val="0"/>
              <w:spacing w:line="360" w:lineRule="auto"/>
              <w:ind w:firstLine="482" w:firstLineChars="200"/>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2、施工期水污染防治措施</w:t>
            </w:r>
          </w:p>
          <w:p w14:paraId="39280C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1"/>
                <w:sz w:val="24"/>
                <w:szCs w:val="24"/>
                <w14:textFill>
                  <w14:solidFill>
                    <w14:schemeClr w14:val="tx1"/>
                  </w14:solidFill>
                </w14:textFill>
              </w:rPr>
            </w:pPr>
            <w:r>
              <w:rPr>
                <w:rFonts w:hint="default" w:ascii="Times New Roman" w:hAnsi="Times New Roman" w:eastAsia="宋体" w:cs="Times New Roman"/>
                <w:color w:val="000000" w:themeColor="text1"/>
                <w:kern w:val="1"/>
                <w:sz w:val="24"/>
                <w:szCs w:val="24"/>
                <w14:textFill>
                  <w14:solidFill>
                    <w14:schemeClr w14:val="tx1"/>
                  </w14:solidFill>
                </w14:textFill>
              </w:rPr>
              <w:t>施工期间无施工废水产生，施工人员不在项目区内食宿，施工人员清洗废水依托</w:t>
            </w:r>
            <w:r>
              <w:rPr>
                <w:rFonts w:hint="default" w:ascii="Times New Roman" w:hAnsi="Times New Roman" w:eastAsia="宋体" w:cs="Times New Roman"/>
                <w:color w:val="000000" w:themeColor="text1"/>
                <w:kern w:val="1"/>
                <w:sz w:val="24"/>
                <w:szCs w:val="24"/>
                <w:lang w:val="en-US" w:eastAsia="zh-CN"/>
                <w14:textFill>
                  <w14:solidFill>
                    <w14:schemeClr w14:val="tx1"/>
                  </w14:solidFill>
                </w14:textFill>
              </w:rPr>
              <w:t>云南联帆建材科技有限公司</w:t>
            </w:r>
            <w:r>
              <w:rPr>
                <w:rFonts w:hint="default" w:ascii="Times New Roman" w:hAnsi="Times New Roman" w:eastAsia="宋体" w:cs="Times New Roman"/>
                <w:color w:val="000000" w:themeColor="text1"/>
                <w:kern w:val="1"/>
                <w:sz w:val="24"/>
                <w:szCs w:val="24"/>
                <w14:textFill>
                  <w14:solidFill>
                    <w14:schemeClr w14:val="tx1"/>
                  </w14:solidFill>
                </w14:textFill>
              </w:rPr>
              <w:t>已建成的化粪池</w:t>
            </w:r>
            <w:r>
              <w:rPr>
                <w:rFonts w:hint="eastAsia" w:cs="Times New Roman"/>
                <w:color w:val="000000" w:themeColor="text1"/>
                <w:kern w:val="1"/>
                <w:sz w:val="24"/>
                <w:szCs w:val="24"/>
                <w:lang w:val="en-US" w:eastAsia="zh-CN"/>
                <w14:textFill>
                  <w14:solidFill>
                    <w14:schemeClr w14:val="tx1"/>
                  </w14:solidFill>
                </w14:textFill>
              </w:rPr>
              <w:t>以及污水处理站</w:t>
            </w:r>
            <w:r>
              <w:rPr>
                <w:rFonts w:hint="default" w:ascii="Times New Roman" w:hAnsi="Times New Roman" w:eastAsia="宋体" w:cs="Times New Roman"/>
                <w:color w:val="000000" w:themeColor="text1"/>
                <w:kern w:val="1"/>
                <w:sz w:val="24"/>
                <w:szCs w:val="24"/>
                <w14:textFill>
                  <w14:solidFill>
                    <w14:schemeClr w14:val="tx1"/>
                  </w14:solidFill>
                </w14:textFill>
              </w:rPr>
              <w:t>进行处理。</w:t>
            </w:r>
          </w:p>
          <w:p w14:paraId="45950501">
            <w:pPr>
              <w:adjustRightInd w:val="0"/>
              <w:snapToGrid w:val="0"/>
              <w:spacing w:line="360" w:lineRule="auto"/>
              <w:ind w:firstLine="482" w:firstLineChars="200"/>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3、施工期噪声污染防治措施</w:t>
            </w:r>
          </w:p>
          <w:p w14:paraId="2952A456">
            <w:pPr>
              <w:autoSpaceDE w:val="0"/>
              <w:autoSpaceDN w:val="0"/>
              <w:adjustRightInd w:val="0"/>
              <w:snapToGrid w:val="0"/>
              <w:spacing w:line="360" w:lineRule="auto"/>
              <w:ind w:firstLine="480" w:firstLineChars="200"/>
              <w:jc w:val="both"/>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①选用低噪声设备，施工设备定期进行维护保养，避免因设备故障产生高噪声的现象，同时对现场工作人员进行培训，严格按操作规范使用各类机械；</w:t>
            </w:r>
          </w:p>
          <w:p w14:paraId="7E93832D">
            <w:pPr>
              <w:autoSpaceDE w:val="0"/>
              <w:autoSpaceDN w:val="0"/>
              <w:adjustRightInd w:val="0"/>
              <w:snapToGrid w:val="0"/>
              <w:spacing w:line="360" w:lineRule="auto"/>
              <w:ind w:firstLine="480" w:firstLineChars="200"/>
              <w:jc w:val="both"/>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②合理安排施工作业时间，合理布置施工作业面，合理布局施工设备，在不影响施工的情况下将噪声设备尽量不集中安排；</w:t>
            </w:r>
          </w:p>
          <w:p w14:paraId="3FF08BE7">
            <w:pPr>
              <w:autoSpaceDE w:val="0"/>
              <w:autoSpaceDN w:val="0"/>
              <w:adjustRightInd w:val="0"/>
              <w:snapToGrid w:val="0"/>
              <w:spacing w:line="360" w:lineRule="auto"/>
              <w:ind w:firstLine="480" w:firstLineChars="200"/>
              <w:jc w:val="both"/>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③应强化行车管理制度，运输车辆应禁止鸣笛、限速行驶，保证场内运输畅通，减少噪声对周围影响；</w:t>
            </w:r>
          </w:p>
          <w:p w14:paraId="69D581F5">
            <w:pPr>
              <w:autoSpaceDE w:val="0"/>
              <w:autoSpaceDN w:val="0"/>
              <w:adjustRightInd w:val="0"/>
              <w:snapToGrid w:val="0"/>
              <w:spacing w:line="360" w:lineRule="auto"/>
              <w:ind w:firstLine="480" w:firstLineChars="200"/>
              <w:jc w:val="both"/>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④施工过程所需块材等建筑材料尽量采用定尺定料，减少现场切割；</w:t>
            </w:r>
          </w:p>
          <w:p w14:paraId="61C53448">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fldChar w:fldCharType="begin"/>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instrText xml:space="preserve"> = 5 \* GB3 </w:instrTex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fldChar w:fldCharType="separate"/>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⑤</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fldChar w:fldCharType="end"/>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项目应该加强对施工人员的管理，做到文明施工，避免人为噪声的产生。</w:t>
            </w:r>
          </w:p>
          <w:p w14:paraId="463F29CE">
            <w:pPr>
              <w:adjustRightInd w:val="0"/>
              <w:snapToGrid w:val="0"/>
              <w:spacing w:line="360" w:lineRule="auto"/>
              <w:ind w:firstLine="482" w:firstLineChars="200"/>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4、施工期固体废物防治措施</w:t>
            </w:r>
          </w:p>
          <w:p w14:paraId="3CE408A4">
            <w:pPr>
              <w:keepNext w:val="0"/>
              <w:keepLines w:val="0"/>
              <w:pageBreakBefore w:val="0"/>
              <w:widowControl w:val="0"/>
              <w:kinsoku/>
              <w:wordWrap/>
              <w:overflowPunct/>
              <w:topLinePunct w:val="0"/>
              <w:autoSpaceDE/>
              <w:autoSpaceDN/>
              <w:bidi w:val="0"/>
              <w:adjustRightInd w:val="0"/>
              <w:snapToGrid w:val="0"/>
              <w:spacing w:line="360" w:lineRule="auto"/>
              <w:ind w:firstLine="460" w:firstLineChars="192"/>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①建筑垃圾</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分类集中堆存、回收利用，不能回收的委托有资质单位清运处置；</w:t>
            </w:r>
          </w:p>
          <w:p w14:paraId="2CDEAF4C">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②生活垃圾</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经</w:t>
            </w:r>
            <w:r>
              <w:rPr>
                <w:rFonts w:hint="eastAsia" w:cs="Times New Roman"/>
                <w:color w:val="000000" w:themeColor="text1"/>
                <w:sz w:val="24"/>
                <w:lang w:val="en-US" w:eastAsia="zh-CN"/>
                <w14:textFill>
                  <w14:solidFill>
                    <w14:schemeClr w14:val="tx1"/>
                  </w14:solidFill>
                </w14:textFill>
              </w:rPr>
              <w:t>统</w:t>
            </w:r>
            <w:r>
              <w:rPr>
                <w:rFonts w:hint="default" w:ascii="Times New Roman" w:hAnsi="Times New Roman" w:cs="Times New Roman"/>
                <w:color w:val="000000" w:themeColor="text1"/>
                <w:sz w:val="24"/>
                <w14:textFill>
                  <w14:solidFill>
                    <w14:schemeClr w14:val="tx1"/>
                  </w14:solidFill>
                </w14:textFill>
              </w:rPr>
              <w:t>一收集后，委托环卫部门清运处置。</w:t>
            </w:r>
          </w:p>
        </w:tc>
      </w:tr>
      <w:tr w14:paraId="09ECF6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82" w:hRule="atLeast"/>
          <w:jc w:val="center"/>
        </w:trPr>
        <w:tc>
          <w:tcPr>
            <w:tcW w:w="620" w:type="dxa"/>
            <w:tcMar>
              <w:left w:w="28" w:type="dxa"/>
              <w:right w:w="28" w:type="dxa"/>
            </w:tcMar>
            <w:vAlign w:val="center"/>
          </w:tcPr>
          <w:p w14:paraId="7DF802EC">
            <w:pPr>
              <w:adjustRightInd w:val="0"/>
              <w:snapToGrid w:val="0"/>
              <w:jc w:val="center"/>
              <w:rPr>
                <w:rFonts w:hint="default" w:ascii="Times New Roman" w:hAnsi="Times New Roman" w:cs="Times New Roman"/>
                <w:bCs/>
                <w:color w:val="000000" w:themeColor="text1"/>
                <w:sz w:val="24"/>
                <w14:textFill>
                  <w14:solidFill>
                    <w14:schemeClr w14:val="tx1"/>
                  </w14:solidFill>
                </w14:textFill>
              </w:rPr>
            </w:pPr>
            <w:r>
              <w:rPr>
                <w:rFonts w:hint="default" w:ascii="Times New Roman" w:hAnsi="Times New Roman" w:cs="Times New Roman"/>
                <w:bCs/>
                <w:color w:val="000000" w:themeColor="text1"/>
                <w:sz w:val="24"/>
                <w14:textFill>
                  <w14:solidFill>
                    <w14:schemeClr w14:val="tx1"/>
                  </w14:solidFill>
                </w14:textFill>
              </w:rPr>
              <w:t>运营</w:t>
            </w:r>
          </w:p>
          <w:p w14:paraId="2EF6421F">
            <w:pPr>
              <w:adjustRightInd w:val="0"/>
              <w:snapToGrid w:val="0"/>
              <w:jc w:val="center"/>
              <w:rPr>
                <w:rFonts w:hint="default" w:ascii="Times New Roman" w:hAnsi="Times New Roman" w:cs="Times New Roman"/>
                <w:bCs/>
                <w:color w:val="000000" w:themeColor="text1"/>
                <w:sz w:val="24"/>
                <w14:textFill>
                  <w14:solidFill>
                    <w14:schemeClr w14:val="tx1"/>
                  </w14:solidFill>
                </w14:textFill>
              </w:rPr>
            </w:pPr>
            <w:r>
              <w:rPr>
                <w:rFonts w:hint="default" w:ascii="Times New Roman" w:hAnsi="Times New Roman" w:cs="Times New Roman"/>
                <w:bCs/>
                <w:color w:val="000000" w:themeColor="text1"/>
                <w:sz w:val="24"/>
                <w14:textFill>
                  <w14:solidFill>
                    <w14:schemeClr w14:val="tx1"/>
                  </w14:solidFill>
                </w14:textFill>
              </w:rPr>
              <w:t>期环</w:t>
            </w:r>
          </w:p>
          <w:p w14:paraId="2F7A9DEF">
            <w:pPr>
              <w:adjustRightInd w:val="0"/>
              <w:snapToGrid w:val="0"/>
              <w:jc w:val="center"/>
              <w:rPr>
                <w:rFonts w:hint="default" w:ascii="Times New Roman" w:hAnsi="Times New Roman" w:cs="Times New Roman"/>
                <w:bCs/>
                <w:color w:val="000000" w:themeColor="text1"/>
                <w:sz w:val="24"/>
                <w14:textFill>
                  <w14:solidFill>
                    <w14:schemeClr w14:val="tx1"/>
                  </w14:solidFill>
                </w14:textFill>
              </w:rPr>
            </w:pPr>
            <w:r>
              <w:rPr>
                <w:rFonts w:hint="default" w:ascii="Times New Roman" w:hAnsi="Times New Roman" w:cs="Times New Roman"/>
                <w:bCs/>
                <w:color w:val="000000" w:themeColor="text1"/>
                <w:sz w:val="24"/>
                <w14:textFill>
                  <w14:solidFill>
                    <w14:schemeClr w14:val="tx1"/>
                  </w14:solidFill>
                </w14:textFill>
              </w:rPr>
              <w:t>境影</w:t>
            </w:r>
          </w:p>
          <w:p w14:paraId="0DFC6B20">
            <w:pPr>
              <w:adjustRightInd w:val="0"/>
              <w:snapToGrid w:val="0"/>
              <w:jc w:val="center"/>
              <w:rPr>
                <w:rFonts w:hint="default" w:ascii="Times New Roman" w:hAnsi="Times New Roman" w:cs="Times New Roman"/>
                <w:bCs/>
                <w:color w:val="000000" w:themeColor="text1"/>
                <w:sz w:val="24"/>
                <w14:textFill>
                  <w14:solidFill>
                    <w14:schemeClr w14:val="tx1"/>
                  </w14:solidFill>
                </w14:textFill>
              </w:rPr>
            </w:pPr>
            <w:r>
              <w:rPr>
                <w:rFonts w:hint="default" w:ascii="Times New Roman" w:hAnsi="Times New Roman" w:cs="Times New Roman"/>
                <w:bCs/>
                <w:color w:val="000000" w:themeColor="text1"/>
                <w:sz w:val="24"/>
                <w14:textFill>
                  <w14:solidFill>
                    <w14:schemeClr w14:val="tx1"/>
                  </w14:solidFill>
                </w14:textFill>
              </w:rPr>
              <w:t>响和</w:t>
            </w:r>
          </w:p>
          <w:p w14:paraId="02C7E9C8">
            <w:pPr>
              <w:adjustRightInd w:val="0"/>
              <w:snapToGrid w:val="0"/>
              <w:jc w:val="center"/>
              <w:rPr>
                <w:rFonts w:hint="default" w:ascii="Times New Roman" w:hAnsi="Times New Roman" w:cs="Times New Roman"/>
                <w:bCs/>
                <w:color w:val="000000" w:themeColor="text1"/>
                <w:sz w:val="24"/>
                <w14:textFill>
                  <w14:solidFill>
                    <w14:schemeClr w14:val="tx1"/>
                  </w14:solidFill>
                </w14:textFill>
              </w:rPr>
            </w:pPr>
            <w:r>
              <w:rPr>
                <w:rFonts w:hint="default" w:ascii="Times New Roman" w:hAnsi="Times New Roman" w:cs="Times New Roman"/>
                <w:bCs/>
                <w:color w:val="000000" w:themeColor="text1"/>
                <w:sz w:val="24"/>
                <w14:textFill>
                  <w14:solidFill>
                    <w14:schemeClr w14:val="tx1"/>
                  </w14:solidFill>
                </w14:textFill>
              </w:rPr>
              <w:t>保护</w:t>
            </w:r>
          </w:p>
          <w:p w14:paraId="2F93C944">
            <w:pPr>
              <w:adjustRightInd w:val="0"/>
              <w:snapToGrid w:val="0"/>
              <w:jc w:val="center"/>
              <w:rPr>
                <w:rFonts w:hint="default" w:ascii="Times New Roman" w:hAnsi="Times New Roman" w:cs="Times New Roman"/>
                <w:bCs/>
                <w:color w:val="000000" w:themeColor="text1"/>
                <w:sz w:val="24"/>
                <w14:textFill>
                  <w14:solidFill>
                    <w14:schemeClr w14:val="tx1"/>
                  </w14:solidFill>
                </w14:textFill>
              </w:rPr>
            </w:pPr>
            <w:r>
              <w:rPr>
                <w:rFonts w:hint="default" w:ascii="Times New Roman" w:hAnsi="Times New Roman" w:cs="Times New Roman"/>
                <w:bCs/>
                <w:color w:val="000000" w:themeColor="text1"/>
                <w:sz w:val="24"/>
                <w14:textFill>
                  <w14:solidFill>
                    <w14:schemeClr w14:val="tx1"/>
                  </w14:solidFill>
                </w14:textFill>
              </w:rPr>
              <w:t>措施</w:t>
            </w:r>
          </w:p>
        </w:tc>
        <w:tc>
          <w:tcPr>
            <w:tcW w:w="8674" w:type="dxa"/>
            <w:vAlign w:val="center"/>
          </w:tcPr>
          <w:p w14:paraId="26A31B34">
            <w:pPr>
              <w:autoSpaceDE w:val="0"/>
              <w:autoSpaceDN w:val="0"/>
              <w:adjustRightInd w:val="0"/>
              <w:snapToGrid w:val="0"/>
              <w:spacing w:line="360" w:lineRule="auto"/>
              <w:ind w:firstLine="482" w:firstLineChars="200"/>
              <w:jc w:val="left"/>
              <w:rPr>
                <w:rFonts w:hint="default" w:ascii="Times New Roman" w:hAnsi="Times New Roman" w:cs="Times New Roman"/>
                <w:b/>
                <w:bCs/>
                <w:color w:val="000000" w:themeColor="text1"/>
                <w:sz w:val="24"/>
                <w:highlight w:val="none"/>
                <w14:textFill>
                  <w14:solidFill>
                    <w14:schemeClr w14:val="tx1"/>
                  </w14:solidFill>
                </w14:textFill>
              </w:rPr>
            </w:pPr>
            <w:r>
              <w:rPr>
                <w:rFonts w:hint="default" w:ascii="Times New Roman" w:hAnsi="Times New Roman" w:cs="Times New Roman"/>
                <w:b/>
                <w:bCs/>
                <w:color w:val="000000" w:themeColor="text1"/>
                <w:sz w:val="24"/>
                <w:highlight w:val="none"/>
                <w14:textFill>
                  <w14:solidFill>
                    <w14:schemeClr w14:val="tx1"/>
                  </w14:solidFill>
                </w14:textFill>
              </w:rPr>
              <w:t>一、废气</w:t>
            </w:r>
          </w:p>
          <w:p w14:paraId="7C86B13E">
            <w:pPr>
              <w:pStyle w:val="79"/>
              <w:bidi w:val="0"/>
              <w:rPr>
                <w:rFonts w:hint="default" w:eastAsia="宋体"/>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根据大气环境影响评价专项报告，本项目大气专项评价结论如下：</w:t>
            </w:r>
          </w:p>
          <w:p w14:paraId="5472BF25">
            <w:pPr>
              <w:widowControl w:val="0"/>
              <w:numPr>
                <w:ilvl w:val="0"/>
                <w:numId w:val="3"/>
              </w:numPr>
              <w:bidi w:val="0"/>
              <w:spacing w:line="360" w:lineRule="auto"/>
              <w:ind w:firstLine="480" w:firstLineChars="200"/>
              <w:jc w:val="both"/>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pPr>
            <w:r>
              <w:rPr>
                <w:rFonts w:hint="eastAsia" w:ascii="Times New Roman"/>
                <w:color w:val="000000" w:themeColor="text1"/>
                <w:kern w:val="0"/>
                <w:sz w:val="24"/>
                <w:szCs w:val="20"/>
                <w:lang w:val="en-US" w:eastAsia="zh-CN"/>
                <w14:textFill>
                  <w14:solidFill>
                    <w14:schemeClr w14:val="tx1"/>
                  </w14:solidFill>
                </w14:textFill>
              </w:rPr>
              <w:t>根据计算，项目</w:t>
            </w:r>
            <w:r>
              <w:rPr>
                <w:rFonts w:hint="default" w:ascii="Times New Roman"/>
                <w:color w:val="000000" w:themeColor="text1"/>
                <w:kern w:val="0"/>
                <w:sz w:val="24"/>
                <w:szCs w:val="20"/>
                <w:lang w:val="en-US" w:eastAsia="zh-CN"/>
                <w14:textFill>
                  <w14:solidFill>
                    <w14:schemeClr w14:val="tx1"/>
                  </w14:solidFill>
                </w14:textFill>
              </w:rPr>
              <w:t>电预热、模压成型、罩光废气</w:t>
            </w:r>
            <w:r>
              <w:rPr>
                <w:rFonts w:hint="eastAsia"/>
                <w:color w:val="000000" w:themeColor="text1"/>
                <w:kern w:val="0"/>
                <w:sz w:val="24"/>
                <w:szCs w:val="20"/>
                <w:lang w:val="en-US" w:eastAsia="zh-CN"/>
                <w14:textFill>
                  <w14:solidFill>
                    <w14:schemeClr w14:val="tx1"/>
                  </w14:solidFill>
                </w14:textFill>
              </w:rPr>
              <w:t>主要污染物为非甲烷总烃与甲醛，废气</w:t>
            </w:r>
            <w:r>
              <w:rPr>
                <w:rFonts w:hint="eastAsia" w:ascii="Times New Roman"/>
                <w:color w:val="000000" w:themeColor="text1"/>
                <w:kern w:val="0"/>
                <w:sz w:val="24"/>
                <w:szCs w:val="20"/>
                <w:lang w:val="en-US" w:eastAsia="zh-CN"/>
                <w14:textFill>
                  <w14:solidFill>
                    <w14:schemeClr w14:val="tx1"/>
                  </w14:solidFill>
                </w14:textFill>
              </w:rPr>
              <w:t>通过</w:t>
            </w:r>
            <w:r>
              <w:rPr>
                <w:rFonts w:hint="eastAsia" w:ascii="Times New Roman" w:hAnsi="Times New Roman" w:eastAsia="宋体" w:cs="Times New Roman"/>
                <w:color w:val="000000" w:themeColor="text1"/>
                <w:sz w:val="24"/>
                <w:lang w:val="en-US" w:eastAsia="zh-CN"/>
                <w14:textFill>
                  <w14:solidFill>
                    <w14:schemeClr w14:val="tx1"/>
                  </w14:solidFill>
                </w14:textFill>
              </w:rPr>
              <w:t>引风机（风机风量</w:t>
            </w:r>
            <w:r>
              <w:rPr>
                <w:rFonts w:hint="eastAsia" w:cs="Times New Roman"/>
                <w:color w:val="000000" w:themeColor="text1"/>
                <w:sz w:val="24"/>
                <w:lang w:val="en-US" w:eastAsia="zh-CN"/>
                <w14:textFill>
                  <w14:solidFill>
                    <w14:schemeClr w14:val="tx1"/>
                  </w14:solidFill>
                </w14:textFill>
              </w:rPr>
              <w:t>20</w:t>
            </w:r>
            <w:r>
              <w:rPr>
                <w:rFonts w:hint="eastAsia" w:ascii="Times New Roman" w:hAnsi="Times New Roman" w:eastAsia="宋体" w:cs="Times New Roman"/>
                <w:color w:val="000000" w:themeColor="text1"/>
                <w:sz w:val="24"/>
                <w:lang w:val="en-US" w:eastAsia="zh-CN"/>
                <w14:textFill>
                  <w14:solidFill>
                    <w14:schemeClr w14:val="tx1"/>
                  </w14:solidFill>
                </w14:textFill>
              </w:rPr>
              <w:t>000m</w:t>
            </w:r>
            <w:r>
              <w:rPr>
                <w:rFonts w:hint="eastAsia" w:ascii="Times New Roman" w:hAnsi="Times New Roman" w:eastAsia="宋体" w:cs="Times New Roman"/>
                <w:color w:val="000000" w:themeColor="text1"/>
                <w:sz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lang w:val="en-US" w:eastAsia="zh-CN"/>
                <w14:textFill>
                  <w14:solidFill>
                    <w14:schemeClr w14:val="tx1"/>
                  </w14:solidFill>
                </w14:textFill>
              </w:rPr>
              <w:t>/h）+集气罩（收集效率90%）+</w:t>
            </w:r>
            <w:r>
              <w:rPr>
                <w:rFonts w:hint="eastAsia" w:cs="Times New Roman"/>
                <w:color w:val="000000" w:themeColor="text1"/>
                <w:sz w:val="24"/>
                <w:lang w:val="en-US" w:eastAsia="zh-CN"/>
                <w14:textFill>
                  <w14:solidFill>
                    <w14:schemeClr w14:val="tx1"/>
                  </w14:solidFill>
                </w14:textFill>
              </w:rPr>
              <w:t>活性炭吸附/脱附+催化燃烧（综合处理效率85%）</w:t>
            </w:r>
            <w:r>
              <w:rPr>
                <w:rFonts w:hint="eastAsia" w:ascii="Times New Roman" w:hAnsi="Times New Roman" w:eastAsia="宋体" w:cs="Times New Roman"/>
                <w:color w:val="000000" w:themeColor="text1"/>
                <w:sz w:val="24"/>
                <w:lang w:val="en-US" w:eastAsia="zh-CN"/>
                <w14:textFill>
                  <w14:solidFill>
                    <w14:schemeClr w14:val="tx1"/>
                  </w14:solidFill>
                </w14:textFill>
              </w:rPr>
              <w:t>处理后通过15m高排气筒（DA001）外排，非甲烷总烃排放浓度为</w:t>
            </w:r>
            <w:r>
              <w:rPr>
                <w:rFonts w:hint="eastAsia" w:cs="Times New Roman"/>
                <w:color w:val="000000" w:themeColor="text1"/>
                <w:sz w:val="24"/>
                <w:lang w:val="en-US" w:eastAsia="zh-CN"/>
                <w14:textFill>
                  <w14:solidFill>
                    <w14:schemeClr w14:val="tx1"/>
                  </w14:solidFill>
                </w14:textFill>
              </w:rPr>
              <w:t>4.38</w:t>
            </w:r>
            <w:r>
              <w:rPr>
                <w:rFonts w:hint="eastAsia" w:ascii="Times New Roman" w:hAnsi="Times New Roman" w:eastAsia="宋体" w:cs="Times New Roman"/>
                <w:color w:val="000000" w:themeColor="text1"/>
                <w:sz w:val="24"/>
                <w:lang w:val="en-US" w:eastAsia="zh-CN"/>
                <w14:textFill>
                  <w14:solidFill>
                    <w14:schemeClr w14:val="tx1"/>
                  </w14:solidFill>
                </w14:textFill>
              </w:rPr>
              <w:t>mg/m</w:t>
            </w:r>
            <w:r>
              <w:rPr>
                <w:rFonts w:hint="eastAsia" w:ascii="Times New Roman" w:hAnsi="Times New Roman" w:eastAsia="宋体" w:cs="Times New Roman"/>
                <w:color w:val="000000" w:themeColor="text1"/>
                <w:sz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lang w:val="en-US" w:eastAsia="zh-CN"/>
                <w14:textFill>
                  <w14:solidFill>
                    <w14:schemeClr w14:val="tx1"/>
                  </w14:solidFill>
                </w14:textFill>
              </w:rPr>
              <w:t>、甲醛排放浓度为</w:t>
            </w:r>
            <w:r>
              <w:rPr>
                <w:rFonts w:hint="eastAsia" w:cs="Times New Roman"/>
                <w:color w:val="000000" w:themeColor="text1"/>
                <w:sz w:val="24"/>
                <w:lang w:val="en-US" w:eastAsia="zh-CN"/>
                <w14:textFill>
                  <w14:solidFill>
                    <w14:schemeClr w14:val="tx1"/>
                  </w14:solidFill>
                </w14:textFill>
              </w:rPr>
              <w:t>0.02</w:t>
            </w:r>
            <w:r>
              <w:rPr>
                <w:rFonts w:hint="eastAsia" w:ascii="Times New Roman" w:hAnsi="Times New Roman" w:eastAsia="宋体" w:cs="Times New Roman"/>
                <w:color w:val="000000" w:themeColor="text1"/>
                <w:sz w:val="24"/>
                <w:lang w:val="en-US" w:eastAsia="zh-CN"/>
                <w14:textFill>
                  <w14:solidFill>
                    <w14:schemeClr w14:val="tx1"/>
                  </w14:solidFill>
                </w14:textFill>
              </w:rPr>
              <w:t>mg/m</w:t>
            </w:r>
            <w:r>
              <w:rPr>
                <w:rFonts w:hint="eastAsia" w:ascii="Times New Roman" w:hAnsi="Times New Roman" w:eastAsia="宋体" w:cs="Times New Roman"/>
                <w:color w:val="000000" w:themeColor="text1"/>
                <w:sz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lang w:val="en-US" w:eastAsia="zh-CN"/>
                <w14:textFill>
                  <w14:solidFill>
                    <w14:schemeClr w14:val="tx1"/>
                  </w14:solidFill>
                </w14:textFill>
              </w:rPr>
              <w:t>，满足《合成树脂工业污染物排放标准》（</w:t>
            </w:r>
            <w:r>
              <w:rPr>
                <w:rFonts w:hint="eastAsia" w:cs="Times New Roman"/>
                <w:color w:val="000000" w:themeColor="text1"/>
                <w:sz w:val="24"/>
                <w:lang w:val="en-US" w:eastAsia="zh-CN"/>
                <w14:textFill>
                  <w14:solidFill>
                    <w14:schemeClr w14:val="tx1"/>
                  </w14:solidFill>
                </w14:textFill>
              </w:rPr>
              <w:t>GB31572-2015，含2024年修改单</w:t>
            </w:r>
            <w:r>
              <w:rPr>
                <w:rFonts w:hint="eastAsia" w:ascii="Times New Roman" w:hAnsi="Times New Roman" w:eastAsia="宋体" w:cs="Times New Roman"/>
                <w:color w:val="000000" w:themeColor="text1"/>
                <w:sz w:val="24"/>
                <w:lang w:val="en-US" w:eastAsia="zh-CN"/>
                <w14:textFill>
                  <w14:solidFill>
                    <w14:schemeClr w14:val="tx1"/>
                  </w14:solidFill>
                </w14:textFill>
              </w:rPr>
              <w:t>）表4 大气污染物排放限值要求；项目称量打磨废气</w:t>
            </w:r>
            <w:r>
              <w:rPr>
                <w:rFonts w:hint="eastAsia" w:cs="Times New Roman"/>
                <w:color w:val="000000" w:themeColor="text1"/>
                <w:sz w:val="24"/>
                <w:lang w:val="en-US" w:eastAsia="zh-CN"/>
                <w14:textFill>
                  <w14:solidFill>
                    <w14:schemeClr w14:val="tx1"/>
                  </w14:solidFill>
                </w14:textFill>
              </w:rPr>
              <w:t>主要污染物为颗粒物，废气</w:t>
            </w:r>
            <w:r>
              <w:rPr>
                <w:rFonts w:hint="eastAsia" w:ascii="Times New Roman" w:hAnsi="Times New Roman" w:eastAsia="宋体" w:cs="Times New Roman"/>
                <w:color w:val="000000" w:themeColor="text1"/>
                <w:sz w:val="24"/>
                <w:lang w:val="en-US" w:eastAsia="zh-CN"/>
                <w14:textFill>
                  <w14:solidFill>
                    <w14:schemeClr w14:val="tx1"/>
                  </w14:solidFill>
                </w14:textFill>
              </w:rPr>
              <w:t>通过引风机（风机风量</w:t>
            </w:r>
            <w:r>
              <w:rPr>
                <w:rFonts w:hint="eastAsia" w:cs="Times New Roman"/>
                <w:color w:val="000000" w:themeColor="text1"/>
                <w:sz w:val="24"/>
                <w:lang w:val="en-US" w:eastAsia="zh-CN"/>
                <w14:textFill>
                  <w14:solidFill>
                    <w14:schemeClr w14:val="tx1"/>
                  </w14:solidFill>
                </w14:textFill>
              </w:rPr>
              <w:t>7</w:t>
            </w:r>
            <w:r>
              <w:rPr>
                <w:rFonts w:hint="eastAsia" w:ascii="Times New Roman" w:hAnsi="Times New Roman" w:eastAsia="宋体" w:cs="Times New Roman"/>
                <w:color w:val="000000" w:themeColor="text1"/>
                <w:sz w:val="24"/>
                <w:lang w:val="en-US" w:eastAsia="zh-CN"/>
                <w14:textFill>
                  <w14:solidFill>
                    <w14:schemeClr w14:val="tx1"/>
                  </w14:solidFill>
                </w14:textFill>
              </w:rPr>
              <w:t>000m</w:t>
            </w:r>
            <w:r>
              <w:rPr>
                <w:rFonts w:hint="eastAsia" w:ascii="Times New Roman" w:hAnsi="Times New Roman" w:eastAsia="宋体" w:cs="Times New Roman"/>
                <w:color w:val="000000" w:themeColor="text1"/>
                <w:sz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lang w:val="en-US" w:eastAsia="zh-CN"/>
                <w14:textFill>
                  <w14:solidFill>
                    <w14:schemeClr w14:val="tx1"/>
                  </w14:solidFill>
                </w14:textFill>
              </w:rPr>
              <w:t>/h）+集气罩（收集效率85%）+布袋除尘器处理后通过15m高排气筒（DA002）外排，颗粒物排放浓度为</w:t>
            </w:r>
            <w:r>
              <w:rPr>
                <w:rFonts w:hint="eastAsia" w:cs="Times New Roman"/>
                <w:color w:val="000000" w:themeColor="text1"/>
                <w:sz w:val="24"/>
                <w:lang w:val="en-US" w:eastAsia="zh-CN"/>
                <w14:textFill>
                  <w14:solidFill>
                    <w14:schemeClr w14:val="tx1"/>
                  </w14:solidFill>
                </w14:textFill>
              </w:rPr>
              <w:t>1.75</w:t>
            </w:r>
            <w:r>
              <w:rPr>
                <w:rFonts w:hint="eastAsia" w:ascii="Times New Roman" w:hAnsi="Times New Roman" w:eastAsia="宋体" w:cs="Times New Roman"/>
                <w:color w:val="000000" w:themeColor="text1"/>
                <w:sz w:val="24"/>
                <w:lang w:val="en-US" w:eastAsia="zh-CN"/>
                <w14:textFill>
                  <w14:solidFill>
                    <w14:schemeClr w14:val="tx1"/>
                  </w14:solidFill>
                </w14:textFill>
              </w:rPr>
              <w:t>mg/m</w:t>
            </w:r>
            <w:r>
              <w:rPr>
                <w:rFonts w:hint="eastAsia" w:ascii="Times New Roman" w:hAnsi="Times New Roman" w:eastAsia="宋体" w:cs="Times New Roman"/>
                <w:color w:val="000000" w:themeColor="text1"/>
                <w:sz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lang w:val="en-US" w:eastAsia="zh-CN"/>
                <w14:textFill>
                  <w14:solidFill>
                    <w14:schemeClr w14:val="tx1"/>
                  </w14:solidFill>
                </w14:textFill>
              </w:rPr>
              <w:t>，满足《合成树脂工业污染物排放标准》（</w:t>
            </w:r>
            <w:r>
              <w:rPr>
                <w:rFonts w:hint="eastAsia" w:cs="Times New Roman"/>
                <w:color w:val="000000" w:themeColor="text1"/>
                <w:sz w:val="24"/>
                <w:lang w:val="en-US" w:eastAsia="zh-CN"/>
                <w14:textFill>
                  <w14:solidFill>
                    <w14:schemeClr w14:val="tx1"/>
                  </w14:solidFill>
                </w14:textFill>
              </w:rPr>
              <w:t>GB31572-2015，含2024年修改单</w:t>
            </w:r>
            <w:r>
              <w:rPr>
                <w:rFonts w:hint="eastAsia" w:ascii="Times New Roman" w:hAnsi="Times New Roman" w:eastAsia="宋体" w:cs="Times New Roman"/>
                <w:color w:val="000000" w:themeColor="text1"/>
                <w:sz w:val="24"/>
                <w:lang w:val="en-US" w:eastAsia="zh-CN"/>
                <w14:textFill>
                  <w14:solidFill>
                    <w14:schemeClr w14:val="tx1"/>
                  </w14:solidFill>
                </w14:textFill>
              </w:rPr>
              <w:t>）表4 大气污染物排放限值要求</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p>
          <w:p w14:paraId="74A74044">
            <w:pPr>
              <w:widowControl w:val="0"/>
              <w:numPr>
                <w:ilvl w:val="0"/>
                <w:numId w:val="3"/>
              </w:numPr>
              <w:bidi w:val="0"/>
              <w:spacing w:line="360" w:lineRule="auto"/>
              <w:ind w:firstLine="480" w:firstLineChars="200"/>
              <w:jc w:val="both"/>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根据《合成树脂工业污染物排放标准》（</w:t>
            </w:r>
            <w:r>
              <w:rPr>
                <w:rFonts w:hint="eastAsia" w:cs="Times New Roman"/>
                <w:color w:val="000000" w:themeColor="text1"/>
                <w:kern w:val="0"/>
                <w:sz w:val="24"/>
                <w:szCs w:val="20"/>
                <w:lang w:val="en-US" w:eastAsia="zh-CN" w:bidi="ar-SA"/>
                <w14:textFill>
                  <w14:solidFill>
                    <w14:schemeClr w14:val="tx1"/>
                  </w14:solidFill>
                </w14:textFill>
              </w:rPr>
              <w:t>GB31572-2015，含2024年修改单</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表4单位产品非甲烷总烃排放量为0.5kg/t-产品。项目电预热、模压成型、罩光废气非甲烷总烃排放量为0.36t/a，年产1000t密胺餐具，则本项目单位产品非甲烷总烃排放量为0.36kg/t-产品，满足《合成树脂工业污染物排放标准》（</w:t>
            </w:r>
            <w:r>
              <w:rPr>
                <w:rFonts w:hint="eastAsia" w:cs="Times New Roman"/>
                <w:color w:val="000000" w:themeColor="text1"/>
                <w:kern w:val="0"/>
                <w:sz w:val="24"/>
                <w:szCs w:val="20"/>
                <w:lang w:val="en-US" w:eastAsia="zh-CN" w:bidi="ar-SA"/>
                <w14:textFill>
                  <w14:solidFill>
                    <w14:schemeClr w14:val="tx1"/>
                  </w14:solidFill>
                </w14:textFill>
              </w:rPr>
              <w:t>GB31572-2015，含2024年修改单</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）表4单位产品非甲烷总烃排放量为0.5kg/t-产品要求。</w:t>
            </w:r>
          </w:p>
          <w:p w14:paraId="6E51D448">
            <w:pPr>
              <w:widowControl w:val="0"/>
              <w:numPr>
                <w:ilvl w:val="0"/>
                <w:numId w:val="3"/>
              </w:numPr>
              <w:bidi w:val="0"/>
              <w:spacing w:line="360" w:lineRule="auto"/>
              <w:ind w:firstLine="480" w:firstLineChars="200"/>
              <w:jc w:val="both"/>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根据估算结果，DA001排气筒</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TVOC</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最大落地浓度为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83.958</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ug/m</w:t>
            </w:r>
            <w:r>
              <w:rPr>
                <w:rFonts w:hint="default" w:ascii="Times New Roman" w:hAnsi="Times New Roman" w:eastAsia="宋体" w:cs="Times New Roman"/>
                <w:color w:val="000000" w:themeColor="text1"/>
                <w:kern w:val="2"/>
                <w:sz w:val="24"/>
                <w:szCs w:val="24"/>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，占标率为7.0</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。甲醛最大</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落地浓度为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0.372</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ug/m</w:t>
            </w:r>
            <w:r>
              <w:rPr>
                <w:rFonts w:hint="default" w:ascii="Times New Roman" w:hAnsi="Times New Roman" w:eastAsia="宋体" w:cs="Times New Roman"/>
                <w:color w:val="000000" w:themeColor="text1"/>
                <w:kern w:val="2"/>
                <w:sz w:val="24"/>
                <w:szCs w:val="24"/>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，占标率为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0.75</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%；DA002排气筒</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PM</w:t>
            </w:r>
            <w:r>
              <w:rPr>
                <w:rFonts w:hint="eastAsia" w:ascii="Times New Roman" w:hAnsi="Times New Roman" w:eastAsia="宋体" w:cs="Times New Roman"/>
                <w:color w:val="000000" w:themeColor="text1"/>
                <w:kern w:val="2"/>
                <w:sz w:val="24"/>
                <w:szCs w:val="24"/>
                <w:vertAlign w:val="subscript"/>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最大落地浓度为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9.337</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ug/m</w:t>
            </w:r>
            <w:r>
              <w:rPr>
                <w:rFonts w:hint="default" w:ascii="Times New Roman" w:hAnsi="Times New Roman" w:eastAsia="宋体" w:cs="Times New Roman"/>
                <w:color w:val="000000" w:themeColor="text1"/>
                <w:kern w:val="2"/>
                <w:sz w:val="24"/>
                <w:szCs w:val="24"/>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，占标率为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2.07</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%，对应的距离为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98</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m。</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项目区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TVOC</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最大落地浓度为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34.564</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ug/m</w:t>
            </w:r>
            <w:r>
              <w:rPr>
                <w:rFonts w:ascii="Times New Roman" w:hAnsi="Times New Roman" w:eastAsia="宋体" w:cs="Times New Roman"/>
                <w:color w:val="000000" w:themeColor="text1"/>
                <w:kern w:val="0"/>
                <w:sz w:val="24"/>
                <w:szCs w:val="20"/>
                <w:vertAlign w:val="superscript"/>
                <w:lang w:val="en-US" w:eastAsia="zh-CN" w:bidi="ar-SA"/>
                <w14:textFill>
                  <w14:solidFill>
                    <w14:schemeClr w14:val="tx1"/>
                  </w14:solidFill>
                </w14:textFill>
              </w:rPr>
              <w:t>3</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，占标率为</w:t>
            </w:r>
            <w:r>
              <w:rPr>
                <w:rFonts w:hint="eastAsia" w:cs="Times New Roman"/>
                <w:color w:val="000000" w:themeColor="text1"/>
                <w:kern w:val="0"/>
                <w:sz w:val="24"/>
                <w:szCs w:val="20"/>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.88</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%，对应的距离为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40</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m</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项目区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TSP</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最大落地浓度为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22.365</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ug/m</w:t>
            </w:r>
            <w:r>
              <w:rPr>
                <w:rFonts w:ascii="Times New Roman" w:hAnsi="Times New Roman" w:eastAsia="宋体" w:cs="Times New Roman"/>
                <w:color w:val="000000" w:themeColor="text1"/>
                <w:kern w:val="0"/>
                <w:sz w:val="24"/>
                <w:szCs w:val="20"/>
                <w:vertAlign w:val="superscript"/>
                <w:lang w:val="en-US" w:eastAsia="zh-CN" w:bidi="ar-SA"/>
                <w14:textFill>
                  <w14:solidFill>
                    <w14:schemeClr w14:val="tx1"/>
                  </w14:solidFill>
                </w14:textFill>
              </w:rPr>
              <w:t>3</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，占标率为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2.49</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%，对应的距离为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40</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m</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项目区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甲醛</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最大落地浓度为0.</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113</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ug/m</w:t>
            </w:r>
            <w:r>
              <w:rPr>
                <w:rFonts w:ascii="Times New Roman" w:hAnsi="Times New Roman" w:eastAsia="宋体" w:cs="Times New Roman"/>
                <w:color w:val="000000" w:themeColor="text1"/>
                <w:kern w:val="0"/>
                <w:sz w:val="24"/>
                <w:szCs w:val="20"/>
                <w:vertAlign w:val="superscript"/>
                <w:lang w:val="en-US" w:eastAsia="zh-CN" w:bidi="ar-SA"/>
                <w14:textFill>
                  <w14:solidFill>
                    <w14:schemeClr w14:val="tx1"/>
                  </w14:solidFill>
                </w14:textFill>
              </w:rPr>
              <w:t>3</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，占标率为0.</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23</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%，对应的距离为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40</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m。</w:t>
            </w:r>
          </w:p>
          <w:p w14:paraId="05CAF999">
            <w:pPr>
              <w:widowControl w:val="0"/>
              <w:numPr>
                <w:ilvl w:val="0"/>
                <w:numId w:val="3"/>
              </w:numPr>
              <w:bidi w:val="0"/>
              <w:spacing w:line="360" w:lineRule="auto"/>
              <w:ind w:firstLine="480" w:firstLineChars="200"/>
              <w:jc w:val="both"/>
              <w:rPr>
                <w:rFonts w:hint="default" w:ascii="Times New Roman" w:hAnsi="Times New Roman" w:eastAsia="宋体" w:cs="Times New Roman"/>
                <w:color w:val="000000" w:themeColor="text1"/>
                <w:kern w:val="0"/>
                <w:sz w:val="24"/>
                <w:szCs w:val="20"/>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0"/>
                <w:lang w:val="en-US" w:eastAsia="zh-CN" w:bidi="ar-SA"/>
                <w14:textFill>
                  <w14:solidFill>
                    <w14:schemeClr w14:val="tx1"/>
                  </w14:solidFill>
                </w14:textFill>
              </w:rPr>
              <w:t>项目建成后，全厂排放的TSP、非甲烷总烃、甲醛厂界预测点浓度均满足《合成树脂工业污染物排放标准》（</w:t>
            </w:r>
            <w:r>
              <w:rPr>
                <w:rFonts w:hint="eastAsia" w:cs="Times New Roman"/>
                <w:color w:val="000000" w:themeColor="text1"/>
                <w:kern w:val="0"/>
                <w:sz w:val="24"/>
                <w:szCs w:val="20"/>
                <w:lang w:val="en-US" w:eastAsia="zh-CN" w:bidi="ar-SA"/>
                <w14:textFill>
                  <w14:solidFill>
                    <w14:schemeClr w14:val="tx1"/>
                  </w14:solidFill>
                </w14:textFill>
              </w:rPr>
              <w:t>GB31572-2015，含2024年修改单</w:t>
            </w:r>
            <w:r>
              <w:rPr>
                <w:rFonts w:hint="default" w:ascii="Times New Roman" w:hAnsi="Times New Roman" w:eastAsia="宋体" w:cs="Times New Roman"/>
                <w:color w:val="000000" w:themeColor="text1"/>
                <w:kern w:val="0"/>
                <w:sz w:val="24"/>
                <w:szCs w:val="20"/>
                <w:lang w:val="en-US" w:eastAsia="zh-CN" w:bidi="ar-SA"/>
                <w14:textFill>
                  <w14:solidFill>
                    <w14:schemeClr w14:val="tx1"/>
                  </w14:solidFill>
                </w14:textFill>
              </w:rPr>
              <w:t>）表9 企业边界大气污染物浓度限值</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与</w:t>
            </w:r>
            <w:r>
              <w:rPr>
                <w:rFonts w:hint="default" w:ascii="Times New Roman" w:hAnsi="Times New Roman" w:eastAsia="宋体" w:cs="Times New Roman"/>
                <w:color w:val="000000" w:themeColor="text1"/>
                <w:kern w:val="0"/>
                <w:sz w:val="24"/>
                <w:szCs w:val="20"/>
                <w:lang w:val="en-US" w:eastAsia="zh-CN" w:bidi="ar-SA"/>
                <w14:textFill>
                  <w14:solidFill>
                    <w14:schemeClr w14:val="tx1"/>
                  </w14:solidFill>
                </w14:textFill>
              </w:rPr>
              <w:t>《大气污染物综合排放标准》（GB16297-1996）表2无组织排放浓度限值要求。</w:t>
            </w:r>
          </w:p>
          <w:p w14:paraId="09EC7242">
            <w:pPr>
              <w:adjustRightInd w:val="0"/>
              <w:snapToGrid w:val="0"/>
              <w:spacing w:line="360" w:lineRule="auto"/>
              <w:ind w:firstLine="480" w:firstLineChars="200"/>
              <w:rPr>
                <w:rFonts w:hint="default" w:ascii="Times New Roman" w:hAnsi="Times New Roman" w:cs="Times New Roman"/>
                <w:b/>
                <w:bCs/>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0"/>
                <w:lang w:val="en-US" w:eastAsia="zh-CN" w:bidi="ar-SA"/>
                <w14:textFill>
                  <w14:solidFill>
                    <w14:schemeClr w14:val="tx1"/>
                  </w14:solidFill>
                </w14:textFill>
              </w:rPr>
              <w:t>本次评价要求项目在生产运行中必须确保各废气治理设施正常运转，确保按设计的除尘效率和收集效率运行，保证达标排放，杜绝非正常排放，则对周围环境及保护目标的影响可以接受。</w:t>
            </w:r>
          </w:p>
          <w:p w14:paraId="614D3A2D">
            <w:pPr>
              <w:spacing w:line="360" w:lineRule="auto"/>
              <w:ind w:firstLine="482" w:firstLineChars="200"/>
              <w:rPr>
                <w:rFonts w:hint="default" w:ascii="Times New Roman" w:hAnsi="Times New Roman" w:cs="Times New Roman"/>
                <w:b/>
                <w:bCs/>
                <w:color w:val="000000" w:themeColor="text1"/>
                <w:sz w:val="24"/>
                <w:highlight w:val="none"/>
                <w14:textFill>
                  <w14:solidFill>
                    <w14:schemeClr w14:val="tx1"/>
                  </w14:solidFill>
                </w14:textFill>
              </w:rPr>
            </w:pPr>
            <w:r>
              <w:rPr>
                <w:rFonts w:hint="default" w:ascii="Times New Roman" w:hAnsi="Times New Roman" w:cs="Times New Roman"/>
                <w:b/>
                <w:bCs/>
                <w:color w:val="000000" w:themeColor="text1"/>
                <w:sz w:val="24"/>
                <w:highlight w:val="none"/>
                <w14:textFill>
                  <w14:solidFill>
                    <w14:schemeClr w14:val="tx1"/>
                  </w14:solidFill>
                </w14:textFill>
              </w:rPr>
              <w:t>二、废水</w:t>
            </w:r>
          </w:p>
          <w:p w14:paraId="50B81B27">
            <w:pPr>
              <w:spacing w:line="360" w:lineRule="auto"/>
              <w:ind w:firstLine="482" w:firstLineChars="200"/>
              <w:rPr>
                <w:rFonts w:hint="default" w:ascii="Times New Roman" w:hAnsi="Times New Roman" w:eastAsia="宋体" w:cs="Times New Roman"/>
                <w:b/>
                <w:bCs/>
                <w:color w:val="000000" w:themeColor="text1"/>
                <w:sz w:val="24"/>
                <w:lang w:val="en-US" w:eastAsia="zh-CN"/>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1、废水</w:t>
            </w:r>
            <w:r>
              <w:rPr>
                <w:rFonts w:hint="default" w:ascii="Times New Roman" w:hAnsi="Times New Roman" w:cs="Times New Roman"/>
                <w:b/>
                <w:bCs/>
                <w:color w:val="000000" w:themeColor="text1"/>
                <w:sz w:val="24"/>
                <w:lang w:val="en-US" w:eastAsia="zh-CN"/>
                <w14:textFill>
                  <w14:solidFill>
                    <w14:schemeClr w14:val="tx1"/>
                  </w14:solidFill>
                </w14:textFill>
              </w:rPr>
              <w:t>产排情况</w:t>
            </w:r>
          </w:p>
          <w:p w14:paraId="1DD48533">
            <w:pPr>
              <w:autoSpaceDE w:val="0"/>
              <w:autoSpaceDN w:val="0"/>
              <w:adjustRightInd w:val="0"/>
              <w:snapToGrid w:val="0"/>
              <w:spacing w:line="360" w:lineRule="auto"/>
              <w:ind w:firstLine="480" w:firstLineChars="200"/>
              <w:jc w:val="both"/>
              <w:rPr>
                <w:rFonts w:hint="default" w:ascii="Times New Roman" w:hAnsi="Times New Roman" w:cs="Times New Roman"/>
                <w:color w:val="000000" w:themeColor="text1"/>
                <w:sz w:val="24"/>
                <w:lang w:val="en-US"/>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根据废水产排情况及水量平衡可知，</w:t>
            </w:r>
            <w:r>
              <w:rPr>
                <w:rFonts w:hint="eastAsia" w:cs="Times New Roman"/>
                <w:color w:val="000000" w:themeColor="text1"/>
                <w:sz w:val="24"/>
                <w:lang w:val="en-US" w:eastAsia="zh-CN"/>
                <w14:textFill>
                  <w14:solidFill>
                    <w14:schemeClr w14:val="tx1"/>
                  </w14:solidFill>
                </w14:textFill>
              </w:rPr>
              <w:t>项目生产用水主要为冷却循环水，该部分水循环使用不外排；加金用水通过液压机高温压制后蒸发损耗，无废水排放。</w:t>
            </w:r>
          </w:p>
          <w:p w14:paraId="69DA7548">
            <w:pPr>
              <w:autoSpaceDE w:val="0"/>
              <w:autoSpaceDN w:val="0"/>
              <w:adjustRightInd w:val="0"/>
              <w:snapToGrid w:val="0"/>
              <w:spacing w:line="360" w:lineRule="auto"/>
              <w:ind w:firstLine="480" w:firstLineChars="200"/>
              <w:jc w:val="left"/>
              <w:rPr>
                <w:rFonts w:hint="default" w:ascii="Times New Roman" w:hAnsi="Times New Roman"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生活</w:t>
            </w:r>
            <w:r>
              <w:rPr>
                <w:rFonts w:hint="default" w:ascii="Times New Roman" w:hAnsi="Times New Roman" w:cs="Times New Roman"/>
                <w:color w:val="000000" w:themeColor="text1"/>
                <w:sz w:val="24"/>
                <w:lang w:val="en-US" w:eastAsia="zh-CN"/>
                <w14:textFill>
                  <w14:solidFill>
                    <w14:schemeClr w14:val="tx1"/>
                  </w14:solidFill>
                </w14:textFill>
              </w:rPr>
              <w:t>污水产生</w:t>
            </w:r>
            <w:r>
              <w:rPr>
                <w:rFonts w:hint="default" w:ascii="Times New Roman" w:hAnsi="Times New Roman" w:cs="Times New Roman"/>
                <w:color w:val="000000" w:themeColor="text1"/>
                <w:sz w:val="24"/>
                <w14:textFill>
                  <w14:solidFill>
                    <w14:schemeClr w14:val="tx1"/>
                  </w14:solidFill>
                </w14:textFill>
              </w:rPr>
              <w:t>量为</w:t>
            </w:r>
            <w:r>
              <w:rPr>
                <w:rFonts w:hint="eastAsia" w:cs="Times New Roman"/>
                <w:color w:val="000000" w:themeColor="text1"/>
                <w:sz w:val="24"/>
                <w:lang w:val="en-US" w:eastAsia="zh-CN"/>
                <w14:textFill>
                  <w14:solidFill>
                    <w14:schemeClr w14:val="tx1"/>
                  </w14:solidFill>
                </w14:textFill>
              </w:rPr>
              <w:t>0.32</w:t>
            </w:r>
            <w:r>
              <w:rPr>
                <w:rFonts w:hint="default" w:ascii="Times New Roman" w:hAnsi="Times New Roman" w:cs="Times New Roman"/>
                <w:color w:val="000000" w:themeColor="text1"/>
                <w:sz w:val="24"/>
                <w14:textFill>
                  <w14:solidFill>
                    <w14:schemeClr w14:val="tx1"/>
                  </w14:solidFill>
                </w14:textFill>
              </w:rPr>
              <w:t>m</w:t>
            </w:r>
            <w:r>
              <w:rPr>
                <w:rFonts w:hint="default" w:ascii="Times New Roman" w:hAnsi="Times New Roman" w:cs="Times New Roman"/>
                <w:color w:val="000000" w:themeColor="text1"/>
                <w:sz w:val="24"/>
                <w:vertAlign w:val="superscript"/>
                <w14:textFill>
                  <w14:solidFill>
                    <w14:schemeClr w14:val="tx1"/>
                  </w14:solidFill>
                </w14:textFill>
              </w:rPr>
              <w:t>3</w:t>
            </w:r>
            <w:r>
              <w:rPr>
                <w:rFonts w:hint="default" w:ascii="Times New Roman" w:hAnsi="Times New Roman" w:cs="Times New Roman"/>
                <w:color w:val="000000" w:themeColor="text1"/>
                <w:sz w:val="24"/>
                <w14:textFill>
                  <w14:solidFill>
                    <w14:schemeClr w14:val="tx1"/>
                  </w14:solidFill>
                </w14:textFill>
              </w:rPr>
              <w:t>/d，</w:t>
            </w:r>
            <w:r>
              <w:rPr>
                <w:rFonts w:hint="eastAsia" w:cs="Times New Roman"/>
                <w:color w:val="000000" w:themeColor="text1"/>
                <w:sz w:val="24"/>
                <w:lang w:val="en-US" w:eastAsia="zh-CN"/>
                <w14:textFill>
                  <w14:solidFill>
                    <w14:schemeClr w14:val="tx1"/>
                  </w14:solidFill>
                </w14:textFill>
              </w:rPr>
              <w:t>115.2</w:t>
            </w:r>
            <w:r>
              <w:rPr>
                <w:rFonts w:hint="default" w:ascii="Times New Roman" w:hAnsi="Times New Roman" w:cs="Times New Roman"/>
                <w:color w:val="000000" w:themeColor="text1"/>
                <w:sz w:val="24"/>
                <w14:textFill>
                  <w14:solidFill>
                    <w14:schemeClr w14:val="tx1"/>
                  </w14:solidFill>
                </w14:textFill>
              </w:rPr>
              <w:t>m</w:t>
            </w:r>
            <w:r>
              <w:rPr>
                <w:rFonts w:hint="default" w:ascii="Times New Roman" w:hAnsi="Times New Roman" w:cs="Times New Roman"/>
                <w:color w:val="000000" w:themeColor="text1"/>
                <w:sz w:val="24"/>
                <w:vertAlign w:val="superscript"/>
                <w14:textFill>
                  <w14:solidFill>
                    <w14:schemeClr w14:val="tx1"/>
                  </w14:solidFill>
                </w14:textFill>
              </w:rPr>
              <w:t>3</w:t>
            </w:r>
            <w:r>
              <w:rPr>
                <w:rFonts w:hint="default" w:ascii="Times New Roman" w:hAnsi="Times New Roman" w:cs="Times New Roman"/>
                <w:color w:val="000000" w:themeColor="text1"/>
                <w:sz w:val="24"/>
                <w14:textFill>
                  <w14:solidFill>
                    <w14:schemeClr w14:val="tx1"/>
                  </w14:solidFill>
                </w14:textFill>
              </w:rPr>
              <w:t>/a，</w:t>
            </w:r>
            <w:r>
              <w:rPr>
                <w:rFonts w:hint="eastAsia" w:cs="Times New Roman"/>
                <w:color w:val="000000" w:themeColor="text1"/>
                <w:sz w:val="24"/>
                <w:lang w:val="en-US" w:eastAsia="zh-CN"/>
                <w14:textFill>
                  <w14:solidFill>
                    <w14:schemeClr w14:val="tx1"/>
                  </w14:solidFill>
                </w14:textFill>
              </w:rPr>
              <w:t>项目生活污水依托</w:t>
            </w:r>
            <w:r>
              <w:rPr>
                <w:rFonts w:hint="default" w:ascii="Times New Roman" w:hAnsi="Times New Roman" w:cs="Times New Roman"/>
                <w:color w:val="000000" w:themeColor="text1"/>
                <w:sz w:val="24"/>
                <w:lang w:val="en-US" w:eastAsia="zh-CN"/>
                <w14:textFill>
                  <w14:solidFill>
                    <w14:schemeClr w14:val="tx1"/>
                  </w14:solidFill>
                </w14:textFill>
              </w:rPr>
              <w:t>云南联帆建材科技有限公司已建成化粪池与污水处理站，处理达《城市污水再生利用 城市杂用水水质》（GB/T 18920-2020）表1城市绿化、道路清扫标准后回用于厂区绿化。</w:t>
            </w:r>
          </w:p>
          <w:p w14:paraId="08B31BA1">
            <w:pPr>
              <w:autoSpaceDE w:val="0"/>
              <w:autoSpaceDN w:val="0"/>
              <w:adjustRightInd w:val="0"/>
              <w:snapToGrid w:val="0"/>
              <w:spacing w:line="360" w:lineRule="auto"/>
              <w:ind w:firstLine="482" w:firstLineChars="200"/>
              <w:jc w:val="left"/>
              <w:rPr>
                <w:rFonts w:hint="default"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cs="Times New Roman"/>
                <w:b/>
                <w:bCs/>
                <w:color w:val="000000" w:themeColor="text1"/>
                <w:sz w:val="24"/>
                <w:lang w:val="en-US" w:eastAsia="zh-CN"/>
                <w14:textFill>
                  <w14:solidFill>
                    <w14:schemeClr w14:val="tx1"/>
                  </w14:solidFill>
                </w14:textFill>
              </w:rPr>
              <w:t>2、污染物产排情况</w:t>
            </w:r>
          </w:p>
          <w:p w14:paraId="359AC706">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项目生活污水污染物产排情况详见下表：</w:t>
            </w:r>
          </w:p>
          <w:p w14:paraId="12FF05A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表4-</w:t>
            </w:r>
            <w:r>
              <w:rPr>
                <w:rFonts w:hint="eastAsia" w:cs="Times New Roman"/>
                <w:b/>
                <w:color w:val="000000" w:themeColor="text1"/>
                <w:szCs w:val="21"/>
                <w:lang w:val="en-US" w:eastAsia="zh-CN"/>
                <w14:textFill>
                  <w14:solidFill>
                    <w14:schemeClr w14:val="tx1"/>
                  </w14:solidFill>
                </w14:textFill>
              </w:rPr>
              <w:t>1</w:t>
            </w:r>
            <w:r>
              <w:rPr>
                <w:rFonts w:hint="eastAsia" w:ascii="Times New Roman" w:hAnsi="Times New Roman" w:eastAsia="宋体" w:cs="Times New Roman"/>
                <w:b/>
                <w:color w:val="000000" w:themeColor="text1"/>
                <w:szCs w:val="21"/>
                <w:lang w:val="en-US" w:eastAsia="zh-CN"/>
                <w14:textFill>
                  <w14:solidFill>
                    <w14:schemeClr w14:val="tx1"/>
                  </w14:solidFill>
                </w14:textFill>
              </w:rPr>
              <w:t xml:space="preserve"> 生活污水</w:t>
            </w:r>
            <w:r>
              <w:rPr>
                <w:rFonts w:hint="default" w:ascii="Times New Roman" w:hAnsi="Times New Roman" w:eastAsia="宋体" w:cs="Times New Roman"/>
                <w:b/>
                <w:color w:val="000000" w:themeColor="text1"/>
                <w:szCs w:val="21"/>
                <w14:textFill>
                  <w14:solidFill>
                    <w14:schemeClr w14:val="tx1"/>
                  </w14:solidFill>
                </w14:textFill>
              </w:rPr>
              <w:t>产排情况</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514"/>
              <w:gridCol w:w="1256"/>
              <w:gridCol w:w="1011"/>
              <w:gridCol w:w="1304"/>
              <w:gridCol w:w="1016"/>
              <w:gridCol w:w="900"/>
              <w:gridCol w:w="668"/>
            </w:tblGrid>
            <w:tr w14:paraId="3373B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1" w:type="pct"/>
                  <w:vMerge w:val="restart"/>
                  <w:noWrap w:val="0"/>
                  <w:vAlign w:val="center"/>
                </w:tcPr>
                <w:p w14:paraId="4BE8A131">
                  <w:pPr>
                    <w:adjustRightInd w:val="0"/>
                    <w:snapToGrid w:val="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排放源</w:t>
                  </w:r>
                </w:p>
              </w:tc>
              <w:tc>
                <w:tcPr>
                  <w:tcW w:w="896" w:type="pct"/>
                  <w:vMerge w:val="restart"/>
                  <w:noWrap w:val="0"/>
                  <w:vAlign w:val="center"/>
                </w:tcPr>
                <w:p w14:paraId="463BF300">
                  <w:pPr>
                    <w:adjustRightInd w:val="0"/>
                    <w:snapToGrid w:val="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污染物名称</w:t>
                  </w:r>
                </w:p>
              </w:tc>
              <w:tc>
                <w:tcPr>
                  <w:tcW w:w="1341" w:type="pct"/>
                  <w:gridSpan w:val="2"/>
                  <w:noWrap w:val="0"/>
                  <w:vAlign w:val="center"/>
                </w:tcPr>
                <w:p w14:paraId="6785AEBC">
                  <w:pPr>
                    <w:adjustRightInd w:val="0"/>
                    <w:snapToGrid w:val="0"/>
                    <w:jc w:val="cente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废水处理前</w:t>
                  </w:r>
                </w:p>
              </w:tc>
              <w:tc>
                <w:tcPr>
                  <w:tcW w:w="2301" w:type="pct"/>
                  <w:gridSpan w:val="4"/>
                  <w:noWrap w:val="0"/>
                  <w:vAlign w:val="center"/>
                </w:tcPr>
                <w:p w14:paraId="355E171E">
                  <w:pPr>
                    <w:adjustRightInd w:val="0"/>
                    <w:snapToGrid w:val="0"/>
                    <w:jc w:val="cente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化粪池及污水处理站处理后</w:t>
                  </w:r>
                </w:p>
              </w:tc>
            </w:tr>
            <w:tr w14:paraId="47AD9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1" w:type="pct"/>
                  <w:vMerge w:val="continue"/>
                  <w:noWrap w:val="0"/>
                  <w:vAlign w:val="center"/>
                </w:tcPr>
                <w:p w14:paraId="4A37717F">
                  <w:pPr>
                    <w:adjustRightInd w:val="0"/>
                    <w:snapToGrid w:val="0"/>
                    <w:jc w:val="center"/>
                    <w:rPr>
                      <w:rFonts w:hint="default" w:ascii="Times New Roman" w:hAnsi="Times New Roman" w:cs="Times New Roman"/>
                      <w:b/>
                      <w:color w:val="000000" w:themeColor="text1"/>
                      <w:sz w:val="21"/>
                      <w:szCs w:val="21"/>
                      <w:highlight w:val="none"/>
                      <w14:textFill>
                        <w14:solidFill>
                          <w14:schemeClr w14:val="tx1"/>
                        </w14:solidFill>
                      </w14:textFill>
                    </w:rPr>
                  </w:pPr>
                </w:p>
              </w:tc>
              <w:tc>
                <w:tcPr>
                  <w:tcW w:w="896" w:type="pct"/>
                  <w:vMerge w:val="continue"/>
                  <w:noWrap w:val="0"/>
                  <w:vAlign w:val="center"/>
                </w:tcPr>
                <w:p w14:paraId="2E19E279">
                  <w:pPr>
                    <w:adjustRightInd w:val="0"/>
                    <w:snapToGrid w:val="0"/>
                    <w:jc w:val="center"/>
                    <w:rPr>
                      <w:rFonts w:hint="default" w:ascii="Times New Roman" w:hAnsi="Times New Roman" w:cs="Times New Roman"/>
                      <w:b/>
                      <w:color w:val="000000" w:themeColor="text1"/>
                      <w:sz w:val="21"/>
                      <w:szCs w:val="21"/>
                      <w:highlight w:val="none"/>
                      <w14:textFill>
                        <w14:solidFill>
                          <w14:schemeClr w14:val="tx1"/>
                        </w14:solidFill>
                      </w14:textFill>
                    </w:rPr>
                  </w:pPr>
                </w:p>
              </w:tc>
              <w:tc>
                <w:tcPr>
                  <w:tcW w:w="743" w:type="pct"/>
                  <w:noWrap w:val="0"/>
                  <w:vAlign w:val="center"/>
                </w:tcPr>
                <w:p w14:paraId="00A17B7C">
                  <w:pPr>
                    <w:adjustRightInd w:val="0"/>
                    <w:snapToGrid w:val="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产生浓度</w:t>
                  </w:r>
                </w:p>
                <w:p w14:paraId="73AEFFA1">
                  <w:pPr>
                    <w:adjustRightInd w:val="0"/>
                    <w:snapToGrid w:val="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（mg/L）</w:t>
                  </w:r>
                </w:p>
              </w:tc>
              <w:tc>
                <w:tcPr>
                  <w:tcW w:w="598" w:type="pct"/>
                  <w:noWrap w:val="0"/>
                  <w:vAlign w:val="center"/>
                </w:tcPr>
                <w:p w14:paraId="34A0DB5E">
                  <w:pPr>
                    <w:adjustRightInd w:val="0"/>
                    <w:snapToGrid w:val="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产生量</w:t>
                  </w:r>
                </w:p>
                <w:p w14:paraId="267778B6">
                  <w:pPr>
                    <w:adjustRightInd w:val="0"/>
                    <w:snapToGrid w:val="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（t/a）</w:t>
                  </w:r>
                </w:p>
              </w:tc>
              <w:tc>
                <w:tcPr>
                  <w:tcW w:w="771" w:type="pct"/>
                  <w:noWrap w:val="0"/>
                  <w:vAlign w:val="center"/>
                </w:tcPr>
                <w:p w14:paraId="498CE4F2">
                  <w:pPr>
                    <w:adjustRightInd w:val="0"/>
                    <w:snapToGrid w:val="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eastAsia" w:cs="Times New Roman"/>
                      <w:b/>
                      <w:color w:val="000000" w:themeColor="text1"/>
                      <w:sz w:val="21"/>
                      <w:szCs w:val="21"/>
                      <w:highlight w:val="none"/>
                      <w:lang w:val="en-US" w:eastAsia="zh-CN"/>
                      <w14:textFill>
                        <w14:solidFill>
                          <w14:schemeClr w14:val="tx1"/>
                        </w14:solidFill>
                      </w14:textFill>
                    </w:rPr>
                    <w:t>处理效率 %</w:t>
                  </w:r>
                </w:p>
              </w:tc>
              <w:tc>
                <w:tcPr>
                  <w:tcW w:w="601" w:type="pct"/>
                  <w:noWrap w:val="0"/>
                  <w:vAlign w:val="center"/>
                </w:tcPr>
                <w:p w14:paraId="6220596D">
                  <w:pPr>
                    <w:adjustRightInd w:val="0"/>
                    <w:snapToGrid w:val="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eastAsia" w:cs="Times New Roman"/>
                      <w:b/>
                      <w:color w:val="000000" w:themeColor="text1"/>
                      <w:sz w:val="21"/>
                      <w:szCs w:val="21"/>
                      <w:highlight w:val="none"/>
                      <w:lang w:val="en-US" w:eastAsia="zh-CN"/>
                      <w14:textFill>
                        <w14:solidFill>
                          <w14:schemeClr w14:val="tx1"/>
                        </w14:solidFill>
                      </w14:textFill>
                    </w:rPr>
                    <w:t>排放浓度mg/L</w:t>
                  </w:r>
                </w:p>
              </w:tc>
              <w:tc>
                <w:tcPr>
                  <w:tcW w:w="532" w:type="pct"/>
                  <w:noWrap w:val="0"/>
                  <w:vAlign w:val="center"/>
                </w:tcPr>
                <w:p w14:paraId="0596AA36">
                  <w:pPr>
                    <w:adjustRightInd w:val="0"/>
                    <w:snapToGrid w:val="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eastAsia" w:cs="Times New Roman"/>
                      <w:b/>
                      <w:color w:val="000000" w:themeColor="text1"/>
                      <w:sz w:val="21"/>
                      <w:szCs w:val="21"/>
                      <w:highlight w:val="none"/>
                      <w:lang w:val="en-US" w:eastAsia="zh-CN"/>
                      <w14:textFill>
                        <w14:solidFill>
                          <w14:schemeClr w14:val="tx1"/>
                        </w14:solidFill>
                      </w14:textFill>
                    </w:rPr>
                    <w:t>标准值mg/L</w:t>
                  </w:r>
                </w:p>
              </w:tc>
              <w:tc>
                <w:tcPr>
                  <w:tcW w:w="395" w:type="pct"/>
                  <w:noWrap w:val="0"/>
                  <w:vAlign w:val="center"/>
                </w:tcPr>
                <w:p w14:paraId="3092DEE9">
                  <w:pPr>
                    <w:adjustRightInd w:val="0"/>
                    <w:snapToGrid w:val="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eastAsia" w:cs="Times New Roman"/>
                      <w:b/>
                      <w:color w:val="000000" w:themeColor="text1"/>
                      <w:sz w:val="21"/>
                      <w:szCs w:val="21"/>
                      <w:highlight w:val="none"/>
                      <w:lang w:val="en-US" w:eastAsia="zh-CN"/>
                      <w14:textFill>
                        <w14:solidFill>
                          <w14:schemeClr w14:val="tx1"/>
                        </w14:solidFill>
                      </w14:textFill>
                    </w:rPr>
                    <w:t>是否达标</w:t>
                  </w:r>
                </w:p>
              </w:tc>
            </w:tr>
            <w:tr w14:paraId="4F17C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1" w:type="pct"/>
                  <w:vMerge w:val="restart"/>
                  <w:noWrap w:val="0"/>
                  <w:vAlign w:val="center"/>
                </w:tcPr>
                <w:p w14:paraId="035BA577">
                  <w:pPr>
                    <w:adjustRightInd w:val="0"/>
                    <w:snapToGrid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生活</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污水</w:t>
                  </w:r>
                </w:p>
              </w:tc>
              <w:tc>
                <w:tcPr>
                  <w:tcW w:w="896" w:type="pct"/>
                  <w:noWrap w:val="0"/>
                  <w:vAlign w:val="center"/>
                </w:tcPr>
                <w:p w14:paraId="5DB8831B">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废水量</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t/a</w:t>
                  </w:r>
                  <w:r>
                    <w:rPr>
                      <w:rFonts w:hint="eastAsia" w:cs="Times New Roman"/>
                      <w:color w:val="000000" w:themeColor="text1"/>
                      <w:sz w:val="21"/>
                      <w:szCs w:val="21"/>
                      <w:highlight w:val="none"/>
                      <w:lang w:eastAsia="zh-CN"/>
                      <w14:textFill>
                        <w14:solidFill>
                          <w14:schemeClr w14:val="tx1"/>
                        </w14:solidFill>
                      </w14:textFill>
                    </w:rPr>
                    <w:t>）</w:t>
                  </w:r>
                </w:p>
              </w:tc>
              <w:tc>
                <w:tcPr>
                  <w:tcW w:w="1341" w:type="pct"/>
                  <w:gridSpan w:val="2"/>
                  <w:noWrap w:val="0"/>
                  <w:vAlign w:val="center"/>
                </w:tcPr>
                <w:p w14:paraId="56A14850">
                  <w:pPr>
                    <w:adjustRightInd w:val="0"/>
                    <w:snapToGrid w:val="0"/>
                    <w:ind w:left="101" w:hanging="100" w:hangingChars="48"/>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115.2</w:t>
                  </w:r>
                </w:p>
              </w:tc>
              <w:tc>
                <w:tcPr>
                  <w:tcW w:w="771" w:type="pct"/>
                  <w:noWrap w:val="0"/>
                  <w:vAlign w:val="center"/>
                </w:tcPr>
                <w:p w14:paraId="29C45EF8">
                  <w:pPr>
                    <w:jc w:val="center"/>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排放量（t/a）</w:t>
                  </w:r>
                </w:p>
              </w:tc>
              <w:tc>
                <w:tcPr>
                  <w:tcW w:w="1529" w:type="pct"/>
                  <w:gridSpan w:val="3"/>
                  <w:noWrap w:val="0"/>
                  <w:vAlign w:val="center"/>
                </w:tcPr>
                <w:p w14:paraId="46802FB5">
                  <w:pPr>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r>
            <w:tr w14:paraId="2997C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461" w:type="pct"/>
                  <w:vMerge w:val="continue"/>
                  <w:noWrap w:val="0"/>
                  <w:vAlign w:val="center"/>
                </w:tcPr>
                <w:p w14:paraId="74B9C6F6">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896" w:type="pct"/>
                  <w:noWrap w:val="0"/>
                  <w:vAlign w:val="center"/>
                </w:tcPr>
                <w:p w14:paraId="11E5E97C">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COD</w:t>
                  </w:r>
                </w:p>
              </w:tc>
              <w:tc>
                <w:tcPr>
                  <w:tcW w:w="743" w:type="pct"/>
                  <w:noWrap w:val="0"/>
                  <w:vAlign w:val="center"/>
                </w:tcPr>
                <w:p w14:paraId="65F28B2A">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350</w:t>
                  </w:r>
                </w:p>
              </w:tc>
              <w:tc>
                <w:tcPr>
                  <w:tcW w:w="598" w:type="pct"/>
                  <w:noWrap w:val="0"/>
                  <w:vAlign w:val="center"/>
                </w:tcPr>
                <w:p w14:paraId="667C4988">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0.040 </w:t>
                  </w:r>
                </w:p>
              </w:tc>
              <w:tc>
                <w:tcPr>
                  <w:tcW w:w="771" w:type="pct"/>
                  <w:noWrap w:val="0"/>
                  <w:vAlign w:val="center"/>
                </w:tcPr>
                <w:p w14:paraId="7E7E5B48">
                  <w:pPr>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cs="Times New Roman" w:eastAsiaTheme="minorEastAsia"/>
                      <w:color w:val="000000" w:themeColor="text1"/>
                      <w:sz w:val="21"/>
                      <w:szCs w:val="21"/>
                      <w:highlight w:val="none"/>
                      <w:lang w:val="en-US" w:eastAsia="zh-CN"/>
                      <w14:textFill>
                        <w14:solidFill>
                          <w14:schemeClr w14:val="tx1"/>
                        </w14:solidFill>
                      </w14:textFill>
                    </w:rPr>
                    <w:t>97</w:t>
                  </w:r>
                </w:p>
              </w:tc>
              <w:tc>
                <w:tcPr>
                  <w:tcW w:w="1016" w:type="dxa"/>
                  <w:noWrap w:val="0"/>
                  <w:vAlign w:val="center"/>
                </w:tcPr>
                <w:p w14:paraId="59173EFD">
                  <w:pPr>
                    <w:keepNext w:val="0"/>
                    <w:keepLines w:val="0"/>
                    <w:widowControl/>
                    <w:suppressLineNumbers w:val="0"/>
                    <w:jc w:val="center"/>
                    <w:textAlignment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10.5</w:t>
                  </w:r>
                </w:p>
              </w:tc>
              <w:tc>
                <w:tcPr>
                  <w:tcW w:w="532" w:type="pct"/>
                  <w:noWrap w:val="0"/>
                  <w:vAlign w:val="center"/>
                </w:tcPr>
                <w:p w14:paraId="7B46D86B">
                  <w:pPr>
                    <w:jc w:val="center"/>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395" w:type="pct"/>
                  <w:noWrap w:val="0"/>
                  <w:vAlign w:val="center"/>
                </w:tcPr>
                <w:p w14:paraId="6970F8BA">
                  <w:pPr>
                    <w:jc w:val="center"/>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27FE4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1" w:type="pct"/>
                  <w:vMerge w:val="continue"/>
                  <w:noWrap w:val="0"/>
                  <w:vAlign w:val="center"/>
                </w:tcPr>
                <w:p w14:paraId="320D73B2">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896" w:type="pct"/>
                  <w:noWrap w:val="0"/>
                  <w:vAlign w:val="center"/>
                </w:tcPr>
                <w:p w14:paraId="7F2EF7B5">
                  <w:pPr>
                    <w:pStyle w:val="20"/>
                    <w:jc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t>BOD</w:t>
                  </w:r>
                  <w:r>
                    <w:rPr>
                      <w:rFonts w:hint="default" w:ascii="Times New Roman" w:hAnsi="Times New Roman" w:cs="Times New Roman" w:eastAsiaTheme="minorEastAsia"/>
                      <w:color w:val="000000" w:themeColor="text1"/>
                      <w:kern w:val="2"/>
                      <w:sz w:val="21"/>
                      <w:szCs w:val="21"/>
                      <w:highlight w:val="none"/>
                      <w:vertAlign w:val="subscript"/>
                      <w:lang w:val="en-US" w:eastAsia="zh-CN" w:bidi="ar-SA"/>
                      <w14:textFill>
                        <w14:solidFill>
                          <w14:schemeClr w14:val="tx1"/>
                        </w14:solidFill>
                      </w14:textFill>
                    </w:rPr>
                    <w:t>5</w:t>
                  </w:r>
                </w:p>
              </w:tc>
              <w:tc>
                <w:tcPr>
                  <w:tcW w:w="743" w:type="pct"/>
                  <w:noWrap w:val="0"/>
                  <w:vAlign w:val="center"/>
                </w:tcPr>
                <w:p w14:paraId="763D368A">
                  <w:pPr>
                    <w:jc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t>180</w:t>
                  </w:r>
                </w:p>
              </w:tc>
              <w:tc>
                <w:tcPr>
                  <w:tcW w:w="598" w:type="pct"/>
                  <w:noWrap w:val="0"/>
                  <w:vAlign w:val="center"/>
                </w:tcPr>
                <w:p w14:paraId="23111238">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0.021 </w:t>
                  </w:r>
                </w:p>
              </w:tc>
              <w:tc>
                <w:tcPr>
                  <w:tcW w:w="771" w:type="pct"/>
                  <w:noWrap w:val="0"/>
                  <w:vAlign w:val="center"/>
                </w:tcPr>
                <w:p w14:paraId="1E64D87F">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95</w:t>
                  </w:r>
                </w:p>
              </w:tc>
              <w:tc>
                <w:tcPr>
                  <w:tcW w:w="1016" w:type="dxa"/>
                  <w:noWrap w:val="0"/>
                  <w:vAlign w:val="center"/>
                </w:tcPr>
                <w:p w14:paraId="74A8F55E">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r>
                    <w:rPr>
                      <w:rFonts w:hint="eastAsia" w:cs="Times New Roman"/>
                      <w:i w:val="0"/>
                      <w:iCs w:val="0"/>
                      <w:color w:val="000000" w:themeColor="text1"/>
                      <w:kern w:val="0"/>
                      <w:sz w:val="21"/>
                      <w:szCs w:val="21"/>
                      <w:u w:val="none"/>
                      <w:lang w:val="en-US" w:eastAsia="zh-CN" w:bidi="ar"/>
                      <w14:textFill>
                        <w14:solidFill>
                          <w14:schemeClr w14:val="tx1"/>
                        </w14:solidFill>
                      </w14:textFill>
                    </w:rPr>
                    <w:t>.0</w:t>
                  </w:r>
                </w:p>
              </w:tc>
              <w:tc>
                <w:tcPr>
                  <w:tcW w:w="900" w:type="dxa"/>
                  <w:noWrap w:val="0"/>
                  <w:vAlign w:val="center"/>
                </w:tcPr>
                <w:p w14:paraId="6CC64CE0">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c>
                <w:tcPr>
                  <w:tcW w:w="668" w:type="dxa"/>
                  <w:noWrap w:val="0"/>
                  <w:vAlign w:val="center"/>
                </w:tcPr>
                <w:p w14:paraId="4C0248F0">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达标</w:t>
                  </w:r>
                </w:p>
              </w:tc>
            </w:tr>
            <w:tr w14:paraId="4944F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1" w:type="pct"/>
                  <w:vMerge w:val="continue"/>
                  <w:noWrap w:val="0"/>
                  <w:vAlign w:val="center"/>
                </w:tcPr>
                <w:p w14:paraId="37CB1656">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896" w:type="pct"/>
                  <w:noWrap w:val="0"/>
                  <w:vAlign w:val="center"/>
                </w:tcPr>
                <w:p w14:paraId="33B62DC3">
                  <w:pPr>
                    <w:jc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t>氨氮</w:t>
                  </w:r>
                </w:p>
              </w:tc>
              <w:tc>
                <w:tcPr>
                  <w:tcW w:w="743" w:type="pct"/>
                  <w:noWrap w:val="0"/>
                  <w:vAlign w:val="center"/>
                </w:tcPr>
                <w:p w14:paraId="20EA5A70">
                  <w:pPr>
                    <w:jc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t>30</w:t>
                  </w:r>
                </w:p>
              </w:tc>
              <w:tc>
                <w:tcPr>
                  <w:tcW w:w="598" w:type="pct"/>
                  <w:noWrap w:val="0"/>
                  <w:vAlign w:val="center"/>
                </w:tcPr>
                <w:p w14:paraId="51BFBA6A">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0.003 </w:t>
                  </w:r>
                </w:p>
              </w:tc>
              <w:tc>
                <w:tcPr>
                  <w:tcW w:w="771" w:type="pct"/>
                  <w:noWrap w:val="0"/>
                  <w:vAlign w:val="center"/>
                </w:tcPr>
                <w:p w14:paraId="473C8B70">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75</w:t>
                  </w:r>
                </w:p>
              </w:tc>
              <w:tc>
                <w:tcPr>
                  <w:tcW w:w="1016" w:type="dxa"/>
                  <w:noWrap w:val="0"/>
                  <w:vAlign w:val="center"/>
                </w:tcPr>
                <w:p w14:paraId="329DC36A">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900" w:type="dxa"/>
                  <w:noWrap w:val="0"/>
                  <w:vAlign w:val="center"/>
                </w:tcPr>
                <w:p w14:paraId="7EFB9C45">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w:t>
                  </w:r>
                </w:p>
              </w:tc>
              <w:tc>
                <w:tcPr>
                  <w:tcW w:w="668" w:type="dxa"/>
                  <w:noWrap w:val="0"/>
                  <w:vAlign w:val="center"/>
                </w:tcPr>
                <w:p w14:paraId="5A577447">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达标</w:t>
                  </w:r>
                </w:p>
              </w:tc>
            </w:tr>
            <w:tr w14:paraId="61EBE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1" w:type="pct"/>
                  <w:vMerge w:val="continue"/>
                  <w:noWrap w:val="0"/>
                  <w:vAlign w:val="center"/>
                </w:tcPr>
                <w:p w14:paraId="142F22D6">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896" w:type="pct"/>
                  <w:noWrap w:val="0"/>
                  <w:vAlign w:val="center"/>
                </w:tcPr>
                <w:p w14:paraId="725ED5DF">
                  <w:pPr>
                    <w:jc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t>总磷</w:t>
                  </w:r>
                </w:p>
              </w:tc>
              <w:tc>
                <w:tcPr>
                  <w:tcW w:w="743" w:type="pct"/>
                  <w:noWrap w:val="0"/>
                  <w:vAlign w:val="center"/>
                </w:tcPr>
                <w:p w14:paraId="694039D4">
                  <w:pPr>
                    <w:jc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t>6</w:t>
                  </w:r>
                </w:p>
              </w:tc>
              <w:tc>
                <w:tcPr>
                  <w:tcW w:w="598" w:type="pct"/>
                  <w:noWrap w:val="0"/>
                  <w:vAlign w:val="center"/>
                </w:tcPr>
                <w:p w14:paraId="7A71DC96">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0.001 </w:t>
                  </w:r>
                </w:p>
              </w:tc>
              <w:tc>
                <w:tcPr>
                  <w:tcW w:w="771" w:type="pct"/>
                  <w:noWrap w:val="0"/>
                  <w:vAlign w:val="center"/>
                </w:tcPr>
                <w:p w14:paraId="019D9E50">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85</w:t>
                  </w:r>
                </w:p>
              </w:tc>
              <w:tc>
                <w:tcPr>
                  <w:tcW w:w="1016" w:type="dxa"/>
                  <w:noWrap w:val="0"/>
                  <w:vAlign w:val="center"/>
                </w:tcPr>
                <w:p w14:paraId="57C6C8A5">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w:t>
                  </w:r>
                </w:p>
              </w:tc>
              <w:tc>
                <w:tcPr>
                  <w:tcW w:w="532" w:type="pct"/>
                  <w:noWrap w:val="0"/>
                  <w:vAlign w:val="center"/>
                </w:tcPr>
                <w:p w14:paraId="49D32FCA">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395" w:type="pct"/>
                  <w:noWrap w:val="0"/>
                  <w:vAlign w:val="center"/>
                </w:tcPr>
                <w:p w14:paraId="733EE79B">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387C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1" w:type="pct"/>
                  <w:vMerge w:val="continue"/>
                  <w:noWrap w:val="0"/>
                  <w:vAlign w:val="center"/>
                </w:tcPr>
                <w:p w14:paraId="6D93F342">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896" w:type="pct"/>
                  <w:noWrap w:val="0"/>
                  <w:vAlign w:val="center"/>
                </w:tcPr>
                <w:p w14:paraId="78180039">
                  <w:pPr>
                    <w:jc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t>动植物油</w:t>
                  </w:r>
                </w:p>
              </w:tc>
              <w:tc>
                <w:tcPr>
                  <w:tcW w:w="743" w:type="pct"/>
                  <w:noWrap w:val="0"/>
                  <w:vAlign w:val="center"/>
                </w:tcPr>
                <w:p w14:paraId="75E5F2C9">
                  <w:pPr>
                    <w:jc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t>80</w:t>
                  </w:r>
                </w:p>
              </w:tc>
              <w:tc>
                <w:tcPr>
                  <w:tcW w:w="598" w:type="pct"/>
                  <w:noWrap w:val="0"/>
                  <w:vAlign w:val="center"/>
                </w:tcPr>
                <w:p w14:paraId="373A8AE0">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0.009 </w:t>
                  </w:r>
                </w:p>
              </w:tc>
              <w:tc>
                <w:tcPr>
                  <w:tcW w:w="771" w:type="pct"/>
                  <w:noWrap w:val="0"/>
                  <w:vAlign w:val="center"/>
                </w:tcPr>
                <w:p w14:paraId="76E0DBC1">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65</w:t>
                  </w:r>
                </w:p>
              </w:tc>
              <w:tc>
                <w:tcPr>
                  <w:tcW w:w="1016" w:type="dxa"/>
                  <w:noWrap w:val="0"/>
                  <w:vAlign w:val="center"/>
                </w:tcPr>
                <w:p w14:paraId="0A3E258F">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w:t>
                  </w:r>
                  <w:r>
                    <w:rPr>
                      <w:rFonts w:hint="eastAsia" w:cs="Times New Roman"/>
                      <w:i w:val="0"/>
                      <w:iCs w:val="0"/>
                      <w:color w:val="000000" w:themeColor="text1"/>
                      <w:kern w:val="0"/>
                      <w:sz w:val="21"/>
                      <w:szCs w:val="21"/>
                      <w:u w:val="none"/>
                      <w:lang w:val="en-US" w:eastAsia="zh-CN" w:bidi="ar"/>
                      <w14:textFill>
                        <w14:solidFill>
                          <w14:schemeClr w14:val="tx1"/>
                        </w14:solidFill>
                      </w14:textFill>
                    </w:rPr>
                    <w:t>.0</w:t>
                  </w:r>
                </w:p>
              </w:tc>
              <w:tc>
                <w:tcPr>
                  <w:tcW w:w="532" w:type="pct"/>
                  <w:noWrap w:val="0"/>
                  <w:vAlign w:val="center"/>
                </w:tcPr>
                <w:p w14:paraId="0DF01FD7">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395" w:type="pct"/>
                  <w:noWrap w:val="0"/>
                  <w:vAlign w:val="center"/>
                </w:tcPr>
                <w:p w14:paraId="30B902D1">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2198C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1" w:type="pct"/>
                  <w:vMerge w:val="continue"/>
                  <w:noWrap w:val="0"/>
                  <w:vAlign w:val="center"/>
                </w:tcPr>
                <w:p w14:paraId="3DB723A3">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896" w:type="pct"/>
                  <w:noWrap w:val="0"/>
                  <w:vAlign w:val="center"/>
                </w:tcPr>
                <w:p w14:paraId="7AB49CAF">
                  <w:pPr>
                    <w:jc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t>悬浮物</w:t>
                  </w:r>
                </w:p>
              </w:tc>
              <w:tc>
                <w:tcPr>
                  <w:tcW w:w="743" w:type="pct"/>
                  <w:noWrap w:val="0"/>
                  <w:vAlign w:val="center"/>
                </w:tcPr>
                <w:p w14:paraId="122E1892">
                  <w:pPr>
                    <w:jc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t>320</w:t>
                  </w:r>
                </w:p>
              </w:tc>
              <w:tc>
                <w:tcPr>
                  <w:tcW w:w="598" w:type="pct"/>
                  <w:noWrap w:val="0"/>
                  <w:vAlign w:val="center"/>
                </w:tcPr>
                <w:p w14:paraId="35BDC948">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0.037 </w:t>
                  </w:r>
                </w:p>
              </w:tc>
              <w:tc>
                <w:tcPr>
                  <w:tcW w:w="771" w:type="pct"/>
                  <w:noWrap w:val="0"/>
                  <w:vAlign w:val="center"/>
                </w:tcPr>
                <w:p w14:paraId="5563A42A">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99</w:t>
                  </w:r>
                </w:p>
              </w:tc>
              <w:tc>
                <w:tcPr>
                  <w:tcW w:w="1016" w:type="dxa"/>
                  <w:noWrap w:val="0"/>
                  <w:vAlign w:val="center"/>
                </w:tcPr>
                <w:p w14:paraId="5AD72DBC">
                  <w:pPr>
                    <w:keepNext w:val="0"/>
                    <w:keepLines w:val="0"/>
                    <w:widowControl/>
                    <w:suppressLineNumbers w:val="0"/>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w:t>
                  </w:r>
                </w:p>
              </w:tc>
              <w:tc>
                <w:tcPr>
                  <w:tcW w:w="532" w:type="pct"/>
                  <w:noWrap w:val="0"/>
                  <w:vAlign w:val="center"/>
                </w:tcPr>
                <w:p w14:paraId="10072D1A">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395" w:type="pct"/>
                  <w:noWrap w:val="0"/>
                  <w:vAlign w:val="center"/>
                </w:tcPr>
                <w:p w14:paraId="4CC189E5">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bl>
          <w:p w14:paraId="5FA87207">
            <w:pPr>
              <w:widowControl/>
              <w:spacing w:line="360" w:lineRule="auto"/>
              <w:ind w:firstLine="482" w:firstLineChars="200"/>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2、</w:t>
            </w:r>
            <w:r>
              <w:rPr>
                <w:rFonts w:hint="default" w:ascii="Times New Roman" w:hAnsi="Times New Roman" w:cs="Times New Roman"/>
                <w:b/>
                <w:bCs/>
                <w:color w:val="000000" w:themeColor="text1"/>
                <w:sz w:val="24"/>
                <w:szCs w:val="24"/>
                <w:lang w:val="en-US" w:eastAsia="zh-CN"/>
                <w14:textFill>
                  <w14:solidFill>
                    <w14:schemeClr w14:val="tx1"/>
                  </w14:solidFill>
                </w14:textFill>
              </w:rPr>
              <w:t>废水依托处置可行性分析</w:t>
            </w:r>
          </w:p>
          <w:p w14:paraId="0A5F1A21">
            <w:pPr>
              <w:spacing w:line="360" w:lineRule="auto"/>
              <w:ind w:firstLine="480" w:firstLineChars="20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项目生活污水依托云南联帆建材科技有限公司已建成化粪池与污水处理站，处理达《城市污水再生利用 城市杂用水水质》（GB/T 18920-2020）表1城市绿化、道路清扫标准后回用于厂区绿化</w:t>
            </w:r>
            <w:r>
              <w:rPr>
                <w:rFonts w:hint="default" w:ascii="Times New Roman" w:hAnsi="Times New Roman" w:cs="Times New Roman"/>
                <w:color w:val="000000" w:themeColor="text1"/>
                <w:sz w:val="24"/>
                <w:szCs w:val="24"/>
                <w:lang w:eastAsia="zh-CN"/>
                <w14:textFill>
                  <w14:solidFill>
                    <w14:schemeClr w14:val="tx1"/>
                  </w14:solidFill>
                </w14:textFill>
              </w:rPr>
              <w:t>。</w:t>
            </w:r>
          </w:p>
          <w:p w14:paraId="1FCED5DE">
            <w:pPr>
              <w:pStyle w:val="79"/>
              <w:bidi w:val="0"/>
              <w:rPr>
                <w:rFonts w:hint="default" w:ascii="Times New Roman" w:hAnsi="Times New Roman" w:cs="Times New Roman"/>
                <w:color w:val="000000" w:themeColor="text1"/>
                <w:kern w:val="0"/>
                <w:sz w:val="24"/>
                <w:szCs w:val="24"/>
                <w14:textFill>
                  <w14:solidFill>
                    <w14:schemeClr w14:val="tx1"/>
                  </w14:solidFill>
                </w14:textFill>
              </w:rPr>
            </w:pPr>
            <w:r>
              <w:rPr>
                <w:rFonts w:hint="default"/>
                <w:b/>
                <w:bCs/>
                <w:color w:val="000000" w:themeColor="text1"/>
                <w:lang w:val="en-US" w:eastAsia="zh-CN"/>
                <w14:textFill>
                  <w14:solidFill>
                    <w14:schemeClr w14:val="tx1"/>
                  </w14:solidFill>
                </w14:textFill>
              </w:rPr>
              <w:t>化粪池：</w:t>
            </w:r>
            <w:r>
              <w:rPr>
                <w:rFonts w:hint="default"/>
                <w:b w:val="0"/>
                <w:bCs w:val="0"/>
                <w:color w:val="000000" w:themeColor="text1"/>
                <w:lang w:val="en-US" w:eastAsia="zh-CN"/>
                <w14:textFill>
                  <w14:solidFill>
                    <w14:schemeClr w14:val="tx1"/>
                  </w14:solidFill>
                </w14:textFill>
              </w:rPr>
              <w:t>云南联帆建材科技有限公司</w:t>
            </w:r>
            <w:r>
              <w:rPr>
                <w:rFonts w:hint="eastAsia"/>
                <w:b w:val="0"/>
                <w:bCs w:val="0"/>
                <w:color w:val="000000" w:themeColor="text1"/>
                <w:lang w:val="en-US" w:eastAsia="zh-CN"/>
                <w14:textFill>
                  <w14:solidFill>
                    <w14:schemeClr w14:val="tx1"/>
                  </w14:solidFill>
                </w14:textFill>
              </w:rPr>
              <w:t>已建成1座容积为5m</w:t>
            </w:r>
            <w:r>
              <w:rPr>
                <w:rFonts w:hint="eastAsia"/>
                <w:b w:val="0"/>
                <w:bCs w:val="0"/>
                <w:color w:val="000000" w:themeColor="text1"/>
                <w:vertAlign w:val="superscript"/>
                <w:lang w:val="en-US" w:eastAsia="zh-CN"/>
                <w14:textFill>
                  <w14:solidFill>
                    <w14:schemeClr w14:val="tx1"/>
                  </w14:solidFill>
                </w14:textFill>
              </w:rPr>
              <w:t>3</w:t>
            </w:r>
            <w:r>
              <w:rPr>
                <w:rFonts w:hint="eastAsia"/>
                <w:b w:val="0"/>
                <w:bCs w:val="0"/>
                <w:color w:val="000000" w:themeColor="text1"/>
                <w:lang w:val="en-US" w:eastAsia="zh-CN"/>
                <w14:textFill>
                  <w14:solidFill>
                    <w14:schemeClr w14:val="tx1"/>
                  </w14:solidFill>
                </w14:textFill>
              </w:rPr>
              <w:t>的化粪池，位于项目租用生产车间北侧。根据调查目前云南联帆建材科技有限公司生活污水产生量为1.84m</w:t>
            </w:r>
            <w:r>
              <w:rPr>
                <w:rFonts w:hint="eastAsia"/>
                <w:b w:val="0"/>
                <w:bCs w:val="0"/>
                <w:color w:val="000000" w:themeColor="text1"/>
                <w:vertAlign w:val="superscript"/>
                <w:lang w:val="en-US" w:eastAsia="zh-CN"/>
                <w14:textFill>
                  <w14:solidFill>
                    <w14:schemeClr w14:val="tx1"/>
                  </w14:solidFill>
                </w14:textFill>
              </w:rPr>
              <w:t>3</w:t>
            </w:r>
            <w:r>
              <w:rPr>
                <w:rFonts w:hint="eastAsia"/>
                <w:b w:val="0"/>
                <w:bCs w:val="0"/>
                <w:color w:val="000000" w:themeColor="text1"/>
                <w:lang w:val="en-US" w:eastAsia="zh-CN"/>
                <w14:textFill>
                  <w14:solidFill>
                    <w14:schemeClr w14:val="tx1"/>
                  </w14:solidFill>
                </w14:textFill>
              </w:rPr>
              <w:t>/d，化粪池余量为3.16m</w:t>
            </w:r>
            <w:r>
              <w:rPr>
                <w:rFonts w:hint="eastAsia"/>
                <w:b w:val="0"/>
                <w:bCs w:val="0"/>
                <w:color w:val="000000" w:themeColor="text1"/>
                <w:vertAlign w:val="superscript"/>
                <w:lang w:val="en-US" w:eastAsia="zh-CN"/>
                <w14:textFill>
                  <w14:solidFill>
                    <w14:schemeClr w14:val="tx1"/>
                  </w14:solidFill>
                </w14:textFill>
              </w:rPr>
              <w:t>3</w:t>
            </w:r>
            <w:r>
              <w:rPr>
                <w:rFonts w:hint="eastAsia"/>
                <w:b w:val="0"/>
                <w:bCs w:val="0"/>
                <w:color w:val="000000" w:themeColor="text1"/>
                <w:lang w:val="en-US"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该化粪池有足够的容积</w:t>
            </w:r>
            <w:r>
              <w:rPr>
                <w:rFonts w:hint="default" w:ascii="Times New Roman" w:hAnsi="Times New Roman" w:cs="Times New Roman"/>
                <w:color w:val="000000" w:themeColor="text1"/>
                <w:kern w:val="0"/>
                <w:sz w:val="24"/>
                <w:szCs w:val="24"/>
                <w14:textFill>
                  <w14:solidFill>
                    <w14:schemeClr w14:val="tx1"/>
                  </w14:solidFill>
                </w14:textFill>
              </w:rPr>
              <w:t>能够接纳并处理本项目产生的</w:t>
            </w:r>
            <w:r>
              <w:rPr>
                <w:rFonts w:hint="default" w:ascii="Times New Roman" w:hAnsi="Times New Roman" w:cs="Times New Roman"/>
                <w:color w:val="000000" w:themeColor="text1"/>
                <w:kern w:val="0"/>
                <w:sz w:val="24"/>
                <w:szCs w:val="24"/>
                <w:lang w:val="en-US" w:eastAsia="zh-CN"/>
                <w14:textFill>
                  <w14:solidFill>
                    <w14:schemeClr w14:val="tx1"/>
                  </w14:solidFill>
                </w14:textFill>
              </w:rPr>
              <w:t>生活污水（</w:t>
            </w:r>
            <w:r>
              <w:rPr>
                <w:rFonts w:hint="eastAsia" w:cs="Times New Roman"/>
                <w:color w:val="000000" w:themeColor="text1"/>
                <w:kern w:val="0"/>
                <w:sz w:val="24"/>
                <w:szCs w:val="24"/>
                <w:lang w:val="en-US" w:eastAsia="zh-CN"/>
                <w14:textFill>
                  <w14:solidFill>
                    <w14:schemeClr w14:val="tx1"/>
                  </w14:solidFill>
                </w14:textFill>
              </w:rPr>
              <w:t>0.32</w:t>
            </w:r>
            <w:r>
              <w:rPr>
                <w:rFonts w:hint="default" w:ascii="Times New Roman" w:hAnsi="Times New Roman" w:cs="Times New Roman"/>
                <w:color w:val="000000" w:themeColor="text1"/>
                <w:kern w:val="0"/>
                <w:sz w:val="24"/>
                <w:szCs w:val="24"/>
                <w:lang w:val="en-US" w:eastAsia="zh-CN"/>
                <w14:textFill>
                  <w14:solidFill>
                    <w14:schemeClr w14:val="tx1"/>
                  </w14:solidFill>
                </w14:textFill>
              </w:rPr>
              <w:t>m</w:t>
            </w:r>
            <w:r>
              <w:rPr>
                <w:rFonts w:hint="default" w:ascii="Times New Roman" w:hAnsi="Times New Roman" w:cs="Times New Roman"/>
                <w:color w:val="000000" w:themeColor="text1"/>
                <w:kern w:val="0"/>
                <w:sz w:val="24"/>
                <w:szCs w:val="24"/>
                <w:vertAlign w:val="superscript"/>
                <w:lang w:val="en-US" w:eastAsia="zh-CN"/>
                <w14:textFill>
                  <w14:solidFill>
                    <w14:schemeClr w14:val="tx1"/>
                  </w14:solidFill>
                </w14:textFill>
              </w:rPr>
              <w:t>3</w:t>
            </w:r>
            <w:r>
              <w:rPr>
                <w:rFonts w:hint="default" w:ascii="Times New Roman" w:hAnsi="Times New Roman" w:cs="Times New Roman"/>
                <w:color w:val="000000" w:themeColor="text1"/>
                <w:kern w:val="0"/>
                <w:sz w:val="24"/>
                <w:szCs w:val="24"/>
                <w:lang w:val="en-US" w:eastAsia="zh-CN"/>
                <w14:textFill>
                  <w14:solidFill>
                    <w14:schemeClr w14:val="tx1"/>
                  </w14:solidFill>
                </w14:textFill>
              </w:rPr>
              <w:t>/d）</w:t>
            </w:r>
            <w:r>
              <w:rPr>
                <w:rFonts w:hint="default" w:ascii="Times New Roman" w:hAnsi="Times New Roman" w:cs="Times New Roman"/>
                <w:color w:val="000000" w:themeColor="text1"/>
                <w:kern w:val="0"/>
                <w:sz w:val="24"/>
                <w:szCs w:val="24"/>
                <w14:textFill>
                  <w14:solidFill>
                    <w14:schemeClr w14:val="tx1"/>
                  </w14:solidFill>
                </w14:textFill>
              </w:rPr>
              <w:t>。项目废水依托</w:t>
            </w:r>
            <w:r>
              <w:rPr>
                <w:rFonts w:hint="default" w:ascii="Times New Roman" w:hAnsi="Times New Roman" w:cs="Times New Roman"/>
                <w:color w:val="000000" w:themeColor="text1"/>
                <w:sz w:val="24"/>
                <w:szCs w:val="24"/>
                <w:lang w:val="en-US" w:eastAsia="zh-CN"/>
                <w14:textFill>
                  <w14:solidFill>
                    <w14:schemeClr w14:val="tx1"/>
                  </w14:solidFill>
                </w14:textFill>
              </w:rPr>
              <w:t>云南联帆建材科技有限公司</w:t>
            </w:r>
            <w:r>
              <w:rPr>
                <w:rFonts w:hint="default" w:ascii="Times New Roman" w:hAnsi="Times New Roman" w:cs="Times New Roman"/>
                <w:color w:val="000000" w:themeColor="text1"/>
                <w:kern w:val="0"/>
                <w:sz w:val="24"/>
                <w:szCs w:val="24"/>
                <w14:textFill>
                  <w14:solidFill>
                    <w14:schemeClr w14:val="tx1"/>
                  </w14:solidFill>
                </w14:textFill>
              </w:rPr>
              <w:t>化粪池进行处理是可行的。</w:t>
            </w:r>
          </w:p>
          <w:p w14:paraId="6E1416A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cs="Times New Roman"/>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污水处理站</w:t>
            </w:r>
            <w:r>
              <w:rPr>
                <w:rFonts w:hint="eastAsia" w:cs="Times New Roman"/>
                <w:color w:val="000000" w:themeColor="text1"/>
                <w:sz w:val="24"/>
                <w:szCs w:val="24"/>
                <w:lang w:val="en-US" w:eastAsia="zh-CN"/>
                <w14:textFill>
                  <w14:solidFill>
                    <w14:schemeClr w14:val="tx1"/>
                  </w14:solidFill>
                </w14:textFill>
              </w:rPr>
              <w:t>：云南联帆建材科技有限公司已建成处理能力为8m</w:t>
            </w:r>
            <w:r>
              <w:rPr>
                <w:rFonts w:hint="eastAsia" w:cs="Times New Roman"/>
                <w:color w:val="000000" w:themeColor="text1"/>
                <w:sz w:val="24"/>
                <w:szCs w:val="24"/>
                <w:vertAlign w:val="superscript"/>
                <w:lang w:val="en-US" w:eastAsia="zh-CN"/>
                <w14:textFill>
                  <w14:solidFill>
                    <w14:schemeClr w14:val="tx1"/>
                  </w14:solidFill>
                </w14:textFill>
              </w:rPr>
              <w:t>3</w:t>
            </w:r>
            <w:r>
              <w:rPr>
                <w:rFonts w:hint="eastAsia" w:cs="Times New Roman"/>
                <w:color w:val="000000" w:themeColor="text1"/>
                <w:sz w:val="24"/>
                <w:szCs w:val="24"/>
                <w:lang w:val="en-US" w:eastAsia="zh-CN"/>
                <w14:textFill>
                  <w14:solidFill>
                    <w14:schemeClr w14:val="tx1"/>
                  </w14:solidFill>
                </w14:textFill>
              </w:rPr>
              <w:t>/d的污水处理站用于处理生活污水，位于项目租用生产车间北侧，自建污水处理站的处理工艺为：“调节池+A/O+MBR膜生物反应器+紫外线消毒”工艺，处理工艺详细流程图见下图：</w:t>
            </w:r>
          </w:p>
          <w:p w14:paraId="6D9C4C5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drawing>
                <wp:inline distT="0" distB="0" distL="114300" distR="114300">
                  <wp:extent cx="5363210" cy="3905885"/>
                  <wp:effectExtent l="0" t="0" r="8890" b="18415"/>
                  <wp:docPr id="32" name="图片 32" descr="29cef64b0f29b36085a733d762a6b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29cef64b0f29b36085a733d762a6b064"/>
                          <pic:cNvPicPr>
                            <a:picLocks noChangeAspect="1"/>
                          </pic:cNvPicPr>
                        </pic:nvPicPr>
                        <pic:blipFill>
                          <a:blip r:embed="rId18"/>
                          <a:stretch>
                            <a:fillRect/>
                          </a:stretch>
                        </pic:blipFill>
                        <pic:spPr>
                          <a:xfrm>
                            <a:off x="0" y="0"/>
                            <a:ext cx="5363210" cy="3905885"/>
                          </a:xfrm>
                          <a:prstGeom prst="rect">
                            <a:avLst/>
                          </a:prstGeom>
                        </pic:spPr>
                      </pic:pic>
                    </a:graphicData>
                  </a:graphic>
                </wp:inline>
              </w:drawing>
            </w:r>
          </w:p>
          <w:p w14:paraId="005B18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bCs/>
                <w:color w:val="000000" w:themeColor="text1"/>
                <w:sz w:val="21"/>
                <w:szCs w:val="21"/>
                <w:lang w:val="en-US" w:eastAsia="zh-CN"/>
                <w14:textFill>
                  <w14:solidFill>
                    <w14:schemeClr w14:val="tx1"/>
                  </w14:solidFill>
                </w14:textFill>
              </w:rPr>
            </w:pPr>
            <w:r>
              <w:rPr>
                <w:rFonts w:hint="eastAsia" w:cs="Times New Roman"/>
                <w:b/>
                <w:bCs/>
                <w:color w:val="000000" w:themeColor="text1"/>
                <w:sz w:val="21"/>
                <w:szCs w:val="21"/>
                <w:lang w:val="en-US" w:eastAsia="zh-CN"/>
                <w14:textFill>
                  <w14:solidFill>
                    <w14:schemeClr w14:val="tx1"/>
                  </w14:solidFill>
                </w14:textFill>
              </w:rPr>
              <w:t>图4-1 依托污水处理站处理工艺</w:t>
            </w:r>
          </w:p>
          <w:p w14:paraId="11E9939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处理工艺简介：</w:t>
            </w:r>
            <w:r>
              <w:rPr>
                <w:rFonts w:hint="eastAsia" w:cs="Times New Roman"/>
                <w:color w:val="000000" w:themeColor="text1"/>
                <w:sz w:val="24"/>
                <w:szCs w:val="24"/>
                <w:lang w:val="en-US" w:eastAsia="zh-CN"/>
                <w14:textFill>
                  <w14:solidFill>
                    <w14:schemeClr w14:val="tx1"/>
                  </w14:solidFill>
                </w14:textFill>
              </w:rPr>
              <w:t>厂区生活污水首先进入格栅去除悬浮物再经调节池均质均量后污水由污水提升泵提升至新建污水处理设备前端的缺氧池。污水经缺氧池进一步酸化水解和硝化及反硝化，降低有机物浓度，通过硝化液的回流，去除部分氨氮。</w:t>
            </w:r>
          </w:p>
          <w:p w14:paraId="23F4CE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缺氧池出水自流进入后端的好氧池以及MBR反应池生物好氧分解，从而进一步降低污水中有机物浓度，满足回用要求。其中，MBR池中装配有目前较先进的MBR膜生物反应器，MBR膜生物反应器主要由膜组件和膜生物反应器两部分构成。大量的微生物（活性污泥）在生物反应器内与基质（废水中的可降解有机物等）充分接触，通过氧化分解作用进行新陈代谢以维持自身生长、繁殖，同时使有机污染物降解。膜组件通过机械筛分、截留等作用对废水和污泥混合液进行固液分离。大分子物质等被浓缩后返回生物反应器，从而避免了微生物的流失。生物处理系统和膜分离组件的有机结合，不仅提高了系统的出水水质和运行的稳定程度，还延长了难降解大分子物质在生物反应器中的水力停留时间，加强了系统对难降解物质的去除效果。MBR膜池出水经紫外线消毒处理后达标，最终回用于绿化。</w:t>
            </w:r>
          </w:p>
          <w:p w14:paraId="6FDC47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00" w:themeColor="text1"/>
                <w:sz w:val="24"/>
                <w:szCs w:val="24"/>
                <w:lang w:val="en-US" w:eastAsia="zh-CN"/>
                <w14:textFill>
                  <w14:solidFill>
                    <w14:schemeClr w14:val="tx1"/>
                  </w14:solidFill>
                </w14:textFill>
              </w:rPr>
            </w:pPr>
            <w:r>
              <w:rPr>
                <w:rFonts w:hint="eastAsia" w:ascii="Times New Roman" w:eastAsia="宋体"/>
                <w:b w:val="0"/>
                <w:bCs w:val="0"/>
                <w:color w:val="000000" w:themeColor="text1"/>
                <w:sz w:val="24"/>
                <w:szCs w:val="24"/>
                <w:lang w:val="en-US" w:eastAsia="zh-CN"/>
                <w14:textFill>
                  <w14:solidFill>
                    <w14:schemeClr w14:val="tx1"/>
                  </w14:solidFill>
                </w14:textFill>
              </w:rPr>
              <w:t>根据调查目前云南联帆建材科技有限公司生活污水产生量为1.84m</w:t>
            </w:r>
            <w:r>
              <w:rPr>
                <w:rFonts w:hint="eastAsia" w:ascii="Times New Roman" w:eastAsia="宋体"/>
                <w:b w:val="0"/>
                <w:bCs w:val="0"/>
                <w:color w:val="000000" w:themeColor="text1"/>
                <w:sz w:val="24"/>
                <w:szCs w:val="24"/>
                <w:vertAlign w:val="superscript"/>
                <w:lang w:val="en-US" w:eastAsia="zh-CN"/>
                <w14:textFill>
                  <w14:solidFill>
                    <w14:schemeClr w14:val="tx1"/>
                  </w14:solidFill>
                </w14:textFill>
              </w:rPr>
              <w:t>3</w:t>
            </w:r>
            <w:r>
              <w:rPr>
                <w:rFonts w:hint="eastAsia" w:ascii="Times New Roman" w:eastAsia="宋体"/>
                <w:b w:val="0"/>
                <w:bCs w:val="0"/>
                <w:color w:val="000000" w:themeColor="text1"/>
                <w:sz w:val="24"/>
                <w:szCs w:val="24"/>
                <w:lang w:val="en-US" w:eastAsia="zh-CN"/>
                <w14:textFill>
                  <w14:solidFill>
                    <w14:schemeClr w14:val="tx1"/>
                  </w14:solidFill>
                </w14:textFill>
              </w:rPr>
              <w:t>/d，污水处理站处理余量为6.16m</w:t>
            </w:r>
            <w:r>
              <w:rPr>
                <w:rFonts w:hint="eastAsia" w:ascii="Times New Roman" w:eastAsia="宋体"/>
                <w:b w:val="0"/>
                <w:bCs w:val="0"/>
                <w:color w:val="000000" w:themeColor="text1"/>
                <w:sz w:val="24"/>
                <w:szCs w:val="24"/>
                <w:vertAlign w:val="superscript"/>
                <w:lang w:val="en-US" w:eastAsia="zh-CN"/>
                <w14:textFill>
                  <w14:solidFill>
                    <w14:schemeClr w14:val="tx1"/>
                  </w14:solidFill>
                </w14:textFill>
              </w:rPr>
              <w:t>3</w:t>
            </w:r>
            <w:r>
              <w:rPr>
                <w:rFonts w:hint="eastAsia" w:ascii="Times New Roman" w:eastAsia="宋体"/>
                <w:b w:val="0"/>
                <w:bCs w:val="0"/>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该</w:t>
            </w:r>
            <w:r>
              <w:rPr>
                <w:rFonts w:hint="eastAsia" w:ascii="Times New Roman" w:hAnsi="Times New Roman" w:cs="Times New Roman"/>
                <w:color w:val="000000" w:themeColor="text1"/>
                <w:sz w:val="24"/>
                <w:szCs w:val="24"/>
                <w:lang w:val="en-US" w:eastAsia="zh-CN"/>
                <w14:textFill>
                  <w14:solidFill>
                    <w14:schemeClr w14:val="tx1"/>
                  </w14:solidFill>
                </w14:textFill>
              </w:rPr>
              <w:t>污水处理站</w:t>
            </w:r>
            <w:r>
              <w:rPr>
                <w:rFonts w:hint="default" w:ascii="Times New Roman" w:hAnsi="Times New Roman" w:cs="Times New Roman"/>
                <w:color w:val="000000" w:themeColor="text1"/>
                <w:sz w:val="24"/>
                <w:szCs w:val="24"/>
                <w14:textFill>
                  <w14:solidFill>
                    <w14:schemeClr w14:val="tx1"/>
                  </w14:solidFill>
                </w14:textFill>
              </w:rPr>
              <w:t>有足够的容积</w:t>
            </w:r>
            <w:r>
              <w:rPr>
                <w:rFonts w:hint="default" w:ascii="Times New Roman" w:hAnsi="Times New Roman" w:cs="Times New Roman"/>
                <w:color w:val="000000" w:themeColor="text1"/>
                <w:kern w:val="0"/>
                <w:sz w:val="24"/>
                <w:szCs w:val="24"/>
                <w14:textFill>
                  <w14:solidFill>
                    <w14:schemeClr w14:val="tx1"/>
                  </w14:solidFill>
                </w14:textFill>
              </w:rPr>
              <w:t>能够接纳并处理本项目产生的</w:t>
            </w:r>
            <w:r>
              <w:rPr>
                <w:rFonts w:hint="default" w:ascii="Times New Roman" w:hAnsi="Times New Roman" w:cs="Times New Roman"/>
                <w:color w:val="000000" w:themeColor="text1"/>
                <w:kern w:val="0"/>
                <w:sz w:val="24"/>
                <w:szCs w:val="24"/>
                <w:lang w:val="en-US" w:eastAsia="zh-CN"/>
                <w14:textFill>
                  <w14:solidFill>
                    <w14:schemeClr w14:val="tx1"/>
                  </w14:solidFill>
                </w14:textFill>
              </w:rPr>
              <w:t>生活污水（</w:t>
            </w:r>
            <w:r>
              <w:rPr>
                <w:rFonts w:hint="eastAsia" w:cs="Times New Roman"/>
                <w:color w:val="000000" w:themeColor="text1"/>
                <w:kern w:val="0"/>
                <w:sz w:val="24"/>
                <w:szCs w:val="24"/>
                <w:lang w:val="en-US" w:eastAsia="zh-CN"/>
                <w14:textFill>
                  <w14:solidFill>
                    <w14:schemeClr w14:val="tx1"/>
                  </w14:solidFill>
                </w14:textFill>
              </w:rPr>
              <w:t>0.32</w:t>
            </w:r>
            <w:r>
              <w:rPr>
                <w:rFonts w:hint="default" w:ascii="Times New Roman" w:hAnsi="Times New Roman" w:cs="Times New Roman"/>
                <w:color w:val="000000" w:themeColor="text1"/>
                <w:kern w:val="0"/>
                <w:sz w:val="24"/>
                <w:szCs w:val="24"/>
                <w:lang w:val="en-US" w:eastAsia="zh-CN"/>
                <w14:textFill>
                  <w14:solidFill>
                    <w14:schemeClr w14:val="tx1"/>
                  </w14:solidFill>
                </w14:textFill>
              </w:rPr>
              <w:t>m</w:t>
            </w:r>
            <w:r>
              <w:rPr>
                <w:rFonts w:hint="default" w:ascii="Times New Roman" w:hAnsi="Times New Roman" w:cs="Times New Roman"/>
                <w:color w:val="000000" w:themeColor="text1"/>
                <w:kern w:val="0"/>
                <w:sz w:val="24"/>
                <w:szCs w:val="24"/>
                <w:vertAlign w:val="superscript"/>
                <w:lang w:val="en-US" w:eastAsia="zh-CN"/>
                <w14:textFill>
                  <w14:solidFill>
                    <w14:schemeClr w14:val="tx1"/>
                  </w14:solidFill>
                </w14:textFill>
              </w:rPr>
              <w:t>3</w:t>
            </w:r>
            <w:r>
              <w:rPr>
                <w:rFonts w:hint="default" w:ascii="Times New Roman" w:hAnsi="Times New Roman" w:cs="Times New Roman"/>
                <w:color w:val="000000" w:themeColor="text1"/>
                <w:kern w:val="0"/>
                <w:sz w:val="24"/>
                <w:szCs w:val="24"/>
                <w:lang w:val="en-US" w:eastAsia="zh-CN"/>
                <w14:textFill>
                  <w14:solidFill>
                    <w14:schemeClr w14:val="tx1"/>
                  </w14:solidFill>
                </w14:textFill>
              </w:rPr>
              <w:t>/d）</w:t>
            </w:r>
            <w:r>
              <w:rPr>
                <w:rFonts w:hint="default" w:ascii="Times New Roman" w:hAnsi="Times New Roman" w:cs="Times New Roman"/>
                <w:color w:val="000000" w:themeColor="text1"/>
                <w:kern w:val="0"/>
                <w:sz w:val="24"/>
                <w:szCs w:val="24"/>
                <w14:textFill>
                  <w14:solidFill>
                    <w14:schemeClr w14:val="tx1"/>
                  </w14:solidFill>
                </w14:textFill>
              </w:rPr>
              <w:t>。</w:t>
            </w:r>
            <w:r>
              <w:rPr>
                <w:rFonts w:hint="eastAsia" w:cs="Times New Roman"/>
                <w:color w:val="000000" w:themeColor="text1"/>
                <w:kern w:val="0"/>
                <w:sz w:val="24"/>
                <w:szCs w:val="24"/>
                <w:lang w:eastAsia="zh-CN"/>
                <w14:textFill>
                  <w14:solidFill>
                    <w14:schemeClr w14:val="tx1"/>
                  </w14:solidFill>
                </w14:textFill>
              </w:rPr>
              <w:t>“</w:t>
            </w:r>
            <w:r>
              <w:rPr>
                <w:rFonts w:hint="default" w:ascii="Times New Roman" w:hAnsi="Times New Roman" w:cs="Times New Roman"/>
                <w:color w:val="000000" w:themeColor="text1"/>
                <w:kern w:val="0"/>
                <w:sz w:val="24"/>
                <w:szCs w:val="24"/>
                <w:lang w:val="en-US" w:eastAsia="zh-CN"/>
                <w14:textFill>
                  <w14:solidFill>
                    <w14:schemeClr w14:val="tx1"/>
                  </w14:solidFill>
                </w14:textFill>
              </w:rPr>
              <w:t>调节池+A/O+MBR膜生物反应器+紫外线消毒</w:t>
            </w:r>
            <w:r>
              <w:rPr>
                <w:rFonts w:hint="eastAsia" w:cs="Times New Roman"/>
                <w:color w:val="000000" w:themeColor="text1"/>
                <w:kern w:val="0"/>
                <w:sz w:val="24"/>
                <w:szCs w:val="24"/>
                <w:lang w:eastAsia="zh-CN"/>
                <w14:textFill>
                  <w14:solidFill>
                    <w14:schemeClr w14:val="tx1"/>
                  </w14:solidFill>
                </w14:textFill>
              </w:rPr>
              <w:t>”</w:t>
            </w:r>
            <w:r>
              <w:rPr>
                <w:rFonts w:hint="default" w:ascii="Times New Roman" w:hAnsi="Times New Roman" w:cs="Times New Roman"/>
                <w:color w:val="000000" w:themeColor="text1"/>
                <w:kern w:val="0"/>
                <w:sz w:val="24"/>
                <w:szCs w:val="24"/>
                <w:lang w:val="en-US" w:eastAsia="zh-CN"/>
                <w14:textFill>
                  <w14:solidFill>
                    <w14:schemeClr w14:val="tx1"/>
                  </w14:solidFill>
                </w14:textFill>
              </w:rPr>
              <w:t>工艺能稳定将生活污水净化至城市绿化标准</w:t>
            </w:r>
            <w:r>
              <w:rPr>
                <w:rFonts w:hint="eastAsia" w:ascii="Times New Roman" w:hAnsi="Times New Roman" w:cs="Times New Roman"/>
                <w:color w:val="000000" w:themeColor="text1"/>
                <w:kern w:val="0"/>
                <w:sz w:val="24"/>
                <w:szCs w:val="24"/>
                <w:lang w:val="en-US" w:eastAsia="zh-CN"/>
                <w14:textFill>
                  <w14:solidFill>
                    <w14:schemeClr w14:val="tx1"/>
                  </w14:solidFill>
                </w14:textFill>
              </w:rPr>
              <w:t>，且根据云南联帆建材科技有限公司验收监测结果，生活污水经该污水处理站处理后的各项污染物均达标</w:t>
            </w:r>
            <w:r>
              <w:rPr>
                <w:rFonts w:hint="default" w:ascii="Times New Roman" w:hAnsi="Times New Roman" w:cs="Times New Roman"/>
                <w:color w:val="000000" w:themeColor="text1"/>
                <w:kern w:val="0"/>
                <w:sz w:val="24"/>
                <w:szCs w:val="24"/>
                <w:lang w:val="en-US" w:eastAsia="zh-CN"/>
                <w14:textFill>
                  <w14:solidFill>
                    <w14:schemeClr w14:val="tx1"/>
                  </w14:solidFill>
                </w14:textFill>
              </w:rPr>
              <w:t>。</w:t>
            </w:r>
            <w:r>
              <w:rPr>
                <w:rFonts w:hint="default" w:ascii="Times New Roman" w:hAnsi="Times New Roman" w:cs="Times New Roman"/>
                <w:color w:val="000000" w:themeColor="text1"/>
                <w:kern w:val="0"/>
                <w:sz w:val="24"/>
                <w:szCs w:val="24"/>
                <w14:textFill>
                  <w14:solidFill>
                    <w14:schemeClr w14:val="tx1"/>
                  </w14:solidFill>
                </w14:textFill>
              </w:rPr>
              <w:t>项目废水依托</w:t>
            </w:r>
            <w:r>
              <w:rPr>
                <w:rFonts w:hint="default" w:ascii="Times New Roman" w:hAnsi="Times New Roman" w:cs="Times New Roman"/>
                <w:color w:val="000000" w:themeColor="text1"/>
                <w:sz w:val="24"/>
                <w:szCs w:val="24"/>
                <w:lang w:val="en-US" w:eastAsia="zh-CN"/>
                <w14:textFill>
                  <w14:solidFill>
                    <w14:schemeClr w14:val="tx1"/>
                  </w14:solidFill>
                </w14:textFill>
              </w:rPr>
              <w:t>云南联帆建材科技有限公司</w:t>
            </w:r>
            <w:r>
              <w:rPr>
                <w:rFonts w:hint="eastAsia" w:ascii="Times New Roman" w:hAnsi="Times New Roman" w:cs="Times New Roman"/>
                <w:color w:val="000000" w:themeColor="text1"/>
                <w:kern w:val="0"/>
                <w:sz w:val="24"/>
                <w:szCs w:val="24"/>
                <w:lang w:val="en-US" w:eastAsia="zh-CN"/>
                <w14:textFill>
                  <w14:solidFill>
                    <w14:schemeClr w14:val="tx1"/>
                  </w14:solidFill>
                </w14:textFill>
              </w:rPr>
              <w:t>污水处理站</w:t>
            </w:r>
            <w:r>
              <w:rPr>
                <w:rFonts w:hint="default" w:ascii="Times New Roman" w:hAnsi="Times New Roman" w:cs="Times New Roman"/>
                <w:color w:val="000000" w:themeColor="text1"/>
                <w:kern w:val="0"/>
                <w:sz w:val="24"/>
                <w:szCs w:val="24"/>
                <w14:textFill>
                  <w14:solidFill>
                    <w14:schemeClr w14:val="tx1"/>
                  </w14:solidFill>
                </w14:textFill>
              </w:rPr>
              <w:t>进行处理是可行的。</w:t>
            </w:r>
          </w:p>
          <w:p w14:paraId="55CFE39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eastAsia="宋体" w:cs="Times New Roman"/>
                <w:color w:val="000000" w:themeColor="text1"/>
                <w:sz w:val="24"/>
                <w:szCs w:val="24"/>
                <w:vertAlign w:val="baseline"/>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生活污水回用于厂区绿化及道路清扫可行性分析：</w:t>
            </w:r>
            <w:r>
              <w:rPr>
                <w:rFonts w:hint="eastAsia" w:cs="Times New Roman"/>
                <w:color w:val="000000" w:themeColor="text1"/>
                <w:sz w:val="24"/>
                <w:szCs w:val="24"/>
                <w:lang w:val="en-US" w:eastAsia="zh-CN"/>
                <w14:textFill>
                  <w14:solidFill>
                    <w14:schemeClr w14:val="tx1"/>
                  </w14:solidFill>
                </w14:textFill>
              </w:rPr>
              <w:t>本项目生活污水产生量为</w:t>
            </w:r>
            <w:r>
              <w:rPr>
                <w:rFonts w:hint="eastAsia" w:cs="Times New Roman"/>
                <w:color w:val="000000" w:themeColor="text1"/>
                <w:kern w:val="0"/>
                <w:sz w:val="24"/>
                <w:szCs w:val="24"/>
                <w:lang w:val="en-US" w:eastAsia="zh-CN"/>
                <w14:textFill>
                  <w14:solidFill>
                    <w14:schemeClr w14:val="tx1"/>
                  </w14:solidFill>
                </w14:textFill>
              </w:rPr>
              <w:t>0.32</w:t>
            </w:r>
            <w:r>
              <w:rPr>
                <w:rFonts w:hint="default" w:ascii="Times New Roman" w:hAnsi="Times New Roman" w:cs="Times New Roman"/>
                <w:color w:val="000000" w:themeColor="text1"/>
                <w:kern w:val="0"/>
                <w:sz w:val="24"/>
                <w:szCs w:val="24"/>
                <w:lang w:val="en-US" w:eastAsia="zh-CN"/>
                <w14:textFill>
                  <w14:solidFill>
                    <w14:schemeClr w14:val="tx1"/>
                  </w14:solidFill>
                </w14:textFill>
              </w:rPr>
              <w:t>m</w:t>
            </w:r>
            <w:r>
              <w:rPr>
                <w:rFonts w:hint="default" w:ascii="Times New Roman" w:hAnsi="Times New Roman" w:cs="Times New Roman"/>
                <w:color w:val="000000" w:themeColor="text1"/>
                <w:kern w:val="0"/>
                <w:sz w:val="24"/>
                <w:szCs w:val="24"/>
                <w:vertAlign w:val="superscript"/>
                <w:lang w:val="en-US" w:eastAsia="zh-CN"/>
                <w14:textFill>
                  <w14:solidFill>
                    <w14:schemeClr w14:val="tx1"/>
                  </w14:solidFill>
                </w14:textFill>
              </w:rPr>
              <w:t>3</w:t>
            </w:r>
            <w:r>
              <w:rPr>
                <w:rFonts w:hint="default" w:ascii="Times New Roman" w:hAnsi="Times New Roman" w:cs="Times New Roman"/>
                <w:color w:val="000000" w:themeColor="text1"/>
                <w:kern w:val="0"/>
                <w:sz w:val="24"/>
                <w:szCs w:val="24"/>
                <w:lang w:val="en-US" w:eastAsia="zh-CN"/>
                <w14:textFill>
                  <w14:solidFill>
                    <w14:schemeClr w14:val="tx1"/>
                  </w14:solidFill>
                </w14:textFill>
              </w:rPr>
              <w:t>/d</w:t>
            </w:r>
            <w:r>
              <w:rPr>
                <w:rFonts w:hint="eastAsia" w:ascii="Times New Roman" w:hAnsi="Times New Roman" w:cs="Times New Roman"/>
                <w:color w:val="000000" w:themeColor="text1"/>
                <w:kern w:val="0"/>
                <w:sz w:val="24"/>
                <w:szCs w:val="24"/>
                <w:lang w:val="en-US" w:eastAsia="zh-CN"/>
                <w14:textFill>
                  <w14:solidFill>
                    <w14:schemeClr w14:val="tx1"/>
                  </w14:solidFill>
                </w14:textFill>
              </w:rPr>
              <w:t>，</w:t>
            </w:r>
            <w:r>
              <w:rPr>
                <w:rFonts w:hint="eastAsia" w:ascii="Times New Roman" w:eastAsia="宋体"/>
                <w:b w:val="0"/>
                <w:bCs w:val="0"/>
                <w:color w:val="000000" w:themeColor="text1"/>
                <w:sz w:val="24"/>
                <w:szCs w:val="24"/>
                <w:lang w:val="en-US" w:eastAsia="zh-CN"/>
                <w14:textFill>
                  <w14:solidFill>
                    <w14:schemeClr w14:val="tx1"/>
                  </w14:solidFill>
                </w14:textFill>
              </w:rPr>
              <w:t>云南联帆建材科技有限公司生活污水产生量为1.84m</w:t>
            </w:r>
            <w:r>
              <w:rPr>
                <w:rFonts w:hint="eastAsia" w:ascii="Times New Roman" w:eastAsia="宋体"/>
                <w:b w:val="0"/>
                <w:bCs w:val="0"/>
                <w:color w:val="000000" w:themeColor="text1"/>
                <w:sz w:val="24"/>
                <w:szCs w:val="24"/>
                <w:vertAlign w:val="superscript"/>
                <w:lang w:val="en-US" w:eastAsia="zh-CN"/>
                <w14:textFill>
                  <w14:solidFill>
                    <w14:schemeClr w14:val="tx1"/>
                  </w14:solidFill>
                </w14:textFill>
              </w:rPr>
              <w:t>3</w:t>
            </w:r>
            <w:r>
              <w:rPr>
                <w:rFonts w:hint="eastAsia" w:ascii="Times New Roman" w:eastAsia="宋体"/>
                <w:b w:val="0"/>
                <w:bCs w:val="0"/>
                <w:color w:val="000000" w:themeColor="text1"/>
                <w:sz w:val="24"/>
                <w:szCs w:val="24"/>
                <w:lang w:val="en-US" w:eastAsia="zh-CN"/>
                <w14:textFill>
                  <w14:solidFill>
                    <w14:schemeClr w14:val="tx1"/>
                  </w14:solidFill>
                </w14:textFill>
              </w:rPr>
              <w:t>/d。根据调查云南联帆建材科技有限公司绿化面积为520.75m</w:t>
            </w:r>
            <w:r>
              <w:rPr>
                <w:rFonts w:hint="eastAsia" w:ascii="Times New Roman" w:eastAsia="宋体"/>
                <w:b w:val="0"/>
                <w:bCs w:val="0"/>
                <w:color w:val="000000" w:themeColor="text1"/>
                <w:sz w:val="24"/>
                <w:szCs w:val="24"/>
                <w:vertAlign w:val="superscript"/>
                <w:lang w:val="en-US" w:eastAsia="zh-CN"/>
                <w14:textFill>
                  <w14:solidFill>
                    <w14:schemeClr w14:val="tx1"/>
                  </w14:solidFill>
                </w14:textFill>
              </w:rPr>
              <w:t>2</w:t>
            </w:r>
            <w:r>
              <w:rPr>
                <w:rFonts w:hint="eastAsia" w:ascii="Times New Roman" w:eastAsia="宋体"/>
                <w:b w:val="0"/>
                <w:bCs w:val="0"/>
                <w:color w:val="000000" w:themeColor="text1"/>
                <w:sz w:val="24"/>
                <w:szCs w:val="24"/>
                <w:vertAlign w:val="baseline"/>
                <w:lang w:val="en-US" w:eastAsia="zh-CN"/>
                <w14:textFill>
                  <w14:solidFill>
                    <w14:schemeClr w14:val="tx1"/>
                  </w14:solidFill>
                </w14:textFill>
              </w:rPr>
              <w:t>，根据《云南省地方标准 用水定额》（DB53/T168-20</w:t>
            </w:r>
            <w:r>
              <w:rPr>
                <w:rFonts w:hint="eastAsia"/>
                <w:b w:val="0"/>
                <w:bCs w:val="0"/>
                <w:color w:val="000000" w:themeColor="text1"/>
                <w:sz w:val="24"/>
                <w:szCs w:val="24"/>
                <w:vertAlign w:val="baseline"/>
                <w:lang w:val="en-US" w:eastAsia="zh-CN"/>
                <w14:textFill>
                  <w14:solidFill>
                    <w14:schemeClr w14:val="tx1"/>
                  </w14:solidFill>
                </w14:textFill>
              </w:rPr>
              <w:t>26</w:t>
            </w:r>
            <w:r>
              <w:rPr>
                <w:rFonts w:hint="eastAsia" w:ascii="Times New Roman" w:eastAsia="宋体"/>
                <w:b w:val="0"/>
                <w:bCs w:val="0"/>
                <w:color w:val="000000" w:themeColor="text1"/>
                <w:sz w:val="24"/>
                <w:szCs w:val="24"/>
                <w:vertAlign w:val="baseline"/>
                <w:lang w:val="en-US" w:eastAsia="zh-CN"/>
                <w14:textFill>
                  <w14:solidFill>
                    <w14:schemeClr w14:val="tx1"/>
                  </w14:solidFill>
                </w14:textFill>
              </w:rPr>
              <w:t>）绿化用水定额为</w:t>
            </w:r>
            <w:r>
              <w:rPr>
                <w:rFonts w:hint="eastAsia"/>
                <w:b w:val="0"/>
                <w:bCs w:val="0"/>
                <w:color w:val="000000" w:themeColor="text1"/>
                <w:sz w:val="24"/>
                <w:szCs w:val="24"/>
                <w:vertAlign w:val="baseline"/>
                <w:lang w:val="en-US" w:eastAsia="zh-CN"/>
                <w14:textFill>
                  <w14:solidFill>
                    <w14:schemeClr w14:val="tx1"/>
                  </w14:solidFill>
                </w14:textFill>
              </w:rPr>
              <w:t>2.6</w:t>
            </w:r>
            <w:r>
              <w:rPr>
                <w:rFonts w:hint="eastAsia" w:ascii="Times New Roman" w:eastAsia="宋体"/>
                <w:b w:val="0"/>
                <w:bCs w:val="0"/>
                <w:color w:val="000000" w:themeColor="text1"/>
                <w:sz w:val="24"/>
                <w:szCs w:val="24"/>
                <w:vertAlign w:val="baseline"/>
                <w:lang w:val="en-US" w:eastAsia="zh-CN"/>
                <w14:textFill>
                  <w14:solidFill>
                    <w14:schemeClr w14:val="tx1"/>
                  </w14:solidFill>
                </w14:textFill>
              </w:rPr>
              <w:t>L/</w:t>
            </w:r>
            <w:r>
              <w:rPr>
                <w:rFonts w:hint="eastAsia"/>
                <w:b w:val="0"/>
                <w:bCs w:val="0"/>
                <w:color w:val="000000" w:themeColor="text1"/>
                <w:sz w:val="24"/>
                <w:szCs w:val="24"/>
                <w:vertAlign w:val="baseline"/>
                <w:lang w:val="en-US" w:eastAsia="zh-CN"/>
                <w14:textFill>
                  <w14:solidFill>
                    <w14:schemeClr w14:val="tx1"/>
                  </w14:solidFill>
                </w14:textFill>
              </w:rPr>
              <w:t>（</w:t>
            </w:r>
            <w:r>
              <w:rPr>
                <w:rFonts w:hint="eastAsia" w:ascii="Times New Roman" w:eastAsia="宋体"/>
                <w:b w:val="0"/>
                <w:bCs w:val="0"/>
                <w:color w:val="000000" w:themeColor="text1"/>
                <w:sz w:val="24"/>
                <w:szCs w:val="24"/>
                <w:vertAlign w:val="baseline"/>
                <w:lang w:val="en-US" w:eastAsia="zh-CN"/>
                <w14:textFill>
                  <w14:solidFill>
                    <w14:schemeClr w14:val="tx1"/>
                  </w14:solidFill>
                </w14:textFill>
              </w:rPr>
              <w:t>m</w:t>
            </w:r>
            <w:r>
              <w:rPr>
                <w:rFonts w:hint="eastAsia" w:ascii="Times New Roman" w:eastAsia="宋体"/>
                <w:b w:val="0"/>
                <w:bCs w:val="0"/>
                <w:color w:val="000000" w:themeColor="text1"/>
                <w:sz w:val="24"/>
                <w:szCs w:val="24"/>
                <w:vertAlign w:val="superscript"/>
                <w:lang w:val="en-US" w:eastAsia="zh-CN"/>
                <w14:textFill>
                  <w14:solidFill>
                    <w14:schemeClr w14:val="tx1"/>
                  </w14:solidFill>
                </w14:textFill>
              </w:rPr>
              <w:t>2</w:t>
            </w:r>
            <w:r>
              <w:rPr>
                <w:rFonts w:hint="eastAsia" w:ascii="Times New Roman" w:eastAsia="宋体"/>
                <w:b w:val="0"/>
                <w:bCs w:val="0"/>
                <w:color w:val="000000" w:themeColor="text1"/>
                <w:sz w:val="24"/>
                <w:szCs w:val="24"/>
                <w:vertAlign w:val="baseline"/>
                <w:lang w:val="en-US" w:eastAsia="zh-CN"/>
                <w14:textFill>
                  <w14:solidFill>
                    <w14:schemeClr w14:val="tx1"/>
                  </w14:solidFill>
                </w14:textFill>
              </w:rPr>
              <w:t>·d</w:t>
            </w:r>
            <w:r>
              <w:rPr>
                <w:rFonts w:hint="eastAsia"/>
                <w:b w:val="0"/>
                <w:bCs w:val="0"/>
                <w:color w:val="000000" w:themeColor="text1"/>
                <w:sz w:val="24"/>
                <w:szCs w:val="24"/>
                <w:vertAlign w:val="baseline"/>
                <w:lang w:val="en-US" w:eastAsia="zh-CN"/>
                <w14:textFill>
                  <w14:solidFill>
                    <w14:schemeClr w14:val="tx1"/>
                  </w14:solidFill>
                </w14:textFill>
              </w:rPr>
              <w:t>）</w:t>
            </w:r>
            <w:r>
              <w:rPr>
                <w:rFonts w:hint="eastAsia" w:ascii="Times New Roman" w:eastAsia="宋体"/>
                <w:b w:val="0"/>
                <w:bCs w:val="0"/>
                <w:color w:val="000000" w:themeColor="text1"/>
                <w:sz w:val="24"/>
                <w:szCs w:val="24"/>
                <w:vertAlign w:val="baseline"/>
                <w:lang w:val="en-US" w:eastAsia="zh-CN"/>
                <w14:textFill>
                  <w14:solidFill>
                    <w14:schemeClr w14:val="tx1"/>
                  </w14:solidFill>
                </w14:textFill>
              </w:rPr>
              <w:t>计，</w:t>
            </w:r>
            <w:r>
              <w:rPr>
                <w:rFonts w:ascii="Times New Roman" w:hAnsi="Times New Roman" w:eastAsia="宋体"/>
                <w:color w:val="000000" w:themeColor="text1"/>
                <w:kern w:val="0"/>
                <w:sz w:val="24"/>
                <w:szCs w:val="24"/>
                <w:highlight w:val="none"/>
                <w:lang w:bidi="ar"/>
                <w14:textFill>
                  <w14:solidFill>
                    <w14:schemeClr w14:val="tx1"/>
                  </w14:solidFill>
                </w14:textFill>
              </w:rPr>
              <w:t>则</w:t>
            </w:r>
            <w:r>
              <w:rPr>
                <w:rFonts w:hint="eastAsia" w:ascii="Times New Roman" w:hAnsi="Times New Roman" w:eastAsia="宋体"/>
                <w:color w:val="000000" w:themeColor="text1"/>
                <w:kern w:val="0"/>
                <w:sz w:val="24"/>
                <w:szCs w:val="24"/>
                <w:highlight w:val="none"/>
                <w:lang w:val="en-US" w:eastAsia="zh-CN" w:bidi="ar"/>
                <w14:textFill>
                  <w14:solidFill>
                    <w14:schemeClr w14:val="tx1"/>
                  </w14:solidFill>
                </w14:textFill>
              </w:rPr>
              <w:t>非雨天</w:t>
            </w:r>
            <w:r>
              <w:rPr>
                <w:rFonts w:ascii="Times New Roman" w:hAnsi="Times New Roman" w:eastAsia="宋体"/>
                <w:color w:val="000000" w:themeColor="text1"/>
                <w:kern w:val="0"/>
                <w:sz w:val="24"/>
                <w:szCs w:val="24"/>
                <w:highlight w:val="none"/>
                <w:lang w:bidi="ar"/>
                <w14:textFill>
                  <w14:solidFill>
                    <w14:schemeClr w14:val="tx1"/>
                  </w14:solidFill>
                </w14:textFill>
              </w:rPr>
              <w:t>绿化用水量为</w:t>
            </w:r>
            <w:r>
              <w:rPr>
                <w:rFonts w:hint="eastAsia" w:ascii="Times New Roman" w:hAnsi="Times New Roman" w:eastAsia="宋体"/>
                <w:color w:val="000000" w:themeColor="text1"/>
                <w:kern w:val="0"/>
                <w:sz w:val="24"/>
                <w:szCs w:val="24"/>
                <w:highlight w:val="none"/>
                <w:lang w:val="en-US" w:eastAsia="zh-CN" w:bidi="ar"/>
                <w14:textFill>
                  <w14:solidFill>
                    <w14:schemeClr w14:val="tx1"/>
                  </w14:solidFill>
                </w14:textFill>
              </w:rPr>
              <w:t>1.</w:t>
            </w:r>
            <w:r>
              <w:rPr>
                <w:rFonts w:hint="eastAsia"/>
                <w:color w:val="000000" w:themeColor="text1"/>
                <w:kern w:val="0"/>
                <w:sz w:val="24"/>
                <w:szCs w:val="24"/>
                <w:highlight w:val="none"/>
                <w:lang w:val="en-US" w:eastAsia="zh-CN" w:bidi="ar"/>
                <w14:textFill>
                  <w14:solidFill>
                    <w14:schemeClr w14:val="tx1"/>
                  </w14:solidFill>
                </w14:textFill>
              </w:rPr>
              <w:t>354</w:t>
            </w:r>
            <w:r>
              <w:rPr>
                <w:rFonts w:ascii="Times New Roman" w:hAnsi="Times New Roman" w:eastAsia="宋体"/>
                <w:color w:val="000000" w:themeColor="text1"/>
                <w:kern w:val="0"/>
                <w:sz w:val="24"/>
                <w:szCs w:val="24"/>
                <w:highlight w:val="none"/>
                <w:lang w:bidi="ar"/>
                <w14:textFill>
                  <w14:solidFill>
                    <w14:schemeClr w14:val="tx1"/>
                  </w14:solidFill>
                </w14:textFill>
              </w:rPr>
              <w:t>m</w:t>
            </w:r>
            <w:r>
              <w:rPr>
                <w:rFonts w:ascii="Times New Roman" w:hAnsi="Times New Roman" w:eastAsia="宋体"/>
                <w:color w:val="000000" w:themeColor="text1"/>
                <w:kern w:val="0"/>
                <w:sz w:val="24"/>
                <w:szCs w:val="24"/>
                <w:highlight w:val="none"/>
                <w:vertAlign w:val="superscript"/>
                <w:lang w:bidi="ar"/>
                <w14:textFill>
                  <w14:solidFill>
                    <w14:schemeClr w14:val="tx1"/>
                  </w14:solidFill>
                </w14:textFill>
              </w:rPr>
              <w:t>3</w:t>
            </w:r>
            <w:r>
              <w:rPr>
                <w:rFonts w:ascii="Times New Roman" w:hAnsi="Times New Roman" w:eastAsia="宋体"/>
                <w:color w:val="000000" w:themeColor="text1"/>
                <w:kern w:val="0"/>
                <w:sz w:val="24"/>
                <w:szCs w:val="24"/>
                <w:highlight w:val="none"/>
                <w:lang w:bidi="ar"/>
                <w14:textFill>
                  <w14:solidFill>
                    <w14:schemeClr w14:val="tx1"/>
                  </w14:solidFill>
                </w14:textFill>
              </w:rPr>
              <w:t>/d</w:t>
            </w:r>
            <w:r>
              <w:rPr>
                <w:rFonts w:hint="eastAsia" w:ascii="Times New Roman" w:hAnsi="Times New Roman" w:eastAsia="宋体"/>
                <w:color w:val="000000" w:themeColor="text1"/>
                <w:kern w:val="0"/>
                <w:sz w:val="24"/>
                <w:szCs w:val="24"/>
                <w:highlight w:val="none"/>
                <w:lang w:eastAsia="zh-CN" w:bidi="ar"/>
                <w14:textFill>
                  <w14:solidFill>
                    <w14:schemeClr w14:val="tx1"/>
                  </w14:solidFill>
                </w14:textFill>
              </w:rPr>
              <w:t>。</w:t>
            </w:r>
            <w:r>
              <w:rPr>
                <w:rFonts w:hint="eastAsia" w:ascii="Times New Roman" w:hAnsi="Times New Roman" w:eastAsia="宋体"/>
                <w:color w:val="000000" w:themeColor="text1"/>
                <w:kern w:val="0"/>
                <w:sz w:val="24"/>
                <w:szCs w:val="24"/>
                <w:highlight w:val="none"/>
                <w:lang w:val="en-US" w:eastAsia="zh-CN" w:bidi="ar"/>
                <w14:textFill>
                  <w14:solidFill>
                    <w14:schemeClr w14:val="tx1"/>
                  </w14:solidFill>
                </w14:textFill>
              </w:rPr>
              <w:t>云南联帆建材科技有限公司</w:t>
            </w:r>
            <w:r>
              <w:rPr>
                <w:rFonts w:ascii="Times New Roman" w:hAnsi="Times New Roman" w:eastAsia="宋体"/>
                <w:color w:val="000000" w:themeColor="text1"/>
                <w:kern w:val="0"/>
                <w:sz w:val="24"/>
                <w:szCs w:val="24"/>
                <w:highlight w:val="none"/>
                <w:lang w:bidi="ar"/>
                <w14:textFill>
                  <w14:solidFill>
                    <w14:schemeClr w14:val="tx1"/>
                  </w14:solidFill>
                </w14:textFill>
              </w:rPr>
              <w:t>硬化区总面积为</w:t>
            </w:r>
            <w:r>
              <w:rPr>
                <w:rFonts w:hint="eastAsia" w:ascii="Times New Roman" w:hAnsi="Times New Roman" w:eastAsia="宋体"/>
                <w:color w:val="000000" w:themeColor="text1"/>
                <w:kern w:val="0"/>
                <w:sz w:val="24"/>
                <w:szCs w:val="24"/>
                <w:highlight w:val="none"/>
                <w:lang w:val="en-US" w:eastAsia="zh-CN" w:bidi="ar"/>
                <w14:textFill>
                  <w14:solidFill>
                    <w14:schemeClr w14:val="tx1"/>
                  </w14:solidFill>
                </w14:textFill>
              </w:rPr>
              <w:t>4000</w:t>
            </w:r>
            <w:r>
              <w:rPr>
                <w:rFonts w:ascii="Times New Roman" w:hAnsi="Times New Roman" w:eastAsia="宋体"/>
                <w:color w:val="000000" w:themeColor="text1"/>
                <w:kern w:val="0"/>
                <w:sz w:val="24"/>
                <w:szCs w:val="24"/>
                <w:highlight w:val="none"/>
                <w:lang w:bidi="ar"/>
                <w14:textFill>
                  <w14:solidFill>
                    <w14:schemeClr w14:val="tx1"/>
                  </w14:solidFill>
                </w14:textFill>
              </w:rPr>
              <w:t>m</w:t>
            </w:r>
            <w:r>
              <w:rPr>
                <w:rFonts w:ascii="Times New Roman" w:hAnsi="Times New Roman" w:eastAsia="宋体"/>
                <w:color w:val="000000" w:themeColor="text1"/>
                <w:kern w:val="0"/>
                <w:sz w:val="24"/>
                <w:szCs w:val="24"/>
                <w:highlight w:val="none"/>
                <w:vertAlign w:val="superscript"/>
                <w:lang w:bidi="ar"/>
                <w14:textFill>
                  <w14:solidFill>
                    <w14:schemeClr w14:val="tx1"/>
                  </w14:solidFill>
                </w14:textFill>
              </w:rPr>
              <w:t>2</w:t>
            </w:r>
            <w:r>
              <w:rPr>
                <w:rFonts w:ascii="Times New Roman" w:hAnsi="Times New Roman" w:eastAsia="宋体"/>
                <w:color w:val="000000" w:themeColor="text1"/>
                <w:kern w:val="0"/>
                <w:sz w:val="24"/>
                <w:szCs w:val="24"/>
                <w:highlight w:val="none"/>
                <w:lang w:bidi="ar"/>
                <w14:textFill>
                  <w14:solidFill>
                    <w14:schemeClr w14:val="tx1"/>
                  </w14:solidFill>
                </w14:textFill>
              </w:rPr>
              <w:t>，</w:t>
            </w:r>
            <w:r>
              <w:rPr>
                <w:rFonts w:hint="eastAsia" w:ascii="Times New Roman" w:hAnsi="Times New Roman" w:eastAsia="宋体" w:cs="宋体"/>
                <w:smallCaps w:val="0"/>
                <w:color w:val="000000" w:themeColor="text1"/>
                <w:kern w:val="2"/>
                <w:sz w:val="24"/>
                <w:szCs w:val="20"/>
                <w:highlight w:val="none"/>
                <w:lang w:val="en-US" w:eastAsia="zh-CN" w:bidi="ar"/>
                <w14:textFill>
                  <w14:solidFill>
                    <w14:schemeClr w14:val="tx1"/>
                  </w14:solidFill>
                </w14:textFill>
              </w:rPr>
              <w:t>参照《云南省地方标准用水定额》（DB53/T168-20</w:t>
            </w:r>
            <w:r>
              <w:rPr>
                <w:rFonts w:hint="eastAsia" w:cs="宋体"/>
                <w:smallCaps w:val="0"/>
                <w:color w:val="000000" w:themeColor="text1"/>
                <w:kern w:val="2"/>
                <w:sz w:val="24"/>
                <w:szCs w:val="20"/>
                <w:highlight w:val="none"/>
                <w:lang w:val="en-US" w:eastAsia="zh-CN" w:bidi="ar"/>
                <w14:textFill>
                  <w14:solidFill>
                    <w14:schemeClr w14:val="tx1"/>
                  </w14:solidFill>
                </w14:textFill>
              </w:rPr>
              <w:t>26</w:t>
            </w:r>
            <w:r>
              <w:rPr>
                <w:rFonts w:hint="eastAsia" w:ascii="Times New Roman" w:hAnsi="Times New Roman" w:eastAsia="宋体" w:cs="宋体"/>
                <w:smallCaps w:val="0"/>
                <w:color w:val="000000" w:themeColor="text1"/>
                <w:kern w:val="2"/>
                <w:sz w:val="24"/>
                <w:szCs w:val="20"/>
                <w:highlight w:val="none"/>
                <w:lang w:val="en-US" w:eastAsia="zh-CN" w:bidi="ar"/>
                <w14:textFill>
                  <w14:solidFill>
                    <w14:schemeClr w14:val="tx1"/>
                  </w14:solidFill>
                </w14:textFill>
              </w:rPr>
              <w:t>）场地浇洒用水标准，</w:t>
            </w:r>
            <w:r>
              <w:rPr>
                <w:rFonts w:ascii="Times New Roman" w:hAnsi="Times New Roman" w:eastAsia="宋体"/>
                <w:color w:val="000000" w:themeColor="text1"/>
                <w:sz w:val="24"/>
                <w:szCs w:val="24"/>
                <w:highlight w:val="none"/>
                <w14:textFill>
                  <w14:solidFill>
                    <w14:schemeClr w14:val="tx1"/>
                  </w14:solidFill>
                </w14:textFill>
              </w:rPr>
              <w:t>道路硬化区清洁用水量按每次0.00</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2</w:t>
            </w:r>
            <w:r>
              <w:rPr>
                <w:rFonts w:ascii="Times New Roman" w:hAnsi="Times New Roman" w:eastAsia="宋体"/>
                <w:color w:val="000000" w:themeColor="text1"/>
                <w:sz w:val="24"/>
                <w:szCs w:val="24"/>
                <w:highlight w:val="none"/>
                <w14:textFill>
                  <w14:solidFill>
                    <w14:schemeClr w14:val="tx1"/>
                  </w14:solidFill>
                </w14:textFill>
              </w:rPr>
              <w:t>m</w:t>
            </w:r>
            <w:r>
              <w:rPr>
                <w:rFonts w:ascii="Times New Roman" w:hAnsi="Times New Roman" w:eastAsia="宋体"/>
                <w:color w:val="000000" w:themeColor="text1"/>
                <w:sz w:val="24"/>
                <w:szCs w:val="24"/>
                <w:highlight w:val="none"/>
                <w:vertAlign w:val="superscript"/>
                <w14:textFill>
                  <w14:solidFill>
                    <w14:schemeClr w14:val="tx1"/>
                  </w14:solidFill>
                </w14:textFill>
              </w:rPr>
              <w:t>3</w:t>
            </w:r>
            <w:r>
              <w:rPr>
                <w:rFonts w:ascii="Times New Roman" w:hAnsi="Times New Roman" w:eastAsia="宋体"/>
                <w:color w:val="000000" w:themeColor="text1"/>
                <w:sz w:val="24"/>
                <w:szCs w:val="24"/>
                <w:highlight w:val="none"/>
                <w14:textFill>
                  <w14:solidFill>
                    <w14:schemeClr w14:val="tx1"/>
                  </w14:solidFill>
                </w14:textFill>
              </w:rPr>
              <w:t>/m</w:t>
            </w:r>
            <w:r>
              <w:rPr>
                <w:rFonts w:ascii="Times New Roman" w:hAnsi="Times New Roman" w:eastAsia="宋体"/>
                <w:color w:val="000000" w:themeColor="text1"/>
                <w:sz w:val="24"/>
                <w:szCs w:val="24"/>
                <w:highlight w:val="none"/>
                <w:vertAlign w:val="superscript"/>
                <w14:textFill>
                  <w14:solidFill>
                    <w14:schemeClr w14:val="tx1"/>
                  </w14:solidFill>
                </w14:textFill>
              </w:rPr>
              <w:t>2</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次</w:t>
            </w:r>
            <w:r>
              <w:rPr>
                <w:rFonts w:ascii="Times New Roman" w:hAnsi="Times New Roman" w:eastAsia="宋体"/>
                <w:color w:val="000000" w:themeColor="text1"/>
                <w:sz w:val="24"/>
                <w:szCs w:val="24"/>
                <w:highlight w:val="none"/>
                <w14:textFill>
                  <w14:solidFill>
                    <w14:schemeClr w14:val="tx1"/>
                  </w14:solidFill>
                </w14:textFill>
              </w:rPr>
              <w:t>计</w:t>
            </w:r>
            <w:r>
              <w:rPr>
                <w:rFonts w:ascii="Times New Roman" w:hAnsi="Times New Roman" w:eastAsia="宋体"/>
                <w:color w:val="000000" w:themeColor="text1"/>
                <w:kern w:val="0"/>
                <w:sz w:val="24"/>
                <w:szCs w:val="24"/>
                <w:highlight w:val="none"/>
                <w:lang w:bidi="ar"/>
                <w14:textFill>
                  <w14:solidFill>
                    <w14:schemeClr w14:val="tx1"/>
                  </w14:solidFill>
                </w14:textFill>
              </w:rPr>
              <w:t>，则</w:t>
            </w:r>
            <w:r>
              <w:rPr>
                <w:rFonts w:hint="eastAsia" w:ascii="Times New Roman" w:hAnsi="Times New Roman" w:eastAsia="宋体"/>
                <w:color w:val="000000" w:themeColor="text1"/>
                <w:kern w:val="0"/>
                <w:sz w:val="24"/>
                <w:szCs w:val="24"/>
                <w:highlight w:val="none"/>
                <w:lang w:val="en-US" w:eastAsia="zh-CN" w:bidi="ar"/>
                <w14:textFill>
                  <w14:solidFill>
                    <w14:schemeClr w14:val="tx1"/>
                  </w14:solidFill>
                </w14:textFill>
              </w:rPr>
              <w:t>非雨天场地浇洒用水</w:t>
            </w:r>
            <w:r>
              <w:rPr>
                <w:rFonts w:ascii="Times New Roman" w:hAnsi="Times New Roman" w:eastAsia="宋体"/>
                <w:color w:val="000000" w:themeColor="text1"/>
                <w:kern w:val="0"/>
                <w:sz w:val="24"/>
                <w:szCs w:val="24"/>
                <w:highlight w:val="none"/>
                <w:lang w:bidi="ar"/>
                <w14:textFill>
                  <w14:solidFill>
                    <w14:schemeClr w14:val="tx1"/>
                  </w14:solidFill>
                </w14:textFill>
              </w:rPr>
              <w:t>量为</w:t>
            </w:r>
            <w:r>
              <w:rPr>
                <w:rFonts w:hint="eastAsia" w:ascii="Times New Roman" w:hAnsi="Times New Roman" w:eastAsia="宋体"/>
                <w:color w:val="000000" w:themeColor="text1"/>
                <w:kern w:val="0"/>
                <w:sz w:val="24"/>
                <w:szCs w:val="24"/>
                <w:highlight w:val="none"/>
                <w:lang w:val="en-US" w:eastAsia="zh-CN" w:bidi="ar"/>
                <w14:textFill>
                  <w14:solidFill>
                    <w14:schemeClr w14:val="tx1"/>
                  </w14:solidFill>
                </w14:textFill>
              </w:rPr>
              <w:t>1.14</w:t>
            </w:r>
            <w:r>
              <w:rPr>
                <w:rFonts w:ascii="Times New Roman" w:hAnsi="Times New Roman" w:eastAsia="宋体"/>
                <w:color w:val="000000" w:themeColor="text1"/>
                <w:kern w:val="0"/>
                <w:sz w:val="24"/>
                <w:szCs w:val="24"/>
                <w:highlight w:val="none"/>
                <w:lang w:bidi="ar"/>
                <w14:textFill>
                  <w14:solidFill>
                    <w14:schemeClr w14:val="tx1"/>
                  </w14:solidFill>
                </w14:textFill>
              </w:rPr>
              <w:t>m</w:t>
            </w:r>
            <w:r>
              <w:rPr>
                <w:rFonts w:ascii="Times New Roman" w:hAnsi="Times New Roman" w:eastAsia="宋体"/>
                <w:color w:val="000000" w:themeColor="text1"/>
                <w:kern w:val="0"/>
                <w:sz w:val="24"/>
                <w:szCs w:val="24"/>
                <w:highlight w:val="none"/>
                <w:vertAlign w:val="superscript"/>
                <w:lang w:bidi="ar"/>
                <w14:textFill>
                  <w14:solidFill>
                    <w14:schemeClr w14:val="tx1"/>
                  </w14:solidFill>
                </w14:textFill>
              </w:rPr>
              <w:t>3</w:t>
            </w:r>
            <w:r>
              <w:rPr>
                <w:rFonts w:ascii="Times New Roman" w:hAnsi="Times New Roman" w:eastAsia="宋体"/>
                <w:color w:val="000000" w:themeColor="text1"/>
                <w:kern w:val="0"/>
                <w:sz w:val="24"/>
                <w:szCs w:val="24"/>
                <w:highlight w:val="none"/>
                <w:lang w:bidi="ar"/>
                <w14:textFill>
                  <w14:solidFill>
                    <w14:schemeClr w14:val="tx1"/>
                  </w14:solidFill>
                </w14:textFill>
              </w:rPr>
              <w:t>/d</w:t>
            </w:r>
            <w:r>
              <w:rPr>
                <w:rFonts w:hint="eastAsia" w:ascii="Times New Roman" w:hAnsi="Times New Roman" w:eastAsia="宋体"/>
                <w:color w:val="000000" w:themeColor="text1"/>
                <w:kern w:val="0"/>
                <w:sz w:val="24"/>
                <w:szCs w:val="24"/>
                <w:highlight w:val="none"/>
                <w:lang w:eastAsia="zh-CN" w:bidi="ar"/>
                <w14:textFill>
                  <w14:solidFill>
                    <w14:schemeClr w14:val="tx1"/>
                  </w14:solidFill>
                </w14:textFill>
              </w:rPr>
              <w:t>。</w:t>
            </w:r>
            <w:r>
              <w:rPr>
                <w:rFonts w:hint="eastAsia" w:ascii="Times New Roman" w:hAnsi="Times New Roman" w:eastAsia="宋体"/>
                <w:color w:val="000000" w:themeColor="text1"/>
                <w:kern w:val="0"/>
                <w:sz w:val="24"/>
                <w:szCs w:val="24"/>
                <w:highlight w:val="none"/>
                <w:lang w:val="en-US" w:eastAsia="zh-CN" w:bidi="ar"/>
                <w14:textFill>
                  <w14:solidFill>
                    <w14:schemeClr w14:val="tx1"/>
                  </w14:solidFill>
                </w14:textFill>
              </w:rPr>
              <w:t>本项目产生生活污水与云南联帆建材科技有限公司产生生活污水总量均小于厂区绿化与道路清扫用水量，且云南联帆建材科技有限公司容积</w:t>
            </w:r>
            <w:r>
              <w:rPr>
                <w:rFonts w:hint="eastAsia"/>
                <w:color w:val="000000" w:themeColor="text1"/>
                <w:kern w:val="0"/>
                <w:sz w:val="24"/>
                <w:szCs w:val="24"/>
                <w:highlight w:val="none"/>
                <w:lang w:val="en-US" w:eastAsia="zh-CN" w:bidi="ar"/>
                <w14:textFill>
                  <w14:solidFill>
                    <w14:schemeClr w14:val="tx1"/>
                  </w14:solidFill>
                </w14:textFill>
              </w:rPr>
              <w:t>已建成容积</w:t>
            </w:r>
            <w:r>
              <w:rPr>
                <w:rFonts w:hint="eastAsia" w:ascii="Times New Roman" w:hAnsi="Times New Roman" w:eastAsia="宋体"/>
                <w:color w:val="000000" w:themeColor="text1"/>
                <w:kern w:val="0"/>
                <w:sz w:val="24"/>
                <w:szCs w:val="24"/>
                <w:highlight w:val="none"/>
                <w:lang w:val="en-US" w:eastAsia="zh-CN" w:bidi="ar"/>
                <w14:textFill>
                  <w14:solidFill>
                    <w14:schemeClr w14:val="tx1"/>
                  </w14:solidFill>
                </w14:textFill>
              </w:rPr>
              <w:t>为20m</w:t>
            </w:r>
            <w:r>
              <w:rPr>
                <w:rFonts w:hint="eastAsia" w:ascii="Times New Roman" w:hAnsi="Times New Roman" w:eastAsia="宋体"/>
                <w:color w:val="000000" w:themeColor="text1"/>
                <w:kern w:val="0"/>
                <w:sz w:val="24"/>
                <w:szCs w:val="24"/>
                <w:highlight w:val="none"/>
                <w:vertAlign w:val="superscript"/>
                <w:lang w:val="en-US" w:eastAsia="zh-CN" w:bidi="ar"/>
                <w14:textFill>
                  <w14:solidFill>
                    <w14:schemeClr w14:val="tx1"/>
                  </w14:solidFill>
                </w14:textFill>
              </w:rPr>
              <w:t>3</w:t>
            </w:r>
            <w:r>
              <w:rPr>
                <w:rFonts w:hint="eastAsia" w:ascii="Times New Roman" w:hAnsi="Times New Roman" w:eastAsia="宋体"/>
                <w:color w:val="000000" w:themeColor="text1"/>
                <w:kern w:val="0"/>
                <w:sz w:val="24"/>
                <w:szCs w:val="24"/>
                <w:highlight w:val="none"/>
                <w:lang w:val="en-US" w:eastAsia="zh-CN" w:bidi="ar"/>
                <w14:textFill>
                  <w14:solidFill>
                    <w14:schemeClr w14:val="tx1"/>
                  </w14:solidFill>
                </w14:textFill>
              </w:rPr>
              <w:t>的回用水池用于暂存处理后的生活污水，可满足生活污水暂存7天以上要求，能确保雨天生活污水不外排。综上，项目生活污水处理达标后回用于厂区绿化与道路清扫是可行的。</w:t>
            </w:r>
          </w:p>
          <w:p w14:paraId="1FE624FF">
            <w:pPr>
              <w:spacing w:line="360" w:lineRule="auto"/>
              <w:ind w:firstLine="482" w:firstLineChars="200"/>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4、</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监测要求</w:t>
            </w:r>
          </w:p>
          <w:p w14:paraId="7D4574D0">
            <w:pPr>
              <w:adjustRightInd w:val="0"/>
              <w:snapToGrid w:val="0"/>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当项目建成后达到环境保护竣工验收条件时，应对项目进行自主验收；根据本项目的废水污染特征以及本报告表提出的环境保护措施，项目环境保护竣工验收监测计划如下：</w:t>
            </w:r>
          </w:p>
          <w:p w14:paraId="303B632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color w:val="000000" w:themeColor="text1"/>
                <w:szCs w:val="21"/>
                <w:lang w:bidi="ar"/>
                <w14:textFill>
                  <w14:solidFill>
                    <w14:schemeClr w14:val="tx1"/>
                  </w14:solidFill>
                </w14:textFill>
              </w:rPr>
            </w:pPr>
          </w:p>
          <w:p w14:paraId="6D4B9E5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lang w:bidi="ar"/>
                <w14:textFill>
                  <w14:solidFill>
                    <w14:schemeClr w14:val="tx1"/>
                  </w14:solidFill>
                </w14:textFill>
              </w:rPr>
              <w:t>表4-</w:t>
            </w:r>
            <w:r>
              <w:rPr>
                <w:rFonts w:hint="eastAsia" w:ascii="Times New Roman" w:hAnsi="Times New Roman" w:eastAsia="宋体" w:cs="Times New Roman"/>
                <w:b/>
                <w:color w:val="000000" w:themeColor="text1"/>
                <w:szCs w:val="21"/>
                <w:lang w:val="en-US" w:eastAsia="zh-CN" w:bidi="ar"/>
                <w14:textFill>
                  <w14:solidFill>
                    <w14:schemeClr w14:val="tx1"/>
                  </w14:solidFill>
                </w14:textFill>
              </w:rPr>
              <w:t>2</w:t>
            </w:r>
            <w:r>
              <w:rPr>
                <w:rFonts w:hint="default" w:ascii="Times New Roman" w:hAnsi="Times New Roman" w:eastAsia="宋体" w:cs="Times New Roman"/>
                <w:b/>
                <w:color w:val="000000" w:themeColor="text1"/>
                <w:szCs w:val="21"/>
                <w:lang w:val="en-US" w:eastAsia="zh-CN" w:bidi="ar"/>
                <w14:textFill>
                  <w14:solidFill>
                    <w14:schemeClr w14:val="tx1"/>
                  </w14:solidFill>
                </w14:textFill>
              </w:rPr>
              <w:t xml:space="preserve">    </w:t>
            </w:r>
            <w:r>
              <w:rPr>
                <w:rFonts w:hint="default" w:ascii="Times New Roman" w:hAnsi="Times New Roman" w:eastAsia="宋体" w:cs="Times New Roman"/>
                <w:b/>
                <w:color w:val="000000" w:themeColor="text1"/>
                <w:szCs w:val="21"/>
                <w14:textFill>
                  <w14:solidFill>
                    <w14:schemeClr w14:val="tx1"/>
                  </w14:solidFill>
                </w14:textFill>
              </w:rPr>
              <w:t>环境保护竣工验收监测计划</w:t>
            </w:r>
          </w:p>
          <w:tbl>
            <w:tblPr>
              <w:tblStyle w:val="31"/>
              <w:tblW w:w="49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3128"/>
              <w:gridCol w:w="2412"/>
            </w:tblGrid>
            <w:tr w14:paraId="6D818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94" w:type="pct"/>
                  <w:noWrap w:val="0"/>
                  <w:vAlign w:val="center"/>
                </w:tcPr>
                <w:p w14:paraId="2EDF2751">
                  <w:pPr>
                    <w:adjustRightInd w:val="0"/>
                    <w:snapToGrid w:val="0"/>
                    <w:jc w:val="center"/>
                    <w:textAlignment w:val="baseline"/>
                    <w:rPr>
                      <w:rFonts w:hint="default" w:ascii="Times New Roman" w:hAnsi="Times New Roman" w:eastAsia="宋体" w:cs="Times New Roman"/>
                      <w:b/>
                      <w:bCs w:val="0"/>
                      <w:color w:val="000000" w:themeColor="text1"/>
                      <w:szCs w:val="21"/>
                      <w14:textFill>
                        <w14:solidFill>
                          <w14:schemeClr w14:val="tx1"/>
                        </w14:solidFill>
                      </w14:textFill>
                    </w:rPr>
                  </w:pPr>
                  <w:r>
                    <w:rPr>
                      <w:rFonts w:hint="default" w:ascii="Times New Roman" w:hAnsi="Times New Roman" w:eastAsia="宋体" w:cs="Times New Roman"/>
                      <w:b/>
                      <w:bCs w:val="0"/>
                      <w:color w:val="000000" w:themeColor="text1"/>
                      <w:szCs w:val="21"/>
                      <w14:textFill>
                        <w14:solidFill>
                          <w14:schemeClr w14:val="tx1"/>
                        </w14:solidFill>
                      </w14:textFill>
                    </w:rPr>
                    <w:t>监测点位</w:t>
                  </w:r>
                </w:p>
              </w:tc>
              <w:tc>
                <w:tcPr>
                  <w:tcW w:w="1866" w:type="pct"/>
                  <w:noWrap w:val="0"/>
                  <w:vAlign w:val="center"/>
                </w:tcPr>
                <w:p w14:paraId="1ADB8DC5">
                  <w:pPr>
                    <w:adjustRightInd w:val="0"/>
                    <w:snapToGrid w:val="0"/>
                    <w:jc w:val="center"/>
                    <w:textAlignment w:val="baseline"/>
                    <w:rPr>
                      <w:rFonts w:hint="default" w:ascii="Times New Roman" w:hAnsi="Times New Roman" w:eastAsia="宋体" w:cs="Times New Roman"/>
                      <w:b/>
                      <w:bCs w:val="0"/>
                      <w:color w:val="000000" w:themeColor="text1"/>
                      <w:szCs w:val="21"/>
                      <w14:textFill>
                        <w14:solidFill>
                          <w14:schemeClr w14:val="tx1"/>
                        </w14:solidFill>
                      </w14:textFill>
                    </w:rPr>
                  </w:pPr>
                  <w:r>
                    <w:rPr>
                      <w:rFonts w:hint="default" w:ascii="Times New Roman" w:hAnsi="Times New Roman" w:eastAsia="宋体" w:cs="Times New Roman"/>
                      <w:b/>
                      <w:bCs w:val="0"/>
                      <w:color w:val="000000" w:themeColor="text1"/>
                      <w:szCs w:val="21"/>
                      <w14:textFill>
                        <w14:solidFill>
                          <w14:schemeClr w14:val="tx1"/>
                        </w14:solidFill>
                      </w14:textFill>
                    </w:rPr>
                    <w:t>监测因子</w:t>
                  </w:r>
                </w:p>
              </w:tc>
              <w:tc>
                <w:tcPr>
                  <w:tcW w:w="1439" w:type="pct"/>
                  <w:noWrap w:val="0"/>
                  <w:vAlign w:val="center"/>
                </w:tcPr>
                <w:p w14:paraId="64516833">
                  <w:pPr>
                    <w:adjustRightInd w:val="0"/>
                    <w:snapToGrid w:val="0"/>
                    <w:jc w:val="center"/>
                    <w:textAlignment w:val="baseline"/>
                    <w:rPr>
                      <w:rFonts w:hint="default" w:ascii="Times New Roman" w:hAnsi="Times New Roman" w:eastAsia="宋体" w:cs="Times New Roman"/>
                      <w:b/>
                      <w:bCs w:val="0"/>
                      <w:color w:val="000000" w:themeColor="text1"/>
                      <w:szCs w:val="21"/>
                      <w14:textFill>
                        <w14:solidFill>
                          <w14:schemeClr w14:val="tx1"/>
                        </w14:solidFill>
                      </w14:textFill>
                    </w:rPr>
                  </w:pPr>
                  <w:r>
                    <w:rPr>
                      <w:rFonts w:hint="default" w:ascii="Times New Roman" w:hAnsi="Times New Roman" w:eastAsia="宋体" w:cs="Times New Roman"/>
                      <w:b/>
                      <w:bCs w:val="0"/>
                      <w:color w:val="000000" w:themeColor="text1"/>
                      <w:szCs w:val="21"/>
                      <w14:textFill>
                        <w14:solidFill>
                          <w14:schemeClr w14:val="tx1"/>
                        </w14:solidFill>
                      </w14:textFill>
                    </w:rPr>
                    <w:t>监测频次</w:t>
                  </w:r>
                </w:p>
              </w:tc>
            </w:tr>
            <w:tr w14:paraId="0D6D5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94" w:type="pct"/>
                  <w:noWrap w:val="0"/>
                  <w:vAlign w:val="center"/>
                </w:tcPr>
                <w:p w14:paraId="65DE3C6B">
                  <w:pPr>
                    <w:adjustRightInd w:val="0"/>
                    <w:snapToGrid w:val="0"/>
                    <w:jc w:val="center"/>
                    <w:textAlignment w:val="baseline"/>
                    <w:rPr>
                      <w:rFonts w:hint="default" w:ascii="Times New Roman" w:hAnsi="Times New Roman" w:eastAsia="宋体" w:cs="Times New Roman"/>
                      <w:b w:val="0"/>
                      <w:bCs/>
                      <w:color w:val="000000" w:themeColor="text1"/>
                      <w:szCs w:val="21"/>
                      <w14:textFill>
                        <w14:solidFill>
                          <w14:schemeClr w14:val="tx1"/>
                        </w14:solidFill>
                      </w14:textFill>
                    </w:rPr>
                  </w:pPr>
                  <w:r>
                    <w:rPr>
                      <w:rFonts w:hint="eastAsia" w:cs="Times New Roman"/>
                      <w:b w:val="0"/>
                      <w:bCs/>
                      <w:color w:val="000000" w:themeColor="text1"/>
                      <w:szCs w:val="21"/>
                      <w:lang w:val="en-US" w:eastAsia="zh-CN"/>
                      <w14:textFill>
                        <w14:solidFill>
                          <w14:schemeClr w14:val="tx1"/>
                        </w14:solidFill>
                      </w14:textFill>
                    </w:rPr>
                    <w:t>依托</w:t>
                  </w:r>
                  <w:r>
                    <w:rPr>
                      <w:rFonts w:hint="default" w:ascii="Times New Roman" w:hAnsi="Times New Roman" w:eastAsia="宋体" w:cs="Times New Roman"/>
                      <w:b w:val="0"/>
                      <w:bCs/>
                      <w:color w:val="000000" w:themeColor="text1"/>
                      <w:szCs w:val="21"/>
                      <w14:textFill>
                        <w14:solidFill>
                          <w14:schemeClr w14:val="tx1"/>
                        </w14:solidFill>
                      </w14:textFill>
                    </w:rPr>
                    <w:t>污水处理站出口处</w:t>
                  </w:r>
                  <w:r>
                    <w:rPr>
                      <w:rFonts w:hint="eastAsia" w:ascii="Times New Roman" w:hAnsi="Times New Roman" w:eastAsia="宋体" w:cs="Times New Roman"/>
                      <w:b w:val="0"/>
                      <w:bCs/>
                      <w:color w:val="000000" w:themeColor="text1"/>
                      <w:szCs w:val="21"/>
                      <w:lang w:eastAsia="zh-CN"/>
                      <w14:textFill>
                        <w14:solidFill>
                          <w14:schemeClr w14:val="tx1"/>
                        </w14:solidFill>
                      </w14:textFill>
                    </w:rPr>
                    <w:t>设置</w:t>
                  </w:r>
                  <w:r>
                    <w:rPr>
                      <w:rFonts w:hint="default" w:ascii="Times New Roman" w:hAnsi="Times New Roman" w:eastAsia="宋体" w:cs="Times New Roman"/>
                      <w:b w:val="0"/>
                      <w:bCs/>
                      <w:color w:val="000000" w:themeColor="text1"/>
                      <w:szCs w:val="21"/>
                      <w14:textFill>
                        <w14:solidFill>
                          <w14:schemeClr w14:val="tx1"/>
                        </w14:solidFill>
                      </w14:textFill>
                    </w:rPr>
                    <w:t>1个监测点</w:t>
                  </w:r>
                </w:p>
              </w:tc>
              <w:tc>
                <w:tcPr>
                  <w:tcW w:w="1866" w:type="pct"/>
                  <w:noWrap w:val="0"/>
                  <w:vAlign w:val="center"/>
                </w:tcPr>
                <w:p w14:paraId="0A1D2008">
                  <w:pPr>
                    <w:adjustRightInd w:val="0"/>
                    <w:snapToGrid w:val="0"/>
                    <w:jc w:val="center"/>
                    <w:textAlignment w:val="baseline"/>
                    <w:rPr>
                      <w:rFonts w:hint="default" w:ascii="Times New Roman" w:hAnsi="Times New Roman" w:eastAsia="宋体" w:cs="Times New Roman"/>
                      <w:b w:val="0"/>
                      <w:bCs/>
                      <w:color w:val="000000" w:themeColor="text1"/>
                      <w:szCs w:val="21"/>
                      <w14:textFill>
                        <w14:solidFill>
                          <w14:schemeClr w14:val="tx1"/>
                        </w14:solidFill>
                      </w14:textFill>
                    </w:rPr>
                  </w:pPr>
                  <w:r>
                    <w:rPr>
                      <w:rFonts w:hint="default" w:ascii="Times New Roman" w:hAnsi="Times New Roman" w:eastAsia="宋体" w:cs="Times New Roman"/>
                      <w:b w:val="0"/>
                      <w:bCs/>
                      <w:color w:val="000000" w:themeColor="text1"/>
                      <w:szCs w:val="21"/>
                      <w14:textFill>
                        <w14:solidFill>
                          <w14:schemeClr w14:val="tx1"/>
                        </w14:solidFill>
                      </w14:textFill>
                    </w:rPr>
                    <w:t>pH、CODcr、氨氮、BOD</w:t>
                  </w:r>
                  <w:r>
                    <w:rPr>
                      <w:rFonts w:hint="default" w:ascii="Times New Roman" w:hAnsi="Times New Roman" w:eastAsia="宋体" w:cs="Times New Roman"/>
                      <w:b w:val="0"/>
                      <w:bCs/>
                      <w:color w:val="000000" w:themeColor="text1"/>
                      <w:szCs w:val="21"/>
                      <w:vertAlign w:val="subscript"/>
                      <w14:textFill>
                        <w14:solidFill>
                          <w14:schemeClr w14:val="tx1"/>
                        </w14:solidFill>
                      </w14:textFill>
                    </w:rPr>
                    <w:t>5</w:t>
                  </w:r>
                  <w:r>
                    <w:rPr>
                      <w:rFonts w:hint="default" w:ascii="Times New Roman" w:hAnsi="Times New Roman" w:eastAsia="宋体" w:cs="Times New Roman"/>
                      <w:b w:val="0"/>
                      <w:bCs/>
                      <w:color w:val="000000" w:themeColor="text1"/>
                      <w:szCs w:val="21"/>
                      <w14:textFill>
                        <w14:solidFill>
                          <w14:schemeClr w14:val="tx1"/>
                        </w14:solidFill>
                      </w14:textFill>
                    </w:rPr>
                    <w:t>、总磷、SS、动植物油</w:t>
                  </w:r>
                  <w:r>
                    <w:rPr>
                      <w:rFonts w:hint="default" w:ascii="Times New Roman" w:hAnsi="Times New Roman" w:eastAsia="宋体" w:cs="Times New Roman"/>
                      <w:b w:val="0"/>
                      <w:bCs/>
                      <w:color w:val="000000" w:themeColor="text1"/>
                      <w:szCs w:val="21"/>
                      <w:lang w:eastAsia="zh-CN"/>
                      <w14:textFill>
                        <w14:solidFill>
                          <w14:schemeClr w14:val="tx1"/>
                        </w14:solidFill>
                      </w14:textFill>
                    </w:rPr>
                    <w:t>、</w:t>
                  </w:r>
                  <w:r>
                    <w:rPr>
                      <w:rFonts w:hint="default" w:ascii="Times New Roman" w:hAnsi="Times New Roman" w:eastAsia="宋体" w:cs="Times New Roman"/>
                      <w:b w:val="0"/>
                      <w:bCs/>
                      <w:color w:val="000000" w:themeColor="text1"/>
                      <w:szCs w:val="21"/>
                      <w:lang w:val="en-US" w:eastAsia="zh-CN"/>
                      <w14:textFill>
                        <w14:solidFill>
                          <w14:schemeClr w14:val="tx1"/>
                        </w14:solidFill>
                      </w14:textFill>
                    </w:rPr>
                    <w:t>阴离子表面活性剂等</w:t>
                  </w:r>
                </w:p>
              </w:tc>
              <w:tc>
                <w:tcPr>
                  <w:tcW w:w="1439" w:type="pct"/>
                  <w:noWrap w:val="0"/>
                  <w:vAlign w:val="center"/>
                </w:tcPr>
                <w:p w14:paraId="710248C3">
                  <w:pPr>
                    <w:adjustRightInd w:val="0"/>
                    <w:snapToGrid w:val="0"/>
                    <w:jc w:val="center"/>
                    <w:textAlignment w:val="baseline"/>
                    <w:rPr>
                      <w:rFonts w:hint="default" w:ascii="Times New Roman" w:hAnsi="Times New Roman" w:eastAsia="宋体" w:cs="Times New Roman"/>
                      <w:b w:val="0"/>
                      <w:bCs/>
                      <w:color w:val="000000" w:themeColor="text1"/>
                      <w14:textFill>
                        <w14:solidFill>
                          <w14:schemeClr w14:val="tx1"/>
                        </w14:solidFill>
                      </w14:textFill>
                    </w:rPr>
                  </w:pPr>
                  <w:r>
                    <w:rPr>
                      <w:rFonts w:hint="default" w:ascii="Times New Roman" w:hAnsi="Times New Roman" w:eastAsia="宋体" w:cs="Times New Roman"/>
                      <w:b w:val="0"/>
                      <w:bCs/>
                      <w:color w:val="000000" w:themeColor="text1"/>
                      <w14:textFill>
                        <w14:solidFill>
                          <w14:schemeClr w14:val="tx1"/>
                        </w14:solidFill>
                      </w14:textFill>
                    </w:rPr>
                    <w:t>连续监测2天，每天</w:t>
                  </w:r>
                  <w:r>
                    <w:rPr>
                      <w:rFonts w:hint="eastAsia" w:ascii="Times New Roman" w:hAnsi="Times New Roman" w:eastAsia="宋体" w:cs="Times New Roman"/>
                      <w:b w:val="0"/>
                      <w:bCs/>
                      <w:color w:val="000000" w:themeColor="text1"/>
                      <w:lang w:val="en-US" w:eastAsia="zh-CN"/>
                      <w14:textFill>
                        <w14:solidFill>
                          <w14:schemeClr w14:val="tx1"/>
                        </w14:solidFill>
                      </w14:textFill>
                    </w:rPr>
                    <w:t>取样</w:t>
                  </w:r>
                  <w:r>
                    <w:rPr>
                      <w:rFonts w:hint="default" w:ascii="Times New Roman" w:hAnsi="Times New Roman" w:eastAsia="宋体" w:cs="Times New Roman"/>
                      <w:b w:val="0"/>
                      <w:bCs/>
                      <w:color w:val="000000" w:themeColor="text1"/>
                      <w14:textFill>
                        <w14:solidFill>
                          <w14:schemeClr w14:val="tx1"/>
                        </w14:solidFill>
                      </w14:textFill>
                    </w:rPr>
                    <w:t>4次</w:t>
                  </w:r>
                </w:p>
              </w:tc>
            </w:tr>
          </w:tbl>
          <w:p w14:paraId="3D0E01EE">
            <w:pPr>
              <w:autoSpaceDE w:val="0"/>
              <w:autoSpaceDN w:val="0"/>
              <w:adjustRightInd w:val="0"/>
              <w:snapToGrid w:val="0"/>
              <w:spacing w:line="360" w:lineRule="auto"/>
              <w:ind w:firstLine="482" w:firstLineChars="200"/>
              <w:jc w:val="left"/>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三、噪声</w:t>
            </w:r>
          </w:p>
          <w:p w14:paraId="4DE7E173">
            <w:pPr>
              <w:spacing w:line="360" w:lineRule="auto"/>
              <w:ind w:firstLine="482" w:firstLineChars="200"/>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1、噪声源强分析</w:t>
            </w:r>
          </w:p>
          <w:p w14:paraId="1FDEDC59">
            <w:pPr>
              <w:spacing w:line="360" w:lineRule="auto"/>
              <w:ind w:firstLine="480" w:firstLineChars="200"/>
              <w:rPr>
                <w:rFonts w:hint="default" w:ascii="Times New Roman" w:hAnsi="Times New Roman" w:cs="Times New Roman"/>
                <w:bCs/>
                <w:color w:val="000000" w:themeColor="text1"/>
                <w:spacing w:val="-10"/>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本项目营运期噪声主要来源于</w:t>
            </w:r>
            <w:r>
              <w:rPr>
                <w:rFonts w:hint="eastAsia" w:cs="Times New Roman"/>
                <w:color w:val="000000" w:themeColor="text1"/>
                <w:sz w:val="24"/>
                <w:lang w:val="en-US" w:eastAsia="zh-CN"/>
                <w14:textFill>
                  <w14:solidFill>
                    <w14:schemeClr w14:val="tx1"/>
                  </w14:solidFill>
                </w14:textFill>
              </w:rPr>
              <w:t>成型机、修边机、风机</w:t>
            </w:r>
            <w:r>
              <w:rPr>
                <w:rFonts w:hint="default" w:ascii="Times New Roman" w:hAnsi="Times New Roman" w:cs="Times New Roman"/>
                <w:color w:val="000000" w:themeColor="text1"/>
                <w:sz w:val="24"/>
                <w14:textFill>
                  <w14:solidFill>
                    <w14:schemeClr w14:val="tx1"/>
                  </w14:solidFill>
                </w14:textFill>
              </w:rPr>
              <w:t>等装置运转过程中产生的噪声，为连续噪声；噪声源强为</w:t>
            </w:r>
            <w:r>
              <w:rPr>
                <w:rFonts w:hint="eastAsia" w:cs="Times New Roman"/>
                <w:color w:val="000000" w:themeColor="text1"/>
                <w:sz w:val="24"/>
                <w:lang w:val="en-US" w:eastAsia="zh-CN"/>
                <w14:textFill>
                  <w14:solidFill>
                    <w14:schemeClr w14:val="tx1"/>
                  </w14:solidFill>
                </w14:textFill>
              </w:rPr>
              <w:t>70</w:t>
            </w:r>
            <w:r>
              <w:rPr>
                <w:rFonts w:hint="default" w:ascii="Times New Roman" w:hAnsi="Times New Roman" w:cs="Times New Roman"/>
                <w:color w:val="000000" w:themeColor="text1"/>
                <w:sz w:val="24"/>
                <w:lang w:val="en-US"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85</w:t>
            </w:r>
            <w:r>
              <w:rPr>
                <w:rFonts w:hint="default" w:ascii="Times New Roman" w:hAnsi="Times New Roman" w:cs="Times New Roman"/>
                <w:color w:val="000000" w:themeColor="text1"/>
                <w:sz w:val="24"/>
                <w14:textFill>
                  <w14:solidFill>
                    <w14:schemeClr w14:val="tx1"/>
                  </w14:solidFill>
                </w14:textFill>
              </w:rPr>
              <w:t>dB（A）。根据对同类型企业的类比调查，项目运营期间设备产生的噪声级如表4-</w:t>
            </w:r>
            <w:r>
              <w:rPr>
                <w:rFonts w:hint="eastAsia" w:cs="Times New Roman"/>
                <w:color w:val="000000" w:themeColor="text1"/>
                <w:sz w:val="24"/>
                <w:lang w:val="en-US" w:eastAsia="zh-CN"/>
                <w14:textFill>
                  <w14:solidFill>
                    <w14:schemeClr w14:val="tx1"/>
                  </w14:solidFill>
                </w14:textFill>
              </w:rPr>
              <w:t>3</w:t>
            </w:r>
            <w:r>
              <w:rPr>
                <w:rFonts w:hint="default" w:ascii="Times New Roman" w:hAnsi="Times New Roman" w:cs="Times New Roman"/>
                <w:color w:val="000000" w:themeColor="text1"/>
                <w:sz w:val="24"/>
                <w14:textFill>
                  <w14:solidFill>
                    <w14:schemeClr w14:val="tx1"/>
                  </w14:solidFill>
                </w14:textFill>
              </w:rPr>
              <w:t>所示。</w:t>
            </w:r>
          </w:p>
        </w:tc>
      </w:tr>
    </w:tbl>
    <w:p w14:paraId="71DE8CA8">
      <w:pPr>
        <w:adjustRightInd w:val="0"/>
        <w:snapToGrid w:val="0"/>
        <w:spacing w:line="360" w:lineRule="auto"/>
        <w:rPr>
          <w:rFonts w:hint="default" w:ascii="Times New Roman" w:hAnsi="Times New Roman" w:cs="Times New Roman"/>
          <w:b/>
          <w:color w:val="000000" w:themeColor="text1"/>
          <w:kern w:val="0"/>
          <w:sz w:val="24"/>
          <w14:textFill>
            <w14:solidFill>
              <w14:schemeClr w14:val="tx1"/>
            </w14:solidFill>
          </w14:textFill>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10713864">
      <w:pPr>
        <w:jc w:val="center"/>
        <w:rPr>
          <w:rFonts w:hint="default" w:ascii="Times New Roman" w:hAnsi="Times New Roman" w:eastAsia="宋体" w:cs="Times New Roman"/>
          <w:b/>
          <w:bCs/>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aps w:val="0"/>
          <w:smallCaps w:val="0"/>
          <w:color w:val="000000" w:themeColor="text1"/>
          <w:sz w:val="21"/>
          <w:szCs w:val="21"/>
          <w:highlight w:val="none"/>
          <w14:textFill>
            <w14:solidFill>
              <w14:schemeClr w14:val="tx1"/>
            </w14:solidFill>
          </w14:textFill>
        </w:rPr>
        <w:t xml:space="preserve">表 </w:t>
      </w:r>
      <w:r>
        <w:rPr>
          <w:rFonts w:hint="eastAsia" w:ascii="Times New Roman" w:hAnsi="Times New Roman"/>
          <w:b/>
          <w:bCs/>
          <w:caps w:val="0"/>
          <w:smallCaps w:val="0"/>
          <w:color w:val="000000" w:themeColor="text1"/>
          <w:sz w:val="21"/>
          <w:szCs w:val="21"/>
          <w:highlight w:val="none"/>
          <w:lang w:val="en-US" w:eastAsia="zh-CN"/>
          <w14:textFill>
            <w14:solidFill>
              <w14:schemeClr w14:val="tx1"/>
            </w14:solidFill>
          </w14:textFill>
        </w:rPr>
        <w:t>4-</w:t>
      </w:r>
      <w:r>
        <w:rPr>
          <w:rFonts w:hint="eastAsia"/>
          <w:b/>
          <w:bCs/>
          <w:caps w:val="0"/>
          <w:smallCaps w:val="0"/>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b/>
          <w:bCs/>
          <w:caps w:val="0"/>
          <w:smallCap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工业企业噪声源强调查清单</w:t>
      </w:r>
    </w:p>
    <w:tbl>
      <w:tblPr>
        <w:tblStyle w:val="31"/>
        <w:tblW w:w="545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88"/>
        <w:gridCol w:w="1918"/>
        <w:gridCol w:w="1666"/>
        <w:gridCol w:w="842"/>
        <w:gridCol w:w="762"/>
        <w:gridCol w:w="796"/>
        <w:gridCol w:w="715"/>
        <w:gridCol w:w="759"/>
        <w:gridCol w:w="1026"/>
        <w:gridCol w:w="1002"/>
        <w:gridCol w:w="1226"/>
        <w:gridCol w:w="1109"/>
        <w:gridCol w:w="955"/>
        <w:gridCol w:w="848"/>
      </w:tblGrid>
      <w:tr w14:paraId="4AD53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blHeader/>
          <w:jc w:val="center"/>
        </w:trPr>
        <w:tc>
          <w:tcPr>
            <w:tcW w:w="240" w:type="pct"/>
            <w:vMerge w:val="restart"/>
            <w:noWrap w:val="0"/>
            <w:vAlign w:val="center"/>
          </w:tcPr>
          <w:p w14:paraId="4DFFB4A0">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建筑物名称</w:t>
            </w:r>
          </w:p>
        </w:tc>
        <w:tc>
          <w:tcPr>
            <w:tcW w:w="670" w:type="pct"/>
            <w:vMerge w:val="restart"/>
            <w:noWrap w:val="0"/>
            <w:vAlign w:val="center"/>
          </w:tcPr>
          <w:p w14:paraId="33E25B91">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声源名称</w:t>
            </w:r>
          </w:p>
        </w:tc>
        <w:tc>
          <w:tcPr>
            <w:tcW w:w="582" w:type="pct"/>
            <w:vMerge w:val="restart"/>
            <w:noWrap w:val="0"/>
            <w:vAlign w:val="center"/>
          </w:tcPr>
          <w:p w14:paraId="34C1F87B">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型号</w:t>
            </w:r>
          </w:p>
        </w:tc>
        <w:tc>
          <w:tcPr>
            <w:tcW w:w="294" w:type="pct"/>
            <w:vMerge w:val="restart"/>
            <w:noWrap w:val="0"/>
            <w:vAlign w:val="center"/>
          </w:tcPr>
          <w:p w14:paraId="256A4233">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声</w:t>
            </w:r>
            <w:r>
              <w:rPr>
                <w:rFonts w:hint="default" w:ascii="Times New Roman" w:hAnsi="Times New Roman" w:eastAsia="宋体" w:cs="Times New Roman"/>
                <w:b/>
                <w:bCs/>
                <w:caps w:val="0"/>
                <w:smallCaps w:val="0"/>
                <w:color w:val="000000" w:themeColor="text1"/>
                <w:sz w:val="21"/>
                <w:szCs w:val="21"/>
                <w:highlight w:val="none"/>
                <w:lang w:val="en-US" w:eastAsia="zh-CN"/>
                <w14:textFill>
                  <w14:solidFill>
                    <w14:schemeClr w14:val="tx1"/>
                  </w14:solidFill>
                </w14:textFill>
              </w:rPr>
              <w:t>压级</w:t>
            </w: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（dB</w:t>
            </w:r>
            <w:r>
              <w:rPr>
                <w:rFonts w:hint="default" w:ascii="Times New Roman" w:hAnsi="Times New Roman" w:eastAsia="宋体" w:cs="Times New Roman"/>
                <w:b/>
                <w:bCs/>
                <w:caps w:val="0"/>
                <w:smallCaps w:val="0"/>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bCs/>
                <w:caps w:val="0"/>
                <w:smallCaps w:val="0"/>
                <w:color w:val="000000" w:themeColor="text1"/>
                <w:sz w:val="21"/>
                <w:szCs w:val="21"/>
                <w:highlight w:val="none"/>
                <w:lang w:val="en-US" w:eastAsia="zh-CN"/>
                <w14:textFill>
                  <w14:solidFill>
                    <w14:schemeClr w14:val="tx1"/>
                  </w14:solidFill>
                </w14:textFill>
              </w:rPr>
              <w:t>A</w:t>
            </w:r>
            <w:r>
              <w:rPr>
                <w:rFonts w:hint="default" w:ascii="Times New Roman" w:hAnsi="Times New Roman" w:eastAsia="宋体" w:cs="Times New Roman"/>
                <w:b/>
                <w:bCs/>
                <w:caps w:val="0"/>
                <w:smallCaps w:val="0"/>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w:t>
            </w:r>
          </w:p>
        </w:tc>
        <w:tc>
          <w:tcPr>
            <w:tcW w:w="266" w:type="pct"/>
            <w:vMerge w:val="restart"/>
            <w:noWrap w:val="0"/>
            <w:vAlign w:val="center"/>
          </w:tcPr>
          <w:p w14:paraId="06000E80">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声源控制措施</w:t>
            </w:r>
          </w:p>
        </w:tc>
        <w:tc>
          <w:tcPr>
            <w:tcW w:w="793" w:type="pct"/>
            <w:gridSpan w:val="3"/>
            <w:noWrap w:val="0"/>
            <w:vAlign w:val="center"/>
          </w:tcPr>
          <w:p w14:paraId="54D2DAC7">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空间相对位置/m</w:t>
            </w:r>
          </w:p>
        </w:tc>
        <w:tc>
          <w:tcPr>
            <w:tcW w:w="358" w:type="pct"/>
            <w:vMerge w:val="restart"/>
            <w:noWrap w:val="0"/>
            <w:vAlign w:val="center"/>
          </w:tcPr>
          <w:p w14:paraId="1FC2D4CD">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距室内边界距离/m</w:t>
            </w:r>
          </w:p>
        </w:tc>
        <w:tc>
          <w:tcPr>
            <w:tcW w:w="350" w:type="pct"/>
            <w:vMerge w:val="restart"/>
            <w:noWrap w:val="0"/>
            <w:vAlign w:val="center"/>
          </w:tcPr>
          <w:p w14:paraId="1DB035D0">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室内边界声级/dB（A）</w:t>
            </w:r>
          </w:p>
        </w:tc>
        <w:tc>
          <w:tcPr>
            <w:tcW w:w="428" w:type="pct"/>
            <w:vMerge w:val="restart"/>
            <w:noWrap w:val="0"/>
            <w:vAlign w:val="center"/>
          </w:tcPr>
          <w:p w14:paraId="0AABA1D2">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运行时段</w:t>
            </w:r>
          </w:p>
        </w:tc>
        <w:tc>
          <w:tcPr>
            <w:tcW w:w="387" w:type="pct"/>
            <w:vMerge w:val="restart"/>
            <w:noWrap w:val="0"/>
            <w:vAlign w:val="center"/>
          </w:tcPr>
          <w:p w14:paraId="005B3BD2">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建筑物插入损失/dB（A）</w:t>
            </w:r>
          </w:p>
        </w:tc>
        <w:tc>
          <w:tcPr>
            <w:tcW w:w="629" w:type="pct"/>
            <w:gridSpan w:val="2"/>
            <w:noWrap w:val="0"/>
            <w:vAlign w:val="center"/>
          </w:tcPr>
          <w:p w14:paraId="439A0CEF">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建筑物外噪声</w:t>
            </w:r>
          </w:p>
        </w:tc>
      </w:tr>
      <w:tr w14:paraId="6220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tblHeader/>
          <w:jc w:val="center"/>
        </w:trPr>
        <w:tc>
          <w:tcPr>
            <w:tcW w:w="240" w:type="pct"/>
            <w:vMerge w:val="continue"/>
            <w:noWrap w:val="0"/>
            <w:vAlign w:val="center"/>
          </w:tcPr>
          <w:p w14:paraId="4CFCDBB9">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p>
        </w:tc>
        <w:tc>
          <w:tcPr>
            <w:tcW w:w="670" w:type="pct"/>
            <w:vMerge w:val="continue"/>
            <w:noWrap w:val="0"/>
            <w:vAlign w:val="center"/>
          </w:tcPr>
          <w:p w14:paraId="5AB67335">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p>
        </w:tc>
        <w:tc>
          <w:tcPr>
            <w:tcW w:w="582" w:type="pct"/>
            <w:vMerge w:val="continue"/>
            <w:noWrap w:val="0"/>
            <w:vAlign w:val="center"/>
          </w:tcPr>
          <w:p w14:paraId="20247DCE">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p>
        </w:tc>
        <w:tc>
          <w:tcPr>
            <w:tcW w:w="294" w:type="pct"/>
            <w:vMerge w:val="continue"/>
            <w:noWrap w:val="0"/>
            <w:vAlign w:val="center"/>
          </w:tcPr>
          <w:p w14:paraId="6D32B3DA">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p>
        </w:tc>
        <w:tc>
          <w:tcPr>
            <w:tcW w:w="266" w:type="pct"/>
            <w:vMerge w:val="continue"/>
            <w:noWrap w:val="0"/>
            <w:vAlign w:val="center"/>
          </w:tcPr>
          <w:p w14:paraId="0433A89C">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p>
        </w:tc>
        <w:tc>
          <w:tcPr>
            <w:tcW w:w="278" w:type="pct"/>
            <w:noWrap w:val="0"/>
            <w:vAlign w:val="center"/>
          </w:tcPr>
          <w:p w14:paraId="74636751">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X</w:t>
            </w:r>
          </w:p>
        </w:tc>
        <w:tc>
          <w:tcPr>
            <w:tcW w:w="249" w:type="pct"/>
            <w:noWrap w:val="0"/>
            <w:vAlign w:val="center"/>
          </w:tcPr>
          <w:p w14:paraId="233B2606">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Y</w:t>
            </w:r>
          </w:p>
        </w:tc>
        <w:tc>
          <w:tcPr>
            <w:tcW w:w="265" w:type="pct"/>
            <w:noWrap w:val="0"/>
            <w:vAlign w:val="center"/>
          </w:tcPr>
          <w:p w14:paraId="0B198FEC">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Z</w:t>
            </w:r>
          </w:p>
        </w:tc>
        <w:tc>
          <w:tcPr>
            <w:tcW w:w="358" w:type="pct"/>
            <w:vMerge w:val="continue"/>
            <w:noWrap w:val="0"/>
            <w:vAlign w:val="center"/>
          </w:tcPr>
          <w:p w14:paraId="79754FE3">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p>
        </w:tc>
        <w:tc>
          <w:tcPr>
            <w:tcW w:w="350" w:type="pct"/>
            <w:vMerge w:val="continue"/>
            <w:noWrap w:val="0"/>
            <w:vAlign w:val="center"/>
          </w:tcPr>
          <w:p w14:paraId="703E257E">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p>
        </w:tc>
        <w:tc>
          <w:tcPr>
            <w:tcW w:w="428" w:type="pct"/>
            <w:vMerge w:val="continue"/>
            <w:noWrap w:val="0"/>
            <w:vAlign w:val="center"/>
          </w:tcPr>
          <w:p w14:paraId="59940F63">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p>
        </w:tc>
        <w:tc>
          <w:tcPr>
            <w:tcW w:w="387" w:type="pct"/>
            <w:vMerge w:val="continue"/>
            <w:noWrap w:val="0"/>
            <w:vAlign w:val="center"/>
          </w:tcPr>
          <w:p w14:paraId="29C629B9">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p>
        </w:tc>
        <w:tc>
          <w:tcPr>
            <w:tcW w:w="333" w:type="pct"/>
            <w:noWrap w:val="0"/>
            <w:vAlign w:val="center"/>
          </w:tcPr>
          <w:p w14:paraId="0EB78B12">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声压级/dB（A）</w:t>
            </w:r>
          </w:p>
        </w:tc>
        <w:tc>
          <w:tcPr>
            <w:tcW w:w="296" w:type="pct"/>
            <w:noWrap w:val="0"/>
            <w:vAlign w:val="center"/>
          </w:tcPr>
          <w:p w14:paraId="3B264647">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aps w:val="0"/>
                <w:smallCaps w:val="0"/>
                <w:color w:val="000000" w:themeColor="text1"/>
                <w:sz w:val="21"/>
                <w:szCs w:val="21"/>
                <w:highlight w:val="none"/>
                <w14:textFill>
                  <w14:solidFill>
                    <w14:schemeClr w14:val="tx1"/>
                  </w14:solidFill>
                </w14:textFill>
              </w:rPr>
              <w:t>建筑物外距离</w:t>
            </w:r>
          </w:p>
        </w:tc>
      </w:tr>
      <w:tr w14:paraId="5769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40" w:type="pct"/>
            <w:vMerge w:val="restart"/>
            <w:noWrap w:val="0"/>
            <w:vAlign w:val="center"/>
          </w:tcPr>
          <w:p w14:paraId="5064EBAE">
            <w:pPr>
              <w:keepNext w:val="0"/>
              <w:keepLines w:val="0"/>
              <w:pageBreakBefore w:val="0"/>
              <w:widowControl/>
              <w:kinsoku/>
              <w:wordWrap/>
              <w:overflowPunct/>
              <w:topLinePunct w:val="0"/>
              <w:autoSpaceDE/>
              <w:autoSpaceDN/>
              <w:bidi w:val="0"/>
              <w:ind w:firstLine="0"/>
              <w:jc w:val="center"/>
              <w:textAlignment w:val="center"/>
              <w:rPr>
                <w:rFonts w:hint="default" w:ascii="Times New Roman" w:hAnsi="Times New Roman" w:eastAsia="宋体" w:cs="Times New Roman"/>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生产</w:t>
            </w:r>
            <w:r>
              <w:rPr>
                <w:rFonts w:hint="default" w:ascii="Times New Roman" w:hAnsi="Times New Roman" w:eastAsia="宋体" w:cs="Times New Roman"/>
                <w:caps w:val="0"/>
                <w:smallCaps w:val="0"/>
                <w:color w:val="000000" w:themeColor="text1"/>
                <w:sz w:val="21"/>
                <w:szCs w:val="21"/>
                <w:highlight w:val="none"/>
                <w:lang w:val="en-US" w:eastAsia="zh-CN"/>
                <w14:textFill>
                  <w14:solidFill>
                    <w14:schemeClr w14:val="tx1"/>
                  </w14:solidFill>
                </w14:textFill>
              </w:rPr>
              <w:t>车间</w:t>
            </w:r>
          </w:p>
        </w:tc>
        <w:tc>
          <w:tcPr>
            <w:tcW w:w="670" w:type="pct"/>
            <w:noWrap w:val="0"/>
            <w:vAlign w:val="center"/>
          </w:tcPr>
          <w:p w14:paraId="2AE514D3">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密胺液压成型机</w:t>
            </w:r>
            <w:r>
              <w:rPr>
                <w:rFonts w:hint="default" w:ascii="Times New Roman" w:hAnsi="Times New Roman" w:eastAsia="宋体" w:cs="Times New Roman"/>
                <w:color w:val="000000" w:themeColor="text1"/>
                <w:lang w:val="en-US" w:eastAsia="zh-CN"/>
                <w14:textFill>
                  <w14:solidFill>
                    <w14:schemeClr w14:val="tx1"/>
                  </w14:solidFill>
                </w14:textFill>
              </w:rPr>
              <w:t>1</w:t>
            </w:r>
          </w:p>
        </w:tc>
        <w:tc>
          <w:tcPr>
            <w:tcW w:w="582" w:type="pct"/>
            <w:noWrap w:val="0"/>
            <w:vAlign w:val="center"/>
          </w:tcPr>
          <w:p w14:paraId="10652A68">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250T四柱式</w:t>
            </w:r>
          </w:p>
        </w:tc>
        <w:tc>
          <w:tcPr>
            <w:tcW w:w="294" w:type="pct"/>
            <w:noWrap w:val="0"/>
            <w:vAlign w:val="center"/>
          </w:tcPr>
          <w:p w14:paraId="70FDED01">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80</w:t>
            </w:r>
          </w:p>
        </w:tc>
        <w:tc>
          <w:tcPr>
            <w:tcW w:w="266" w:type="pct"/>
            <w:vMerge w:val="restart"/>
            <w:noWrap w:val="0"/>
            <w:vAlign w:val="center"/>
          </w:tcPr>
          <w:p w14:paraId="252A17C4">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t>选用低噪声设备、建筑隔声、基础减震</w:t>
            </w:r>
          </w:p>
        </w:tc>
        <w:tc>
          <w:tcPr>
            <w:tcW w:w="278" w:type="pct"/>
            <w:noWrap w:val="0"/>
            <w:vAlign w:val="center"/>
          </w:tcPr>
          <w:p w14:paraId="65F6B9D0">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-12.63</w:t>
            </w:r>
          </w:p>
        </w:tc>
        <w:tc>
          <w:tcPr>
            <w:tcW w:w="249" w:type="pct"/>
            <w:noWrap w:val="0"/>
            <w:vAlign w:val="center"/>
          </w:tcPr>
          <w:p w14:paraId="41BED37B">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27.88</w:t>
            </w:r>
          </w:p>
        </w:tc>
        <w:tc>
          <w:tcPr>
            <w:tcW w:w="265" w:type="pct"/>
            <w:noWrap w:val="0"/>
            <w:vAlign w:val="center"/>
          </w:tcPr>
          <w:p w14:paraId="5F931F1B">
            <w:pPr>
              <w:keepNext w:val="0"/>
              <w:keepLines w:val="0"/>
              <w:widowControl/>
              <w:suppressLineNumbers w:val="0"/>
              <w:jc w:val="center"/>
              <w:textAlignment w:val="center"/>
              <w:rPr>
                <w:rFonts w:hint="eastAsia" w:ascii="Times New Roman" w:hAnsi="Times New Roman" w:eastAsia="宋体" w:cs="Times New Roman"/>
                <w:caps w:val="0"/>
                <w:smallCap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1</w:t>
            </w:r>
          </w:p>
        </w:tc>
        <w:tc>
          <w:tcPr>
            <w:tcW w:w="358" w:type="pct"/>
            <w:noWrap w:val="0"/>
            <w:vAlign w:val="center"/>
          </w:tcPr>
          <w:p w14:paraId="0BB518AE">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4.</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5</w:t>
            </w:r>
          </w:p>
        </w:tc>
        <w:tc>
          <w:tcPr>
            <w:tcW w:w="1002" w:type="dxa"/>
            <w:noWrap w:val="0"/>
            <w:vAlign w:val="center"/>
          </w:tcPr>
          <w:p w14:paraId="3279E15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61.92 </w:t>
            </w:r>
          </w:p>
        </w:tc>
        <w:tc>
          <w:tcPr>
            <w:tcW w:w="428" w:type="pct"/>
            <w:noWrap w:val="0"/>
            <w:vAlign w:val="center"/>
          </w:tcPr>
          <w:p w14:paraId="6399CCE7">
            <w:pPr>
              <w:keepNext w:val="0"/>
              <w:keepLines w:val="0"/>
              <w:pageBreakBefore w:val="0"/>
              <w:kinsoku/>
              <w:wordWrap/>
              <w:overflowPunct/>
              <w:topLinePunct w:val="0"/>
              <w:autoSpaceDE/>
              <w:autoSpaceDN/>
              <w:bidi w:val="0"/>
              <w:adjustRightInd w:val="0"/>
              <w:snapToGrid w:val="0"/>
              <w:ind w:firstLine="0"/>
              <w:jc w:val="center"/>
              <w:rPr>
                <w:rFonts w:hint="default" w:ascii="Times New Roman" w:hAnsi="Times New Roman" w:eastAsia="宋体" w:cs="Times New Roman"/>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t>昼间</w:t>
            </w:r>
            <w:r>
              <w:rPr>
                <w:rFonts w:hint="eastAsia" w:ascii="Times New Roman" w:hAnsi="Times New Roman" w:cs="Times New Roman"/>
                <w:caps w:val="0"/>
                <w:smallCaps w:val="0"/>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夜间</w:t>
            </w:r>
          </w:p>
        </w:tc>
        <w:tc>
          <w:tcPr>
            <w:tcW w:w="387" w:type="pct"/>
            <w:noWrap w:val="0"/>
            <w:vAlign w:val="center"/>
          </w:tcPr>
          <w:p w14:paraId="7C0B34E5">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15</w:t>
            </w:r>
          </w:p>
        </w:tc>
        <w:tc>
          <w:tcPr>
            <w:tcW w:w="955" w:type="dxa"/>
            <w:noWrap w:val="0"/>
            <w:vAlign w:val="center"/>
          </w:tcPr>
          <w:p w14:paraId="24191908">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42.96</w:t>
            </w:r>
          </w:p>
        </w:tc>
        <w:tc>
          <w:tcPr>
            <w:tcW w:w="296" w:type="pct"/>
            <w:noWrap w:val="0"/>
            <w:vAlign w:val="center"/>
          </w:tcPr>
          <w:p w14:paraId="34D42F84">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w:t>
            </w:r>
          </w:p>
        </w:tc>
      </w:tr>
      <w:tr w14:paraId="14E7B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8" w:hRule="atLeast"/>
          <w:jc w:val="center"/>
        </w:trPr>
        <w:tc>
          <w:tcPr>
            <w:tcW w:w="240" w:type="pct"/>
            <w:vMerge w:val="continue"/>
            <w:noWrap w:val="0"/>
            <w:vAlign w:val="center"/>
          </w:tcPr>
          <w:p w14:paraId="6C06FC70">
            <w:pPr>
              <w:keepNext w:val="0"/>
              <w:keepLines w:val="0"/>
              <w:pageBreakBefore w:val="0"/>
              <w:widowControl/>
              <w:kinsoku/>
              <w:wordWrap/>
              <w:overflowPunct/>
              <w:topLinePunct w:val="0"/>
              <w:autoSpaceDE/>
              <w:autoSpaceDN/>
              <w:bidi w:val="0"/>
              <w:ind w:firstLine="0"/>
              <w:jc w:val="center"/>
              <w:textAlignment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670" w:type="pct"/>
            <w:noWrap w:val="0"/>
            <w:vAlign w:val="center"/>
          </w:tcPr>
          <w:p w14:paraId="44C0CE2C">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密胺液压成型机</w:t>
            </w:r>
            <w:r>
              <w:rPr>
                <w:rFonts w:hint="default" w:ascii="Times New Roman" w:hAnsi="Times New Roman" w:eastAsia="宋体" w:cs="Times New Roman"/>
                <w:color w:val="000000" w:themeColor="text1"/>
                <w:lang w:val="en-US" w:eastAsia="zh-CN"/>
                <w14:textFill>
                  <w14:solidFill>
                    <w14:schemeClr w14:val="tx1"/>
                  </w14:solidFill>
                </w14:textFill>
              </w:rPr>
              <w:t>2</w:t>
            </w:r>
          </w:p>
        </w:tc>
        <w:tc>
          <w:tcPr>
            <w:tcW w:w="582" w:type="pct"/>
            <w:noWrap w:val="0"/>
            <w:vAlign w:val="center"/>
          </w:tcPr>
          <w:p w14:paraId="459E1535">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250T四柱式</w:t>
            </w:r>
          </w:p>
        </w:tc>
        <w:tc>
          <w:tcPr>
            <w:tcW w:w="294" w:type="pct"/>
            <w:noWrap w:val="0"/>
            <w:vAlign w:val="center"/>
          </w:tcPr>
          <w:p w14:paraId="3AD91165">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sz w:val="21"/>
                <w:szCs w:val="21"/>
                <w:highlight w:val="none"/>
                <w:lang w:val="en-US"/>
                <w14:textFill>
                  <w14:solidFill>
                    <w14:schemeClr w14:val="tx1"/>
                  </w14:solidFill>
                </w14:textFill>
              </w:rPr>
            </w:pPr>
            <w:r>
              <w:rPr>
                <w:rFonts w:hint="default"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80</w:t>
            </w:r>
          </w:p>
        </w:tc>
        <w:tc>
          <w:tcPr>
            <w:tcW w:w="266" w:type="pct"/>
            <w:vMerge w:val="continue"/>
            <w:noWrap w:val="0"/>
            <w:vAlign w:val="center"/>
          </w:tcPr>
          <w:p w14:paraId="2B457FBD">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278" w:type="pct"/>
            <w:noWrap w:val="0"/>
            <w:vAlign w:val="center"/>
          </w:tcPr>
          <w:p w14:paraId="2EA1ECB7">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-9.47</w:t>
            </w:r>
          </w:p>
        </w:tc>
        <w:tc>
          <w:tcPr>
            <w:tcW w:w="249" w:type="pct"/>
            <w:noWrap w:val="0"/>
            <w:vAlign w:val="center"/>
          </w:tcPr>
          <w:p w14:paraId="6D0D4086">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24.61</w:t>
            </w:r>
          </w:p>
        </w:tc>
        <w:tc>
          <w:tcPr>
            <w:tcW w:w="265" w:type="pct"/>
            <w:noWrap w:val="0"/>
            <w:vAlign w:val="center"/>
          </w:tcPr>
          <w:p w14:paraId="242A95C0">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1</w:t>
            </w:r>
          </w:p>
        </w:tc>
        <w:tc>
          <w:tcPr>
            <w:tcW w:w="358" w:type="pct"/>
            <w:noWrap w:val="0"/>
            <w:vAlign w:val="center"/>
          </w:tcPr>
          <w:p w14:paraId="038CBA63">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sz w:val="21"/>
                <w:szCs w:val="21"/>
                <w:highlight w:val="none"/>
                <w:lang w:val="en-US"/>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4.</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5</w:t>
            </w:r>
          </w:p>
        </w:tc>
        <w:tc>
          <w:tcPr>
            <w:tcW w:w="1002" w:type="dxa"/>
            <w:noWrap w:val="0"/>
            <w:vAlign w:val="center"/>
          </w:tcPr>
          <w:p w14:paraId="3716B12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61.92 </w:t>
            </w:r>
          </w:p>
        </w:tc>
        <w:tc>
          <w:tcPr>
            <w:tcW w:w="428" w:type="pct"/>
            <w:noWrap w:val="0"/>
            <w:vAlign w:val="center"/>
          </w:tcPr>
          <w:p w14:paraId="099B4916">
            <w:pPr>
              <w:keepNext w:val="0"/>
              <w:keepLines w:val="0"/>
              <w:pageBreakBefore w:val="0"/>
              <w:kinsoku/>
              <w:wordWrap/>
              <w:overflowPunct/>
              <w:topLinePunct w:val="0"/>
              <w:autoSpaceDE/>
              <w:autoSpaceDN/>
              <w:bidi w:val="0"/>
              <w:adjustRightInd w:val="0"/>
              <w:snapToGrid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t>昼间</w:t>
            </w:r>
            <w:r>
              <w:rPr>
                <w:rFonts w:hint="eastAsia" w:ascii="Times New Roman" w:hAnsi="Times New Roman" w:cs="Times New Roman"/>
                <w:caps w:val="0"/>
                <w:smallCaps w:val="0"/>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夜间</w:t>
            </w:r>
          </w:p>
        </w:tc>
        <w:tc>
          <w:tcPr>
            <w:tcW w:w="387" w:type="pct"/>
            <w:noWrap w:val="0"/>
            <w:vAlign w:val="center"/>
          </w:tcPr>
          <w:p w14:paraId="26A842B2">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15</w:t>
            </w:r>
          </w:p>
        </w:tc>
        <w:tc>
          <w:tcPr>
            <w:tcW w:w="955" w:type="dxa"/>
            <w:noWrap w:val="0"/>
            <w:vAlign w:val="center"/>
          </w:tcPr>
          <w:p w14:paraId="1908EAFA">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54.96</w:t>
            </w:r>
          </w:p>
        </w:tc>
        <w:tc>
          <w:tcPr>
            <w:tcW w:w="296" w:type="pct"/>
            <w:noWrap w:val="0"/>
            <w:vAlign w:val="center"/>
          </w:tcPr>
          <w:p w14:paraId="23B4DE81">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w:t>
            </w:r>
          </w:p>
        </w:tc>
      </w:tr>
      <w:tr w14:paraId="05591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240" w:type="pct"/>
            <w:vMerge w:val="continue"/>
            <w:noWrap w:val="0"/>
            <w:vAlign w:val="center"/>
          </w:tcPr>
          <w:p w14:paraId="1461A850">
            <w:pPr>
              <w:pStyle w:val="15"/>
              <w:keepNext w:val="0"/>
              <w:keepLines w:val="0"/>
              <w:pageBreakBefore w:val="0"/>
              <w:kinsoku/>
              <w:wordWrap/>
              <w:overflowPunct/>
              <w:topLinePunct w:val="0"/>
              <w:autoSpaceDE/>
              <w:autoSpaceDN/>
              <w:bidi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670" w:type="pct"/>
            <w:noWrap w:val="0"/>
            <w:vAlign w:val="center"/>
          </w:tcPr>
          <w:p w14:paraId="1ACF58FC">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密胺液压成型机</w:t>
            </w:r>
            <w:r>
              <w:rPr>
                <w:rFonts w:hint="default" w:ascii="Times New Roman" w:hAnsi="Times New Roman" w:eastAsia="宋体" w:cs="Times New Roman"/>
                <w:color w:val="000000" w:themeColor="text1"/>
                <w:lang w:val="en-US" w:eastAsia="zh-CN"/>
                <w14:textFill>
                  <w14:solidFill>
                    <w14:schemeClr w14:val="tx1"/>
                  </w14:solidFill>
                </w14:textFill>
              </w:rPr>
              <w:t>3</w:t>
            </w:r>
          </w:p>
        </w:tc>
        <w:tc>
          <w:tcPr>
            <w:tcW w:w="582" w:type="pct"/>
            <w:noWrap w:val="0"/>
            <w:vAlign w:val="center"/>
          </w:tcPr>
          <w:p w14:paraId="2FAD4DB7">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250T四柱式</w:t>
            </w:r>
          </w:p>
        </w:tc>
        <w:tc>
          <w:tcPr>
            <w:tcW w:w="294" w:type="pct"/>
            <w:noWrap w:val="0"/>
            <w:vAlign w:val="center"/>
          </w:tcPr>
          <w:p w14:paraId="4C5D6D8E">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val="en-US" w:bidi="ar"/>
                <w14:textFill>
                  <w14:solidFill>
                    <w14:schemeClr w14:val="tx1"/>
                  </w14:solidFill>
                </w14:textFill>
              </w:rPr>
            </w:pPr>
            <w:r>
              <w:rPr>
                <w:rFonts w:hint="default"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80</w:t>
            </w:r>
          </w:p>
        </w:tc>
        <w:tc>
          <w:tcPr>
            <w:tcW w:w="266" w:type="pct"/>
            <w:vMerge w:val="continue"/>
            <w:noWrap w:val="0"/>
            <w:vAlign w:val="center"/>
          </w:tcPr>
          <w:p w14:paraId="4C9861B1">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278" w:type="pct"/>
            <w:noWrap w:val="0"/>
            <w:vAlign w:val="center"/>
          </w:tcPr>
          <w:p w14:paraId="748D4334">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t>-6.64</w:t>
            </w:r>
          </w:p>
        </w:tc>
        <w:tc>
          <w:tcPr>
            <w:tcW w:w="249" w:type="pct"/>
            <w:noWrap w:val="0"/>
            <w:vAlign w:val="center"/>
          </w:tcPr>
          <w:p w14:paraId="66780787">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t>24.46</w:t>
            </w:r>
          </w:p>
        </w:tc>
        <w:tc>
          <w:tcPr>
            <w:tcW w:w="265" w:type="pct"/>
            <w:noWrap w:val="0"/>
            <w:vAlign w:val="center"/>
          </w:tcPr>
          <w:p w14:paraId="4209AFA2">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1</w:t>
            </w:r>
          </w:p>
        </w:tc>
        <w:tc>
          <w:tcPr>
            <w:tcW w:w="358" w:type="pct"/>
            <w:noWrap w:val="0"/>
            <w:vAlign w:val="center"/>
          </w:tcPr>
          <w:p w14:paraId="508B2744">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4.</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5</w:t>
            </w:r>
          </w:p>
        </w:tc>
        <w:tc>
          <w:tcPr>
            <w:tcW w:w="1002" w:type="dxa"/>
            <w:noWrap w:val="0"/>
            <w:vAlign w:val="center"/>
          </w:tcPr>
          <w:p w14:paraId="6C5E55B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61.92 </w:t>
            </w:r>
          </w:p>
        </w:tc>
        <w:tc>
          <w:tcPr>
            <w:tcW w:w="428" w:type="pct"/>
            <w:noWrap w:val="0"/>
            <w:vAlign w:val="center"/>
          </w:tcPr>
          <w:p w14:paraId="3DF7FF81">
            <w:pPr>
              <w:keepNext w:val="0"/>
              <w:keepLines w:val="0"/>
              <w:pageBreakBefore w:val="0"/>
              <w:kinsoku/>
              <w:wordWrap/>
              <w:overflowPunct/>
              <w:topLinePunct w:val="0"/>
              <w:autoSpaceDE/>
              <w:autoSpaceDN/>
              <w:bidi w:val="0"/>
              <w:adjustRightInd w:val="0"/>
              <w:snapToGrid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t>昼间</w:t>
            </w:r>
            <w:r>
              <w:rPr>
                <w:rFonts w:hint="eastAsia" w:ascii="Times New Roman" w:hAnsi="Times New Roman" w:cs="Times New Roman"/>
                <w:caps w:val="0"/>
                <w:smallCaps w:val="0"/>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夜间</w:t>
            </w:r>
          </w:p>
        </w:tc>
        <w:tc>
          <w:tcPr>
            <w:tcW w:w="387" w:type="pct"/>
            <w:noWrap w:val="0"/>
            <w:vAlign w:val="center"/>
          </w:tcPr>
          <w:p w14:paraId="2AE9D49A">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15</w:t>
            </w:r>
          </w:p>
        </w:tc>
        <w:tc>
          <w:tcPr>
            <w:tcW w:w="955" w:type="dxa"/>
            <w:noWrap w:val="0"/>
            <w:vAlign w:val="center"/>
          </w:tcPr>
          <w:p w14:paraId="79B7CD13">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54.96</w:t>
            </w:r>
          </w:p>
        </w:tc>
        <w:tc>
          <w:tcPr>
            <w:tcW w:w="296" w:type="pct"/>
            <w:noWrap w:val="0"/>
            <w:vAlign w:val="center"/>
          </w:tcPr>
          <w:p w14:paraId="6F8FC909">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w:t>
            </w:r>
          </w:p>
        </w:tc>
      </w:tr>
      <w:tr w14:paraId="7F0A3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40" w:type="pct"/>
            <w:vMerge w:val="continue"/>
            <w:noWrap w:val="0"/>
            <w:vAlign w:val="center"/>
          </w:tcPr>
          <w:p w14:paraId="19F6E392">
            <w:pPr>
              <w:pStyle w:val="15"/>
              <w:keepNext w:val="0"/>
              <w:keepLines w:val="0"/>
              <w:pageBreakBefore w:val="0"/>
              <w:kinsoku/>
              <w:wordWrap/>
              <w:overflowPunct/>
              <w:topLinePunct w:val="0"/>
              <w:autoSpaceDE/>
              <w:autoSpaceDN/>
              <w:bidi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670" w:type="pct"/>
            <w:noWrap w:val="0"/>
            <w:vAlign w:val="center"/>
          </w:tcPr>
          <w:p w14:paraId="168964DF">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密胺液压成型机</w:t>
            </w:r>
            <w:r>
              <w:rPr>
                <w:rFonts w:hint="default" w:ascii="Times New Roman" w:hAnsi="Times New Roman" w:eastAsia="宋体" w:cs="Times New Roman"/>
                <w:color w:val="000000" w:themeColor="text1"/>
                <w:lang w:val="en-US" w:eastAsia="zh-CN"/>
                <w14:textFill>
                  <w14:solidFill>
                    <w14:schemeClr w14:val="tx1"/>
                  </w14:solidFill>
                </w14:textFill>
              </w:rPr>
              <w:t>4</w:t>
            </w:r>
          </w:p>
        </w:tc>
        <w:tc>
          <w:tcPr>
            <w:tcW w:w="582" w:type="pct"/>
            <w:noWrap w:val="0"/>
            <w:vAlign w:val="center"/>
          </w:tcPr>
          <w:p w14:paraId="100EFDC4">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250T四柱式</w:t>
            </w:r>
          </w:p>
        </w:tc>
        <w:tc>
          <w:tcPr>
            <w:tcW w:w="294" w:type="pct"/>
            <w:noWrap w:val="0"/>
            <w:vAlign w:val="center"/>
          </w:tcPr>
          <w:p w14:paraId="450ED19B">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80</w:t>
            </w:r>
          </w:p>
        </w:tc>
        <w:tc>
          <w:tcPr>
            <w:tcW w:w="266" w:type="pct"/>
            <w:vMerge w:val="continue"/>
            <w:noWrap w:val="0"/>
            <w:vAlign w:val="center"/>
          </w:tcPr>
          <w:p w14:paraId="1159029E">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278" w:type="pct"/>
            <w:noWrap w:val="0"/>
            <w:vAlign w:val="center"/>
          </w:tcPr>
          <w:p w14:paraId="4740E3A4">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t>-3.7</w:t>
            </w:r>
          </w:p>
        </w:tc>
        <w:tc>
          <w:tcPr>
            <w:tcW w:w="249" w:type="pct"/>
            <w:noWrap w:val="0"/>
            <w:vAlign w:val="center"/>
          </w:tcPr>
          <w:p w14:paraId="6C916FAC">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t>18.73</w:t>
            </w:r>
          </w:p>
        </w:tc>
        <w:tc>
          <w:tcPr>
            <w:tcW w:w="265" w:type="pct"/>
            <w:noWrap w:val="0"/>
            <w:vAlign w:val="center"/>
          </w:tcPr>
          <w:p w14:paraId="0D18951B">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1</w:t>
            </w:r>
          </w:p>
        </w:tc>
        <w:tc>
          <w:tcPr>
            <w:tcW w:w="358" w:type="pct"/>
            <w:noWrap w:val="0"/>
            <w:vAlign w:val="center"/>
          </w:tcPr>
          <w:p w14:paraId="77BEB10B">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4.</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5</w:t>
            </w:r>
          </w:p>
        </w:tc>
        <w:tc>
          <w:tcPr>
            <w:tcW w:w="1002" w:type="dxa"/>
            <w:noWrap w:val="0"/>
            <w:vAlign w:val="center"/>
          </w:tcPr>
          <w:p w14:paraId="4ED0B7B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61.92 </w:t>
            </w:r>
          </w:p>
        </w:tc>
        <w:tc>
          <w:tcPr>
            <w:tcW w:w="428" w:type="pct"/>
            <w:noWrap w:val="0"/>
            <w:vAlign w:val="center"/>
          </w:tcPr>
          <w:p w14:paraId="1B5E53A4">
            <w:pPr>
              <w:keepNext w:val="0"/>
              <w:keepLines w:val="0"/>
              <w:pageBreakBefore w:val="0"/>
              <w:kinsoku/>
              <w:wordWrap/>
              <w:overflowPunct/>
              <w:topLinePunct w:val="0"/>
              <w:autoSpaceDE/>
              <w:autoSpaceDN/>
              <w:bidi w:val="0"/>
              <w:adjustRightInd w:val="0"/>
              <w:snapToGrid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t>昼间</w:t>
            </w:r>
            <w:r>
              <w:rPr>
                <w:rFonts w:hint="eastAsia" w:ascii="Times New Roman" w:hAnsi="Times New Roman" w:cs="Times New Roman"/>
                <w:caps w:val="0"/>
                <w:smallCaps w:val="0"/>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夜间</w:t>
            </w:r>
          </w:p>
        </w:tc>
        <w:tc>
          <w:tcPr>
            <w:tcW w:w="387" w:type="pct"/>
            <w:noWrap w:val="0"/>
            <w:vAlign w:val="center"/>
          </w:tcPr>
          <w:p w14:paraId="0F8B7755">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15</w:t>
            </w:r>
          </w:p>
        </w:tc>
        <w:tc>
          <w:tcPr>
            <w:tcW w:w="955" w:type="dxa"/>
            <w:noWrap w:val="0"/>
            <w:vAlign w:val="center"/>
          </w:tcPr>
          <w:p w14:paraId="6E9D1DC3">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54.96</w:t>
            </w:r>
          </w:p>
        </w:tc>
        <w:tc>
          <w:tcPr>
            <w:tcW w:w="296" w:type="pct"/>
            <w:noWrap w:val="0"/>
            <w:vAlign w:val="center"/>
          </w:tcPr>
          <w:p w14:paraId="76955CE5">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w:t>
            </w:r>
          </w:p>
        </w:tc>
      </w:tr>
      <w:tr w14:paraId="3EE26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40" w:type="pct"/>
            <w:vMerge w:val="continue"/>
            <w:noWrap w:val="0"/>
            <w:vAlign w:val="center"/>
          </w:tcPr>
          <w:p w14:paraId="05578FBE">
            <w:pPr>
              <w:pStyle w:val="15"/>
              <w:keepNext w:val="0"/>
              <w:keepLines w:val="0"/>
              <w:pageBreakBefore w:val="0"/>
              <w:kinsoku/>
              <w:wordWrap/>
              <w:overflowPunct/>
              <w:topLinePunct w:val="0"/>
              <w:autoSpaceDE/>
              <w:autoSpaceDN/>
              <w:bidi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670" w:type="pct"/>
            <w:noWrap w:val="0"/>
            <w:vAlign w:val="center"/>
          </w:tcPr>
          <w:p w14:paraId="05EC400D">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密胺液压成型机</w:t>
            </w:r>
            <w:r>
              <w:rPr>
                <w:rFonts w:hint="default" w:ascii="Times New Roman" w:hAnsi="Times New Roman" w:eastAsia="宋体" w:cs="Times New Roman"/>
                <w:color w:val="000000" w:themeColor="text1"/>
                <w:lang w:val="en-US" w:eastAsia="zh-CN"/>
                <w14:textFill>
                  <w14:solidFill>
                    <w14:schemeClr w14:val="tx1"/>
                  </w14:solidFill>
                </w14:textFill>
              </w:rPr>
              <w:t>5</w:t>
            </w:r>
          </w:p>
        </w:tc>
        <w:tc>
          <w:tcPr>
            <w:tcW w:w="582" w:type="pct"/>
            <w:noWrap w:val="0"/>
            <w:vAlign w:val="center"/>
          </w:tcPr>
          <w:p w14:paraId="36F2596D">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300T四柱式</w:t>
            </w:r>
          </w:p>
        </w:tc>
        <w:tc>
          <w:tcPr>
            <w:tcW w:w="294" w:type="pct"/>
            <w:noWrap w:val="0"/>
            <w:vAlign w:val="center"/>
          </w:tcPr>
          <w:p w14:paraId="13C5074C">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80</w:t>
            </w:r>
          </w:p>
        </w:tc>
        <w:tc>
          <w:tcPr>
            <w:tcW w:w="266" w:type="pct"/>
            <w:vMerge w:val="continue"/>
            <w:noWrap w:val="0"/>
            <w:vAlign w:val="center"/>
          </w:tcPr>
          <w:p w14:paraId="59EF0F91">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278" w:type="pct"/>
            <w:noWrap w:val="0"/>
            <w:vAlign w:val="center"/>
          </w:tcPr>
          <w:p w14:paraId="748DCE7B">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t>-0.76</w:t>
            </w:r>
          </w:p>
        </w:tc>
        <w:tc>
          <w:tcPr>
            <w:tcW w:w="249" w:type="pct"/>
            <w:noWrap w:val="0"/>
            <w:vAlign w:val="center"/>
          </w:tcPr>
          <w:p w14:paraId="360FEDA3">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t>16.34</w:t>
            </w:r>
          </w:p>
        </w:tc>
        <w:tc>
          <w:tcPr>
            <w:tcW w:w="265" w:type="pct"/>
            <w:noWrap w:val="0"/>
            <w:vAlign w:val="center"/>
          </w:tcPr>
          <w:p w14:paraId="6957E5A6">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1</w:t>
            </w:r>
          </w:p>
        </w:tc>
        <w:tc>
          <w:tcPr>
            <w:tcW w:w="358" w:type="pct"/>
            <w:noWrap w:val="0"/>
            <w:vAlign w:val="center"/>
          </w:tcPr>
          <w:p w14:paraId="340833E4">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4.</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5</w:t>
            </w:r>
          </w:p>
        </w:tc>
        <w:tc>
          <w:tcPr>
            <w:tcW w:w="1002" w:type="dxa"/>
            <w:noWrap w:val="0"/>
            <w:vAlign w:val="center"/>
          </w:tcPr>
          <w:p w14:paraId="574F176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61.92 </w:t>
            </w:r>
          </w:p>
        </w:tc>
        <w:tc>
          <w:tcPr>
            <w:tcW w:w="428" w:type="pct"/>
            <w:noWrap w:val="0"/>
            <w:vAlign w:val="center"/>
          </w:tcPr>
          <w:p w14:paraId="6F89E2AB">
            <w:pPr>
              <w:keepNext w:val="0"/>
              <w:keepLines w:val="0"/>
              <w:pageBreakBefore w:val="0"/>
              <w:kinsoku/>
              <w:wordWrap/>
              <w:overflowPunct/>
              <w:topLinePunct w:val="0"/>
              <w:autoSpaceDE/>
              <w:autoSpaceDN/>
              <w:bidi w:val="0"/>
              <w:adjustRightInd w:val="0"/>
              <w:snapToGrid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t>昼间</w:t>
            </w:r>
            <w:r>
              <w:rPr>
                <w:rFonts w:hint="eastAsia" w:ascii="Times New Roman" w:hAnsi="Times New Roman" w:cs="Times New Roman"/>
                <w:caps w:val="0"/>
                <w:smallCaps w:val="0"/>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夜间</w:t>
            </w:r>
          </w:p>
        </w:tc>
        <w:tc>
          <w:tcPr>
            <w:tcW w:w="387" w:type="pct"/>
            <w:noWrap w:val="0"/>
            <w:vAlign w:val="center"/>
          </w:tcPr>
          <w:p w14:paraId="7DD429F5">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15</w:t>
            </w:r>
          </w:p>
        </w:tc>
        <w:tc>
          <w:tcPr>
            <w:tcW w:w="955" w:type="dxa"/>
            <w:noWrap w:val="0"/>
            <w:vAlign w:val="center"/>
          </w:tcPr>
          <w:p w14:paraId="2ABFB266">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54.96</w:t>
            </w:r>
          </w:p>
        </w:tc>
        <w:tc>
          <w:tcPr>
            <w:tcW w:w="296" w:type="pct"/>
            <w:noWrap w:val="0"/>
            <w:vAlign w:val="center"/>
          </w:tcPr>
          <w:p w14:paraId="29127E08">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w:t>
            </w:r>
          </w:p>
        </w:tc>
      </w:tr>
      <w:tr w14:paraId="62C32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0" w:hRule="atLeast"/>
          <w:jc w:val="center"/>
        </w:trPr>
        <w:tc>
          <w:tcPr>
            <w:tcW w:w="240" w:type="pct"/>
            <w:vMerge w:val="continue"/>
            <w:noWrap w:val="0"/>
            <w:vAlign w:val="center"/>
          </w:tcPr>
          <w:p w14:paraId="4DD2834D">
            <w:pPr>
              <w:pStyle w:val="15"/>
              <w:keepNext w:val="0"/>
              <w:keepLines w:val="0"/>
              <w:pageBreakBefore w:val="0"/>
              <w:kinsoku/>
              <w:wordWrap/>
              <w:overflowPunct/>
              <w:topLinePunct w:val="0"/>
              <w:autoSpaceDE/>
              <w:autoSpaceDN/>
              <w:bidi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670" w:type="pct"/>
            <w:noWrap w:val="0"/>
            <w:vAlign w:val="center"/>
          </w:tcPr>
          <w:p w14:paraId="257777A2">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密胺液压成型机</w:t>
            </w:r>
            <w:r>
              <w:rPr>
                <w:rFonts w:hint="default" w:ascii="Times New Roman" w:hAnsi="Times New Roman" w:eastAsia="宋体" w:cs="Times New Roman"/>
                <w:color w:val="000000" w:themeColor="text1"/>
                <w:lang w:val="en-US" w:eastAsia="zh-CN"/>
                <w14:textFill>
                  <w14:solidFill>
                    <w14:schemeClr w14:val="tx1"/>
                  </w14:solidFill>
                </w14:textFill>
              </w:rPr>
              <w:t>6</w:t>
            </w:r>
          </w:p>
        </w:tc>
        <w:tc>
          <w:tcPr>
            <w:tcW w:w="582" w:type="pct"/>
            <w:noWrap w:val="0"/>
            <w:vAlign w:val="center"/>
          </w:tcPr>
          <w:p w14:paraId="3717EDF2">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300T四柱式</w:t>
            </w:r>
          </w:p>
        </w:tc>
        <w:tc>
          <w:tcPr>
            <w:tcW w:w="294" w:type="pct"/>
            <w:noWrap w:val="0"/>
            <w:vAlign w:val="center"/>
          </w:tcPr>
          <w:p w14:paraId="4C7F8B57">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80</w:t>
            </w:r>
          </w:p>
        </w:tc>
        <w:tc>
          <w:tcPr>
            <w:tcW w:w="266" w:type="pct"/>
            <w:vMerge w:val="continue"/>
            <w:noWrap w:val="0"/>
            <w:vAlign w:val="center"/>
          </w:tcPr>
          <w:p w14:paraId="54B4CE7D">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278" w:type="pct"/>
            <w:noWrap w:val="0"/>
            <w:vAlign w:val="center"/>
          </w:tcPr>
          <w:p w14:paraId="685A2E97">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t>2.28</w:t>
            </w:r>
          </w:p>
        </w:tc>
        <w:tc>
          <w:tcPr>
            <w:tcW w:w="249" w:type="pct"/>
            <w:noWrap w:val="0"/>
            <w:vAlign w:val="center"/>
          </w:tcPr>
          <w:p w14:paraId="4CC94A9B">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t>12.97</w:t>
            </w:r>
          </w:p>
        </w:tc>
        <w:tc>
          <w:tcPr>
            <w:tcW w:w="265" w:type="pct"/>
            <w:noWrap w:val="0"/>
            <w:vAlign w:val="center"/>
          </w:tcPr>
          <w:p w14:paraId="1D3E2935">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1</w:t>
            </w:r>
          </w:p>
        </w:tc>
        <w:tc>
          <w:tcPr>
            <w:tcW w:w="358" w:type="pct"/>
            <w:noWrap w:val="0"/>
            <w:vAlign w:val="center"/>
          </w:tcPr>
          <w:p w14:paraId="70BF93CA">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val="en-US"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4.</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5</w:t>
            </w:r>
          </w:p>
        </w:tc>
        <w:tc>
          <w:tcPr>
            <w:tcW w:w="1002" w:type="dxa"/>
            <w:noWrap w:val="0"/>
            <w:vAlign w:val="center"/>
          </w:tcPr>
          <w:p w14:paraId="0A02AF4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61.92 </w:t>
            </w:r>
          </w:p>
        </w:tc>
        <w:tc>
          <w:tcPr>
            <w:tcW w:w="428" w:type="pct"/>
            <w:noWrap w:val="0"/>
            <w:vAlign w:val="center"/>
          </w:tcPr>
          <w:p w14:paraId="6969D71F">
            <w:pPr>
              <w:keepNext w:val="0"/>
              <w:keepLines w:val="0"/>
              <w:pageBreakBefore w:val="0"/>
              <w:kinsoku/>
              <w:wordWrap/>
              <w:overflowPunct/>
              <w:topLinePunct w:val="0"/>
              <w:autoSpaceDE/>
              <w:autoSpaceDN/>
              <w:bidi w:val="0"/>
              <w:adjustRightInd w:val="0"/>
              <w:snapToGrid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t>昼间</w:t>
            </w:r>
            <w:r>
              <w:rPr>
                <w:rFonts w:hint="eastAsia" w:ascii="Times New Roman" w:hAnsi="Times New Roman" w:cs="Times New Roman"/>
                <w:caps w:val="0"/>
                <w:smallCaps w:val="0"/>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夜间</w:t>
            </w:r>
          </w:p>
        </w:tc>
        <w:tc>
          <w:tcPr>
            <w:tcW w:w="387" w:type="pct"/>
            <w:noWrap w:val="0"/>
            <w:vAlign w:val="center"/>
          </w:tcPr>
          <w:p w14:paraId="40DAA8CD">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15</w:t>
            </w:r>
          </w:p>
        </w:tc>
        <w:tc>
          <w:tcPr>
            <w:tcW w:w="955" w:type="dxa"/>
            <w:noWrap w:val="0"/>
            <w:vAlign w:val="center"/>
          </w:tcPr>
          <w:p w14:paraId="002C1B41">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54.96</w:t>
            </w:r>
          </w:p>
        </w:tc>
        <w:tc>
          <w:tcPr>
            <w:tcW w:w="296" w:type="pct"/>
            <w:noWrap w:val="0"/>
            <w:vAlign w:val="center"/>
          </w:tcPr>
          <w:p w14:paraId="4442904B">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w:t>
            </w:r>
          </w:p>
        </w:tc>
      </w:tr>
      <w:tr w14:paraId="5AC80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40" w:type="pct"/>
            <w:vMerge w:val="continue"/>
            <w:noWrap w:val="0"/>
            <w:vAlign w:val="center"/>
          </w:tcPr>
          <w:p w14:paraId="28730227">
            <w:pPr>
              <w:pStyle w:val="15"/>
              <w:keepNext w:val="0"/>
              <w:keepLines w:val="0"/>
              <w:pageBreakBefore w:val="0"/>
              <w:kinsoku/>
              <w:wordWrap/>
              <w:overflowPunct/>
              <w:topLinePunct w:val="0"/>
              <w:autoSpaceDE/>
              <w:autoSpaceDN/>
              <w:bidi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670" w:type="pct"/>
            <w:noWrap w:val="0"/>
            <w:vAlign w:val="center"/>
          </w:tcPr>
          <w:p w14:paraId="5CFB4822">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密胺液压成型机</w:t>
            </w:r>
            <w:r>
              <w:rPr>
                <w:rFonts w:hint="default" w:ascii="Times New Roman" w:hAnsi="Times New Roman" w:eastAsia="宋体" w:cs="Times New Roman"/>
                <w:color w:val="000000" w:themeColor="text1"/>
                <w:lang w:val="en-US" w:eastAsia="zh-CN"/>
                <w14:textFill>
                  <w14:solidFill>
                    <w14:schemeClr w14:val="tx1"/>
                  </w14:solidFill>
                </w14:textFill>
              </w:rPr>
              <w:t>7</w:t>
            </w:r>
          </w:p>
        </w:tc>
        <w:tc>
          <w:tcPr>
            <w:tcW w:w="582" w:type="pct"/>
            <w:noWrap w:val="0"/>
            <w:vAlign w:val="center"/>
          </w:tcPr>
          <w:p w14:paraId="1EA9DB4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300T四柱式</w:t>
            </w:r>
          </w:p>
        </w:tc>
        <w:tc>
          <w:tcPr>
            <w:tcW w:w="294" w:type="pct"/>
            <w:noWrap w:val="0"/>
            <w:vAlign w:val="center"/>
          </w:tcPr>
          <w:p w14:paraId="248EFB6D">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80</w:t>
            </w:r>
          </w:p>
        </w:tc>
        <w:tc>
          <w:tcPr>
            <w:tcW w:w="266" w:type="pct"/>
            <w:vMerge w:val="continue"/>
            <w:noWrap w:val="0"/>
            <w:vAlign w:val="center"/>
          </w:tcPr>
          <w:p w14:paraId="2CFC1961">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278" w:type="pct"/>
            <w:noWrap w:val="0"/>
            <w:vAlign w:val="center"/>
          </w:tcPr>
          <w:p w14:paraId="57501E14">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t>5.11</w:t>
            </w:r>
          </w:p>
        </w:tc>
        <w:tc>
          <w:tcPr>
            <w:tcW w:w="249" w:type="pct"/>
            <w:noWrap w:val="0"/>
            <w:vAlign w:val="center"/>
          </w:tcPr>
          <w:p w14:paraId="2E1E9777">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t>10.57</w:t>
            </w:r>
          </w:p>
        </w:tc>
        <w:tc>
          <w:tcPr>
            <w:tcW w:w="265" w:type="pct"/>
            <w:noWrap w:val="0"/>
            <w:vAlign w:val="center"/>
          </w:tcPr>
          <w:p w14:paraId="1C316328">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1</w:t>
            </w:r>
          </w:p>
        </w:tc>
        <w:tc>
          <w:tcPr>
            <w:tcW w:w="358" w:type="pct"/>
            <w:noWrap w:val="0"/>
            <w:vAlign w:val="center"/>
          </w:tcPr>
          <w:p w14:paraId="26C03756">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val="en-US"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4.</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5</w:t>
            </w:r>
          </w:p>
        </w:tc>
        <w:tc>
          <w:tcPr>
            <w:tcW w:w="1002" w:type="dxa"/>
            <w:noWrap w:val="0"/>
            <w:vAlign w:val="center"/>
          </w:tcPr>
          <w:p w14:paraId="6C19C37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61.92 </w:t>
            </w:r>
          </w:p>
        </w:tc>
        <w:tc>
          <w:tcPr>
            <w:tcW w:w="428" w:type="pct"/>
            <w:noWrap w:val="0"/>
            <w:vAlign w:val="center"/>
          </w:tcPr>
          <w:p w14:paraId="5926E54B">
            <w:pPr>
              <w:keepNext w:val="0"/>
              <w:keepLines w:val="0"/>
              <w:pageBreakBefore w:val="0"/>
              <w:kinsoku/>
              <w:wordWrap/>
              <w:overflowPunct/>
              <w:topLinePunct w:val="0"/>
              <w:autoSpaceDE/>
              <w:autoSpaceDN/>
              <w:bidi w:val="0"/>
              <w:adjustRightInd w:val="0"/>
              <w:snapToGrid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t>昼间</w:t>
            </w:r>
            <w:r>
              <w:rPr>
                <w:rFonts w:hint="eastAsia" w:ascii="Times New Roman" w:hAnsi="Times New Roman" w:cs="Times New Roman"/>
                <w:caps w:val="0"/>
                <w:smallCaps w:val="0"/>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夜间</w:t>
            </w:r>
          </w:p>
        </w:tc>
        <w:tc>
          <w:tcPr>
            <w:tcW w:w="387" w:type="pct"/>
            <w:noWrap w:val="0"/>
            <w:vAlign w:val="center"/>
          </w:tcPr>
          <w:p w14:paraId="40893461">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15</w:t>
            </w:r>
          </w:p>
        </w:tc>
        <w:tc>
          <w:tcPr>
            <w:tcW w:w="955" w:type="dxa"/>
            <w:noWrap w:val="0"/>
            <w:vAlign w:val="center"/>
          </w:tcPr>
          <w:p w14:paraId="224050FF">
            <w:pPr>
              <w:keepNext w:val="0"/>
              <w:keepLines w:val="0"/>
              <w:widowControl/>
              <w:suppressLineNumbers w:val="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54.96</w:t>
            </w:r>
          </w:p>
        </w:tc>
        <w:tc>
          <w:tcPr>
            <w:tcW w:w="296" w:type="pct"/>
            <w:noWrap w:val="0"/>
            <w:vAlign w:val="center"/>
          </w:tcPr>
          <w:p w14:paraId="51139468">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caps w:val="0"/>
                <w:smallCaps w:val="0"/>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w:t>
            </w:r>
          </w:p>
        </w:tc>
      </w:tr>
      <w:tr w14:paraId="35D04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40" w:type="pct"/>
            <w:vMerge w:val="continue"/>
            <w:noWrap w:val="0"/>
            <w:vAlign w:val="center"/>
          </w:tcPr>
          <w:p w14:paraId="28BFBD4B">
            <w:pPr>
              <w:pStyle w:val="15"/>
              <w:keepNext w:val="0"/>
              <w:keepLines w:val="0"/>
              <w:pageBreakBefore w:val="0"/>
              <w:kinsoku/>
              <w:wordWrap/>
              <w:overflowPunct/>
              <w:topLinePunct w:val="0"/>
              <w:autoSpaceDE/>
              <w:autoSpaceDN/>
              <w:bidi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670" w:type="pct"/>
            <w:noWrap w:val="0"/>
            <w:vAlign w:val="center"/>
          </w:tcPr>
          <w:p w14:paraId="248458D9">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密胺液压成型机</w:t>
            </w:r>
            <w:r>
              <w:rPr>
                <w:rFonts w:hint="default" w:ascii="Times New Roman" w:hAnsi="Times New Roman" w:eastAsia="宋体" w:cs="Times New Roman"/>
                <w:color w:val="000000" w:themeColor="text1"/>
                <w:lang w:val="en-US" w:eastAsia="zh-CN"/>
                <w14:textFill>
                  <w14:solidFill>
                    <w14:schemeClr w14:val="tx1"/>
                  </w14:solidFill>
                </w14:textFill>
              </w:rPr>
              <w:t>8</w:t>
            </w:r>
          </w:p>
        </w:tc>
        <w:tc>
          <w:tcPr>
            <w:tcW w:w="582" w:type="pct"/>
            <w:noWrap w:val="0"/>
            <w:vAlign w:val="center"/>
          </w:tcPr>
          <w:p w14:paraId="204AD0E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cs="Times New Roman"/>
                <w:i w:val="0"/>
                <w:iCs w:val="0"/>
                <w:color w:val="000000" w:themeColor="text1"/>
                <w:kern w:val="2"/>
                <w:sz w:val="22"/>
                <w:szCs w:val="22"/>
                <w:u w:val="none"/>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300T四柱式</w:t>
            </w:r>
          </w:p>
        </w:tc>
        <w:tc>
          <w:tcPr>
            <w:tcW w:w="294" w:type="pct"/>
            <w:noWrap w:val="0"/>
            <w:vAlign w:val="center"/>
          </w:tcPr>
          <w:p w14:paraId="59E01FF0">
            <w:pPr>
              <w:keepNext w:val="0"/>
              <w:keepLines w:val="0"/>
              <w:widowControl/>
              <w:suppressLineNumbers w:val="0"/>
              <w:jc w:val="center"/>
              <w:textAlignment w:val="center"/>
              <w:rPr>
                <w:rFonts w:hint="default"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80</w:t>
            </w:r>
          </w:p>
        </w:tc>
        <w:tc>
          <w:tcPr>
            <w:tcW w:w="266" w:type="pct"/>
            <w:vMerge w:val="continue"/>
            <w:noWrap w:val="0"/>
            <w:vAlign w:val="center"/>
          </w:tcPr>
          <w:p w14:paraId="019CAD24">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278" w:type="pct"/>
            <w:noWrap w:val="0"/>
            <w:vAlign w:val="center"/>
          </w:tcPr>
          <w:p w14:paraId="7F7E36D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8.6</w:t>
            </w:r>
          </w:p>
        </w:tc>
        <w:tc>
          <w:tcPr>
            <w:tcW w:w="249" w:type="pct"/>
            <w:noWrap w:val="0"/>
            <w:vAlign w:val="center"/>
          </w:tcPr>
          <w:p w14:paraId="27D44B7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7.31</w:t>
            </w:r>
          </w:p>
        </w:tc>
        <w:tc>
          <w:tcPr>
            <w:tcW w:w="265" w:type="pct"/>
            <w:noWrap w:val="0"/>
            <w:vAlign w:val="center"/>
          </w:tcPr>
          <w:p w14:paraId="79B5509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1</w:t>
            </w:r>
          </w:p>
        </w:tc>
        <w:tc>
          <w:tcPr>
            <w:tcW w:w="358" w:type="pct"/>
            <w:noWrap w:val="0"/>
            <w:vAlign w:val="center"/>
          </w:tcPr>
          <w:p w14:paraId="47CC81E4">
            <w:pPr>
              <w:keepNext w:val="0"/>
              <w:keepLines w:val="0"/>
              <w:widowControl/>
              <w:suppressLineNumbers w:val="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4.</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5</w:t>
            </w:r>
          </w:p>
        </w:tc>
        <w:tc>
          <w:tcPr>
            <w:tcW w:w="1002" w:type="dxa"/>
            <w:noWrap w:val="0"/>
            <w:vAlign w:val="center"/>
          </w:tcPr>
          <w:p w14:paraId="4E519C9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61.92 </w:t>
            </w:r>
          </w:p>
        </w:tc>
        <w:tc>
          <w:tcPr>
            <w:tcW w:w="428" w:type="pct"/>
            <w:noWrap w:val="0"/>
            <w:vAlign w:val="center"/>
          </w:tcPr>
          <w:p w14:paraId="2D165504">
            <w:pPr>
              <w:keepNext w:val="0"/>
              <w:keepLines w:val="0"/>
              <w:pageBreakBefore w:val="0"/>
              <w:kinsoku/>
              <w:wordWrap/>
              <w:overflowPunct/>
              <w:topLinePunct w:val="0"/>
              <w:autoSpaceDE/>
              <w:autoSpaceDN/>
              <w:bidi w:val="0"/>
              <w:adjustRightInd w:val="0"/>
              <w:snapToGrid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t>昼间</w:t>
            </w:r>
            <w:r>
              <w:rPr>
                <w:rFonts w:hint="eastAsia" w:ascii="Times New Roman" w:hAnsi="Times New Roman" w:cs="Times New Roman"/>
                <w:caps w:val="0"/>
                <w:smallCaps w:val="0"/>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夜间</w:t>
            </w:r>
          </w:p>
        </w:tc>
        <w:tc>
          <w:tcPr>
            <w:tcW w:w="1109" w:type="dxa"/>
            <w:noWrap w:val="0"/>
            <w:vAlign w:val="center"/>
          </w:tcPr>
          <w:p w14:paraId="65810CF6">
            <w:pPr>
              <w:keepNext w:val="0"/>
              <w:keepLines w:val="0"/>
              <w:pageBreakBefore w:val="0"/>
              <w:widowControl/>
              <w:suppressLineNumbers w:val="0"/>
              <w:kinsoku/>
              <w:wordWrap/>
              <w:overflowPunct/>
              <w:topLinePunct w:val="0"/>
              <w:autoSpaceDE/>
              <w:autoSpaceDN/>
              <w:bidi w:val="0"/>
              <w:ind w:firstLine="0" w:firstLineChars="0"/>
              <w:jc w:val="center"/>
              <w:textAlignment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15</w:t>
            </w:r>
          </w:p>
        </w:tc>
        <w:tc>
          <w:tcPr>
            <w:tcW w:w="955" w:type="dxa"/>
            <w:noWrap w:val="0"/>
            <w:vAlign w:val="center"/>
          </w:tcPr>
          <w:p w14:paraId="0AC5138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54.96</w:t>
            </w:r>
          </w:p>
        </w:tc>
        <w:tc>
          <w:tcPr>
            <w:tcW w:w="296" w:type="pct"/>
            <w:noWrap w:val="0"/>
            <w:vAlign w:val="center"/>
          </w:tcPr>
          <w:p w14:paraId="5240C07F">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w:t>
            </w:r>
          </w:p>
        </w:tc>
      </w:tr>
      <w:tr w14:paraId="1BC64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40" w:type="pct"/>
            <w:vMerge w:val="continue"/>
            <w:noWrap w:val="0"/>
            <w:vAlign w:val="center"/>
          </w:tcPr>
          <w:p w14:paraId="5E76A677">
            <w:pPr>
              <w:pStyle w:val="15"/>
              <w:keepNext w:val="0"/>
              <w:keepLines w:val="0"/>
              <w:pageBreakBefore w:val="0"/>
              <w:kinsoku/>
              <w:wordWrap/>
              <w:overflowPunct/>
              <w:topLinePunct w:val="0"/>
              <w:autoSpaceDE/>
              <w:autoSpaceDN/>
              <w:bidi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670" w:type="pct"/>
            <w:noWrap w:val="0"/>
            <w:vAlign w:val="center"/>
          </w:tcPr>
          <w:p w14:paraId="60846CA5">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密胺液压成型机</w:t>
            </w:r>
            <w:r>
              <w:rPr>
                <w:rFonts w:hint="default" w:ascii="Times New Roman" w:hAnsi="Times New Roman" w:eastAsia="宋体" w:cs="Times New Roman"/>
                <w:color w:val="000000" w:themeColor="text1"/>
                <w:lang w:val="en-US" w:eastAsia="zh-CN"/>
                <w14:textFill>
                  <w14:solidFill>
                    <w14:schemeClr w14:val="tx1"/>
                  </w14:solidFill>
                </w14:textFill>
              </w:rPr>
              <w:t>9</w:t>
            </w:r>
          </w:p>
        </w:tc>
        <w:tc>
          <w:tcPr>
            <w:tcW w:w="582" w:type="pct"/>
            <w:noWrap w:val="0"/>
            <w:vAlign w:val="center"/>
          </w:tcPr>
          <w:p w14:paraId="07DED49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cs="Times New Roman"/>
                <w:i w:val="0"/>
                <w:iCs w:val="0"/>
                <w:color w:val="000000" w:themeColor="text1"/>
                <w:kern w:val="2"/>
                <w:sz w:val="22"/>
                <w:szCs w:val="22"/>
                <w:u w:val="none"/>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300T四柱式</w:t>
            </w:r>
          </w:p>
        </w:tc>
        <w:tc>
          <w:tcPr>
            <w:tcW w:w="294" w:type="pct"/>
            <w:noWrap w:val="0"/>
            <w:vAlign w:val="center"/>
          </w:tcPr>
          <w:p w14:paraId="631FDFCA">
            <w:pPr>
              <w:keepNext w:val="0"/>
              <w:keepLines w:val="0"/>
              <w:widowControl/>
              <w:suppressLineNumbers w:val="0"/>
              <w:jc w:val="center"/>
              <w:textAlignment w:val="center"/>
              <w:rPr>
                <w:rFonts w:hint="default"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80</w:t>
            </w:r>
          </w:p>
        </w:tc>
        <w:tc>
          <w:tcPr>
            <w:tcW w:w="266" w:type="pct"/>
            <w:vMerge w:val="continue"/>
            <w:noWrap w:val="0"/>
            <w:vAlign w:val="center"/>
          </w:tcPr>
          <w:p w14:paraId="70764143">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278" w:type="pct"/>
            <w:noWrap w:val="0"/>
            <w:vAlign w:val="center"/>
          </w:tcPr>
          <w:p w14:paraId="3224C61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11.54</w:t>
            </w:r>
          </w:p>
        </w:tc>
        <w:tc>
          <w:tcPr>
            <w:tcW w:w="249" w:type="pct"/>
            <w:noWrap w:val="0"/>
            <w:vAlign w:val="center"/>
          </w:tcPr>
          <w:p w14:paraId="22E861F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4.91</w:t>
            </w:r>
          </w:p>
        </w:tc>
        <w:tc>
          <w:tcPr>
            <w:tcW w:w="265" w:type="pct"/>
            <w:noWrap w:val="0"/>
            <w:vAlign w:val="center"/>
          </w:tcPr>
          <w:p w14:paraId="23592B5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1</w:t>
            </w:r>
          </w:p>
        </w:tc>
        <w:tc>
          <w:tcPr>
            <w:tcW w:w="358" w:type="pct"/>
            <w:noWrap w:val="0"/>
            <w:vAlign w:val="center"/>
          </w:tcPr>
          <w:p w14:paraId="052E35F6">
            <w:pPr>
              <w:keepNext w:val="0"/>
              <w:keepLines w:val="0"/>
              <w:widowControl/>
              <w:suppressLineNumbers w:val="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4.</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5</w:t>
            </w:r>
          </w:p>
        </w:tc>
        <w:tc>
          <w:tcPr>
            <w:tcW w:w="1002" w:type="dxa"/>
            <w:noWrap w:val="0"/>
            <w:vAlign w:val="center"/>
          </w:tcPr>
          <w:p w14:paraId="7345446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61.92 </w:t>
            </w:r>
          </w:p>
        </w:tc>
        <w:tc>
          <w:tcPr>
            <w:tcW w:w="428" w:type="pct"/>
            <w:noWrap w:val="0"/>
            <w:vAlign w:val="center"/>
          </w:tcPr>
          <w:p w14:paraId="1DC0502E">
            <w:pPr>
              <w:keepNext w:val="0"/>
              <w:keepLines w:val="0"/>
              <w:pageBreakBefore w:val="0"/>
              <w:kinsoku/>
              <w:wordWrap/>
              <w:overflowPunct/>
              <w:topLinePunct w:val="0"/>
              <w:autoSpaceDE/>
              <w:autoSpaceDN/>
              <w:bidi w:val="0"/>
              <w:adjustRightInd w:val="0"/>
              <w:snapToGrid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t>昼间</w:t>
            </w:r>
            <w:r>
              <w:rPr>
                <w:rFonts w:hint="eastAsia" w:ascii="Times New Roman" w:hAnsi="Times New Roman" w:cs="Times New Roman"/>
                <w:caps w:val="0"/>
                <w:smallCaps w:val="0"/>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夜间</w:t>
            </w:r>
          </w:p>
        </w:tc>
        <w:tc>
          <w:tcPr>
            <w:tcW w:w="1109" w:type="dxa"/>
            <w:noWrap w:val="0"/>
            <w:vAlign w:val="center"/>
          </w:tcPr>
          <w:p w14:paraId="64483B31">
            <w:pPr>
              <w:keepNext w:val="0"/>
              <w:keepLines w:val="0"/>
              <w:pageBreakBefore w:val="0"/>
              <w:widowControl/>
              <w:suppressLineNumbers w:val="0"/>
              <w:kinsoku/>
              <w:wordWrap/>
              <w:overflowPunct/>
              <w:topLinePunct w:val="0"/>
              <w:autoSpaceDE/>
              <w:autoSpaceDN/>
              <w:bidi w:val="0"/>
              <w:ind w:firstLine="0" w:firstLineChars="0"/>
              <w:jc w:val="center"/>
              <w:textAlignment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15</w:t>
            </w:r>
          </w:p>
        </w:tc>
        <w:tc>
          <w:tcPr>
            <w:tcW w:w="955" w:type="dxa"/>
            <w:noWrap w:val="0"/>
            <w:vAlign w:val="center"/>
          </w:tcPr>
          <w:p w14:paraId="0B0D451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54.96</w:t>
            </w:r>
          </w:p>
        </w:tc>
        <w:tc>
          <w:tcPr>
            <w:tcW w:w="296" w:type="pct"/>
            <w:noWrap w:val="0"/>
            <w:vAlign w:val="center"/>
          </w:tcPr>
          <w:p w14:paraId="5D7F07EE">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w:t>
            </w:r>
          </w:p>
        </w:tc>
      </w:tr>
      <w:tr w14:paraId="0D301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40" w:type="pct"/>
            <w:vMerge w:val="continue"/>
            <w:noWrap w:val="0"/>
            <w:vAlign w:val="center"/>
          </w:tcPr>
          <w:p w14:paraId="0395B452">
            <w:pPr>
              <w:pStyle w:val="15"/>
              <w:keepNext w:val="0"/>
              <w:keepLines w:val="0"/>
              <w:pageBreakBefore w:val="0"/>
              <w:kinsoku/>
              <w:wordWrap/>
              <w:overflowPunct/>
              <w:topLinePunct w:val="0"/>
              <w:autoSpaceDE/>
              <w:autoSpaceDN/>
              <w:bidi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670" w:type="pct"/>
            <w:noWrap w:val="0"/>
            <w:vAlign w:val="center"/>
          </w:tcPr>
          <w:p w14:paraId="6BC5E132">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密胺液压成型机</w:t>
            </w:r>
            <w:r>
              <w:rPr>
                <w:rFonts w:hint="default" w:ascii="Times New Roman" w:hAnsi="Times New Roman" w:eastAsia="宋体" w:cs="Times New Roman"/>
                <w:color w:val="000000" w:themeColor="text1"/>
                <w:lang w:val="en-US" w:eastAsia="zh-CN"/>
                <w14:textFill>
                  <w14:solidFill>
                    <w14:schemeClr w14:val="tx1"/>
                  </w14:solidFill>
                </w14:textFill>
              </w:rPr>
              <w:t>10</w:t>
            </w:r>
          </w:p>
        </w:tc>
        <w:tc>
          <w:tcPr>
            <w:tcW w:w="582" w:type="pct"/>
            <w:noWrap w:val="0"/>
            <w:vAlign w:val="center"/>
          </w:tcPr>
          <w:p w14:paraId="0DA442A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cs="Times New Roman"/>
                <w:i w:val="0"/>
                <w:iCs w:val="0"/>
                <w:color w:val="000000" w:themeColor="text1"/>
                <w:kern w:val="2"/>
                <w:sz w:val="22"/>
                <w:szCs w:val="22"/>
                <w:u w:val="none"/>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双色350T四柱式</w:t>
            </w:r>
          </w:p>
        </w:tc>
        <w:tc>
          <w:tcPr>
            <w:tcW w:w="294" w:type="pct"/>
            <w:noWrap w:val="0"/>
            <w:vAlign w:val="center"/>
          </w:tcPr>
          <w:p w14:paraId="784C3FD7">
            <w:pPr>
              <w:keepNext w:val="0"/>
              <w:keepLines w:val="0"/>
              <w:widowControl/>
              <w:suppressLineNumbers w:val="0"/>
              <w:jc w:val="center"/>
              <w:textAlignment w:val="center"/>
              <w:rPr>
                <w:rFonts w:hint="default"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80</w:t>
            </w:r>
          </w:p>
        </w:tc>
        <w:tc>
          <w:tcPr>
            <w:tcW w:w="266" w:type="pct"/>
            <w:vMerge w:val="continue"/>
            <w:noWrap w:val="0"/>
            <w:vAlign w:val="center"/>
          </w:tcPr>
          <w:p w14:paraId="3C2AF3F6">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278" w:type="pct"/>
            <w:noWrap w:val="0"/>
            <w:vAlign w:val="center"/>
          </w:tcPr>
          <w:p w14:paraId="577D63A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15.13</w:t>
            </w:r>
          </w:p>
        </w:tc>
        <w:tc>
          <w:tcPr>
            <w:tcW w:w="249" w:type="pct"/>
            <w:noWrap w:val="0"/>
            <w:vAlign w:val="center"/>
          </w:tcPr>
          <w:p w14:paraId="22366D4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1.54</w:t>
            </w:r>
          </w:p>
        </w:tc>
        <w:tc>
          <w:tcPr>
            <w:tcW w:w="265" w:type="pct"/>
            <w:noWrap w:val="0"/>
            <w:vAlign w:val="center"/>
          </w:tcPr>
          <w:p w14:paraId="73F9E64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1</w:t>
            </w:r>
          </w:p>
        </w:tc>
        <w:tc>
          <w:tcPr>
            <w:tcW w:w="358" w:type="pct"/>
            <w:noWrap w:val="0"/>
            <w:vAlign w:val="center"/>
          </w:tcPr>
          <w:p w14:paraId="2E204BCB">
            <w:pPr>
              <w:keepNext w:val="0"/>
              <w:keepLines w:val="0"/>
              <w:widowControl/>
              <w:suppressLineNumbers w:val="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4.</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5</w:t>
            </w:r>
          </w:p>
        </w:tc>
        <w:tc>
          <w:tcPr>
            <w:tcW w:w="1002" w:type="dxa"/>
            <w:noWrap w:val="0"/>
            <w:vAlign w:val="center"/>
          </w:tcPr>
          <w:p w14:paraId="3D9B517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61.92 </w:t>
            </w:r>
          </w:p>
        </w:tc>
        <w:tc>
          <w:tcPr>
            <w:tcW w:w="428" w:type="pct"/>
            <w:noWrap w:val="0"/>
            <w:vAlign w:val="center"/>
          </w:tcPr>
          <w:p w14:paraId="03161B6F">
            <w:pPr>
              <w:keepNext w:val="0"/>
              <w:keepLines w:val="0"/>
              <w:pageBreakBefore w:val="0"/>
              <w:kinsoku/>
              <w:wordWrap/>
              <w:overflowPunct/>
              <w:topLinePunct w:val="0"/>
              <w:autoSpaceDE/>
              <w:autoSpaceDN/>
              <w:bidi w:val="0"/>
              <w:adjustRightInd w:val="0"/>
              <w:snapToGrid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t>昼间</w:t>
            </w:r>
            <w:r>
              <w:rPr>
                <w:rFonts w:hint="eastAsia" w:ascii="Times New Roman" w:hAnsi="Times New Roman" w:cs="Times New Roman"/>
                <w:caps w:val="0"/>
                <w:smallCaps w:val="0"/>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夜间</w:t>
            </w:r>
          </w:p>
        </w:tc>
        <w:tc>
          <w:tcPr>
            <w:tcW w:w="1109" w:type="dxa"/>
            <w:noWrap w:val="0"/>
            <w:vAlign w:val="center"/>
          </w:tcPr>
          <w:p w14:paraId="5C2F2161">
            <w:pPr>
              <w:keepNext w:val="0"/>
              <w:keepLines w:val="0"/>
              <w:pageBreakBefore w:val="0"/>
              <w:widowControl/>
              <w:suppressLineNumbers w:val="0"/>
              <w:kinsoku/>
              <w:wordWrap/>
              <w:overflowPunct/>
              <w:topLinePunct w:val="0"/>
              <w:autoSpaceDE/>
              <w:autoSpaceDN/>
              <w:bidi w:val="0"/>
              <w:ind w:firstLine="0" w:firstLineChars="0"/>
              <w:jc w:val="center"/>
              <w:textAlignment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15</w:t>
            </w:r>
          </w:p>
        </w:tc>
        <w:tc>
          <w:tcPr>
            <w:tcW w:w="955" w:type="dxa"/>
            <w:noWrap w:val="0"/>
            <w:vAlign w:val="center"/>
          </w:tcPr>
          <w:p w14:paraId="196CED8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54.96</w:t>
            </w:r>
          </w:p>
        </w:tc>
        <w:tc>
          <w:tcPr>
            <w:tcW w:w="296" w:type="pct"/>
            <w:noWrap w:val="0"/>
            <w:vAlign w:val="center"/>
          </w:tcPr>
          <w:p w14:paraId="2CD42817">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w:t>
            </w:r>
          </w:p>
        </w:tc>
      </w:tr>
      <w:tr w14:paraId="7BE76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40" w:type="pct"/>
            <w:vMerge w:val="continue"/>
            <w:noWrap w:val="0"/>
            <w:vAlign w:val="center"/>
          </w:tcPr>
          <w:p w14:paraId="28DD8AB2">
            <w:pPr>
              <w:pStyle w:val="15"/>
              <w:keepNext w:val="0"/>
              <w:keepLines w:val="0"/>
              <w:pageBreakBefore w:val="0"/>
              <w:kinsoku/>
              <w:wordWrap/>
              <w:overflowPunct/>
              <w:topLinePunct w:val="0"/>
              <w:autoSpaceDE/>
              <w:autoSpaceDN/>
              <w:bidi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670" w:type="pct"/>
            <w:noWrap w:val="0"/>
            <w:vAlign w:val="center"/>
          </w:tcPr>
          <w:p w14:paraId="32B0D9C1">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密胺液压成型机</w:t>
            </w:r>
            <w:r>
              <w:rPr>
                <w:rFonts w:hint="default" w:ascii="Times New Roman" w:hAnsi="Times New Roman" w:eastAsia="宋体" w:cs="Times New Roman"/>
                <w:color w:val="000000" w:themeColor="text1"/>
                <w:lang w:val="en-US" w:eastAsia="zh-CN"/>
                <w14:textFill>
                  <w14:solidFill>
                    <w14:schemeClr w14:val="tx1"/>
                  </w14:solidFill>
                </w14:textFill>
              </w:rPr>
              <w:t>11</w:t>
            </w:r>
          </w:p>
        </w:tc>
        <w:tc>
          <w:tcPr>
            <w:tcW w:w="582" w:type="pct"/>
            <w:noWrap w:val="0"/>
            <w:vAlign w:val="center"/>
          </w:tcPr>
          <w:p w14:paraId="5A72612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cs="Times New Roman"/>
                <w:i w:val="0"/>
                <w:iCs w:val="0"/>
                <w:color w:val="000000" w:themeColor="text1"/>
                <w:kern w:val="2"/>
                <w:sz w:val="22"/>
                <w:szCs w:val="22"/>
                <w:u w:val="none"/>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双色350T四柱式</w:t>
            </w:r>
          </w:p>
        </w:tc>
        <w:tc>
          <w:tcPr>
            <w:tcW w:w="294" w:type="pct"/>
            <w:noWrap w:val="0"/>
            <w:vAlign w:val="center"/>
          </w:tcPr>
          <w:p w14:paraId="37EC17C1">
            <w:pPr>
              <w:keepNext w:val="0"/>
              <w:keepLines w:val="0"/>
              <w:widowControl/>
              <w:suppressLineNumbers w:val="0"/>
              <w:jc w:val="center"/>
              <w:textAlignment w:val="center"/>
              <w:rPr>
                <w:rFonts w:hint="default"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80</w:t>
            </w:r>
          </w:p>
        </w:tc>
        <w:tc>
          <w:tcPr>
            <w:tcW w:w="266" w:type="pct"/>
            <w:vMerge w:val="continue"/>
            <w:noWrap w:val="0"/>
            <w:vAlign w:val="center"/>
          </w:tcPr>
          <w:p w14:paraId="0D0BACAA">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278" w:type="pct"/>
            <w:noWrap w:val="0"/>
            <w:vAlign w:val="center"/>
          </w:tcPr>
          <w:p w14:paraId="59B5CAB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17.96</w:t>
            </w:r>
          </w:p>
        </w:tc>
        <w:tc>
          <w:tcPr>
            <w:tcW w:w="249" w:type="pct"/>
            <w:noWrap w:val="0"/>
            <w:vAlign w:val="center"/>
          </w:tcPr>
          <w:p w14:paraId="70CE913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-1.51</w:t>
            </w:r>
          </w:p>
        </w:tc>
        <w:tc>
          <w:tcPr>
            <w:tcW w:w="265" w:type="pct"/>
            <w:noWrap w:val="0"/>
            <w:vAlign w:val="center"/>
          </w:tcPr>
          <w:p w14:paraId="3374041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1</w:t>
            </w:r>
          </w:p>
        </w:tc>
        <w:tc>
          <w:tcPr>
            <w:tcW w:w="358" w:type="pct"/>
            <w:noWrap w:val="0"/>
            <w:vAlign w:val="center"/>
          </w:tcPr>
          <w:p w14:paraId="35B2E86F">
            <w:pPr>
              <w:keepNext w:val="0"/>
              <w:keepLines w:val="0"/>
              <w:widowControl/>
              <w:suppressLineNumbers w:val="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4.</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5</w:t>
            </w:r>
          </w:p>
        </w:tc>
        <w:tc>
          <w:tcPr>
            <w:tcW w:w="1002" w:type="dxa"/>
            <w:noWrap w:val="0"/>
            <w:vAlign w:val="center"/>
          </w:tcPr>
          <w:p w14:paraId="49625AE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61.92 </w:t>
            </w:r>
          </w:p>
        </w:tc>
        <w:tc>
          <w:tcPr>
            <w:tcW w:w="428" w:type="pct"/>
            <w:noWrap w:val="0"/>
            <w:vAlign w:val="center"/>
          </w:tcPr>
          <w:p w14:paraId="4A5CD86C">
            <w:pPr>
              <w:keepNext w:val="0"/>
              <w:keepLines w:val="0"/>
              <w:pageBreakBefore w:val="0"/>
              <w:kinsoku/>
              <w:wordWrap/>
              <w:overflowPunct/>
              <w:topLinePunct w:val="0"/>
              <w:autoSpaceDE/>
              <w:autoSpaceDN/>
              <w:bidi w:val="0"/>
              <w:adjustRightInd w:val="0"/>
              <w:snapToGrid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t>昼间</w:t>
            </w:r>
            <w:r>
              <w:rPr>
                <w:rFonts w:hint="eastAsia" w:ascii="Times New Roman" w:hAnsi="Times New Roman" w:cs="Times New Roman"/>
                <w:caps w:val="0"/>
                <w:smallCaps w:val="0"/>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夜间</w:t>
            </w:r>
          </w:p>
        </w:tc>
        <w:tc>
          <w:tcPr>
            <w:tcW w:w="1109" w:type="dxa"/>
            <w:noWrap w:val="0"/>
            <w:vAlign w:val="center"/>
          </w:tcPr>
          <w:p w14:paraId="6BF5448D">
            <w:pPr>
              <w:keepNext w:val="0"/>
              <w:keepLines w:val="0"/>
              <w:pageBreakBefore w:val="0"/>
              <w:widowControl/>
              <w:suppressLineNumbers w:val="0"/>
              <w:kinsoku/>
              <w:wordWrap/>
              <w:overflowPunct/>
              <w:topLinePunct w:val="0"/>
              <w:autoSpaceDE/>
              <w:autoSpaceDN/>
              <w:bidi w:val="0"/>
              <w:ind w:firstLine="0" w:firstLineChars="0"/>
              <w:jc w:val="center"/>
              <w:textAlignment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15</w:t>
            </w:r>
          </w:p>
        </w:tc>
        <w:tc>
          <w:tcPr>
            <w:tcW w:w="955" w:type="dxa"/>
            <w:noWrap w:val="0"/>
            <w:vAlign w:val="center"/>
          </w:tcPr>
          <w:p w14:paraId="77FBCAE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54.96</w:t>
            </w:r>
          </w:p>
        </w:tc>
        <w:tc>
          <w:tcPr>
            <w:tcW w:w="296" w:type="pct"/>
            <w:noWrap w:val="0"/>
            <w:vAlign w:val="center"/>
          </w:tcPr>
          <w:p w14:paraId="7C2ED09E">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w:t>
            </w:r>
          </w:p>
        </w:tc>
      </w:tr>
      <w:tr w14:paraId="19944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40" w:type="pct"/>
            <w:vMerge w:val="continue"/>
            <w:noWrap w:val="0"/>
            <w:vAlign w:val="center"/>
          </w:tcPr>
          <w:p w14:paraId="4DFC34F4">
            <w:pPr>
              <w:pStyle w:val="15"/>
              <w:keepNext w:val="0"/>
              <w:keepLines w:val="0"/>
              <w:pageBreakBefore w:val="0"/>
              <w:kinsoku/>
              <w:wordWrap/>
              <w:overflowPunct/>
              <w:topLinePunct w:val="0"/>
              <w:autoSpaceDE/>
              <w:autoSpaceDN/>
              <w:bidi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670" w:type="pct"/>
            <w:noWrap w:val="0"/>
            <w:vAlign w:val="center"/>
          </w:tcPr>
          <w:p w14:paraId="69A1BC0F">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密胺液压成型机</w:t>
            </w:r>
            <w:r>
              <w:rPr>
                <w:rFonts w:hint="default" w:ascii="Times New Roman" w:hAnsi="Times New Roman" w:eastAsia="宋体" w:cs="Times New Roman"/>
                <w:color w:val="000000" w:themeColor="text1"/>
                <w:lang w:val="en-US" w:eastAsia="zh-CN"/>
                <w14:textFill>
                  <w14:solidFill>
                    <w14:schemeClr w14:val="tx1"/>
                  </w14:solidFill>
                </w14:textFill>
              </w:rPr>
              <w:t>12</w:t>
            </w:r>
          </w:p>
        </w:tc>
        <w:tc>
          <w:tcPr>
            <w:tcW w:w="582" w:type="pct"/>
            <w:noWrap w:val="0"/>
            <w:vAlign w:val="center"/>
          </w:tcPr>
          <w:p w14:paraId="770B263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cs="Times New Roman"/>
                <w:i w:val="0"/>
                <w:iCs w:val="0"/>
                <w:color w:val="000000" w:themeColor="text1"/>
                <w:kern w:val="2"/>
                <w:sz w:val="22"/>
                <w:szCs w:val="22"/>
                <w:u w:val="none"/>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双色350T四柱式</w:t>
            </w:r>
          </w:p>
        </w:tc>
        <w:tc>
          <w:tcPr>
            <w:tcW w:w="294" w:type="pct"/>
            <w:noWrap w:val="0"/>
            <w:vAlign w:val="center"/>
          </w:tcPr>
          <w:p w14:paraId="048100C7">
            <w:pPr>
              <w:keepNext w:val="0"/>
              <w:keepLines w:val="0"/>
              <w:widowControl/>
              <w:suppressLineNumbers w:val="0"/>
              <w:jc w:val="center"/>
              <w:textAlignment w:val="center"/>
              <w:rPr>
                <w:rFonts w:hint="default"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80</w:t>
            </w:r>
          </w:p>
        </w:tc>
        <w:tc>
          <w:tcPr>
            <w:tcW w:w="266" w:type="pct"/>
            <w:vMerge w:val="continue"/>
            <w:noWrap w:val="0"/>
            <w:vAlign w:val="center"/>
          </w:tcPr>
          <w:p w14:paraId="24AEDF6E">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278" w:type="pct"/>
            <w:noWrap w:val="0"/>
            <w:vAlign w:val="center"/>
          </w:tcPr>
          <w:p w14:paraId="10049EA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21.22</w:t>
            </w:r>
          </w:p>
        </w:tc>
        <w:tc>
          <w:tcPr>
            <w:tcW w:w="249" w:type="pct"/>
            <w:noWrap w:val="0"/>
            <w:vAlign w:val="center"/>
          </w:tcPr>
          <w:p w14:paraId="33C0FF8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-4.56</w:t>
            </w:r>
          </w:p>
        </w:tc>
        <w:tc>
          <w:tcPr>
            <w:tcW w:w="265" w:type="pct"/>
            <w:noWrap w:val="0"/>
            <w:vAlign w:val="center"/>
          </w:tcPr>
          <w:p w14:paraId="54C57FD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1</w:t>
            </w:r>
          </w:p>
        </w:tc>
        <w:tc>
          <w:tcPr>
            <w:tcW w:w="358" w:type="pct"/>
            <w:noWrap w:val="0"/>
            <w:vAlign w:val="center"/>
          </w:tcPr>
          <w:p w14:paraId="6A81D126">
            <w:pPr>
              <w:keepNext w:val="0"/>
              <w:keepLines w:val="0"/>
              <w:widowControl/>
              <w:suppressLineNumbers w:val="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4.</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5</w:t>
            </w:r>
          </w:p>
        </w:tc>
        <w:tc>
          <w:tcPr>
            <w:tcW w:w="1002" w:type="dxa"/>
            <w:noWrap w:val="0"/>
            <w:vAlign w:val="center"/>
          </w:tcPr>
          <w:p w14:paraId="6DA8A86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61.92 </w:t>
            </w:r>
          </w:p>
        </w:tc>
        <w:tc>
          <w:tcPr>
            <w:tcW w:w="428" w:type="pct"/>
            <w:noWrap w:val="0"/>
            <w:vAlign w:val="center"/>
          </w:tcPr>
          <w:p w14:paraId="74E1DCCF">
            <w:pPr>
              <w:keepNext w:val="0"/>
              <w:keepLines w:val="0"/>
              <w:pageBreakBefore w:val="0"/>
              <w:kinsoku/>
              <w:wordWrap/>
              <w:overflowPunct/>
              <w:topLinePunct w:val="0"/>
              <w:autoSpaceDE/>
              <w:autoSpaceDN/>
              <w:bidi w:val="0"/>
              <w:adjustRightInd w:val="0"/>
              <w:snapToGrid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t>昼间</w:t>
            </w:r>
            <w:r>
              <w:rPr>
                <w:rFonts w:hint="eastAsia" w:ascii="Times New Roman" w:hAnsi="Times New Roman" w:cs="Times New Roman"/>
                <w:caps w:val="0"/>
                <w:smallCaps w:val="0"/>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夜间</w:t>
            </w:r>
          </w:p>
        </w:tc>
        <w:tc>
          <w:tcPr>
            <w:tcW w:w="1109" w:type="dxa"/>
            <w:noWrap w:val="0"/>
            <w:vAlign w:val="center"/>
          </w:tcPr>
          <w:p w14:paraId="2C6678AB">
            <w:pPr>
              <w:keepNext w:val="0"/>
              <w:keepLines w:val="0"/>
              <w:pageBreakBefore w:val="0"/>
              <w:widowControl/>
              <w:suppressLineNumbers w:val="0"/>
              <w:kinsoku/>
              <w:wordWrap/>
              <w:overflowPunct/>
              <w:topLinePunct w:val="0"/>
              <w:autoSpaceDE/>
              <w:autoSpaceDN/>
              <w:bidi w:val="0"/>
              <w:ind w:firstLine="0" w:firstLineChars="0"/>
              <w:jc w:val="center"/>
              <w:textAlignment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15</w:t>
            </w:r>
          </w:p>
        </w:tc>
        <w:tc>
          <w:tcPr>
            <w:tcW w:w="955" w:type="dxa"/>
            <w:noWrap w:val="0"/>
            <w:vAlign w:val="center"/>
          </w:tcPr>
          <w:p w14:paraId="44F7330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54.96</w:t>
            </w:r>
          </w:p>
        </w:tc>
        <w:tc>
          <w:tcPr>
            <w:tcW w:w="296" w:type="pct"/>
            <w:noWrap w:val="0"/>
            <w:vAlign w:val="center"/>
          </w:tcPr>
          <w:p w14:paraId="0BE90BB8">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w:t>
            </w:r>
          </w:p>
        </w:tc>
      </w:tr>
      <w:tr w14:paraId="0FDBD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40" w:type="pct"/>
            <w:vMerge w:val="continue"/>
            <w:noWrap w:val="0"/>
            <w:vAlign w:val="center"/>
          </w:tcPr>
          <w:p w14:paraId="402CF614">
            <w:pPr>
              <w:pStyle w:val="15"/>
              <w:keepNext w:val="0"/>
              <w:keepLines w:val="0"/>
              <w:pageBreakBefore w:val="0"/>
              <w:kinsoku/>
              <w:wordWrap/>
              <w:overflowPunct/>
              <w:topLinePunct w:val="0"/>
              <w:autoSpaceDE/>
              <w:autoSpaceDN/>
              <w:bidi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670" w:type="pct"/>
            <w:noWrap w:val="0"/>
            <w:vAlign w:val="center"/>
          </w:tcPr>
          <w:p w14:paraId="56845F4F">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密胺液压成型机</w:t>
            </w:r>
            <w:r>
              <w:rPr>
                <w:rFonts w:hint="default" w:ascii="Times New Roman" w:hAnsi="Times New Roman" w:eastAsia="宋体" w:cs="Times New Roman"/>
                <w:color w:val="000000" w:themeColor="text1"/>
                <w:lang w:val="en-US" w:eastAsia="zh-CN"/>
                <w14:textFill>
                  <w14:solidFill>
                    <w14:schemeClr w14:val="tx1"/>
                  </w14:solidFill>
                </w14:textFill>
              </w:rPr>
              <w:t>13</w:t>
            </w:r>
          </w:p>
        </w:tc>
        <w:tc>
          <w:tcPr>
            <w:tcW w:w="582" w:type="pct"/>
            <w:noWrap w:val="0"/>
            <w:vAlign w:val="center"/>
          </w:tcPr>
          <w:p w14:paraId="7B2208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cs="Times New Roman"/>
                <w:i w:val="0"/>
                <w:iCs w:val="0"/>
                <w:color w:val="000000" w:themeColor="text1"/>
                <w:kern w:val="2"/>
                <w:sz w:val="22"/>
                <w:szCs w:val="22"/>
                <w:u w:val="none"/>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双色350T四柱式</w:t>
            </w:r>
          </w:p>
        </w:tc>
        <w:tc>
          <w:tcPr>
            <w:tcW w:w="294" w:type="pct"/>
            <w:noWrap w:val="0"/>
            <w:vAlign w:val="center"/>
          </w:tcPr>
          <w:p w14:paraId="3A31FA97">
            <w:pPr>
              <w:keepNext w:val="0"/>
              <w:keepLines w:val="0"/>
              <w:widowControl/>
              <w:suppressLineNumbers w:val="0"/>
              <w:jc w:val="center"/>
              <w:textAlignment w:val="center"/>
              <w:rPr>
                <w:rFonts w:hint="default"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80</w:t>
            </w:r>
          </w:p>
        </w:tc>
        <w:tc>
          <w:tcPr>
            <w:tcW w:w="266" w:type="pct"/>
            <w:vMerge w:val="continue"/>
            <w:noWrap w:val="0"/>
            <w:vAlign w:val="center"/>
          </w:tcPr>
          <w:p w14:paraId="2236C58D">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278" w:type="pct"/>
            <w:noWrap w:val="0"/>
            <w:vAlign w:val="center"/>
          </w:tcPr>
          <w:p w14:paraId="4104C25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24.27</w:t>
            </w:r>
          </w:p>
        </w:tc>
        <w:tc>
          <w:tcPr>
            <w:tcW w:w="249" w:type="pct"/>
            <w:noWrap w:val="0"/>
            <w:vAlign w:val="center"/>
          </w:tcPr>
          <w:p w14:paraId="792D637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-7.93</w:t>
            </w:r>
          </w:p>
        </w:tc>
        <w:tc>
          <w:tcPr>
            <w:tcW w:w="265" w:type="pct"/>
            <w:noWrap w:val="0"/>
            <w:vAlign w:val="center"/>
          </w:tcPr>
          <w:p w14:paraId="436DBD2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1</w:t>
            </w:r>
          </w:p>
        </w:tc>
        <w:tc>
          <w:tcPr>
            <w:tcW w:w="358" w:type="pct"/>
            <w:noWrap w:val="0"/>
            <w:vAlign w:val="center"/>
          </w:tcPr>
          <w:p w14:paraId="22DC0729">
            <w:pPr>
              <w:keepNext w:val="0"/>
              <w:keepLines w:val="0"/>
              <w:widowControl/>
              <w:suppressLineNumbers w:val="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4.</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5</w:t>
            </w:r>
          </w:p>
        </w:tc>
        <w:tc>
          <w:tcPr>
            <w:tcW w:w="1002" w:type="dxa"/>
            <w:noWrap w:val="0"/>
            <w:vAlign w:val="center"/>
          </w:tcPr>
          <w:p w14:paraId="2954FC4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61.92 </w:t>
            </w:r>
          </w:p>
        </w:tc>
        <w:tc>
          <w:tcPr>
            <w:tcW w:w="428" w:type="pct"/>
            <w:noWrap w:val="0"/>
            <w:vAlign w:val="center"/>
          </w:tcPr>
          <w:p w14:paraId="0488E777">
            <w:pPr>
              <w:keepNext w:val="0"/>
              <w:keepLines w:val="0"/>
              <w:pageBreakBefore w:val="0"/>
              <w:kinsoku/>
              <w:wordWrap/>
              <w:overflowPunct/>
              <w:topLinePunct w:val="0"/>
              <w:autoSpaceDE/>
              <w:autoSpaceDN/>
              <w:bidi w:val="0"/>
              <w:adjustRightInd w:val="0"/>
              <w:snapToGrid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t>昼间</w:t>
            </w:r>
            <w:r>
              <w:rPr>
                <w:rFonts w:hint="eastAsia" w:ascii="Times New Roman" w:hAnsi="Times New Roman" w:cs="Times New Roman"/>
                <w:caps w:val="0"/>
                <w:smallCaps w:val="0"/>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夜间</w:t>
            </w:r>
          </w:p>
        </w:tc>
        <w:tc>
          <w:tcPr>
            <w:tcW w:w="1109" w:type="dxa"/>
            <w:noWrap w:val="0"/>
            <w:vAlign w:val="center"/>
          </w:tcPr>
          <w:p w14:paraId="30159274">
            <w:pPr>
              <w:keepNext w:val="0"/>
              <w:keepLines w:val="0"/>
              <w:pageBreakBefore w:val="0"/>
              <w:widowControl/>
              <w:suppressLineNumbers w:val="0"/>
              <w:kinsoku/>
              <w:wordWrap/>
              <w:overflowPunct/>
              <w:topLinePunct w:val="0"/>
              <w:autoSpaceDE/>
              <w:autoSpaceDN/>
              <w:bidi w:val="0"/>
              <w:ind w:firstLine="0" w:firstLineChars="0"/>
              <w:jc w:val="center"/>
              <w:textAlignment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15</w:t>
            </w:r>
          </w:p>
        </w:tc>
        <w:tc>
          <w:tcPr>
            <w:tcW w:w="955" w:type="dxa"/>
            <w:noWrap w:val="0"/>
            <w:vAlign w:val="center"/>
          </w:tcPr>
          <w:p w14:paraId="4C1C062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54.96</w:t>
            </w:r>
          </w:p>
        </w:tc>
        <w:tc>
          <w:tcPr>
            <w:tcW w:w="296" w:type="pct"/>
            <w:noWrap w:val="0"/>
            <w:vAlign w:val="center"/>
          </w:tcPr>
          <w:p w14:paraId="752309E1">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w:t>
            </w:r>
          </w:p>
        </w:tc>
      </w:tr>
      <w:tr w14:paraId="23977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40" w:type="pct"/>
            <w:vMerge w:val="continue"/>
            <w:noWrap w:val="0"/>
            <w:vAlign w:val="center"/>
          </w:tcPr>
          <w:p w14:paraId="5FE43761">
            <w:pPr>
              <w:pStyle w:val="15"/>
              <w:keepNext w:val="0"/>
              <w:keepLines w:val="0"/>
              <w:pageBreakBefore w:val="0"/>
              <w:kinsoku/>
              <w:wordWrap/>
              <w:overflowPunct/>
              <w:topLinePunct w:val="0"/>
              <w:autoSpaceDE/>
              <w:autoSpaceDN/>
              <w:bidi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670" w:type="pct"/>
            <w:noWrap w:val="0"/>
            <w:vAlign w:val="center"/>
          </w:tcPr>
          <w:p w14:paraId="2B449DED">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密胺液压成型机</w:t>
            </w:r>
            <w:r>
              <w:rPr>
                <w:rFonts w:hint="default" w:ascii="Times New Roman" w:hAnsi="Times New Roman" w:eastAsia="宋体" w:cs="Times New Roman"/>
                <w:color w:val="000000" w:themeColor="text1"/>
                <w:lang w:val="en-US" w:eastAsia="zh-CN"/>
                <w14:textFill>
                  <w14:solidFill>
                    <w14:schemeClr w14:val="tx1"/>
                  </w14:solidFill>
                </w14:textFill>
              </w:rPr>
              <w:t>14</w:t>
            </w:r>
          </w:p>
        </w:tc>
        <w:tc>
          <w:tcPr>
            <w:tcW w:w="582" w:type="pct"/>
            <w:noWrap w:val="0"/>
            <w:vAlign w:val="center"/>
          </w:tcPr>
          <w:p w14:paraId="4278F0C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cs="Times New Roman"/>
                <w:i w:val="0"/>
                <w:iCs w:val="0"/>
                <w:color w:val="000000" w:themeColor="text1"/>
                <w:kern w:val="2"/>
                <w:sz w:val="22"/>
                <w:szCs w:val="22"/>
                <w:u w:val="none"/>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双色350T四柱式</w:t>
            </w:r>
          </w:p>
        </w:tc>
        <w:tc>
          <w:tcPr>
            <w:tcW w:w="294" w:type="pct"/>
            <w:noWrap w:val="0"/>
            <w:vAlign w:val="center"/>
          </w:tcPr>
          <w:p w14:paraId="0BFFC34E">
            <w:pPr>
              <w:keepNext w:val="0"/>
              <w:keepLines w:val="0"/>
              <w:widowControl/>
              <w:suppressLineNumbers w:val="0"/>
              <w:jc w:val="center"/>
              <w:textAlignment w:val="center"/>
              <w:rPr>
                <w:rFonts w:hint="default"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80</w:t>
            </w:r>
          </w:p>
        </w:tc>
        <w:tc>
          <w:tcPr>
            <w:tcW w:w="266" w:type="pct"/>
            <w:vMerge w:val="continue"/>
            <w:noWrap w:val="0"/>
            <w:vAlign w:val="center"/>
          </w:tcPr>
          <w:p w14:paraId="23C6148E">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278" w:type="pct"/>
            <w:noWrap w:val="0"/>
            <w:vAlign w:val="center"/>
          </w:tcPr>
          <w:p w14:paraId="6B774DF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26.99</w:t>
            </w:r>
          </w:p>
        </w:tc>
        <w:tc>
          <w:tcPr>
            <w:tcW w:w="249" w:type="pct"/>
            <w:noWrap w:val="0"/>
            <w:vAlign w:val="center"/>
          </w:tcPr>
          <w:p w14:paraId="13F5A0B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-10.98</w:t>
            </w:r>
          </w:p>
        </w:tc>
        <w:tc>
          <w:tcPr>
            <w:tcW w:w="265" w:type="pct"/>
            <w:noWrap w:val="0"/>
            <w:vAlign w:val="center"/>
          </w:tcPr>
          <w:p w14:paraId="685F3C5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1</w:t>
            </w:r>
          </w:p>
        </w:tc>
        <w:tc>
          <w:tcPr>
            <w:tcW w:w="358" w:type="pct"/>
            <w:noWrap w:val="0"/>
            <w:vAlign w:val="center"/>
          </w:tcPr>
          <w:p w14:paraId="0CBCD1AD">
            <w:pPr>
              <w:keepNext w:val="0"/>
              <w:keepLines w:val="0"/>
              <w:widowControl/>
              <w:suppressLineNumbers w:val="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4.</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5</w:t>
            </w:r>
          </w:p>
        </w:tc>
        <w:tc>
          <w:tcPr>
            <w:tcW w:w="1002" w:type="dxa"/>
            <w:noWrap w:val="0"/>
            <w:vAlign w:val="center"/>
          </w:tcPr>
          <w:p w14:paraId="585FC8D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61.92 </w:t>
            </w:r>
          </w:p>
        </w:tc>
        <w:tc>
          <w:tcPr>
            <w:tcW w:w="428" w:type="pct"/>
            <w:noWrap w:val="0"/>
            <w:vAlign w:val="center"/>
          </w:tcPr>
          <w:p w14:paraId="6E01350F">
            <w:pPr>
              <w:keepNext w:val="0"/>
              <w:keepLines w:val="0"/>
              <w:pageBreakBefore w:val="0"/>
              <w:kinsoku/>
              <w:wordWrap/>
              <w:overflowPunct/>
              <w:topLinePunct w:val="0"/>
              <w:autoSpaceDE/>
              <w:autoSpaceDN/>
              <w:bidi w:val="0"/>
              <w:adjustRightInd w:val="0"/>
              <w:snapToGrid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t>昼间</w:t>
            </w:r>
            <w:r>
              <w:rPr>
                <w:rFonts w:hint="eastAsia" w:ascii="Times New Roman" w:hAnsi="Times New Roman" w:cs="Times New Roman"/>
                <w:caps w:val="0"/>
                <w:smallCaps w:val="0"/>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夜间</w:t>
            </w:r>
          </w:p>
        </w:tc>
        <w:tc>
          <w:tcPr>
            <w:tcW w:w="1109" w:type="dxa"/>
            <w:noWrap w:val="0"/>
            <w:vAlign w:val="center"/>
          </w:tcPr>
          <w:p w14:paraId="4BF8FB35">
            <w:pPr>
              <w:keepNext w:val="0"/>
              <w:keepLines w:val="0"/>
              <w:pageBreakBefore w:val="0"/>
              <w:widowControl/>
              <w:suppressLineNumbers w:val="0"/>
              <w:kinsoku/>
              <w:wordWrap/>
              <w:overflowPunct/>
              <w:topLinePunct w:val="0"/>
              <w:autoSpaceDE/>
              <w:autoSpaceDN/>
              <w:bidi w:val="0"/>
              <w:ind w:firstLine="0" w:firstLineChars="0"/>
              <w:jc w:val="center"/>
              <w:textAlignment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15</w:t>
            </w:r>
          </w:p>
        </w:tc>
        <w:tc>
          <w:tcPr>
            <w:tcW w:w="955" w:type="dxa"/>
            <w:noWrap w:val="0"/>
            <w:vAlign w:val="center"/>
          </w:tcPr>
          <w:p w14:paraId="75D9A01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54.96</w:t>
            </w:r>
          </w:p>
        </w:tc>
        <w:tc>
          <w:tcPr>
            <w:tcW w:w="296" w:type="pct"/>
            <w:noWrap w:val="0"/>
            <w:vAlign w:val="center"/>
          </w:tcPr>
          <w:p w14:paraId="0DA37272">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w:t>
            </w:r>
          </w:p>
        </w:tc>
      </w:tr>
      <w:tr w14:paraId="6E610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40" w:type="pct"/>
            <w:vMerge w:val="continue"/>
            <w:noWrap w:val="0"/>
            <w:vAlign w:val="center"/>
          </w:tcPr>
          <w:p w14:paraId="360AFBB2">
            <w:pPr>
              <w:pStyle w:val="15"/>
              <w:keepNext w:val="0"/>
              <w:keepLines w:val="0"/>
              <w:pageBreakBefore w:val="0"/>
              <w:kinsoku/>
              <w:wordWrap/>
              <w:overflowPunct/>
              <w:topLinePunct w:val="0"/>
              <w:autoSpaceDE/>
              <w:autoSpaceDN/>
              <w:bidi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670" w:type="pct"/>
            <w:noWrap w:val="0"/>
            <w:vAlign w:val="center"/>
          </w:tcPr>
          <w:p w14:paraId="30F6EB90">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密胺液压成型机</w:t>
            </w:r>
            <w:r>
              <w:rPr>
                <w:rFonts w:hint="default" w:ascii="Times New Roman" w:hAnsi="Times New Roman" w:eastAsia="宋体" w:cs="Times New Roman"/>
                <w:color w:val="000000" w:themeColor="text1"/>
                <w:lang w:val="en-US" w:eastAsia="zh-CN"/>
                <w14:textFill>
                  <w14:solidFill>
                    <w14:schemeClr w14:val="tx1"/>
                  </w14:solidFill>
                </w14:textFill>
              </w:rPr>
              <w:t>15</w:t>
            </w:r>
          </w:p>
        </w:tc>
        <w:tc>
          <w:tcPr>
            <w:tcW w:w="582" w:type="pct"/>
            <w:noWrap w:val="0"/>
            <w:vAlign w:val="center"/>
          </w:tcPr>
          <w:p w14:paraId="5E339C8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cs="Times New Roman"/>
                <w:i w:val="0"/>
                <w:iCs w:val="0"/>
                <w:color w:val="000000" w:themeColor="text1"/>
                <w:kern w:val="2"/>
                <w:sz w:val="22"/>
                <w:szCs w:val="22"/>
                <w:u w:val="none"/>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双色350T四柱式</w:t>
            </w:r>
          </w:p>
        </w:tc>
        <w:tc>
          <w:tcPr>
            <w:tcW w:w="294" w:type="pct"/>
            <w:noWrap w:val="0"/>
            <w:vAlign w:val="center"/>
          </w:tcPr>
          <w:p w14:paraId="7F74421A">
            <w:pPr>
              <w:keepNext w:val="0"/>
              <w:keepLines w:val="0"/>
              <w:widowControl/>
              <w:suppressLineNumbers w:val="0"/>
              <w:jc w:val="center"/>
              <w:textAlignment w:val="center"/>
              <w:rPr>
                <w:rFonts w:hint="default"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80</w:t>
            </w:r>
          </w:p>
        </w:tc>
        <w:tc>
          <w:tcPr>
            <w:tcW w:w="266" w:type="pct"/>
            <w:vMerge w:val="continue"/>
            <w:noWrap w:val="0"/>
            <w:vAlign w:val="center"/>
          </w:tcPr>
          <w:p w14:paraId="34FB3184">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278" w:type="pct"/>
            <w:noWrap w:val="0"/>
            <w:vAlign w:val="center"/>
          </w:tcPr>
          <w:p w14:paraId="26E8165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29.50</w:t>
            </w:r>
          </w:p>
        </w:tc>
        <w:tc>
          <w:tcPr>
            <w:tcW w:w="249" w:type="pct"/>
            <w:noWrap w:val="0"/>
            <w:vAlign w:val="center"/>
          </w:tcPr>
          <w:p w14:paraId="387F6D5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-13.59</w:t>
            </w:r>
          </w:p>
        </w:tc>
        <w:tc>
          <w:tcPr>
            <w:tcW w:w="265" w:type="pct"/>
            <w:noWrap w:val="0"/>
            <w:vAlign w:val="center"/>
          </w:tcPr>
          <w:p w14:paraId="3707F50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1</w:t>
            </w:r>
          </w:p>
        </w:tc>
        <w:tc>
          <w:tcPr>
            <w:tcW w:w="358" w:type="pct"/>
            <w:noWrap w:val="0"/>
            <w:vAlign w:val="center"/>
          </w:tcPr>
          <w:p w14:paraId="459DA906">
            <w:pPr>
              <w:keepNext w:val="0"/>
              <w:keepLines w:val="0"/>
              <w:widowControl/>
              <w:suppressLineNumbers w:val="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4.</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5</w:t>
            </w:r>
          </w:p>
        </w:tc>
        <w:tc>
          <w:tcPr>
            <w:tcW w:w="1002" w:type="dxa"/>
            <w:noWrap w:val="0"/>
            <w:vAlign w:val="center"/>
          </w:tcPr>
          <w:p w14:paraId="5A2678D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61.92 </w:t>
            </w:r>
          </w:p>
        </w:tc>
        <w:tc>
          <w:tcPr>
            <w:tcW w:w="428" w:type="pct"/>
            <w:noWrap w:val="0"/>
            <w:vAlign w:val="center"/>
          </w:tcPr>
          <w:p w14:paraId="3C5A40E8">
            <w:pPr>
              <w:keepNext w:val="0"/>
              <w:keepLines w:val="0"/>
              <w:pageBreakBefore w:val="0"/>
              <w:kinsoku/>
              <w:wordWrap/>
              <w:overflowPunct/>
              <w:topLinePunct w:val="0"/>
              <w:autoSpaceDE/>
              <w:autoSpaceDN/>
              <w:bidi w:val="0"/>
              <w:adjustRightInd w:val="0"/>
              <w:snapToGrid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t>昼间</w:t>
            </w:r>
            <w:r>
              <w:rPr>
                <w:rFonts w:hint="eastAsia" w:ascii="Times New Roman" w:hAnsi="Times New Roman" w:cs="Times New Roman"/>
                <w:caps w:val="0"/>
                <w:smallCaps w:val="0"/>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夜间</w:t>
            </w:r>
          </w:p>
        </w:tc>
        <w:tc>
          <w:tcPr>
            <w:tcW w:w="1109" w:type="dxa"/>
            <w:noWrap w:val="0"/>
            <w:vAlign w:val="center"/>
          </w:tcPr>
          <w:p w14:paraId="57108905">
            <w:pPr>
              <w:keepNext w:val="0"/>
              <w:keepLines w:val="0"/>
              <w:pageBreakBefore w:val="0"/>
              <w:widowControl/>
              <w:suppressLineNumbers w:val="0"/>
              <w:kinsoku/>
              <w:wordWrap/>
              <w:overflowPunct/>
              <w:topLinePunct w:val="0"/>
              <w:autoSpaceDE/>
              <w:autoSpaceDN/>
              <w:bidi w:val="0"/>
              <w:ind w:firstLine="0" w:firstLineChars="0"/>
              <w:jc w:val="center"/>
              <w:textAlignment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15</w:t>
            </w:r>
          </w:p>
        </w:tc>
        <w:tc>
          <w:tcPr>
            <w:tcW w:w="955" w:type="dxa"/>
            <w:noWrap w:val="0"/>
            <w:vAlign w:val="center"/>
          </w:tcPr>
          <w:p w14:paraId="5D50F3A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54.96</w:t>
            </w:r>
          </w:p>
        </w:tc>
        <w:tc>
          <w:tcPr>
            <w:tcW w:w="296" w:type="pct"/>
            <w:noWrap w:val="0"/>
            <w:vAlign w:val="center"/>
          </w:tcPr>
          <w:p w14:paraId="6CF5B7B4">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w:t>
            </w:r>
          </w:p>
        </w:tc>
      </w:tr>
      <w:tr w14:paraId="3B68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40" w:type="pct"/>
            <w:vMerge w:val="continue"/>
            <w:noWrap w:val="0"/>
            <w:vAlign w:val="center"/>
          </w:tcPr>
          <w:p w14:paraId="705B8D9A">
            <w:pPr>
              <w:pStyle w:val="15"/>
              <w:keepNext w:val="0"/>
              <w:keepLines w:val="0"/>
              <w:pageBreakBefore w:val="0"/>
              <w:kinsoku/>
              <w:wordWrap/>
              <w:overflowPunct/>
              <w:topLinePunct w:val="0"/>
              <w:autoSpaceDE/>
              <w:autoSpaceDN/>
              <w:bidi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670" w:type="pct"/>
            <w:noWrap w:val="0"/>
            <w:vAlign w:val="center"/>
          </w:tcPr>
          <w:p w14:paraId="530860F2">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修边机1</w:t>
            </w:r>
          </w:p>
        </w:tc>
        <w:tc>
          <w:tcPr>
            <w:tcW w:w="582" w:type="pct"/>
            <w:noWrap w:val="0"/>
            <w:vAlign w:val="center"/>
          </w:tcPr>
          <w:p w14:paraId="3517A8D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双工位除尘款</w:t>
            </w:r>
          </w:p>
        </w:tc>
        <w:tc>
          <w:tcPr>
            <w:tcW w:w="294" w:type="pct"/>
            <w:noWrap w:val="0"/>
            <w:vAlign w:val="center"/>
          </w:tcPr>
          <w:p w14:paraId="768E5A9D">
            <w:pPr>
              <w:keepNext w:val="0"/>
              <w:keepLines w:val="0"/>
              <w:widowControl/>
              <w:suppressLineNumbers w:val="0"/>
              <w:jc w:val="center"/>
              <w:textAlignment w:val="center"/>
              <w:rPr>
                <w:rFonts w:hint="default"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t>75</w:t>
            </w:r>
          </w:p>
        </w:tc>
        <w:tc>
          <w:tcPr>
            <w:tcW w:w="266" w:type="pct"/>
            <w:vMerge w:val="continue"/>
            <w:noWrap w:val="0"/>
            <w:vAlign w:val="center"/>
          </w:tcPr>
          <w:p w14:paraId="2A522931">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278" w:type="pct"/>
            <w:noWrap w:val="0"/>
            <w:vAlign w:val="center"/>
          </w:tcPr>
          <w:p w14:paraId="3D830EB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17.52</w:t>
            </w:r>
          </w:p>
        </w:tc>
        <w:tc>
          <w:tcPr>
            <w:tcW w:w="249" w:type="pct"/>
            <w:noWrap w:val="0"/>
            <w:vAlign w:val="center"/>
          </w:tcPr>
          <w:p w14:paraId="2D9B9A9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-18.82</w:t>
            </w:r>
          </w:p>
        </w:tc>
        <w:tc>
          <w:tcPr>
            <w:tcW w:w="265" w:type="pct"/>
            <w:noWrap w:val="0"/>
            <w:vAlign w:val="center"/>
          </w:tcPr>
          <w:p w14:paraId="3A6E5C5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1</w:t>
            </w:r>
          </w:p>
        </w:tc>
        <w:tc>
          <w:tcPr>
            <w:tcW w:w="358" w:type="pct"/>
            <w:noWrap w:val="0"/>
            <w:vAlign w:val="center"/>
          </w:tcPr>
          <w:p w14:paraId="02872F9C">
            <w:pPr>
              <w:keepNext w:val="0"/>
              <w:keepLines w:val="0"/>
              <w:widowControl/>
              <w:suppressLineNumbers w:val="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15.5</w:t>
            </w:r>
          </w:p>
        </w:tc>
        <w:tc>
          <w:tcPr>
            <w:tcW w:w="1002" w:type="dxa"/>
            <w:noWrap w:val="0"/>
            <w:vAlign w:val="center"/>
          </w:tcPr>
          <w:p w14:paraId="6742B15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54.22 </w:t>
            </w:r>
          </w:p>
        </w:tc>
        <w:tc>
          <w:tcPr>
            <w:tcW w:w="428" w:type="pct"/>
            <w:noWrap w:val="0"/>
            <w:vAlign w:val="center"/>
          </w:tcPr>
          <w:p w14:paraId="0E7655B1">
            <w:pPr>
              <w:keepNext w:val="0"/>
              <w:keepLines w:val="0"/>
              <w:pageBreakBefore w:val="0"/>
              <w:kinsoku/>
              <w:wordWrap/>
              <w:overflowPunct/>
              <w:topLinePunct w:val="0"/>
              <w:autoSpaceDE/>
              <w:autoSpaceDN/>
              <w:bidi w:val="0"/>
              <w:adjustRightInd w:val="0"/>
              <w:snapToGrid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t>昼间</w:t>
            </w:r>
            <w:r>
              <w:rPr>
                <w:rFonts w:hint="eastAsia" w:ascii="Times New Roman" w:hAnsi="Times New Roman" w:cs="Times New Roman"/>
                <w:caps w:val="0"/>
                <w:smallCaps w:val="0"/>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夜间</w:t>
            </w:r>
          </w:p>
        </w:tc>
        <w:tc>
          <w:tcPr>
            <w:tcW w:w="1109" w:type="dxa"/>
            <w:noWrap w:val="0"/>
            <w:vAlign w:val="center"/>
          </w:tcPr>
          <w:p w14:paraId="18059995">
            <w:pPr>
              <w:keepNext w:val="0"/>
              <w:keepLines w:val="0"/>
              <w:pageBreakBefore w:val="0"/>
              <w:widowControl/>
              <w:suppressLineNumbers w:val="0"/>
              <w:kinsoku/>
              <w:wordWrap/>
              <w:overflowPunct/>
              <w:topLinePunct w:val="0"/>
              <w:autoSpaceDE/>
              <w:autoSpaceDN/>
              <w:bidi w:val="0"/>
              <w:ind w:firstLine="0" w:firstLineChars="0"/>
              <w:jc w:val="center"/>
              <w:textAlignment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15</w:t>
            </w:r>
          </w:p>
        </w:tc>
        <w:tc>
          <w:tcPr>
            <w:tcW w:w="955" w:type="dxa"/>
            <w:noWrap w:val="0"/>
            <w:vAlign w:val="center"/>
          </w:tcPr>
          <w:p w14:paraId="1A97779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46.21</w:t>
            </w:r>
          </w:p>
        </w:tc>
        <w:tc>
          <w:tcPr>
            <w:tcW w:w="296" w:type="pct"/>
            <w:noWrap w:val="0"/>
            <w:vAlign w:val="center"/>
          </w:tcPr>
          <w:p w14:paraId="2B883B1D">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w:t>
            </w:r>
          </w:p>
        </w:tc>
      </w:tr>
      <w:tr w14:paraId="5A4EE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40" w:type="pct"/>
            <w:vMerge w:val="continue"/>
            <w:noWrap w:val="0"/>
            <w:vAlign w:val="center"/>
          </w:tcPr>
          <w:p w14:paraId="477146EF">
            <w:pPr>
              <w:pStyle w:val="15"/>
              <w:keepNext w:val="0"/>
              <w:keepLines w:val="0"/>
              <w:pageBreakBefore w:val="0"/>
              <w:kinsoku/>
              <w:wordWrap/>
              <w:overflowPunct/>
              <w:topLinePunct w:val="0"/>
              <w:autoSpaceDE/>
              <w:autoSpaceDN/>
              <w:bidi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670" w:type="pct"/>
            <w:noWrap w:val="0"/>
            <w:vAlign w:val="center"/>
          </w:tcPr>
          <w:p w14:paraId="4330E58D">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修边机2</w:t>
            </w:r>
          </w:p>
        </w:tc>
        <w:tc>
          <w:tcPr>
            <w:tcW w:w="582" w:type="pct"/>
            <w:noWrap w:val="0"/>
            <w:vAlign w:val="center"/>
          </w:tcPr>
          <w:p w14:paraId="13D9BC0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双工位除尘款</w:t>
            </w:r>
          </w:p>
        </w:tc>
        <w:tc>
          <w:tcPr>
            <w:tcW w:w="294" w:type="pct"/>
            <w:noWrap w:val="0"/>
            <w:vAlign w:val="center"/>
          </w:tcPr>
          <w:p w14:paraId="675A59F7">
            <w:pPr>
              <w:keepNext w:val="0"/>
              <w:keepLines w:val="0"/>
              <w:widowControl/>
              <w:suppressLineNumbers w:val="0"/>
              <w:jc w:val="center"/>
              <w:textAlignment w:val="center"/>
              <w:rPr>
                <w:rFonts w:hint="default"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aps w:val="0"/>
                <w:smallCaps w:val="0"/>
                <w:color w:val="000000" w:themeColor="text1"/>
                <w:kern w:val="0"/>
                <w:sz w:val="21"/>
                <w:szCs w:val="21"/>
                <w:highlight w:val="none"/>
                <w:lang w:val="en-US" w:eastAsia="zh-CN" w:bidi="ar"/>
                <w14:textFill>
                  <w14:solidFill>
                    <w14:schemeClr w14:val="tx1"/>
                  </w14:solidFill>
                </w14:textFill>
              </w:rPr>
              <w:t>75</w:t>
            </w:r>
          </w:p>
        </w:tc>
        <w:tc>
          <w:tcPr>
            <w:tcW w:w="266" w:type="pct"/>
            <w:vMerge w:val="continue"/>
            <w:noWrap w:val="0"/>
            <w:vAlign w:val="center"/>
          </w:tcPr>
          <w:p w14:paraId="22258423">
            <w:pPr>
              <w:pStyle w:val="45"/>
              <w:keepNext w:val="0"/>
              <w:keepLines w:val="0"/>
              <w:pageBreakBefore w:val="0"/>
              <w:kinsoku/>
              <w:wordWrap/>
              <w:overflowPunct/>
              <w:topLinePunct w:val="0"/>
              <w:autoSpaceDE/>
              <w:autoSpaceDN/>
              <w:bidi w:val="0"/>
              <w:spacing w:line="240" w:lineRule="auto"/>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p>
        </w:tc>
        <w:tc>
          <w:tcPr>
            <w:tcW w:w="278" w:type="pct"/>
            <w:noWrap w:val="0"/>
            <w:vAlign w:val="center"/>
          </w:tcPr>
          <w:p w14:paraId="4A892E2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21.77</w:t>
            </w:r>
          </w:p>
        </w:tc>
        <w:tc>
          <w:tcPr>
            <w:tcW w:w="249" w:type="pct"/>
            <w:noWrap w:val="0"/>
            <w:vAlign w:val="center"/>
          </w:tcPr>
          <w:p w14:paraId="192D774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-22.74</w:t>
            </w:r>
          </w:p>
        </w:tc>
        <w:tc>
          <w:tcPr>
            <w:tcW w:w="265" w:type="pct"/>
            <w:noWrap w:val="0"/>
            <w:vAlign w:val="center"/>
          </w:tcPr>
          <w:p w14:paraId="7BBE220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1</w:t>
            </w:r>
          </w:p>
        </w:tc>
        <w:tc>
          <w:tcPr>
            <w:tcW w:w="358" w:type="pct"/>
            <w:noWrap w:val="0"/>
            <w:vAlign w:val="center"/>
          </w:tcPr>
          <w:p w14:paraId="5C3466F1">
            <w:pPr>
              <w:keepNext w:val="0"/>
              <w:keepLines w:val="0"/>
              <w:widowControl/>
              <w:suppressLineNumbers w:val="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15.5</w:t>
            </w:r>
          </w:p>
        </w:tc>
        <w:tc>
          <w:tcPr>
            <w:tcW w:w="1002" w:type="dxa"/>
            <w:noWrap w:val="0"/>
            <w:vAlign w:val="center"/>
          </w:tcPr>
          <w:p w14:paraId="703E329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54.22 </w:t>
            </w:r>
          </w:p>
        </w:tc>
        <w:tc>
          <w:tcPr>
            <w:tcW w:w="428" w:type="pct"/>
            <w:noWrap w:val="0"/>
            <w:vAlign w:val="center"/>
          </w:tcPr>
          <w:p w14:paraId="6C4B82A7">
            <w:pPr>
              <w:keepNext w:val="0"/>
              <w:keepLines w:val="0"/>
              <w:pageBreakBefore w:val="0"/>
              <w:kinsoku/>
              <w:wordWrap/>
              <w:overflowPunct/>
              <w:topLinePunct w:val="0"/>
              <w:autoSpaceDE/>
              <w:autoSpaceDN/>
              <w:bidi w:val="0"/>
              <w:adjustRightInd w:val="0"/>
              <w:snapToGrid w:val="0"/>
              <w:ind w:firstLine="0"/>
              <w:jc w:val="cente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t>昼间</w:t>
            </w:r>
            <w:r>
              <w:rPr>
                <w:rFonts w:hint="eastAsia" w:ascii="Times New Roman" w:hAnsi="Times New Roman" w:cs="Times New Roman"/>
                <w:caps w:val="0"/>
                <w:smallCaps w:val="0"/>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夜间</w:t>
            </w:r>
          </w:p>
        </w:tc>
        <w:tc>
          <w:tcPr>
            <w:tcW w:w="1109" w:type="dxa"/>
            <w:noWrap w:val="0"/>
            <w:vAlign w:val="center"/>
          </w:tcPr>
          <w:p w14:paraId="2504F30F">
            <w:pPr>
              <w:keepNext w:val="0"/>
              <w:keepLines w:val="0"/>
              <w:pageBreakBefore w:val="0"/>
              <w:widowControl/>
              <w:suppressLineNumbers w:val="0"/>
              <w:kinsoku/>
              <w:wordWrap/>
              <w:overflowPunct/>
              <w:topLinePunct w:val="0"/>
              <w:autoSpaceDE/>
              <w:autoSpaceDN/>
              <w:bidi w:val="0"/>
              <w:ind w:firstLine="0" w:firstLineChars="0"/>
              <w:jc w:val="center"/>
              <w:textAlignment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15</w:t>
            </w:r>
          </w:p>
        </w:tc>
        <w:tc>
          <w:tcPr>
            <w:tcW w:w="955" w:type="dxa"/>
            <w:noWrap w:val="0"/>
            <w:vAlign w:val="center"/>
          </w:tcPr>
          <w:p w14:paraId="7E0361C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42.96</w:t>
            </w:r>
          </w:p>
        </w:tc>
        <w:tc>
          <w:tcPr>
            <w:tcW w:w="296" w:type="pct"/>
            <w:noWrap w:val="0"/>
            <w:vAlign w:val="center"/>
          </w:tcPr>
          <w:p w14:paraId="6A47C89D">
            <w:pPr>
              <w:keepNext w:val="0"/>
              <w:keepLines w:val="0"/>
              <w:pageBreakBefore w:val="0"/>
              <w:widowControl/>
              <w:suppressLineNumbers w:val="0"/>
              <w:kinsoku/>
              <w:wordWrap/>
              <w:overflowPunct/>
              <w:topLinePunct w:val="0"/>
              <w:autoSpaceDE/>
              <w:autoSpaceDN/>
              <w:bidi w:val="0"/>
              <w:ind w:firstLine="0"/>
              <w:jc w:val="center"/>
              <w:textAlignment w:val="cente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aps w:val="0"/>
                <w:smallCaps w:val="0"/>
                <w:color w:val="000000" w:themeColor="text1"/>
                <w:kern w:val="0"/>
                <w:sz w:val="21"/>
                <w:szCs w:val="21"/>
                <w:highlight w:val="none"/>
                <w:u w:val="none"/>
                <w:lang w:val="en-US" w:eastAsia="zh-CN" w:bidi="ar"/>
                <w14:textFill>
                  <w14:solidFill>
                    <w14:schemeClr w14:val="tx1"/>
                  </w14:solidFill>
                </w14:textFill>
              </w:rPr>
              <w:t>1</w:t>
            </w:r>
          </w:p>
        </w:tc>
      </w:tr>
    </w:tbl>
    <w:p w14:paraId="2FA2D5D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表</w:t>
      </w:r>
      <w:r>
        <w:rPr>
          <w:rFonts w:hint="eastAsia" w:ascii="Times New Roman" w:hAnsi="Times New Roman" w:eastAsia="宋体" w:cs="Times New Roman"/>
          <w:b/>
          <w:bCs/>
          <w:color w:val="000000" w:themeColor="text1"/>
          <w:szCs w:val="21"/>
          <w:lang w:val="en-US" w:eastAsia="zh-CN"/>
          <w14:textFill>
            <w14:solidFill>
              <w14:schemeClr w14:val="tx1"/>
            </w14:solidFill>
          </w14:textFill>
        </w:rPr>
        <w:t>4-4</w:t>
      </w:r>
      <w:r>
        <w:rPr>
          <w:rFonts w:hint="default" w:ascii="Times New Roman" w:hAnsi="Times New Roman" w:eastAsia="宋体" w:cs="Times New Roman"/>
          <w:b/>
          <w:bCs/>
          <w:color w:val="000000" w:themeColor="text1"/>
          <w:szCs w:val="21"/>
          <w14:textFill>
            <w14:solidFill>
              <w14:schemeClr w14:val="tx1"/>
            </w14:solidFill>
          </w14:textFill>
        </w:rPr>
        <w:t>工业企业噪声源强调查清单（室</w:t>
      </w:r>
      <w:r>
        <w:rPr>
          <w:rFonts w:hint="default" w:ascii="Times New Roman" w:hAnsi="Times New Roman" w:eastAsia="宋体" w:cs="Times New Roman"/>
          <w:b/>
          <w:bCs/>
          <w:color w:val="000000" w:themeColor="text1"/>
          <w:szCs w:val="21"/>
          <w:lang w:val="en-US" w:eastAsia="zh-CN"/>
          <w14:textFill>
            <w14:solidFill>
              <w14:schemeClr w14:val="tx1"/>
            </w14:solidFill>
          </w14:textFill>
        </w:rPr>
        <w:t>外</w:t>
      </w:r>
      <w:r>
        <w:rPr>
          <w:rFonts w:hint="default" w:ascii="Times New Roman" w:hAnsi="Times New Roman" w:eastAsia="宋体" w:cs="Times New Roman"/>
          <w:b/>
          <w:bCs/>
          <w:color w:val="000000" w:themeColor="text1"/>
          <w:szCs w:val="21"/>
          <w14:textFill>
            <w14:solidFill>
              <w14:schemeClr w14:val="tx1"/>
            </w14:solidFill>
          </w14:textFill>
        </w:rPr>
        <w:t>声源）</w:t>
      </w:r>
    </w:p>
    <w:tbl>
      <w:tblPr>
        <w:tblStyle w:val="31"/>
        <w:tblW w:w="53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7"/>
        <w:gridCol w:w="1298"/>
        <w:gridCol w:w="2698"/>
        <w:gridCol w:w="1710"/>
        <w:gridCol w:w="824"/>
        <w:gridCol w:w="807"/>
        <w:gridCol w:w="847"/>
        <w:gridCol w:w="1129"/>
        <w:gridCol w:w="1186"/>
        <w:gridCol w:w="2208"/>
      </w:tblGrid>
      <w:tr w14:paraId="24A37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95" w:type="pct"/>
            <w:vMerge w:val="restart"/>
            <w:tcBorders>
              <w:tl2br w:val="nil"/>
              <w:tr2bl w:val="nil"/>
            </w:tcBorders>
            <w:noWrap/>
            <w:vAlign w:val="center"/>
          </w:tcPr>
          <w:p w14:paraId="0F9CD3EA">
            <w:pPr>
              <w:widowControl/>
              <w:jc w:val="center"/>
              <w:textAlignment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序号</w:t>
            </w:r>
          </w:p>
        </w:tc>
        <w:tc>
          <w:tcPr>
            <w:tcW w:w="460" w:type="pct"/>
            <w:vMerge w:val="restart"/>
            <w:tcBorders>
              <w:tl2br w:val="nil"/>
              <w:tr2bl w:val="nil"/>
            </w:tcBorders>
            <w:vAlign w:val="center"/>
          </w:tcPr>
          <w:p w14:paraId="6DB1D1BA">
            <w:pPr>
              <w:widowControl/>
              <w:jc w:val="center"/>
              <w:textAlignment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建筑物名称</w:t>
            </w:r>
          </w:p>
        </w:tc>
        <w:tc>
          <w:tcPr>
            <w:tcW w:w="956" w:type="pct"/>
            <w:vMerge w:val="restart"/>
            <w:tcBorders>
              <w:tl2br w:val="nil"/>
              <w:tr2bl w:val="nil"/>
            </w:tcBorders>
            <w:noWrap/>
            <w:vAlign w:val="center"/>
          </w:tcPr>
          <w:p w14:paraId="7AC82DD8">
            <w:pPr>
              <w:widowControl/>
              <w:jc w:val="center"/>
              <w:textAlignment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声源名称</w:t>
            </w:r>
          </w:p>
        </w:tc>
        <w:tc>
          <w:tcPr>
            <w:tcW w:w="606" w:type="pct"/>
            <w:vMerge w:val="restart"/>
            <w:tcBorders>
              <w:tl2br w:val="nil"/>
              <w:tr2bl w:val="nil"/>
            </w:tcBorders>
            <w:noWrap/>
            <w:vAlign w:val="center"/>
          </w:tcPr>
          <w:p w14:paraId="741B45D6">
            <w:pPr>
              <w:widowControl/>
              <w:jc w:val="center"/>
              <w:textAlignment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声源控制措施</w:t>
            </w:r>
          </w:p>
        </w:tc>
        <w:tc>
          <w:tcPr>
            <w:tcW w:w="878" w:type="pct"/>
            <w:gridSpan w:val="3"/>
            <w:tcBorders>
              <w:tl2br w:val="nil"/>
              <w:tr2bl w:val="nil"/>
            </w:tcBorders>
            <w:noWrap/>
            <w:vAlign w:val="center"/>
          </w:tcPr>
          <w:p w14:paraId="53CFFBE1">
            <w:pPr>
              <w:widowControl/>
              <w:jc w:val="center"/>
              <w:textAlignment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空间相对位置</w:t>
            </w:r>
            <w:r>
              <w:rPr>
                <w:rFonts w:hint="default" w:ascii="Times New Roman" w:hAnsi="Times New Roman" w:eastAsia="宋体" w:cs="Times New Roman"/>
                <w:b/>
                <w:bCs/>
                <w:color w:val="000000" w:themeColor="text1"/>
                <w:sz w:val="21"/>
                <w:szCs w:val="21"/>
                <w:u w:val="none"/>
                <w:lang w:bidi="ar"/>
                <w14:textFill>
                  <w14:solidFill>
                    <w14:schemeClr w14:val="tx1"/>
                  </w14:solidFill>
                </w14:textFill>
              </w:rPr>
              <w:t>/m</w:t>
            </w:r>
          </w:p>
        </w:tc>
        <w:tc>
          <w:tcPr>
            <w:tcW w:w="820" w:type="pct"/>
            <w:gridSpan w:val="2"/>
            <w:tcBorders>
              <w:tl2br w:val="nil"/>
              <w:tr2bl w:val="nil"/>
            </w:tcBorders>
            <w:noWrap/>
            <w:vAlign w:val="center"/>
          </w:tcPr>
          <w:p w14:paraId="272CCE8F">
            <w:pPr>
              <w:widowControl/>
              <w:jc w:val="center"/>
              <w:textAlignment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建筑物外噪声</w:t>
            </w:r>
          </w:p>
        </w:tc>
        <w:tc>
          <w:tcPr>
            <w:tcW w:w="782" w:type="pct"/>
            <w:vMerge w:val="restart"/>
            <w:tcBorders>
              <w:tl2br w:val="nil"/>
              <w:tr2bl w:val="nil"/>
            </w:tcBorders>
            <w:noWrap/>
            <w:vAlign w:val="center"/>
          </w:tcPr>
          <w:p w14:paraId="33AD4F38">
            <w:pPr>
              <w:widowControl/>
              <w:jc w:val="center"/>
              <w:textAlignment w:val="center"/>
              <w:rPr>
                <w:rFonts w:ascii="Times New Roman" w:hAnsi="Times New Roman" w:eastAsia="宋体" w:cs="Times New Roman"/>
                <w:b/>
                <w:bCs/>
                <w:color w:val="000000" w:themeColor="text1"/>
                <w:kern w:val="0"/>
                <w:szCs w:val="21"/>
                <w:lang w:bidi="ar"/>
                <w14:textFill>
                  <w14:solidFill>
                    <w14:schemeClr w14:val="tx1"/>
                  </w14:solidFill>
                </w14:textFill>
              </w:rPr>
            </w:pPr>
            <w:r>
              <w:rPr>
                <w:rFonts w:hint="eastAsia" w:ascii="Times New Roman" w:hAnsi="Times New Roman" w:eastAsia="宋体" w:cs="Times New Roman"/>
                <w:b/>
                <w:bCs/>
                <w:color w:val="000000" w:themeColor="text1"/>
                <w:kern w:val="0"/>
                <w:szCs w:val="21"/>
                <w:lang w:bidi="ar"/>
                <w14:textFill>
                  <w14:solidFill>
                    <w14:schemeClr w14:val="tx1"/>
                  </w14:solidFill>
                </w14:textFill>
              </w:rPr>
              <w:t>运行时段</w:t>
            </w:r>
          </w:p>
        </w:tc>
      </w:tr>
      <w:tr w14:paraId="7510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95" w:type="pct"/>
            <w:vMerge w:val="continue"/>
            <w:tcBorders>
              <w:tl2br w:val="nil"/>
              <w:tr2bl w:val="nil"/>
            </w:tcBorders>
            <w:noWrap/>
            <w:vAlign w:val="center"/>
          </w:tcPr>
          <w:p w14:paraId="16D4F838">
            <w:pPr>
              <w:widowControl/>
              <w:jc w:val="center"/>
              <w:rPr>
                <w:rFonts w:ascii="Times New Roman" w:hAnsi="Times New Roman" w:eastAsia="宋体" w:cs="Times New Roman"/>
                <w:b/>
                <w:bCs/>
                <w:color w:val="000000" w:themeColor="text1"/>
                <w:szCs w:val="21"/>
                <w14:textFill>
                  <w14:solidFill>
                    <w14:schemeClr w14:val="tx1"/>
                  </w14:solidFill>
                </w14:textFill>
              </w:rPr>
            </w:pPr>
          </w:p>
        </w:tc>
        <w:tc>
          <w:tcPr>
            <w:tcW w:w="460" w:type="pct"/>
            <w:vMerge w:val="continue"/>
            <w:tcBorders>
              <w:tl2br w:val="nil"/>
              <w:tr2bl w:val="nil"/>
            </w:tcBorders>
            <w:vAlign w:val="center"/>
          </w:tcPr>
          <w:p w14:paraId="1CAD3E56">
            <w:pPr>
              <w:widowControl/>
              <w:jc w:val="center"/>
              <w:rPr>
                <w:rFonts w:ascii="Times New Roman" w:hAnsi="Times New Roman" w:eastAsia="宋体" w:cs="Times New Roman"/>
                <w:b/>
                <w:bCs/>
                <w:color w:val="000000" w:themeColor="text1"/>
                <w:szCs w:val="21"/>
                <w14:textFill>
                  <w14:solidFill>
                    <w14:schemeClr w14:val="tx1"/>
                  </w14:solidFill>
                </w14:textFill>
              </w:rPr>
            </w:pPr>
          </w:p>
        </w:tc>
        <w:tc>
          <w:tcPr>
            <w:tcW w:w="956" w:type="pct"/>
            <w:vMerge w:val="continue"/>
            <w:tcBorders>
              <w:tl2br w:val="nil"/>
              <w:tr2bl w:val="nil"/>
            </w:tcBorders>
            <w:noWrap/>
            <w:vAlign w:val="center"/>
          </w:tcPr>
          <w:p w14:paraId="41A22F15">
            <w:pPr>
              <w:widowControl/>
              <w:jc w:val="center"/>
              <w:rPr>
                <w:rFonts w:ascii="Times New Roman" w:hAnsi="Times New Roman" w:eastAsia="宋体" w:cs="Times New Roman"/>
                <w:b/>
                <w:bCs/>
                <w:color w:val="000000" w:themeColor="text1"/>
                <w:szCs w:val="21"/>
                <w14:textFill>
                  <w14:solidFill>
                    <w14:schemeClr w14:val="tx1"/>
                  </w14:solidFill>
                </w14:textFill>
              </w:rPr>
            </w:pPr>
          </w:p>
        </w:tc>
        <w:tc>
          <w:tcPr>
            <w:tcW w:w="606" w:type="pct"/>
            <w:vMerge w:val="continue"/>
            <w:tcBorders>
              <w:tl2br w:val="nil"/>
              <w:tr2bl w:val="nil"/>
            </w:tcBorders>
            <w:noWrap/>
            <w:vAlign w:val="center"/>
          </w:tcPr>
          <w:p w14:paraId="5C4AED01">
            <w:pPr>
              <w:widowControl/>
              <w:jc w:val="center"/>
              <w:rPr>
                <w:rFonts w:ascii="Times New Roman" w:hAnsi="Times New Roman" w:eastAsia="宋体" w:cs="Times New Roman"/>
                <w:b/>
                <w:bCs/>
                <w:color w:val="000000" w:themeColor="text1"/>
                <w:szCs w:val="21"/>
                <w14:textFill>
                  <w14:solidFill>
                    <w14:schemeClr w14:val="tx1"/>
                  </w14:solidFill>
                </w14:textFill>
              </w:rPr>
            </w:pPr>
          </w:p>
        </w:tc>
        <w:tc>
          <w:tcPr>
            <w:tcW w:w="292" w:type="pct"/>
            <w:tcBorders>
              <w:tl2br w:val="nil"/>
              <w:tr2bl w:val="nil"/>
            </w:tcBorders>
            <w:noWrap/>
            <w:vAlign w:val="center"/>
          </w:tcPr>
          <w:p w14:paraId="739110D4">
            <w:pPr>
              <w:widowControl/>
              <w:jc w:val="center"/>
              <w:textAlignment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X</w:t>
            </w:r>
          </w:p>
        </w:tc>
        <w:tc>
          <w:tcPr>
            <w:tcW w:w="286" w:type="pct"/>
            <w:tcBorders>
              <w:tl2br w:val="nil"/>
              <w:tr2bl w:val="nil"/>
            </w:tcBorders>
            <w:noWrap/>
            <w:vAlign w:val="center"/>
          </w:tcPr>
          <w:p w14:paraId="4437A6F8">
            <w:pPr>
              <w:widowControl/>
              <w:jc w:val="center"/>
              <w:textAlignment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Y</w:t>
            </w:r>
          </w:p>
        </w:tc>
        <w:tc>
          <w:tcPr>
            <w:tcW w:w="300" w:type="pct"/>
            <w:tcBorders>
              <w:tl2br w:val="nil"/>
              <w:tr2bl w:val="nil"/>
            </w:tcBorders>
            <w:noWrap/>
            <w:vAlign w:val="center"/>
          </w:tcPr>
          <w:p w14:paraId="79894128">
            <w:pPr>
              <w:widowControl/>
              <w:jc w:val="center"/>
              <w:textAlignment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Z</w:t>
            </w:r>
          </w:p>
        </w:tc>
        <w:tc>
          <w:tcPr>
            <w:tcW w:w="400" w:type="pct"/>
            <w:tcBorders>
              <w:tl2br w:val="nil"/>
              <w:tr2bl w:val="nil"/>
            </w:tcBorders>
            <w:vAlign w:val="center"/>
          </w:tcPr>
          <w:p w14:paraId="34E50DA2">
            <w:pPr>
              <w:widowControl/>
              <w:jc w:val="center"/>
              <w:textAlignment w:val="center"/>
              <w:rPr>
                <w:rFonts w:hint="default" w:ascii="Times New Roman" w:hAnsi="Times New Roman" w:eastAsia="宋体" w:cs="Times New Roman"/>
                <w:b/>
                <w:bCs/>
                <w:color w:val="000000" w:themeColor="text1"/>
                <w:kern w:val="0"/>
                <w:szCs w:val="21"/>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Cs w:val="21"/>
                <w:lang w:val="en-US" w:eastAsia="zh-CN" w:bidi="ar"/>
                <w14:textFill>
                  <w14:solidFill>
                    <w14:schemeClr w14:val="tx1"/>
                  </w14:solidFill>
                </w14:textFill>
              </w:rPr>
              <w:t>距声源距离）/m</w:t>
            </w:r>
          </w:p>
        </w:tc>
        <w:tc>
          <w:tcPr>
            <w:tcW w:w="420" w:type="pct"/>
            <w:tcBorders>
              <w:tl2br w:val="nil"/>
              <w:tr2bl w:val="nil"/>
            </w:tcBorders>
            <w:vAlign w:val="center"/>
          </w:tcPr>
          <w:p w14:paraId="24D0C872">
            <w:pPr>
              <w:widowControl/>
              <w:jc w:val="center"/>
              <w:textAlignment w:val="center"/>
              <w:rPr>
                <w:rFonts w:ascii="Times New Roman" w:hAnsi="Times New Roman" w:eastAsia="宋体" w:cs="Times New Roman"/>
                <w:b/>
                <w:bCs/>
                <w:color w:val="000000" w:themeColor="text1"/>
                <w:kern w:val="0"/>
                <w:szCs w:val="21"/>
                <w:lang w:bidi="ar"/>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声压级</w:t>
            </w:r>
          </w:p>
          <w:p w14:paraId="57375C56">
            <w:pPr>
              <w:widowControl/>
              <w:jc w:val="center"/>
              <w:textAlignment w:val="center"/>
              <w:rPr>
                <w:rFonts w:hint="eastAsia" w:ascii="Times New Roman" w:hAnsi="Times New Roman" w:eastAsia="宋体" w:cs="Times New Roman"/>
                <w:b/>
                <w:bCs/>
                <w:color w:val="000000" w:themeColor="text1"/>
                <w:szCs w:val="21"/>
                <w:lang w:eastAsia="zh-CN"/>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/dB</w:t>
            </w:r>
            <w:r>
              <w:rPr>
                <w:rFonts w:hint="eastAsia" w:cs="Times New Roman"/>
                <w:b/>
                <w:bCs/>
                <w:color w:val="000000" w:themeColor="text1"/>
                <w:kern w:val="0"/>
                <w:szCs w:val="21"/>
                <w:lang w:eastAsia="zh-CN" w:bidi="ar"/>
                <w14:textFill>
                  <w14:solidFill>
                    <w14:schemeClr w14:val="tx1"/>
                  </w14:solidFill>
                </w14:textFill>
              </w:rPr>
              <w:t>（</w:t>
            </w:r>
            <w:r>
              <w:rPr>
                <w:rFonts w:ascii="Times New Roman" w:hAnsi="Times New Roman" w:eastAsia="宋体" w:cs="Times New Roman"/>
                <w:b/>
                <w:bCs/>
                <w:color w:val="000000" w:themeColor="text1"/>
                <w:kern w:val="0"/>
                <w:szCs w:val="21"/>
                <w:lang w:bidi="ar"/>
                <w14:textFill>
                  <w14:solidFill>
                    <w14:schemeClr w14:val="tx1"/>
                  </w14:solidFill>
                </w14:textFill>
              </w:rPr>
              <w:t>A</w:t>
            </w:r>
            <w:r>
              <w:rPr>
                <w:rFonts w:hint="eastAsia" w:cs="Times New Roman"/>
                <w:b/>
                <w:bCs/>
                <w:color w:val="000000" w:themeColor="text1"/>
                <w:kern w:val="0"/>
                <w:szCs w:val="21"/>
                <w:lang w:eastAsia="zh-CN" w:bidi="ar"/>
                <w14:textFill>
                  <w14:solidFill>
                    <w14:schemeClr w14:val="tx1"/>
                  </w14:solidFill>
                </w14:textFill>
              </w:rPr>
              <w:t>）</w:t>
            </w:r>
          </w:p>
        </w:tc>
        <w:tc>
          <w:tcPr>
            <w:tcW w:w="782" w:type="pct"/>
            <w:vMerge w:val="continue"/>
            <w:tcBorders>
              <w:tl2br w:val="nil"/>
              <w:tr2bl w:val="nil"/>
            </w:tcBorders>
            <w:vAlign w:val="center"/>
          </w:tcPr>
          <w:p w14:paraId="42122CF1">
            <w:pPr>
              <w:widowControl/>
              <w:jc w:val="center"/>
              <w:textAlignment w:val="center"/>
              <w:rPr>
                <w:rFonts w:ascii="Times New Roman" w:hAnsi="Times New Roman" w:eastAsia="宋体" w:cs="Times New Roman"/>
                <w:b/>
                <w:bCs/>
                <w:color w:val="000000" w:themeColor="text1"/>
                <w:kern w:val="0"/>
                <w:szCs w:val="21"/>
                <w:lang w:bidi="ar"/>
                <w14:textFill>
                  <w14:solidFill>
                    <w14:schemeClr w14:val="tx1"/>
                  </w14:solidFill>
                </w14:textFill>
              </w:rPr>
            </w:pPr>
          </w:p>
        </w:tc>
      </w:tr>
      <w:tr w14:paraId="192DE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95" w:type="pct"/>
            <w:tcBorders>
              <w:tl2br w:val="nil"/>
              <w:tr2bl w:val="nil"/>
            </w:tcBorders>
            <w:noWrap/>
            <w:vAlign w:val="center"/>
          </w:tcPr>
          <w:p w14:paraId="24279373">
            <w:pPr>
              <w:widowControl/>
              <w:jc w:val="center"/>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w:t>
            </w:r>
          </w:p>
        </w:tc>
        <w:tc>
          <w:tcPr>
            <w:tcW w:w="460" w:type="pct"/>
            <w:tcBorders>
              <w:tl2br w:val="nil"/>
              <w:tr2bl w:val="nil"/>
            </w:tcBorders>
            <w:noWrap/>
            <w:vAlign w:val="center"/>
          </w:tcPr>
          <w:p w14:paraId="231D0B24">
            <w:pPr>
              <w:widowControl/>
              <w:jc w:val="center"/>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厂界</w:t>
            </w:r>
          </w:p>
        </w:tc>
        <w:tc>
          <w:tcPr>
            <w:tcW w:w="956" w:type="pct"/>
            <w:tcBorders>
              <w:tl2br w:val="nil"/>
              <w:tr2bl w:val="nil"/>
            </w:tcBorders>
            <w:noWrap/>
            <w:vAlign w:val="center"/>
          </w:tcPr>
          <w:p w14:paraId="3003CB1A">
            <w:pPr>
              <w:widowControl/>
              <w:jc w:val="center"/>
              <w:textAlignment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t>风机1</w:t>
            </w:r>
          </w:p>
        </w:tc>
        <w:tc>
          <w:tcPr>
            <w:tcW w:w="606" w:type="pct"/>
            <w:vMerge w:val="restart"/>
            <w:tcBorders>
              <w:tl2br w:val="nil"/>
              <w:tr2bl w:val="nil"/>
            </w:tcBorders>
            <w:noWrap/>
            <w:vAlign w:val="center"/>
          </w:tcPr>
          <w:p w14:paraId="79F4FF31">
            <w:pPr>
              <w:widowControl/>
              <w:jc w:val="center"/>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选用低噪设备</w:t>
            </w:r>
          </w:p>
        </w:tc>
        <w:tc>
          <w:tcPr>
            <w:tcW w:w="292" w:type="pct"/>
            <w:tcBorders>
              <w:tl2br w:val="nil"/>
              <w:tr2bl w:val="nil"/>
            </w:tcBorders>
            <w:noWrap/>
            <w:vAlign w:val="center"/>
          </w:tcPr>
          <w:p w14:paraId="0A5BF6BD">
            <w:pPr>
              <w:widowControl/>
              <w:jc w:val="center"/>
              <w:textAlignment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t>8.00</w:t>
            </w:r>
          </w:p>
        </w:tc>
        <w:tc>
          <w:tcPr>
            <w:tcW w:w="286" w:type="pct"/>
            <w:tcBorders>
              <w:tl2br w:val="nil"/>
              <w:tr2bl w:val="nil"/>
            </w:tcBorders>
            <w:noWrap/>
            <w:vAlign w:val="center"/>
          </w:tcPr>
          <w:p w14:paraId="5042BF42">
            <w:pPr>
              <w:widowControl/>
              <w:jc w:val="center"/>
              <w:textAlignment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t>14.06</w:t>
            </w:r>
          </w:p>
        </w:tc>
        <w:tc>
          <w:tcPr>
            <w:tcW w:w="300" w:type="pct"/>
            <w:tcBorders>
              <w:tl2br w:val="nil"/>
              <w:tr2bl w:val="nil"/>
            </w:tcBorders>
            <w:noWrap/>
            <w:vAlign w:val="center"/>
          </w:tcPr>
          <w:p w14:paraId="2BB3ED36">
            <w:pPr>
              <w:widowControl/>
              <w:jc w:val="center"/>
              <w:textAlignment w:val="cente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t>1</w:t>
            </w:r>
          </w:p>
        </w:tc>
        <w:tc>
          <w:tcPr>
            <w:tcW w:w="400" w:type="pct"/>
            <w:tcBorders>
              <w:tl2br w:val="nil"/>
              <w:tr2bl w:val="nil"/>
            </w:tcBorders>
            <w:noWrap/>
            <w:vAlign w:val="center"/>
          </w:tcPr>
          <w:p w14:paraId="5A390AEA">
            <w:pPr>
              <w:widowControl/>
              <w:jc w:val="center"/>
              <w:textAlignment w:val="cente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t>1</w:t>
            </w:r>
          </w:p>
        </w:tc>
        <w:tc>
          <w:tcPr>
            <w:tcW w:w="420" w:type="pct"/>
            <w:tcBorders>
              <w:tl2br w:val="nil"/>
              <w:tr2bl w:val="nil"/>
            </w:tcBorders>
            <w:noWrap/>
            <w:vAlign w:val="center"/>
          </w:tcPr>
          <w:p w14:paraId="3CF9E3D5">
            <w:pPr>
              <w:widowControl/>
              <w:jc w:val="center"/>
              <w:textAlignment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t>80</w:t>
            </w:r>
          </w:p>
        </w:tc>
        <w:tc>
          <w:tcPr>
            <w:tcW w:w="782" w:type="pct"/>
            <w:tcBorders>
              <w:tl2br w:val="nil"/>
              <w:tr2bl w:val="nil"/>
            </w:tcBorders>
            <w:noWrap/>
            <w:vAlign w:val="center"/>
          </w:tcPr>
          <w:p w14:paraId="0DC7D55C">
            <w:pPr>
              <w:widowControl/>
              <w:jc w:val="center"/>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t>昼间</w:t>
            </w:r>
            <w:r>
              <w:rPr>
                <w:rFonts w:hint="eastAsia" w:ascii="Times New Roman" w:hAnsi="Times New Roman" w:cs="Times New Roman"/>
                <w:caps w:val="0"/>
                <w:smallCaps w:val="0"/>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夜间</w:t>
            </w:r>
          </w:p>
        </w:tc>
      </w:tr>
      <w:tr w14:paraId="236E6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95" w:type="pct"/>
            <w:tcBorders>
              <w:tl2br w:val="nil"/>
              <w:tr2bl w:val="nil"/>
            </w:tcBorders>
            <w:noWrap/>
            <w:vAlign w:val="center"/>
          </w:tcPr>
          <w:p w14:paraId="66A99320">
            <w:pPr>
              <w:widowControl/>
              <w:jc w:val="center"/>
              <w:textAlignment w:val="cente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t>2</w:t>
            </w:r>
          </w:p>
        </w:tc>
        <w:tc>
          <w:tcPr>
            <w:tcW w:w="460" w:type="pct"/>
            <w:tcBorders>
              <w:tl2br w:val="nil"/>
              <w:tr2bl w:val="nil"/>
            </w:tcBorders>
            <w:noWrap/>
            <w:vAlign w:val="center"/>
          </w:tcPr>
          <w:p w14:paraId="78FECAB5">
            <w:pPr>
              <w:widowControl/>
              <w:jc w:val="center"/>
              <w:textAlignment w:val="cente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t>厂界</w:t>
            </w:r>
          </w:p>
        </w:tc>
        <w:tc>
          <w:tcPr>
            <w:tcW w:w="956" w:type="pct"/>
            <w:tcBorders>
              <w:tl2br w:val="nil"/>
              <w:tr2bl w:val="nil"/>
            </w:tcBorders>
            <w:noWrap/>
            <w:vAlign w:val="center"/>
          </w:tcPr>
          <w:p w14:paraId="046323F2">
            <w:pPr>
              <w:widowControl/>
              <w:jc w:val="center"/>
              <w:textAlignment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t>风机2</w:t>
            </w:r>
          </w:p>
        </w:tc>
        <w:tc>
          <w:tcPr>
            <w:tcW w:w="606" w:type="pct"/>
            <w:vMerge w:val="continue"/>
            <w:tcBorders>
              <w:tl2br w:val="nil"/>
              <w:tr2bl w:val="nil"/>
            </w:tcBorders>
            <w:noWrap/>
            <w:vAlign w:val="center"/>
          </w:tcPr>
          <w:p w14:paraId="7AF29774">
            <w:pPr>
              <w:widowControl/>
              <w:jc w:val="center"/>
              <w:textAlignment w:val="center"/>
              <w:rPr>
                <w:rFonts w:ascii="Times New Roman" w:hAnsi="Times New Roman" w:eastAsia="宋体" w:cs="Times New Roman"/>
                <w:color w:val="000000" w:themeColor="text1"/>
                <w:kern w:val="0"/>
                <w:szCs w:val="21"/>
                <w:lang w:bidi="ar"/>
                <w14:textFill>
                  <w14:solidFill>
                    <w14:schemeClr w14:val="tx1"/>
                  </w14:solidFill>
                </w14:textFill>
              </w:rPr>
            </w:pPr>
          </w:p>
        </w:tc>
        <w:tc>
          <w:tcPr>
            <w:tcW w:w="292" w:type="pct"/>
            <w:tcBorders>
              <w:tl2br w:val="nil"/>
              <w:tr2bl w:val="nil"/>
            </w:tcBorders>
            <w:noWrap/>
            <w:vAlign w:val="center"/>
          </w:tcPr>
          <w:p w14:paraId="6944C397">
            <w:pPr>
              <w:widowControl/>
              <w:jc w:val="center"/>
              <w:textAlignment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t>11.34</w:t>
            </w:r>
          </w:p>
        </w:tc>
        <w:tc>
          <w:tcPr>
            <w:tcW w:w="286" w:type="pct"/>
            <w:tcBorders>
              <w:tl2br w:val="nil"/>
              <w:tr2bl w:val="nil"/>
            </w:tcBorders>
            <w:noWrap/>
            <w:vAlign w:val="center"/>
          </w:tcPr>
          <w:p w14:paraId="043E8334">
            <w:pPr>
              <w:widowControl/>
              <w:jc w:val="center"/>
              <w:textAlignment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t>10.66</w:t>
            </w:r>
          </w:p>
        </w:tc>
        <w:tc>
          <w:tcPr>
            <w:tcW w:w="300" w:type="pct"/>
            <w:tcBorders>
              <w:tl2br w:val="nil"/>
              <w:tr2bl w:val="nil"/>
            </w:tcBorders>
            <w:noWrap/>
            <w:vAlign w:val="center"/>
          </w:tcPr>
          <w:p w14:paraId="4CE5926F">
            <w:pPr>
              <w:widowControl/>
              <w:jc w:val="center"/>
              <w:textAlignment w:val="cente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t>1</w:t>
            </w:r>
          </w:p>
        </w:tc>
        <w:tc>
          <w:tcPr>
            <w:tcW w:w="400" w:type="pct"/>
            <w:tcBorders>
              <w:tl2br w:val="nil"/>
              <w:tr2bl w:val="nil"/>
            </w:tcBorders>
            <w:noWrap/>
            <w:vAlign w:val="center"/>
          </w:tcPr>
          <w:p w14:paraId="65F1237C">
            <w:pPr>
              <w:widowControl/>
              <w:jc w:val="center"/>
              <w:textAlignment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t>1</w:t>
            </w:r>
          </w:p>
        </w:tc>
        <w:tc>
          <w:tcPr>
            <w:tcW w:w="420" w:type="pct"/>
            <w:tcBorders>
              <w:tl2br w:val="nil"/>
              <w:tr2bl w:val="nil"/>
            </w:tcBorders>
            <w:noWrap/>
            <w:vAlign w:val="center"/>
          </w:tcPr>
          <w:p w14:paraId="3DFD8EE2">
            <w:pPr>
              <w:widowControl/>
              <w:jc w:val="center"/>
              <w:textAlignment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t>75</w:t>
            </w:r>
          </w:p>
        </w:tc>
        <w:tc>
          <w:tcPr>
            <w:tcW w:w="782" w:type="pct"/>
            <w:tcBorders>
              <w:tl2br w:val="nil"/>
              <w:tr2bl w:val="nil"/>
            </w:tcBorders>
            <w:noWrap/>
            <w:vAlign w:val="center"/>
          </w:tcPr>
          <w:p w14:paraId="70FF0C88">
            <w:pPr>
              <w:widowControl/>
              <w:jc w:val="center"/>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hint="default" w:ascii="Times New Roman" w:hAnsi="Times New Roman" w:eastAsia="宋体" w:cs="Times New Roman"/>
                <w:caps w:val="0"/>
                <w:smallCaps w:val="0"/>
                <w:color w:val="000000" w:themeColor="text1"/>
                <w:sz w:val="21"/>
                <w:szCs w:val="21"/>
                <w:highlight w:val="none"/>
                <w14:textFill>
                  <w14:solidFill>
                    <w14:schemeClr w14:val="tx1"/>
                  </w14:solidFill>
                </w14:textFill>
              </w:rPr>
              <w:t>昼间</w:t>
            </w:r>
            <w:r>
              <w:rPr>
                <w:rFonts w:hint="eastAsia" w:ascii="Times New Roman" w:hAnsi="Times New Roman" w:cs="Times New Roman"/>
                <w:caps w:val="0"/>
                <w:smallCaps w:val="0"/>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z w:val="21"/>
                <w:szCs w:val="21"/>
                <w:highlight w:val="none"/>
                <w:lang w:val="en-US" w:eastAsia="zh-CN"/>
                <w14:textFill>
                  <w14:solidFill>
                    <w14:schemeClr w14:val="tx1"/>
                  </w14:solidFill>
                </w14:textFill>
              </w:rPr>
              <w:t>夜间</w:t>
            </w:r>
          </w:p>
        </w:tc>
      </w:tr>
    </w:tbl>
    <w:p w14:paraId="1976B8E5">
      <w:pPr>
        <w:pStyle w:val="29"/>
        <w:rPr>
          <w:rFonts w:hint="default"/>
          <w:color w:val="000000" w:themeColor="text1"/>
          <w14:textFill>
            <w14:solidFill>
              <w14:schemeClr w14:val="tx1"/>
            </w14:solidFill>
          </w14:textFill>
        </w:rPr>
        <w:sectPr>
          <w:pgSz w:w="16840" w:h="11907" w:orient="landscape"/>
          <w:pgMar w:top="1531" w:right="1701" w:bottom="1531" w:left="2127" w:header="851" w:footer="850" w:gutter="0"/>
          <w:pgBorders>
            <w:top w:val="none" w:sz="0" w:space="0"/>
            <w:left w:val="none" w:sz="0" w:space="0"/>
            <w:bottom w:val="none" w:sz="0" w:space="0"/>
            <w:right w:val="none" w:sz="0" w:space="0"/>
          </w:pgBorders>
          <w:cols w:space="0" w:num="1"/>
          <w:rtlGutter w:val="0"/>
          <w:docGrid w:linePitch="312" w:charSpace="0"/>
        </w:sectPr>
      </w:pPr>
    </w:p>
    <w:tbl>
      <w:tblPr>
        <w:tblStyle w:val="32"/>
        <w:tblW w:w="92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8700"/>
      </w:tblGrid>
      <w:tr w14:paraId="74398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0" w:hRule="atLeast"/>
        </w:trPr>
        <w:tc>
          <w:tcPr>
            <w:tcW w:w="584" w:type="dxa"/>
          </w:tcPr>
          <w:p w14:paraId="74263A11">
            <w:pPr>
              <w:pageBreakBefore w:val="0"/>
              <w:wordWrap/>
              <w:topLinePunct w:val="0"/>
              <w:bidi w:val="0"/>
              <w:rPr>
                <w:rFonts w:hint="default"/>
                <w:color w:val="000000" w:themeColor="text1"/>
                <w:vertAlign w:val="baseline"/>
                <w14:textFill>
                  <w14:solidFill>
                    <w14:schemeClr w14:val="tx1"/>
                  </w14:solidFill>
                </w14:textFill>
              </w:rPr>
            </w:pPr>
          </w:p>
        </w:tc>
        <w:tc>
          <w:tcPr>
            <w:tcW w:w="8700" w:type="dxa"/>
          </w:tcPr>
          <w:p w14:paraId="63D4241A">
            <w:pPr>
              <w:autoSpaceDE w:val="0"/>
              <w:autoSpaceDN w:val="0"/>
              <w:adjustRightInd w:val="0"/>
              <w:snapToGrid w:val="0"/>
              <w:spacing w:line="360" w:lineRule="auto"/>
              <w:ind w:firstLine="482" w:firstLineChars="200"/>
              <w:jc w:val="left"/>
              <w:textAlignment w:val="baseline"/>
              <w:rPr>
                <w:rFonts w:hint="default" w:ascii="Times New Roman" w:hAnsi="Times New Roman" w:eastAsia="宋体" w:cs="Times New Roman"/>
                <w:b/>
                <w:bCs/>
                <w:color w:val="000000" w:themeColor="text1"/>
                <w:kern w:val="0"/>
                <w:sz w:val="24"/>
                <w14:textFill>
                  <w14:solidFill>
                    <w14:schemeClr w14:val="tx1"/>
                  </w14:solidFill>
                </w14:textFill>
              </w:rPr>
            </w:pPr>
            <w:r>
              <w:rPr>
                <w:rFonts w:hint="default" w:ascii="Times New Roman" w:hAnsi="Times New Roman" w:eastAsia="宋体" w:cs="Times New Roman"/>
                <w:b/>
                <w:bCs/>
                <w:color w:val="000000" w:themeColor="text1"/>
                <w:kern w:val="0"/>
                <w:sz w:val="24"/>
                <w14:textFill>
                  <w14:solidFill>
                    <w14:schemeClr w14:val="tx1"/>
                  </w14:solidFill>
                </w14:textFill>
              </w:rPr>
              <w:t>2、噪声预测</w:t>
            </w:r>
          </w:p>
          <w:p w14:paraId="48D5DEFE">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根据《环境影响评价技术导则 声环境》</w:t>
            </w:r>
            <w:r>
              <w:rPr>
                <w:rFonts w:hint="default"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HJ2.4-</w:t>
            </w:r>
            <w:r>
              <w:rPr>
                <w:rFonts w:hint="default" w:ascii="Times New Roman" w:hAnsi="Times New Roman" w:eastAsia="宋体" w:cs="Times New Roman"/>
                <w:color w:val="000000" w:themeColor="text1"/>
                <w:sz w:val="24"/>
                <w:lang w:val="en-US" w:eastAsia="zh-CN"/>
                <w14:textFill>
                  <w14:solidFill>
                    <w14:schemeClr w14:val="tx1"/>
                  </w14:solidFill>
                </w14:textFill>
              </w:rPr>
              <w:t>2021</w:t>
            </w:r>
            <w:r>
              <w:rPr>
                <w:rFonts w:hint="default" w:ascii="Times New Roman" w:hAnsi="Times New Roman" w:eastAsia="宋体" w:cs="Times New Roman"/>
                <w:color w:val="000000" w:themeColor="text1"/>
                <w:sz w:val="24"/>
                <w:lang w:eastAsia="zh-CN"/>
                <w14:textFill>
                  <w14:solidFill>
                    <w14:schemeClr w14:val="tx1"/>
                  </w14:solidFill>
                </w14:textFill>
              </w:rPr>
              <w:t>）要求，本项目声环境评价将预测各噪声源处理后对周围声环境的贡献值。评价将根据预测结果，分析项目厂址边界噪声能否达到执行的声环境标准，给出边界噪声的最大值和位置。</w:t>
            </w:r>
          </w:p>
          <w:p w14:paraId="4432475E">
            <w:pPr>
              <w:autoSpaceDE w:val="0"/>
              <w:autoSpaceDN w:val="0"/>
              <w:adjustRightInd w:val="0"/>
              <w:snapToGrid w:val="0"/>
              <w:spacing w:line="360" w:lineRule="auto"/>
              <w:ind w:firstLine="480" w:firstLineChars="200"/>
              <w:jc w:val="left"/>
              <w:textAlignment w:val="baseline"/>
              <w:rPr>
                <w:rFonts w:hint="eastAsia" w:ascii="Times New Roman" w:hAnsi="Times New Roman" w:eastAsia="宋体" w:cs="Times New Roman"/>
                <w:color w:val="000000" w:themeColor="text1"/>
                <w:kern w:val="0"/>
                <w:sz w:val="24"/>
                <w:lang w:eastAsia="zh-CN"/>
                <w14:textFill>
                  <w14:solidFill>
                    <w14:schemeClr w14:val="tx1"/>
                  </w14:solidFill>
                </w14:textFill>
              </w:rPr>
            </w:pPr>
            <w:r>
              <w:rPr>
                <w:rFonts w:hint="eastAsia" w:ascii="Times New Roman" w:hAnsi="Times New Roman" w:eastAsia="宋体" w:cs="Times New Roman"/>
                <w:color w:val="000000" w:themeColor="text1"/>
                <w:kern w:val="0"/>
                <w:sz w:val="24"/>
                <w:lang w:eastAsia="zh-CN"/>
                <w14:textFill>
                  <w14:solidFill>
                    <w14:schemeClr w14:val="tx1"/>
                  </w14:solidFill>
                </w14:textFill>
              </w:rPr>
              <w:t>（</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1</w:t>
            </w:r>
            <w:r>
              <w:rPr>
                <w:rFonts w:hint="eastAsia" w:ascii="Times New Roman" w:hAnsi="Times New Roman" w:eastAsia="宋体" w:cs="Times New Roman"/>
                <w:color w:val="000000" w:themeColor="text1"/>
                <w:kern w:val="0"/>
                <w:sz w:val="24"/>
                <w:lang w:eastAsia="zh-CN"/>
                <w14:textFill>
                  <w14:solidFill>
                    <w14:schemeClr w14:val="tx1"/>
                  </w14:solidFill>
                </w14:textFill>
              </w:rPr>
              <w:t>）预测模型</w:t>
            </w:r>
          </w:p>
          <w:p w14:paraId="1694EDBB">
            <w:pPr>
              <w:autoSpaceDE w:val="0"/>
              <w:autoSpaceDN w:val="0"/>
              <w:adjustRightInd w:val="0"/>
              <w:snapToGrid w:val="0"/>
              <w:spacing w:line="360" w:lineRule="auto"/>
              <w:ind w:firstLine="480" w:firstLineChars="200"/>
              <w:jc w:val="left"/>
              <w:textAlignment w:val="baseline"/>
              <w:rPr>
                <w:rFonts w:hint="eastAsia" w:ascii="Times New Roman" w:hAnsi="Times New Roman" w:eastAsia="宋体" w:cs="Times New Roman"/>
                <w:color w:val="000000" w:themeColor="text1"/>
                <w:kern w:val="0"/>
                <w:sz w:val="24"/>
                <w:lang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w:t>
            </w:r>
            <w:r>
              <w:rPr>
                <w:rFonts w:hint="default" w:ascii="Times New Roman" w:hAnsi="Times New Roman" w:eastAsia="宋体" w:cs="Times New Roman"/>
                <w:color w:val="000000" w:themeColor="text1"/>
                <w:sz w:val="24"/>
                <w:lang w:val="en-US" w:eastAsia="zh-CN"/>
                <w14:textFill>
                  <w14:solidFill>
                    <w14:schemeClr w14:val="tx1"/>
                  </w14:solidFill>
                </w14:textFill>
              </w:rPr>
              <w:t>电子开料锯</w:t>
            </w:r>
            <w:r>
              <w:rPr>
                <w:rFonts w:hint="eastAsia" w:ascii="Times New Roman" w:hAnsi="Times New Roman" w:eastAsia="宋体" w:cs="Times New Roman"/>
                <w:color w:val="000000" w:themeColor="text1"/>
                <w:sz w:val="24"/>
                <w:lang w:val="en-US" w:eastAsia="zh-CN"/>
                <w14:textFill>
                  <w14:solidFill>
                    <w14:schemeClr w14:val="tx1"/>
                  </w14:solidFill>
                </w14:textFill>
              </w:rPr>
              <w:t>、封边机、拼板机、断料锯</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等</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设备</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位于</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生产车间</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内，均属于室内噪声源。根据《环境影响评价技术导则</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声环境》（HJ2.4-2021），室外噪声源采用附录A中的噪声源计算模式，采用附录B中室内噪声源等效室外噪声源声功率级计算方法，将室内主要声源等效为室外声源，根据室外声源估算方法分别计算等效室外声源和室外声源在计算点产生的声级，然后根据噪声贡献值计算公式对工程声源对计算点产生的贡献值进行叠加。</w:t>
            </w:r>
          </w:p>
          <w:p w14:paraId="21BBE156">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室内声源等效室外噪声源</w:t>
            </w:r>
          </w:p>
          <w:p w14:paraId="514E18D8">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①如</w:t>
            </w:r>
            <w:r>
              <w:rPr>
                <w:rFonts w:hint="default" w:ascii="Times New Roman" w:hAnsi="Times New Roman" w:eastAsia="宋体" w:cs="Times New Roman"/>
                <w:color w:val="000000" w:themeColor="text1"/>
                <w:sz w:val="24"/>
                <w:szCs w:val="24"/>
                <w:highlight w:val="none"/>
                <w14:textFill>
                  <w14:solidFill>
                    <w14:schemeClr w14:val="tx1"/>
                  </w14:solidFill>
                </w14:textFill>
              </w:rPr>
              <w:t>图</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5.2-18</w:t>
            </w:r>
            <w:r>
              <w:rPr>
                <w:rFonts w:hint="default" w:ascii="Times New Roman" w:hAnsi="Times New Roman" w:eastAsia="宋体" w:cs="Times New Roman"/>
                <w:color w:val="000000" w:themeColor="text1"/>
                <w:sz w:val="24"/>
                <w:szCs w:val="24"/>
                <w14:textFill>
                  <w14:solidFill>
                    <w14:schemeClr w14:val="tx1"/>
                  </w14:solidFill>
                </w14:textFill>
              </w:rPr>
              <w:t>所示，首先计算出某个室内靠近围护结构处的倍频带声压级：</w:t>
            </w:r>
          </w:p>
          <w:p w14:paraId="514C14A6">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drawing>
                <wp:inline distT="0" distB="0" distL="114300" distR="114300">
                  <wp:extent cx="2103755" cy="565150"/>
                  <wp:effectExtent l="0" t="0" r="10795" b="6350"/>
                  <wp:docPr id="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pic:cNvPicPr>
                            <a:picLocks noChangeAspect="1"/>
                          </pic:cNvPicPr>
                        </pic:nvPicPr>
                        <pic:blipFill>
                          <a:blip r:embed="rId19"/>
                          <a:stretch>
                            <a:fillRect/>
                          </a:stretch>
                        </pic:blipFill>
                        <pic:spPr>
                          <a:xfrm>
                            <a:off x="0" y="0"/>
                            <a:ext cx="2103755" cy="565150"/>
                          </a:xfrm>
                          <a:prstGeom prst="rect">
                            <a:avLst/>
                          </a:prstGeom>
                          <a:noFill/>
                          <a:ln>
                            <a:noFill/>
                          </a:ln>
                        </pic:spPr>
                      </pic:pic>
                    </a:graphicData>
                  </a:graphic>
                </wp:inline>
              </w:drawing>
            </w:r>
          </w:p>
          <w:p w14:paraId="4CCCC4F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式中：</w:t>
            </w:r>
            <w:r>
              <w:rPr>
                <w:rFonts w:hint="default" w:ascii="Times New Roman" w:hAnsi="Times New Roman" w:eastAsia="宋体" w:cs="Times New Roman"/>
                <w:i/>
                <w:color w:val="000000" w:themeColor="text1"/>
                <w:sz w:val="24"/>
                <w:szCs w:val="24"/>
                <w14:textFill>
                  <w14:solidFill>
                    <w14:schemeClr w14:val="tx1"/>
                  </w14:solidFill>
                </w14:textFill>
              </w:rPr>
              <w:t>Lp</w:t>
            </w:r>
            <w:r>
              <w:rPr>
                <w:rFonts w:hint="default" w:ascii="Times New Roman" w:hAnsi="Times New Roman" w:eastAsia="宋体" w:cs="Times New Roman"/>
                <w:color w:val="000000" w:themeColor="text1"/>
                <w:sz w:val="24"/>
                <w:szCs w:val="24"/>
                <w14:textFill>
                  <w14:solidFill>
                    <w14:schemeClr w14:val="tx1"/>
                  </w14:solidFill>
                </w14:textFill>
              </w:rPr>
              <w:t>1—为某个室内声源在靠近围护结构处产生的倍频带声压级，dB；</w:t>
            </w:r>
          </w:p>
          <w:p w14:paraId="000CA17A">
            <w:pPr>
              <w:keepNext w:val="0"/>
              <w:keepLines w:val="0"/>
              <w:pageBreakBefore w:val="0"/>
              <w:widowControl w:val="0"/>
              <w:kinsoku/>
              <w:wordWrap/>
              <w:overflowPunct/>
              <w:topLinePunct w:val="0"/>
              <w:autoSpaceDE/>
              <w:autoSpaceDN/>
              <w:bidi w:val="0"/>
              <w:adjustRightInd w:val="0"/>
              <w:snapToGrid w:val="0"/>
              <w:spacing w:line="360" w:lineRule="auto"/>
              <w:ind w:firstLine="1920" w:firstLineChars="8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color w:val="000000" w:themeColor="text1"/>
                <w:sz w:val="24"/>
                <w:szCs w:val="24"/>
                <w14:textFill>
                  <w14:solidFill>
                    <w14:schemeClr w14:val="tx1"/>
                  </w14:solidFill>
                </w14:textFill>
              </w:rPr>
              <w:t xml:space="preserve"> Lw </w:t>
            </w:r>
            <w:r>
              <w:rPr>
                <w:rFonts w:hint="default" w:ascii="Times New Roman" w:hAnsi="Times New Roman" w:eastAsia="宋体" w:cs="Times New Roman"/>
                <w:color w:val="000000" w:themeColor="text1"/>
                <w:sz w:val="24"/>
                <w:szCs w:val="24"/>
                <w14:textFill>
                  <w14:solidFill>
                    <w14:schemeClr w14:val="tx1"/>
                  </w14:solidFill>
                </w14:textFill>
              </w:rPr>
              <w:t>—为某个声源的倍频带声功率级，dB；</w:t>
            </w:r>
          </w:p>
          <w:p w14:paraId="2807B1E6">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color w:val="000000" w:themeColor="text1"/>
                <w:sz w:val="24"/>
                <w:szCs w:val="24"/>
                <w14:textFill>
                  <w14:solidFill>
                    <w14:schemeClr w14:val="tx1"/>
                  </w14:solidFill>
                </w14:textFill>
              </w:rPr>
              <w:t>r</w:t>
            </w:r>
            <w:r>
              <w:rPr>
                <w:rFonts w:hint="default" w:ascii="Times New Roman" w:hAnsi="Times New Roman" w:eastAsia="宋体" w:cs="Times New Roman"/>
                <w:color w:val="000000" w:themeColor="text1"/>
                <w:sz w:val="24"/>
                <w:szCs w:val="24"/>
                <w14:textFill>
                  <w14:solidFill>
                    <w14:schemeClr w14:val="tx1"/>
                  </w14:solidFill>
                </w14:textFill>
              </w:rPr>
              <w:t>—为室内某个声源与靠近围护结构处的距离，m；</w:t>
            </w:r>
          </w:p>
          <w:p w14:paraId="56E9241C">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color w:val="000000" w:themeColor="text1"/>
                <w:sz w:val="24"/>
                <w:szCs w:val="24"/>
                <w14:textFill>
                  <w14:solidFill>
                    <w14:schemeClr w14:val="tx1"/>
                  </w14:solidFill>
                </w14:textFill>
              </w:rPr>
              <w:t>R</w:t>
            </w:r>
            <w:r>
              <w:rPr>
                <w:rFonts w:hint="default" w:ascii="Times New Roman" w:hAnsi="Times New Roman" w:eastAsia="宋体" w:cs="Times New Roman"/>
                <w:color w:val="000000" w:themeColor="text1"/>
                <w:sz w:val="24"/>
                <w:szCs w:val="24"/>
                <w14:textFill>
                  <w14:solidFill>
                    <w14:schemeClr w14:val="tx1"/>
                  </w14:solidFill>
                </w14:textFill>
              </w:rPr>
              <w:t>—房间常数，m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i/>
                <w:color w:val="000000" w:themeColor="text1"/>
                <w:sz w:val="24"/>
                <w:szCs w:val="24"/>
                <w14:textFill>
                  <w14:solidFill>
                    <w14:schemeClr w14:val="tx1"/>
                  </w14:solidFill>
                </w14:textFill>
              </w:rPr>
              <w:t xml:space="preserve">R </w:t>
            </w:r>
            <w:r>
              <w:rPr>
                <w:rFonts w:hint="default" w:ascii="Times New Roman" w:hAnsi="Times New Roman" w:eastAsia="宋体" w:cs="Times New Roman"/>
                <w:i/>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i/>
                <w:color w:val="000000" w:themeColor="text1"/>
                <w:sz w:val="24"/>
                <w:szCs w:val="24"/>
                <w14:textFill>
                  <w14:solidFill>
                    <w14:schemeClr w14:val="tx1"/>
                  </w14:solidFill>
                </w14:textFill>
              </w:rPr>
              <w:t>S</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α</w:t>
            </w:r>
            <w:r>
              <w:rPr>
                <w:rFonts w:hint="default" w:ascii="Times New Roman" w:hAnsi="Times New Roman" w:eastAsia="宋体" w:cs="Times New Roman"/>
                <w:color w:val="000000" w:themeColor="text1"/>
                <w:sz w:val="24"/>
                <w:szCs w:val="24"/>
                <w14:textFill>
                  <w14:solidFill>
                    <w14:schemeClr w14:val="tx1"/>
                  </w14:solidFill>
                </w14:textFill>
              </w:rPr>
              <w:t xml:space="preserve"> / </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1</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α</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，S为房间内表面积m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α</w:t>
            </w:r>
            <w:r>
              <w:rPr>
                <w:rFonts w:hint="default" w:ascii="Times New Roman" w:hAnsi="Times New Roman" w:eastAsia="宋体" w:cs="Times New Roman"/>
                <w:color w:val="000000" w:themeColor="text1"/>
                <w:sz w:val="24"/>
                <w:szCs w:val="24"/>
                <w14:textFill>
                  <w14:solidFill>
                    <w14:schemeClr w14:val="tx1"/>
                  </w14:solidFill>
                </w14:textFill>
              </w:rPr>
              <w:t>为平均吸声系数。</w:t>
            </w:r>
          </w:p>
          <w:p w14:paraId="4B7A7270">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color w:val="000000" w:themeColor="text1"/>
                <w:sz w:val="24"/>
                <w:szCs w:val="24"/>
                <w14:textFill>
                  <w14:solidFill>
                    <w14:schemeClr w14:val="tx1"/>
                  </w14:solidFill>
                </w14:textFill>
              </w:rPr>
              <w:t>Q</w:t>
            </w:r>
            <w:r>
              <w:rPr>
                <w:rFonts w:hint="default" w:ascii="Times New Roman" w:hAnsi="Times New Roman" w:eastAsia="宋体" w:cs="Times New Roman"/>
                <w:color w:val="000000" w:themeColor="text1"/>
                <w:sz w:val="24"/>
                <w:szCs w:val="24"/>
                <w14:textFill>
                  <w14:solidFill>
                    <w14:schemeClr w14:val="tx1"/>
                  </w14:solidFill>
                </w14:textFill>
              </w:rPr>
              <w:t>—方向因子，无量纲值。通常对无指向性声源，当声源放在房间中心时，Q=1；当放在一面墙的中心时，Q=2；当放在两面墙夹角时，Q=4；当放在三面墙夹角处时，Q=8。</w:t>
            </w:r>
          </w:p>
          <w:p w14:paraId="266E84CC">
            <w:pPr>
              <w:widowControl w:val="0"/>
              <w:spacing w:before="20" w:after="20"/>
              <w:jc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p>
          <w:p w14:paraId="71514AB2">
            <w:pPr>
              <w:adjustRightInd w:val="0"/>
              <w:snapToGrid w:val="0"/>
              <w:ind w:firstLine="420" w:firstLineChars="200"/>
              <w:jc w:val="center"/>
              <w:rPr>
                <w:rFonts w:hint="default" w:ascii="Times New Roman" w:hAnsi="Times New Roman" w:eastAsia="宋体" w:cs="Times New Roman"/>
                <w:color w:val="000000" w:themeColor="text1"/>
                <w:sz w:val="24"/>
                <w:szCs w:val="32"/>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drawing>
                <wp:inline distT="0" distB="0" distL="114300" distR="114300">
                  <wp:extent cx="3108325" cy="1266190"/>
                  <wp:effectExtent l="0" t="0" r="15875" b="1016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0"/>
                          <a:stretch>
                            <a:fillRect/>
                          </a:stretch>
                        </pic:blipFill>
                        <pic:spPr>
                          <a:xfrm>
                            <a:off x="0" y="0"/>
                            <a:ext cx="3108325" cy="1266190"/>
                          </a:xfrm>
                          <a:prstGeom prst="rect">
                            <a:avLst/>
                          </a:prstGeom>
                          <a:noFill/>
                          <a:ln>
                            <a:noFill/>
                          </a:ln>
                        </pic:spPr>
                      </pic:pic>
                    </a:graphicData>
                  </a:graphic>
                </wp:inline>
              </w:drawing>
            </w:r>
          </w:p>
          <w:p w14:paraId="34DA7AB3">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图</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4-2</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14:textFill>
                  <w14:solidFill>
                    <w14:schemeClr w14:val="tx1"/>
                  </w14:solidFill>
                </w14:textFill>
              </w:rPr>
              <w:t>室内声源等效为室外声源示意图</w:t>
            </w:r>
          </w:p>
          <w:p w14:paraId="2C1CBF4A">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②算出所有室内声源在靠近围护结构处产生的总倍频带声压级：</w:t>
            </w:r>
          </w:p>
          <w:p w14:paraId="709A8C0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drawing>
                <wp:inline distT="0" distB="0" distL="114300" distR="114300">
                  <wp:extent cx="1794510" cy="622935"/>
                  <wp:effectExtent l="0" t="0" r="15240" b="5715"/>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pic:cNvPicPr>
                            <a:picLocks noChangeAspect="1"/>
                          </pic:cNvPicPr>
                        </pic:nvPicPr>
                        <pic:blipFill>
                          <a:blip r:embed="rId21"/>
                          <a:stretch>
                            <a:fillRect/>
                          </a:stretch>
                        </pic:blipFill>
                        <pic:spPr>
                          <a:xfrm>
                            <a:off x="0" y="0"/>
                            <a:ext cx="1794510" cy="622935"/>
                          </a:xfrm>
                          <a:prstGeom prst="rect">
                            <a:avLst/>
                          </a:prstGeom>
                          <a:noFill/>
                          <a:ln>
                            <a:noFill/>
                          </a:ln>
                        </pic:spPr>
                      </pic:pic>
                    </a:graphicData>
                  </a:graphic>
                </wp:inline>
              </w:drawing>
            </w:r>
          </w:p>
          <w:p w14:paraId="0ADCBB27">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式中：</w:t>
            </w:r>
            <w:r>
              <w:rPr>
                <w:rFonts w:hint="default" w:ascii="Times New Roman" w:hAnsi="Times New Roman" w:eastAsia="宋体" w:cs="Times New Roman"/>
                <w:i/>
                <w:color w:val="000000" w:themeColor="text1"/>
                <w:sz w:val="24"/>
                <w:szCs w:val="24"/>
                <w14:textFill>
                  <w14:solidFill>
                    <w14:schemeClr w14:val="tx1"/>
                  </w14:solidFill>
                </w14:textFill>
              </w:rPr>
              <w:t>Lp</w:t>
            </w:r>
            <w:r>
              <w:rPr>
                <w:rFonts w:hint="default" w:ascii="Times New Roman" w:hAnsi="Times New Roman" w:eastAsia="宋体" w:cs="Times New Roman"/>
                <w:color w:val="000000" w:themeColor="text1"/>
                <w:sz w:val="24"/>
                <w:szCs w:val="24"/>
                <w14:textFill>
                  <w14:solidFill>
                    <w14:schemeClr w14:val="tx1"/>
                  </w14:solidFill>
                </w14:textFill>
              </w:rPr>
              <w:t>1</w:t>
            </w:r>
            <w:r>
              <w:rPr>
                <w:rFonts w:hint="default" w:ascii="Times New Roman" w:hAnsi="Times New Roman" w:eastAsia="宋体" w:cs="Times New Roman"/>
                <w:i/>
                <w:color w:val="000000" w:themeColor="text1"/>
                <w:sz w:val="24"/>
                <w:szCs w:val="24"/>
                <w14:textFill>
                  <w14:solidFill>
                    <w14:schemeClr w14:val="tx1"/>
                  </w14:solidFill>
                </w14:textFill>
              </w:rPr>
              <w:t>i</w:t>
            </w:r>
            <w:r>
              <w:rPr>
                <w:rFonts w:hint="eastAsia" w:cs="Times New Roman"/>
                <w:i/>
                <w:color w:val="000000" w:themeColor="text1"/>
                <w:sz w:val="24"/>
                <w:szCs w:val="24"/>
                <w:lang w:eastAsia="zh-CN"/>
                <w14:textFill>
                  <w14:solidFill>
                    <w14:schemeClr w14:val="tx1"/>
                  </w14:solidFill>
                </w14:textFill>
              </w:rPr>
              <w:t>（</w:t>
            </w:r>
            <w:r>
              <w:rPr>
                <w:rFonts w:hint="default" w:ascii="Times New Roman" w:hAnsi="Times New Roman" w:eastAsia="宋体" w:cs="Times New Roman"/>
                <w:i/>
                <w:color w:val="000000" w:themeColor="text1"/>
                <w:sz w:val="24"/>
                <w:szCs w:val="24"/>
                <w14:textFill>
                  <w14:solidFill>
                    <w14:schemeClr w14:val="tx1"/>
                  </w14:solidFill>
                </w14:textFill>
              </w:rPr>
              <w:t>T</w:t>
            </w:r>
            <w:r>
              <w:rPr>
                <w:rFonts w:hint="eastAsia" w:cs="Times New Roman"/>
                <w:i/>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—靠近围护结构处室内N 个声源i 倍频带的叠加声压级，dB；</w:t>
            </w:r>
          </w:p>
          <w:p w14:paraId="799F8071">
            <w:pPr>
              <w:keepNext w:val="0"/>
              <w:keepLines w:val="0"/>
              <w:pageBreakBefore w:val="0"/>
              <w:widowControl w:val="0"/>
              <w:kinsoku/>
              <w:wordWrap/>
              <w:overflowPunct/>
              <w:topLinePunct w:val="0"/>
              <w:autoSpaceDE/>
              <w:autoSpaceDN/>
              <w:bidi w:val="0"/>
              <w:spacing w:line="360" w:lineRule="auto"/>
              <w:ind w:firstLine="1200" w:firstLineChars="5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color w:val="000000" w:themeColor="text1"/>
                <w:sz w:val="24"/>
                <w:szCs w:val="24"/>
                <w14:textFill>
                  <w14:solidFill>
                    <w14:schemeClr w14:val="tx1"/>
                  </w14:solidFill>
                </w14:textFill>
              </w:rPr>
              <w:t>Lp</w:t>
            </w:r>
            <w:r>
              <w:rPr>
                <w:rFonts w:hint="default" w:ascii="Times New Roman" w:hAnsi="Times New Roman" w:eastAsia="宋体" w:cs="Times New Roman"/>
                <w:color w:val="000000" w:themeColor="text1"/>
                <w:sz w:val="24"/>
                <w:szCs w:val="24"/>
                <w14:textFill>
                  <w14:solidFill>
                    <w14:schemeClr w14:val="tx1"/>
                  </w14:solidFill>
                </w14:textFill>
              </w:rPr>
              <w:t>1</w:t>
            </w:r>
            <w:r>
              <w:rPr>
                <w:rFonts w:hint="default" w:ascii="Times New Roman" w:hAnsi="Times New Roman" w:eastAsia="宋体" w:cs="Times New Roman"/>
                <w:i/>
                <w:color w:val="000000" w:themeColor="text1"/>
                <w:sz w:val="24"/>
                <w:szCs w:val="24"/>
                <w14:textFill>
                  <w14:solidFill>
                    <w14:schemeClr w14:val="tx1"/>
                  </w14:solidFill>
                </w14:textFill>
              </w:rPr>
              <w:t>ij</w:t>
            </w:r>
            <w:r>
              <w:rPr>
                <w:rFonts w:hint="default" w:ascii="Times New Roman" w:hAnsi="Times New Roman" w:eastAsia="宋体" w:cs="Times New Roman"/>
                <w:color w:val="000000" w:themeColor="text1"/>
                <w:sz w:val="24"/>
                <w:szCs w:val="24"/>
                <w14:textFill>
                  <w14:solidFill>
                    <w14:schemeClr w14:val="tx1"/>
                  </w14:solidFill>
                </w14:textFill>
              </w:rPr>
              <w:t>—室内j 声源i 倍频带的声压级，dB；</w:t>
            </w:r>
          </w:p>
          <w:p w14:paraId="78AA9811">
            <w:pPr>
              <w:keepNext w:val="0"/>
              <w:keepLines w:val="0"/>
              <w:pageBreakBefore w:val="0"/>
              <w:widowControl w:val="0"/>
              <w:kinsoku/>
              <w:wordWrap/>
              <w:overflowPunct/>
              <w:topLinePunct w:val="0"/>
              <w:autoSpaceDE/>
              <w:autoSpaceDN/>
              <w:bidi w:val="0"/>
              <w:spacing w:line="360" w:lineRule="auto"/>
              <w:ind w:firstLine="1200" w:firstLineChars="5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color w:val="000000" w:themeColor="text1"/>
                <w:sz w:val="24"/>
                <w:szCs w:val="24"/>
                <w14:textFill>
                  <w14:solidFill>
                    <w14:schemeClr w14:val="tx1"/>
                  </w14:solidFill>
                </w14:textFill>
              </w:rPr>
              <w:t>N</w:t>
            </w:r>
            <w:r>
              <w:rPr>
                <w:rFonts w:hint="default" w:ascii="Times New Roman" w:hAnsi="Times New Roman" w:eastAsia="宋体" w:cs="Times New Roman"/>
                <w:color w:val="000000" w:themeColor="text1"/>
                <w:sz w:val="24"/>
                <w:szCs w:val="24"/>
                <w14:textFill>
                  <w14:solidFill>
                    <w14:schemeClr w14:val="tx1"/>
                  </w14:solidFill>
                </w14:textFill>
              </w:rPr>
              <w:t>—室内声源总数。</w:t>
            </w:r>
          </w:p>
          <w:p w14:paraId="4D6EF853">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在室内近似为扩散声场时，按③中公式计算出靠近室外围护结构处的声压级。</w:t>
            </w:r>
          </w:p>
          <w:p w14:paraId="28F3DC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③计算出室外靠近围护结构处的声压级：</w:t>
            </w:r>
          </w:p>
          <w:p w14:paraId="3F52DE16">
            <w:pPr>
              <w:keepNext w:val="0"/>
              <w:keepLines w:val="0"/>
              <w:pageBreakBefore w:val="0"/>
              <w:kinsoku/>
              <w:wordWrap/>
              <w:overflowPunct/>
              <w:topLinePunct w:val="0"/>
              <w:autoSpaceDE/>
              <w:autoSpaceDN/>
              <w:bidi w:val="0"/>
              <w:adjustRightInd w:val="0"/>
              <w:snapToGrid w:val="0"/>
              <w:spacing w:line="360" w:lineRule="auto"/>
              <w:ind w:firstLine="480" w:firstLineChars="20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drawing>
                <wp:inline distT="0" distB="0" distL="114300" distR="114300">
                  <wp:extent cx="1986280" cy="327025"/>
                  <wp:effectExtent l="0" t="0" r="13970" b="15875"/>
                  <wp:docPr id="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
                          <pic:cNvPicPr>
                            <a:picLocks noChangeAspect="1"/>
                          </pic:cNvPicPr>
                        </pic:nvPicPr>
                        <pic:blipFill>
                          <a:blip r:embed="rId22"/>
                          <a:stretch>
                            <a:fillRect/>
                          </a:stretch>
                        </pic:blipFill>
                        <pic:spPr>
                          <a:xfrm>
                            <a:off x="0" y="0"/>
                            <a:ext cx="1986280" cy="327025"/>
                          </a:xfrm>
                          <a:prstGeom prst="rect">
                            <a:avLst/>
                          </a:prstGeom>
                          <a:noFill/>
                          <a:ln>
                            <a:noFill/>
                          </a:ln>
                        </pic:spPr>
                      </pic:pic>
                    </a:graphicData>
                  </a:graphic>
                </wp:inline>
              </w:drawing>
            </w:r>
          </w:p>
          <w:p w14:paraId="7361BB1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式中：</w:t>
            </w:r>
            <w:r>
              <w:rPr>
                <w:rFonts w:hint="default" w:ascii="Times New Roman" w:hAnsi="Times New Roman" w:eastAsia="宋体" w:cs="Times New Roman"/>
                <w:i/>
                <w:color w:val="000000" w:themeColor="text1"/>
                <w:sz w:val="24"/>
                <w:szCs w:val="24"/>
                <w14:textFill>
                  <w14:solidFill>
                    <w14:schemeClr w14:val="tx1"/>
                  </w14:solidFill>
                </w14:textFill>
              </w:rPr>
              <w:t>Lp</w:t>
            </w:r>
            <w:r>
              <w:rPr>
                <w:rFonts w:hint="default" w:ascii="Times New Roman" w:hAnsi="Times New Roman" w:eastAsia="宋体" w:cs="Times New Roman"/>
                <w:color w:val="000000" w:themeColor="text1"/>
                <w:sz w:val="24"/>
                <w:szCs w:val="24"/>
                <w14:textFill>
                  <w14:solidFill>
                    <w14:schemeClr w14:val="tx1"/>
                  </w14:solidFill>
                </w14:textFill>
              </w:rPr>
              <w:t>2</w:t>
            </w:r>
            <w:r>
              <w:rPr>
                <w:rFonts w:hint="default" w:ascii="Times New Roman" w:hAnsi="Times New Roman" w:eastAsia="宋体" w:cs="Times New Roman"/>
                <w:i/>
                <w:color w:val="000000" w:themeColor="text1"/>
                <w:sz w:val="24"/>
                <w:szCs w:val="24"/>
                <w14:textFill>
                  <w14:solidFill>
                    <w14:schemeClr w14:val="tx1"/>
                  </w14:solidFill>
                </w14:textFill>
              </w:rPr>
              <w:t>i</w:t>
            </w:r>
            <w:r>
              <w:rPr>
                <w:rFonts w:hint="eastAsia" w:cs="Times New Roman"/>
                <w:i/>
                <w:color w:val="000000" w:themeColor="text1"/>
                <w:sz w:val="24"/>
                <w:szCs w:val="24"/>
                <w:lang w:eastAsia="zh-CN"/>
                <w14:textFill>
                  <w14:solidFill>
                    <w14:schemeClr w14:val="tx1"/>
                  </w14:solidFill>
                </w14:textFill>
              </w:rPr>
              <w:t>（</w:t>
            </w:r>
            <w:r>
              <w:rPr>
                <w:rFonts w:hint="default" w:ascii="Times New Roman" w:hAnsi="Times New Roman" w:eastAsia="宋体" w:cs="Times New Roman"/>
                <w:i/>
                <w:color w:val="000000" w:themeColor="text1"/>
                <w:sz w:val="24"/>
                <w:szCs w:val="24"/>
                <w14:textFill>
                  <w14:solidFill>
                    <w14:schemeClr w14:val="tx1"/>
                  </w14:solidFill>
                </w14:textFill>
              </w:rPr>
              <w:t>T</w:t>
            </w:r>
            <w:r>
              <w:rPr>
                <w:rFonts w:hint="eastAsia" w:cs="Times New Roman"/>
                <w:i/>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—靠近围护结构处室外N个声源i倍频带的叠加声压级，dB；</w:t>
            </w:r>
          </w:p>
          <w:p w14:paraId="71414AD4">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color w:val="000000" w:themeColor="text1"/>
                <w:sz w:val="24"/>
                <w:szCs w:val="24"/>
                <w14:textFill>
                  <w14:solidFill>
                    <w14:schemeClr w14:val="tx1"/>
                  </w14:solidFill>
                </w14:textFill>
              </w:rPr>
              <w:t>TLi</w:t>
            </w:r>
            <w:r>
              <w:rPr>
                <w:rFonts w:hint="default" w:ascii="Times New Roman" w:hAnsi="Times New Roman" w:eastAsia="宋体" w:cs="Times New Roman"/>
                <w:color w:val="000000" w:themeColor="text1"/>
                <w:sz w:val="24"/>
                <w:szCs w:val="24"/>
                <w14:textFill>
                  <w14:solidFill>
                    <w14:schemeClr w14:val="tx1"/>
                  </w14:solidFill>
                </w14:textFill>
              </w:rPr>
              <w:t>—围护结构i 倍频带的隔声量，dB。</w:t>
            </w:r>
          </w:p>
          <w:p w14:paraId="574175D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然后按④中公式将室外声源的声压级和透过面积换算成等效的室外声源，计算出中心位置位于透声面积（S）处的等效声源的倍频带声功率级。</w:t>
            </w:r>
          </w:p>
          <w:p w14:paraId="79386C9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④将室外声级Lp2</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T</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和透声面积换算成等效的室外声源，计算出等效声源第i 个倍频带的声功率级</w:t>
            </w:r>
            <w:r>
              <w:rPr>
                <w:rFonts w:hint="default" w:ascii="Times New Roman" w:hAnsi="Times New Roman" w:eastAsia="宋体" w:cs="Times New Roman"/>
                <w:i/>
                <w:color w:val="000000" w:themeColor="text1"/>
                <w:sz w:val="24"/>
                <w:szCs w:val="24"/>
                <w14:textFill>
                  <w14:solidFill>
                    <w14:schemeClr w14:val="tx1"/>
                  </w14:solidFill>
                </w14:textFill>
              </w:rPr>
              <w:t>Lw2</w:t>
            </w:r>
            <w:r>
              <w:rPr>
                <w:rFonts w:hint="default" w:ascii="Times New Roman" w:hAnsi="Times New Roman" w:eastAsia="宋体" w:cs="Times New Roman"/>
                <w:color w:val="000000" w:themeColor="text1"/>
                <w:sz w:val="24"/>
                <w:szCs w:val="24"/>
                <w14:textFill>
                  <w14:solidFill>
                    <w14:schemeClr w14:val="tx1"/>
                  </w14:solidFill>
                </w14:textFill>
              </w:rPr>
              <w:t>：</w:t>
            </w:r>
          </w:p>
          <w:p w14:paraId="4A98CDAA">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drawing>
                <wp:inline distT="0" distB="0" distL="114300" distR="114300">
                  <wp:extent cx="1499870" cy="280670"/>
                  <wp:effectExtent l="0" t="0" r="5080" b="5080"/>
                  <wp:docPr id="1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3"/>
                          <pic:cNvPicPr>
                            <a:picLocks noChangeAspect="1"/>
                          </pic:cNvPicPr>
                        </pic:nvPicPr>
                        <pic:blipFill>
                          <a:blip r:embed="rId23"/>
                          <a:stretch>
                            <a:fillRect/>
                          </a:stretch>
                        </pic:blipFill>
                        <pic:spPr>
                          <a:xfrm>
                            <a:off x="0" y="0"/>
                            <a:ext cx="1499870" cy="280670"/>
                          </a:xfrm>
                          <a:prstGeom prst="rect">
                            <a:avLst/>
                          </a:prstGeom>
                          <a:noFill/>
                          <a:ln>
                            <a:noFill/>
                          </a:ln>
                        </pic:spPr>
                      </pic:pic>
                    </a:graphicData>
                  </a:graphic>
                </wp:inline>
              </w:drawing>
            </w:r>
          </w:p>
          <w:p w14:paraId="0C9F9DFF">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式中：S—透声面积，m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w:t>
            </w:r>
          </w:p>
          <w:p w14:paraId="17B2339B">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多个室外声源噪声贡献值叠加</w:t>
            </w:r>
          </w:p>
          <w:p w14:paraId="50B79DC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设第i个室外声源在计算点产生的A声级为LAi，在T时间内该声源工作时间为ti；第j个等效室外声源在计算点产生的A声级为LA,j，在T 时间内该声源工作时间为tj，则计算点的总等效声级为：</w:t>
            </w:r>
          </w:p>
          <w:p w14:paraId="07BB799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drawing>
                <wp:inline distT="0" distB="0" distL="114300" distR="114300">
                  <wp:extent cx="2618740" cy="498475"/>
                  <wp:effectExtent l="0" t="0" r="10160" b="15875"/>
                  <wp:docPr id="2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4"/>
                          <pic:cNvPicPr>
                            <a:picLocks noChangeAspect="1"/>
                          </pic:cNvPicPr>
                        </pic:nvPicPr>
                        <pic:blipFill>
                          <a:blip r:embed="rId24"/>
                          <a:stretch>
                            <a:fillRect/>
                          </a:stretch>
                        </pic:blipFill>
                        <pic:spPr>
                          <a:xfrm>
                            <a:off x="0" y="0"/>
                            <a:ext cx="2618740" cy="498475"/>
                          </a:xfrm>
                          <a:prstGeom prst="rect">
                            <a:avLst/>
                          </a:prstGeom>
                          <a:noFill/>
                          <a:ln>
                            <a:noFill/>
                          </a:ln>
                        </pic:spPr>
                      </pic:pic>
                    </a:graphicData>
                  </a:graphic>
                </wp:inline>
              </w:drawing>
            </w:r>
          </w:p>
          <w:p w14:paraId="6F5D31F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式中：</w:t>
            </w:r>
            <w:r>
              <w:rPr>
                <w:rFonts w:hint="default" w:ascii="Times New Roman" w:hAnsi="Times New Roman" w:eastAsia="宋体" w:cs="Times New Roman"/>
                <w:i/>
                <w:color w:val="000000" w:themeColor="text1"/>
                <w:sz w:val="24"/>
                <w:szCs w:val="24"/>
                <w14:textFill>
                  <w14:solidFill>
                    <w14:schemeClr w14:val="tx1"/>
                  </w14:solidFill>
                </w14:textFill>
              </w:rPr>
              <w:t>ti</w:t>
            </w:r>
            <w:r>
              <w:rPr>
                <w:rFonts w:hint="default" w:ascii="Times New Roman" w:hAnsi="Times New Roman" w:eastAsia="宋体" w:cs="Times New Roman"/>
                <w:color w:val="000000" w:themeColor="text1"/>
                <w:sz w:val="24"/>
                <w:szCs w:val="24"/>
                <w14:textFill>
                  <w14:solidFill>
                    <w14:schemeClr w14:val="tx1"/>
                  </w14:solidFill>
                </w14:textFill>
              </w:rPr>
              <w:t>—在T 时间内j 声源工作时间，S；</w:t>
            </w:r>
          </w:p>
          <w:p w14:paraId="313BC841">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tj—在T 时间内i 声源工作时间，S；</w:t>
            </w:r>
          </w:p>
          <w:p w14:paraId="541953EB">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T—计算等效声级的时间，h；</w:t>
            </w:r>
          </w:p>
          <w:p w14:paraId="69B7A83D">
            <w:pPr>
              <w:autoSpaceDE w:val="0"/>
              <w:autoSpaceDN w:val="0"/>
              <w:adjustRightInd w:val="0"/>
              <w:snapToGrid w:val="0"/>
              <w:spacing w:line="360" w:lineRule="auto"/>
              <w:ind w:firstLine="480" w:firstLineChars="200"/>
              <w:jc w:val="left"/>
              <w:textAlignment w:val="baseline"/>
              <w:rPr>
                <w:rFonts w:hint="eastAsia" w:ascii="Times New Roman" w:hAnsi="Times New Roman" w:eastAsia="宋体" w:cs="Times New Roman"/>
                <w:color w:val="000000" w:themeColor="text1"/>
                <w:kern w:val="0"/>
                <w:sz w:val="24"/>
                <w:lang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N—室外声源个数，M等效室外声源个数。</w:t>
            </w:r>
          </w:p>
          <w:p w14:paraId="12C6CFB4">
            <w:pPr>
              <w:keepNext/>
              <w:keepLines/>
              <w:pageBreakBefore w:val="0"/>
              <w:widowControl w:val="0"/>
              <w:tabs>
                <w:tab w:val="left" w:pos="720"/>
              </w:tabs>
              <w:kinsoku/>
              <w:wordWrap/>
              <w:overflowPunct/>
              <w:topLinePunct w:val="0"/>
              <w:autoSpaceDE/>
              <w:autoSpaceDN/>
              <w:bidi w:val="0"/>
              <w:adjustRightInd w:val="0"/>
              <w:snapToGrid w:val="0"/>
              <w:spacing w:before="0" w:after="0" w:line="360" w:lineRule="auto"/>
              <w:ind w:left="0" w:firstLine="480" w:firstLineChars="200"/>
              <w:jc w:val="both"/>
              <w:textAlignment w:val="auto"/>
              <w:outlineLvl w:val="2"/>
              <w:rPr>
                <w:rFonts w:hint="default" w:ascii="Times New Roman" w:hAnsi="Times New Roman" w:eastAsia="宋体" w:cs="Times New Roman"/>
                <w:b w:val="0"/>
                <w:bCs w:val="0"/>
                <w:color w:val="000000" w:themeColor="text1"/>
                <w:kern w:val="0"/>
                <w:sz w:val="24"/>
                <w:szCs w:val="24"/>
                <w:lang w:val="en-US" w:eastAsia="zh-CN" w:bidi="ar-SA"/>
                <w14:textFill>
                  <w14:solidFill>
                    <w14:schemeClr w14:val="tx1"/>
                  </w14:solidFill>
                </w14:textFill>
              </w:rPr>
            </w:pPr>
            <w:bookmarkStart w:id="212" w:name="_Toc12030"/>
            <w:bookmarkStart w:id="213" w:name="_Toc23751"/>
            <w:r>
              <w:rPr>
                <w:rFonts w:hint="eastAsia" w:ascii="Times New Roman" w:hAnsi="Times New Roman" w:eastAsia="宋体" w:cs="Times New Roman"/>
                <w:b w:val="0"/>
                <w:bCs w:val="0"/>
                <w:color w:val="000000" w:themeColor="text1"/>
                <w:kern w:val="0"/>
                <w:sz w:val="24"/>
                <w:szCs w:val="24"/>
                <w:lang w:val="en-US" w:eastAsia="zh-CN" w:bidi="ar-SA"/>
                <w14:textFill>
                  <w14:solidFill>
                    <w14:schemeClr w14:val="tx1"/>
                  </w14:solidFill>
                </w14:textFill>
              </w:rPr>
              <w:t>（2）</w:t>
            </w:r>
            <w:r>
              <w:rPr>
                <w:rFonts w:hint="default" w:ascii="Times New Roman" w:hAnsi="Times New Roman" w:eastAsia="宋体" w:cs="Times New Roman"/>
                <w:b w:val="0"/>
                <w:bCs w:val="0"/>
                <w:color w:val="000000" w:themeColor="text1"/>
                <w:kern w:val="0"/>
                <w:sz w:val="24"/>
                <w:szCs w:val="24"/>
                <w:lang w:val="en-US" w:eastAsia="zh-CN" w:bidi="ar-SA"/>
                <w14:textFill>
                  <w14:solidFill>
                    <w14:schemeClr w14:val="tx1"/>
                  </w14:solidFill>
                </w14:textFill>
              </w:rPr>
              <w:t>预测结果</w:t>
            </w:r>
            <w:bookmarkEnd w:id="212"/>
            <w:bookmarkEnd w:id="213"/>
          </w:p>
          <w:p w14:paraId="22B5182F">
            <w:pPr>
              <w:autoSpaceDE w:val="0"/>
              <w:autoSpaceDN w:val="0"/>
              <w:adjustRightInd w:val="0"/>
              <w:snapToGrid w:val="0"/>
              <w:spacing w:line="360" w:lineRule="auto"/>
              <w:ind w:firstLine="480" w:firstLineChars="200"/>
              <w:jc w:val="left"/>
              <w:textAlignment w:val="baseline"/>
              <w:rPr>
                <w:rFonts w:hint="eastAsia" w:ascii="Times New Roman" w:hAnsi="Times New Roman" w:eastAsia="宋体" w:cs="Times New Roman"/>
                <w:color w:val="000000" w:themeColor="text1"/>
                <w:kern w:val="0"/>
                <w:sz w:val="24"/>
                <w:lang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lang w:val="en-US" w:eastAsia="zh-CN"/>
                <w14:textFill>
                  <w14:solidFill>
                    <w14:schemeClr w14:val="tx1"/>
                  </w14:solidFill>
                </w14:textFill>
              </w:rPr>
              <w:t>50</w:t>
            </w:r>
            <w:r>
              <w:rPr>
                <w:rFonts w:hint="default" w:ascii="Times New Roman" w:hAnsi="Times New Roman" w:eastAsia="宋体" w:cs="Times New Roman"/>
                <w:color w:val="000000" w:themeColor="text1"/>
                <w:sz w:val="24"/>
                <w:lang w:val="en-US" w:eastAsia="zh-CN"/>
                <w14:textFill>
                  <w14:solidFill>
                    <w14:schemeClr w14:val="tx1"/>
                  </w14:solidFill>
                </w14:textFill>
              </w:rPr>
              <w:t>m范围内无声环境敏感点，</w:t>
            </w:r>
            <w:r>
              <w:rPr>
                <w:rFonts w:hint="default" w:ascii="Times New Roman" w:hAnsi="Times New Roman" w:eastAsia="宋体" w:cs="Times New Roman"/>
                <w:color w:val="000000" w:themeColor="text1"/>
                <w:sz w:val="24"/>
                <w:szCs w:val="32"/>
                <w14:textFill>
                  <w14:solidFill>
                    <w14:schemeClr w14:val="tx1"/>
                  </w14:solidFill>
                </w14:textFill>
              </w:rPr>
              <w:t>项目主要噪声源主要</w:t>
            </w:r>
            <w:r>
              <w:rPr>
                <w:rFonts w:hint="default" w:ascii="Times New Roman" w:hAnsi="Times New Roman" w:eastAsia="宋体" w:cs="Times New Roman"/>
                <w:color w:val="000000" w:themeColor="text1"/>
                <w:sz w:val="24"/>
                <w:szCs w:val="32"/>
                <w:lang w:eastAsia="zh-CN"/>
                <w14:textFill>
                  <w14:solidFill>
                    <w14:schemeClr w14:val="tx1"/>
                  </w14:solidFill>
                </w14:textFill>
              </w:rPr>
              <w:t>为</w:t>
            </w:r>
            <w:r>
              <w:rPr>
                <w:rFonts w:hint="eastAsia" w:cs="Times New Roman"/>
                <w:color w:val="000000" w:themeColor="text1"/>
                <w:sz w:val="24"/>
                <w:szCs w:val="32"/>
                <w:lang w:val="en-US" w:eastAsia="zh-CN"/>
                <w14:textFill>
                  <w14:solidFill>
                    <w14:schemeClr w14:val="tx1"/>
                  </w14:solidFill>
                </w14:textFill>
              </w:rPr>
              <w:t>成型机、修边机</w:t>
            </w:r>
            <w:r>
              <w:rPr>
                <w:rFonts w:hint="default" w:ascii="Times New Roman" w:hAnsi="Times New Roman" w:eastAsia="宋体" w:cs="Times New Roman"/>
                <w:color w:val="000000" w:themeColor="text1"/>
                <w:sz w:val="24"/>
                <w:szCs w:val="32"/>
                <w:lang w:eastAsia="zh-CN"/>
                <w14:textFill>
                  <w14:solidFill>
                    <w14:schemeClr w14:val="tx1"/>
                  </w14:solidFill>
                </w14:textFill>
              </w:rPr>
              <w:t>等。</w:t>
            </w:r>
            <w:r>
              <w:rPr>
                <w:rFonts w:hint="default" w:ascii="Times New Roman" w:hAnsi="Times New Roman" w:eastAsia="宋体" w:cs="Times New Roman"/>
                <w:color w:val="000000" w:themeColor="text1"/>
                <w:sz w:val="24"/>
                <w:lang w:val="en-US" w:eastAsia="zh-CN"/>
                <w14:textFill>
                  <w14:solidFill>
                    <w14:schemeClr w14:val="tx1"/>
                  </w14:solidFill>
                </w14:textFill>
              </w:rPr>
              <w:t>根据上述预测模式，得出项目建设完成投入运行后设备噪声对厂界声环境贡献值预测结果如下表所示。</w:t>
            </w:r>
          </w:p>
          <w:p w14:paraId="544827B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表</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4-</w:t>
            </w:r>
            <w:r>
              <w:rPr>
                <w:rFonts w:hint="eastAsia" w:cs="Times New Roman"/>
                <w:b/>
                <w:bCs/>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厂界噪声预测结果一览</w:t>
            </w:r>
            <w:r>
              <w:rPr>
                <w:rFonts w:hint="default" w:ascii="Times New Roman" w:hAnsi="Times New Roman" w:eastAsia="宋体" w:cs="Times New Roman"/>
                <w:b/>
                <w:bCs/>
                <w:color w:val="000000" w:themeColor="text1"/>
                <w:sz w:val="21"/>
                <w:szCs w:val="21"/>
                <w14:textFill>
                  <w14:solidFill>
                    <w14:schemeClr w14:val="tx1"/>
                  </w14:solidFill>
                </w14:textFill>
              </w:rPr>
              <w:t xml:space="preserve">表 </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 xml:space="preserve">   单位：dB</w:t>
            </w:r>
            <w:r>
              <w:rPr>
                <w:rFonts w:hint="eastAsia"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A</w:t>
            </w:r>
            <w:r>
              <w:rPr>
                <w:rFonts w:hint="eastAsia" w:cs="Times New Roman"/>
                <w:b/>
                <w:bCs/>
                <w:color w:val="000000" w:themeColor="text1"/>
                <w:sz w:val="21"/>
                <w:szCs w:val="21"/>
                <w:highlight w:val="none"/>
                <w:lang w:eastAsia="zh-CN"/>
                <w14:textFill>
                  <w14:solidFill>
                    <w14:schemeClr w14:val="tx1"/>
                  </w14:solidFill>
                </w14:textFill>
              </w:rPr>
              <w:t>）</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6"/>
              <w:gridCol w:w="1123"/>
              <w:gridCol w:w="1123"/>
              <w:gridCol w:w="1273"/>
              <w:gridCol w:w="1279"/>
              <w:gridCol w:w="2597"/>
            </w:tblGrid>
            <w:tr w14:paraId="4A86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5" w:type="pct"/>
                  <w:vMerge w:val="restart"/>
                  <w:noWrap w:val="0"/>
                  <w:vAlign w:val="center"/>
                </w:tcPr>
                <w:p w14:paraId="71720322">
                  <w:pPr>
                    <w:spacing w:line="240" w:lineRule="auto"/>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预测点</w:t>
                  </w:r>
                </w:p>
              </w:tc>
              <w:tc>
                <w:tcPr>
                  <w:tcW w:w="1325" w:type="pct"/>
                  <w:gridSpan w:val="2"/>
                  <w:noWrap w:val="0"/>
                  <w:vAlign w:val="center"/>
                </w:tcPr>
                <w:p w14:paraId="41CC027C">
                  <w:pPr>
                    <w:spacing w:line="240" w:lineRule="auto"/>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贡献值</w:t>
                  </w:r>
                </w:p>
              </w:tc>
              <w:tc>
                <w:tcPr>
                  <w:tcW w:w="751" w:type="pct"/>
                  <w:vMerge w:val="restart"/>
                  <w:noWrap w:val="0"/>
                  <w:vAlign w:val="center"/>
                </w:tcPr>
                <w:p w14:paraId="40AEF0AD">
                  <w:pPr>
                    <w:spacing w:line="240" w:lineRule="auto"/>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最大噪声值</w:t>
                  </w:r>
                </w:p>
              </w:tc>
              <w:tc>
                <w:tcPr>
                  <w:tcW w:w="755" w:type="pct"/>
                  <w:vMerge w:val="restart"/>
                  <w:noWrap w:val="0"/>
                  <w:vAlign w:val="center"/>
                </w:tcPr>
                <w:p w14:paraId="551C9B05">
                  <w:pPr>
                    <w:spacing w:line="240" w:lineRule="auto"/>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标准值</w:t>
                  </w:r>
                </w:p>
              </w:tc>
              <w:tc>
                <w:tcPr>
                  <w:tcW w:w="1532" w:type="pct"/>
                  <w:noWrap w:val="0"/>
                  <w:vAlign w:val="center"/>
                </w:tcPr>
                <w:p w14:paraId="5A62A8CC">
                  <w:pPr>
                    <w:spacing w:line="240" w:lineRule="auto"/>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达标情况</w:t>
                  </w:r>
                </w:p>
              </w:tc>
            </w:tr>
            <w:tr w14:paraId="40265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5" w:type="pct"/>
                  <w:vMerge w:val="continue"/>
                  <w:noWrap w:val="0"/>
                  <w:vAlign w:val="center"/>
                </w:tcPr>
                <w:p w14:paraId="3E7888E1">
                  <w:pPr>
                    <w:spacing w:line="240" w:lineRule="auto"/>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662" w:type="pct"/>
                  <w:noWrap w:val="0"/>
                  <w:vAlign w:val="center"/>
                </w:tcPr>
                <w:p w14:paraId="5EE8AFF1">
                  <w:pPr>
                    <w:spacing w:line="240" w:lineRule="auto"/>
                    <w:jc w:val="cente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昼间</w:t>
                  </w:r>
                </w:p>
              </w:tc>
              <w:tc>
                <w:tcPr>
                  <w:tcW w:w="662" w:type="pct"/>
                  <w:noWrap w:val="0"/>
                  <w:vAlign w:val="center"/>
                </w:tcPr>
                <w:p w14:paraId="70D7E2BB">
                  <w:pPr>
                    <w:spacing w:line="240" w:lineRule="auto"/>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夜间</w:t>
                  </w:r>
                </w:p>
              </w:tc>
              <w:tc>
                <w:tcPr>
                  <w:tcW w:w="751" w:type="pct"/>
                  <w:vMerge w:val="continue"/>
                  <w:noWrap w:val="0"/>
                  <w:vAlign w:val="center"/>
                </w:tcPr>
                <w:p w14:paraId="3DB4B435">
                  <w:pPr>
                    <w:spacing w:line="240" w:lineRule="auto"/>
                    <w:jc w:val="center"/>
                    <w:rPr>
                      <w:rFonts w:hint="default" w:ascii="Times New Roman" w:hAnsi="Times New Roman" w:eastAsia="宋体" w:cs="Times New Roman"/>
                      <w:b/>
                      <w:bCs/>
                      <w:color w:val="000000" w:themeColor="text1"/>
                      <w:sz w:val="21"/>
                      <w:szCs w:val="21"/>
                      <w:highlight w:val="none"/>
                      <w:vertAlign w:val="baseline"/>
                      <w14:textFill>
                        <w14:solidFill>
                          <w14:schemeClr w14:val="tx1"/>
                        </w14:solidFill>
                      </w14:textFill>
                    </w:rPr>
                  </w:pPr>
                </w:p>
              </w:tc>
              <w:tc>
                <w:tcPr>
                  <w:tcW w:w="755" w:type="pct"/>
                  <w:vMerge w:val="continue"/>
                  <w:noWrap w:val="0"/>
                  <w:vAlign w:val="center"/>
                </w:tcPr>
                <w:p w14:paraId="4BD4805D">
                  <w:pPr>
                    <w:spacing w:line="240" w:lineRule="auto"/>
                    <w:jc w:val="center"/>
                    <w:rPr>
                      <w:rFonts w:hint="default" w:ascii="Times New Roman" w:hAnsi="Times New Roman" w:eastAsia="宋体" w:cs="Times New Roman"/>
                      <w:b/>
                      <w:bCs/>
                      <w:color w:val="000000" w:themeColor="text1"/>
                      <w:sz w:val="21"/>
                      <w:szCs w:val="21"/>
                      <w:highlight w:val="none"/>
                      <w:vertAlign w:val="baseline"/>
                      <w14:textFill>
                        <w14:solidFill>
                          <w14:schemeClr w14:val="tx1"/>
                        </w14:solidFill>
                      </w14:textFill>
                    </w:rPr>
                  </w:pPr>
                </w:p>
              </w:tc>
              <w:tc>
                <w:tcPr>
                  <w:tcW w:w="1532" w:type="pct"/>
                  <w:noWrap w:val="0"/>
                  <w:vAlign w:val="center"/>
                </w:tcPr>
                <w:p w14:paraId="4D0B6417">
                  <w:pPr>
                    <w:spacing w:line="240" w:lineRule="auto"/>
                    <w:jc w:val="center"/>
                    <w:rPr>
                      <w:rFonts w:hint="default" w:ascii="Times New Roman" w:hAnsi="Times New Roman" w:eastAsia="宋体" w:cs="Times New Roman"/>
                      <w:b/>
                      <w:bCs/>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昼间</w:t>
                  </w:r>
                </w:p>
              </w:tc>
            </w:tr>
            <w:tr w14:paraId="5B2C3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5" w:type="pct"/>
                  <w:noWrap w:val="0"/>
                  <w:vAlign w:val="center"/>
                </w:tcPr>
                <w:p w14:paraId="6FC32599">
                  <w:pPr>
                    <w:spacing w:line="240" w:lineRule="auto"/>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东厂界</w:t>
                  </w:r>
                </w:p>
              </w:tc>
              <w:tc>
                <w:tcPr>
                  <w:tcW w:w="662" w:type="pct"/>
                  <w:noWrap w:val="0"/>
                  <w:vAlign w:val="center"/>
                </w:tcPr>
                <w:p w14:paraId="1A53C5B3">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53.77</w:t>
                  </w:r>
                </w:p>
              </w:tc>
              <w:tc>
                <w:tcPr>
                  <w:tcW w:w="662" w:type="pct"/>
                  <w:noWrap w:val="0"/>
                  <w:vAlign w:val="center"/>
                </w:tcPr>
                <w:p w14:paraId="2667B32F">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53.77</w:t>
                  </w:r>
                </w:p>
              </w:tc>
              <w:tc>
                <w:tcPr>
                  <w:tcW w:w="751" w:type="pct"/>
                  <w:vMerge w:val="restart"/>
                  <w:noWrap w:val="0"/>
                  <w:vAlign w:val="center"/>
                </w:tcPr>
                <w:p w14:paraId="5452196C">
                  <w:pPr>
                    <w:spacing w:line="240" w:lineRule="auto"/>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53.77</w:t>
                  </w:r>
                </w:p>
              </w:tc>
              <w:tc>
                <w:tcPr>
                  <w:tcW w:w="755" w:type="pct"/>
                  <w:vMerge w:val="restart"/>
                  <w:noWrap w:val="0"/>
                  <w:vAlign w:val="center"/>
                </w:tcPr>
                <w:p w14:paraId="6D4BFE7B">
                  <w:pPr>
                    <w:spacing w:line="240" w:lineRule="auto"/>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昼间：65</w:t>
                  </w:r>
                </w:p>
                <w:p w14:paraId="20F32A09">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夜间：55</w:t>
                  </w:r>
                </w:p>
              </w:tc>
              <w:tc>
                <w:tcPr>
                  <w:tcW w:w="1532" w:type="pct"/>
                  <w:noWrap w:val="0"/>
                  <w:vAlign w:val="center"/>
                </w:tcPr>
                <w:p w14:paraId="1A9660E8">
                  <w:pPr>
                    <w:spacing w:line="240" w:lineRule="auto"/>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达标</w:t>
                  </w:r>
                </w:p>
              </w:tc>
            </w:tr>
            <w:tr w14:paraId="33998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5" w:type="pct"/>
                  <w:noWrap w:val="0"/>
                  <w:vAlign w:val="center"/>
                </w:tcPr>
                <w:p w14:paraId="414B1A7A">
                  <w:pPr>
                    <w:spacing w:line="240" w:lineRule="auto"/>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南厂界</w:t>
                  </w:r>
                </w:p>
              </w:tc>
              <w:tc>
                <w:tcPr>
                  <w:tcW w:w="662" w:type="pct"/>
                  <w:noWrap w:val="0"/>
                  <w:vAlign w:val="center"/>
                </w:tcPr>
                <w:p w14:paraId="5D4C5C97">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52.12</w:t>
                  </w:r>
                </w:p>
              </w:tc>
              <w:tc>
                <w:tcPr>
                  <w:tcW w:w="1123" w:type="dxa"/>
                  <w:noWrap w:val="0"/>
                  <w:vAlign w:val="center"/>
                </w:tcPr>
                <w:p w14:paraId="2683B7A8">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52.12</w:t>
                  </w:r>
                </w:p>
              </w:tc>
              <w:tc>
                <w:tcPr>
                  <w:tcW w:w="751" w:type="pct"/>
                  <w:vMerge w:val="continue"/>
                  <w:noWrap w:val="0"/>
                  <w:vAlign w:val="center"/>
                </w:tcPr>
                <w:p w14:paraId="3C97F5F5">
                  <w:pPr>
                    <w:spacing w:line="240" w:lineRule="auto"/>
                    <w:jc w:val="center"/>
                    <w:rPr>
                      <w:rFonts w:hint="default" w:ascii="Times New Roman" w:hAnsi="Times New Roman" w:eastAsia="宋体" w:cs="Times New Roman"/>
                      <w:color w:val="000000" w:themeColor="text1"/>
                      <w:sz w:val="21"/>
                      <w:szCs w:val="21"/>
                      <w:highlight w:val="none"/>
                      <w:vertAlign w:val="baseline"/>
                      <w14:textFill>
                        <w14:solidFill>
                          <w14:schemeClr w14:val="tx1"/>
                        </w14:solidFill>
                      </w14:textFill>
                    </w:rPr>
                  </w:pPr>
                </w:p>
              </w:tc>
              <w:tc>
                <w:tcPr>
                  <w:tcW w:w="755" w:type="pct"/>
                  <w:vMerge w:val="continue"/>
                  <w:noWrap w:val="0"/>
                  <w:vAlign w:val="center"/>
                </w:tcPr>
                <w:p w14:paraId="13A5CB55">
                  <w:pPr>
                    <w:spacing w:line="240" w:lineRule="auto"/>
                    <w:jc w:val="center"/>
                    <w:rPr>
                      <w:rFonts w:hint="default" w:ascii="Times New Roman" w:hAnsi="Times New Roman" w:eastAsia="宋体" w:cs="Times New Roman"/>
                      <w:color w:val="000000" w:themeColor="text1"/>
                      <w:sz w:val="21"/>
                      <w:szCs w:val="21"/>
                      <w:highlight w:val="none"/>
                      <w:vertAlign w:val="baseline"/>
                      <w14:textFill>
                        <w14:solidFill>
                          <w14:schemeClr w14:val="tx1"/>
                        </w14:solidFill>
                      </w14:textFill>
                    </w:rPr>
                  </w:pPr>
                </w:p>
              </w:tc>
              <w:tc>
                <w:tcPr>
                  <w:tcW w:w="1532" w:type="pct"/>
                  <w:noWrap w:val="0"/>
                  <w:vAlign w:val="center"/>
                </w:tcPr>
                <w:p w14:paraId="0E42FB5C">
                  <w:pPr>
                    <w:spacing w:line="240" w:lineRule="auto"/>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达标</w:t>
                  </w:r>
                </w:p>
              </w:tc>
            </w:tr>
            <w:tr w14:paraId="3493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5" w:type="pct"/>
                  <w:noWrap w:val="0"/>
                  <w:vAlign w:val="center"/>
                </w:tcPr>
                <w:p w14:paraId="0D5EBAE5">
                  <w:pPr>
                    <w:spacing w:line="240" w:lineRule="auto"/>
                    <w:jc w:val="center"/>
                    <w:rPr>
                      <w:rFonts w:hint="default" w:ascii="Times New Roman" w:hAnsi="Times New Roman" w:eastAsia="宋体" w:cs="Times New Roman"/>
                      <w:color w:val="000000" w:themeColor="text1"/>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北厂界</w:t>
                  </w:r>
                </w:p>
              </w:tc>
              <w:tc>
                <w:tcPr>
                  <w:tcW w:w="662" w:type="pct"/>
                  <w:noWrap w:val="0"/>
                  <w:vAlign w:val="center"/>
                </w:tcPr>
                <w:p w14:paraId="4FF82401">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highlight w:val="none"/>
                      <w:vertAlign w:val="baseline"/>
                      <w:lang w:val="en-US" w:eastAsia="zh-CN" w:bidi="ar-SA"/>
                      <w14:textFill>
                        <w14:solidFill>
                          <w14:schemeClr w14:val="tx1"/>
                        </w14:solidFill>
                      </w14:textFill>
                    </w:rPr>
                  </w:pPr>
                  <w:r>
                    <w:rPr>
                      <w:rFonts w:hint="eastAsia" w:cs="Times New Roman"/>
                      <w:color w:val="000000" w:themeColor="text1"/>
                      <w:sz w:val="21"/>
                      <w:szCs w:val="21"/>
                      <w:highlight w:val="none"/>
                      <w:vertAlign w:val="baseline"/>
                      <w:lang w:val="en-US" w:eastAsia="zh-CN" w:bidi="ar-SA"/>
                      <w14:textFill>
                        <w14:solidFill>
                          <w14:schemeClr w14:val="tx1"/>
                        </w14:solidFill>
                      </w14:textFill>
                    </w:rPr>
                    <w:t>51.29</w:t>
                  </w:r>
                </w:p>
              </w:tc>
              <w:tc>
                <w:tcPr>
                  <w:tcW w:w="1123" w:type="dxa"/>
                  <w:noWrap w:val="0"/>
                  <w:vAlign w:val="center"/>
                </w:tcPr>
                <w:p w14:paraId="487D20E4">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highlight w:val="none"/>
                      <w:vertAlign w:val="baseline"/>
                      <w:lang w:val="en-US" w:eastAsia="zh-CN" w:bidi="ar-SA"/>
                      <w14:textFill>
                        <w14:solidFill>
                          <w14:schemeClr w14:val="tx1"/>
                        </w14:solidFill>
                      </w14:textFill>
                    </w:rPr>
                  </w:pPr>
                  <w:r>
                    <w:rPr>
                      <w:rFonts w:hint="eastAsia" w:cs="Times New Roman"/>
                      <w:color w:val="000000" w:themeColor="text1"/>
                      <w:sz w:val="21"/>
                      <w:szCs w:val="21"/>
                      <w:highlight w:val="none"/>
                      <w:vertAlign w:val="baseline"/>
                      <w:lang w:val="en-US" w:eastAsia="zh-CN" w:bidi="ar-SA"/>
                      <w14:textFill>
                        <w14:solidFill>
                          <w14:schemeClr w14:val="tx1"/>
                        </w14:solidFill>
                      </w14:textFill>
                    </w:rPr>
                    <w:t>51.29</w:t>
                  </w:r>
                </w:p>
              </w:tc>
              <w:tc>
                <w:tcPr>
                  <w:tcW w:w="751" w:type="pct"/>
                  <w:vMerge w:val="continue"/>
                  <w:noWrap w:val="0"/>
                  <w:vAlign w:val="center"/>
                </w:tcPr>
                <w:p w14:paraId="52442BF3">
                  <w:pPr>
                    <w:spacing w:line="240" w:lineRule="auto"/>
                    <w:jc w:val="center"/>
                    <w:rPr>
                      <w:rFonts w:hint="default" w:ascii="Times New Roman" w:hAnsi="Times New Roman" w:eastAsia="宋体" w:cs="Times New Roman"/>
                      <w:color w:val="000000" w:themeColor="text1"/>
                      <w:sz w:val="21"/>
                      <w:szCs w:val="21"/>
                      <w:highlight w:val="none"/>
                      <w:vertAlign w:val="baseline"/>
                      <w14:textFill>
                        <w14:solidFill>
                          <w14:schemeClr w14:val="tx1"/>
                        </w14:solidFill>
                      </w14:textFill>
                    </w:rPr>
                  </w:pPr>
                </w:p>
              </w:tc>
              <w:tc>
                <w:tcPr>
                  <w:tcW w:w="755" w:type="pct"/>
                  <w:vMerge w:val="continue"/>
                  <w:noWrap w:val="0"/>
                  <w:vAlign w:val="center"/>
                </w:tcPr>
                <w:p w14:paraId="1FEF3F4E">
                  <w:pPr>
                    <w:spacing w:line="240" w:lineRule="auto"/>
                    <w:jc w:val="center"/>
                    <w:rPr>
                      <w:rFonts w:hint="default" w:ascii="Times New Roman" w:hAnsi="Times New Roman" w:eastAsia="宋体" w:cs="Times New Roman"/>
                      <w:color w:val="000000" w:themeColor="text1"/>
                      <w:sz w:val="21"/>
                      <w:szCs w:val="21"/>
                      <w:highlight w:val="none"/>
                      <w:vertAlign w:val="baseline"/>
                      <w14:textFill>
                        <w14:solidFill>
                          <w14:schemeClr w14:val="tx1"/>
                        </w14:solidFill>
                      </w14:textFill>
                    </w:rPr>
                  </w:pPr>
                </w:p>
              </w:tc>
              <w:tc>
                <w:tcPr>
                  <w:tcW w:w="1532" w:type="pct"/>
                  <w:noWrap w:val="0"/>
                  <w:vAlign w:val="center"/>
                </w:tcPr>
                <w:p w14:paraId="53577674">
                  <w:pPr>
                    <w:spacing w:line="240" w:lineRule="auto"/>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达标</w:t>
                  </w:r>
                </w:p>
              </w:tc>
            </w:tr>
            <w:tr w14:paraId="199A9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5" w:type="pct"/>
                  <w:noWrap w:val="0"/>
                  <w:vAlign w:val="center"/>
                </w:tcPr>
                <w:p w14:paraId="55D51F51">
                  <w:pPr>
                    <w:spacing w:line="240" w:lineRule="auto"/>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西厂界</w:t>
                  </w:r>
                </w:p>
              </w:tc>
              <w:tc>
                <w:tcPr>
                  <w:tcW w:w="662" w:type="pct"/>
                  <w:noWrap w:val="0"/>
                  <w:vAlign w:val="center"/>
                </w:tcPr>
                <w:p w14:paraId="078FF91A">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51.10</w:t>
                  </w:r>
                </w:p>
              </w:tc>
              <w:tc>
                <w:tcPr>
                  <w:tcW w:w="1123" w:type="dxa"/>
                  <w:noWrap w:val="0"/>
                  <w:vAlign w:val="center"/>
                </w:tcPr>
                <w:p w14:paraId="0D48F59D">
                  <w:pPr>
                    <w:keepNext w:val="0"/>
                    <w:keepLines w:val="0"/>
                    <w:widowControl/>
                    <w:suppressLineNumbers w:val="0"/>
                    <w:spacing w:line="240" w:lineRule="auto"/>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51.10</w:t>
                  </w:r>
                </w:p>
              </w:tc>
              <w:tc>
                <w:tcPr>
                  <w:tcW w:w="751" w:type="pct"/>
                  <w:vMerge w:val="continue"/>
                  <w:noWrap w:val="0"/>
                  <w:vAlign w:val="center"/>
                </w:tcPr>
                <w:p w14:paraId="2B351209">
                  <w:pPr>
                    <w:spacing w:line="240" w:lineRule="auto"/>
                    <w:jc w:val="center"/>
                    <w:rPr>
                      <w:rFonts w:hint="default" w:ascii="Times New Roman" w:hAnsi="Times New Roman" w:eastAsia="宋体" w:cs="Times New Roman"/>
                      <w:color w:val="000000" w:themeColor="text1"/>
                      <w:sz w:val="21"/>
                      <w:szCs w:val="21"/>
                      <w:highlight w:val="none"/>
                      <w:vertAlign w:val="baseline"/>
                      <w14:textFill>
                        <w14:solidFill>
                          <w14:schemeClr w14:val="tx1"/>
                        </w14:solidFill>
                      </w14:textFill>
                    </w:rPr>
                  </w:pPr>
                </w:p>
              </w:tc>
              <w:tc>
                <w:tcPr>
                  <w:tcW w:w="755" w:type="pct"/>
                  <w:vMerge w:val="continue"/>
                  <w:noWrap w:val="0"/>
                  <w:vAlign w:val="center"/>
                </w:tcPr>
                <w:p w14:paraId="08434D22">
                  <w:pPr>
                    <w:spacing w:line="240" w:lineRule="auto"/>
                    <w:jc w:val="center"/>
                    <w:rPr>
                      <w:rFonts w:hint="default" w:ascii="Times New Roman" w:hAnsi="Times New Roman" w:eastAsia="宋体" w:cs="Times New Roman"/>
                      <w:color w:val="000000" w:themeColor="text1"/>
                      <w:sz w:val="21"/>
                      <w:szCs w:val="21"/>
                      <w:highlight w:val="none"/>
                      <w:vertAlign w:val="baseline"/>
                      <w:lang w:val="en-US"/>
                      <w14:textFill>
                        <w14:solidFill>
                          <w14:schemeClr w14:val="tx1"/>
                        </w14:solidFill>
                      </w14:textFill>
                    </w:rPr>
                  </w:pPr>
                </w:p>
              </w:tc>
              <w:tc>
                <w:tcPr>
                  <w:tcW w:w="1532" w:type="pct"/>
                  <w:noWrap w:val="0"/>
                  <w:vAlign w:val="center"/>
                </w:tcPr>
                <w:p w14:paraId="71C220E4">
                  <w:pPr>
                    <w:spacing w:line="240" w:lineRule="auto"/>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达标</w:t>
                  </w:r>
                </w:p>
              </w:tc>
            </w:tr>
          </w:tbl>
          <w:p w14:paraId="5D389F8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p w14:paraId="4287992D">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eastAsia="宋体" w:cs="Times New Roman"/>
                <w:color w:val="000000" w:themeColor="text1"/>
                <w:kern w:val="0"/>
                <w:sz w:val="24"/>
                <w:lang w:eastAsia="zh-CN"/>
                <w14:textFill>
                  <w14:solidFill>
                    <w14:schemeClr w14:val="tx1"/>
                  </w14:solidFill>
                </w14:textFill>
              </w:rPr>
            </w:pPr>
            <w:r>
              <w:rPr>
                <w:rFonts w:hint="eastAsia" w:ascii="Times New Roman" w:hAnsi="Times New Roman" w:eastAsia="宋体" w:cs="Times New Roman"/>
                <w:color w:val="000000" w:themeColor="text1"/>
                <w:kern w:val="0"/>
                <w:sz w:val="24"/>
                <w:lang w:eastAsia="zh-CN"/>
                <w14:textFill>
                  <w14:solidFill>
                    <w14:schemeClr w14:val="tx1"/>
                  </w14:solidFill>
                </w14:textFill>
              </w:rPr>
              <w:drawing>
                <wp:inline distT="0" distB="0" distL="114300" distR="114300">
                  <wp:extent cx="3848100" cy="3274695"/>
                  <wp:effectExtent l="0" t="0" r="0" b="1905"/>
                  <wp:docPr id="33" name="图片 33" descr="3a4ffb15aa6ecd515a30bd1df3d02c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3a4ffb15aa6ecd515a30bd1df3d02c56"/>
                          <pic:cNvPicPr>
                            <a:picLocks noChangeAspect="1"/>
                          </pic:cNvPicPr>
                        </pic:nvPicPr>
                        <pic:blipFill>
                          <a:blip r:embed="rId25"/>
                          <a:stretch>
                            <a:fillRect/>
                          </a:stretch>
                        </pic:blipFill>
                        <pic:spPr>
                          <a:xfrm>
                            <a:off x="0" y="0"/>
                            <a:ext cx="3848100" cy="3274695"/>
                          </a:xfrm>
                          <a:prstGeom prst="rect">
                            <a:avLst/>
                          </a:prstGeom>
                        </pic:spPr>
                      </pic:pic>
                    </a:graphicData>
                  </a:graphic>
                </wp:inline>
              </w:drawing>
            </w:r>
          </w:p>
          <w:p w14:paraId="1345181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kern w:val="0"/>
                <w:sz w:val="24"/>
                <w:highlight w:val="none"/>
                <w:lang w:val="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图</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4-</w:t>
            </w:r>
            <w:r>
              <w:rPr>
                <w:rFonts w:hint="eastAsia" w:cs="Times New Roman"/>
                <w:b/>
                <w:bCs/>
                <w:color w:val="000000" w:themeColor="text1"/>
                <w:sz w:val="21"/>
                <w:szCs w:val="21"/>
                <w:highlight w:val="none"/>
                <w:lang w:val="en-US" w:eastAsia="zh-CN"/>
                <w14:textFill>
                  <w14:solidFill>
                    <w14:schemeClr w14:val="tx1"/>
                  </w14:solidFill>
                </w14:textFill>
              </w:rPr>
              <w:t>3 噪声等值线图</w:t>
            </w:r>
          </w:p>
          <w:p w14:paraId="3973FFF8">
            <w:pPr>
              <w:autoSpaceDE w:val="0"/>
              <w:autoSpaceDN w:val="0"/>
              <w:adjustRightInd w:val="0"/>
              <w:snapToGrid w:val="0"/>
              <w:spacing w:line="360" w:lineRule="auto"/>
              <w:ind w:firstLine="480" w:firstLineChars="200"/>
              <w:jc w:val="both"/>
              <w:textAlignment w:val="baseline"/>
              <w:rPr>
                <w:rFonts w:hint="default" w:ascii="Times New Roman" w:hAnsi="Times New Roman" w:eastAsia="宋体" w:cs="Times New Roman"/>
                <w:b/>
                <w:bCs/>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kern w:val="0"/>
                <w:sz w:val="24"/>
                <w14:textFill>
                  <w14:solidFill>
                    <w14:schemeClr w14:val="tx1"/>
                  </w14:solidFill>
                </w14:textFill>
              </w:rPr>
              <w:t>由表4-</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17</w:t>
            </w:r>
            <w:r>
              <w:rPr>
                <w:rFonts w:hint="eastAsia" w:cs="Times New Roman"/>
                <w:color w:val="000000" w:themeColor="text1"/>
                <w:kern w:val="0"/>
                <w:sz w:val="24"/>
                <w:lang w:val="en-US" w:eastAsia="zh-CN"/>
                <w14:textFill>
                  <w14:solidFill>
                    <w14:schemeClr w14:val="tx1"/>
                  </w14:solidFill>
                </w14:textFill>
              </w:rPr>
              <w:t>与图4-3</w:t>
            </w:r>
            <w:r>
              <w:rPr>
                <w:rFonts w:hint="default" w:ascii="Times New Roman" w:hAnsi="Times New Roman" w:eastAsia="宋体" w:cs="Times New Roman"/>
                <w:color w:val="000000" w:themeColor="text1"/>
                <w:kern w:val="0"/>
                <w:sz w:val="24"/>
                <w14:textFill>
                  <w14:solidFill>
                    <w14:schemeClr w14:val="tx1"/>
                  </w14:solidFill>
                </w14:textFill>
              </w:rPr>
              <w:t>可以看出，项目运营期间所产生的噪声经厂房隔声和距离衰减后，项目区</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厂界四周噪声贡献值</w:t>
            </w:r>
            <w:r>
              <w:rPr>
                <w:rFonts w:hint="default" w:ascii="Times New Roman" w:hAnsi="Times New Roman" w:eastAsia="宋体" w:cs="Times New Roman"/>
                <w:color w:val="000000" w:themeColor="text1"/>
                <w:kern w:val="0"/>
                <w:sz w:val="24"/>
                <w14:textFill>
                  <w14:solidFill>
                    <w14:schemeClr w14:val="tx1"/>
                  </w14:solidFill>
                </w14:textFill>
              </w:rPr>
              <w:t>可满足《工业企业厂界环境噪声排放标准》</w:t>
            </w:r>
            <w:r>
              <w:rPr>
                <w:rFonts w:hint="eastAsia" w:ascii="Times New Roman" w:hAnsi="Times New Roman" w:eastAsia="宋体" w:cs="Times New Roman"/>
                <w:color w:val="000000" w:themeColor="text1"/>
                <w:kern w:val="0"/>
                <w:sz w:val="24"/>
                <w:lang w:eastAsia="zh-CN"/>
                <w14:textFill>
                  <w14:solidFill>
                    <w14:schemeClr w14:val="tx1"/>
                  </w14:solidFill>
                </w14:textFill>
              </w:rPr>
              <w:t>（</w:t>
            </w:r>
            <w:r>
              <w:rPr>
                <w:rFonts w:hint="default" w:ascii="Times New Roman" w:hAnsi="Times New Roman" w:eastAsia="宋体" w:cs="Times New Roman"/>
                <w:color w:val="000000" w:themeColor="text1"/>
                <w:kern w:val="0"/>
                <w:sz w:val="24"/>
                <w14:textFill>
                  <w14:solidFill>
                    <w14:schemeClr w14:val="tx1"/>
                  </w14:solidFill>
                </w14:textFill>
              </w:rPr>
              <w:t>GB12348-2008</w:t>
            </w:r>
            <w:r>
              <w:rPr>
                <w:rFonts w:hint="eastAsia" w:ascii="Times New Roman" w:hAnsi="Times New Roman" w:eastAsia="宋体" w:cs="Times New Roman"/>
                <w:color w:val="000000" w:themeColor="text1"/>
                <w:kern w:val="0"/>
                <w:sz w:val="24"/>
                <w:lang w:eastAsia="zh-CN"/>
                <w14:textFill>
                  <w14:solidFill>
                    <w14:schemeClr w14:val="tx1"/>
                  </w14:solidFill>
                </w14:textFill>
              </w:rPr>
              <w:t>）</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4"/>
                <w14:textFill>
                  <w14:solidFill>
                    <w14:schemeClr w14:val="tx1"/>
                  </w14:solidFill>
                </w14:textFill>
              </w:rPr>
              <w:t>类标准</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昼间限值</w:t>
            </w:r>
            <w:r>
              <w:rPr>
                <w:rFonts w:hint="default" w:ascii="Times New Roman" w:hAnsi="Times New Roman" w:eastAsia="宋体" w:cs="Times New Roman"/>
                <w:color w:val="000000" w:themeColor="text1"/>
                <w:kern w:val="0"/>
                <w:sz w:val="24"/>
                <w14:textFill>
                  <w14:solidFill>
                    <w14:schemeClr w14:val="tx1"/>
                  </w14:solidFill>
                </w14:textFill>
              </w:rPr>
              <w:t>要求。</w:t>
            </w:r>
          </w:p>
          <w:p w14:paraId="5439BE47">
            <w:pPr>
              <w:pageBreakBefore w:val="0"/>
              <w:wordWrap/>
              <w:topLinePunct w:val="0"/>
              <w:autoSpaceDE w:val="0"/>
              <w:autoSpaceDN w:val="0"/>
              <w:bidi w:val="0"/>
              <w:adjustRightInd w:val="0"/>
              <w:snapToGrid w:val="0"/>
              <w:spacing w:line="360" w:lineRule="auto"/>
              <w:ind w:firstLine="482" w:firstLineChars="200"/>
              <w:jc w:val="left"/>
              <w:textAlignment w:val="baseline"/>
              <w:rPr>
                <w:rFonts w:hint="default" w:ascii="Times New Roman" w:hAnsi="Times New Roman" w:cs="Times New Roman"/>
                <w:b/>
                <w:bCs/>
                <w:color w:val="000000" w:themeColor="text1"/>
                <w:kern w:val="0"/>
                <w:sz w:val="24"/>
                <w14:textFill>
                  <w14:solidFill>
                    <w14:schemeClr w14:val="tx1"/>
                  </w14:solidFill>
                </w14:textFill>
              </w:rPr>
            </w:pPr>
            <w:r>
              <w:rPr>
                <w:rFonts w:hint="eastAsia" w:cs="Times New Roman"/>
                <w:b/>
                <w:bCs/>
                <w:color w:val="000000" w:themeColor="text1"/>
                <w:kern w:val="0"/>
                <w:sz w:val="24"/>
                <w:lang w:val="en-US" w:eastAsia="zh-CN"/>
                <w14:textFill>
                  <w14:solidFill>
                    <w14:schemeClr w14:val="tx1"/>
                  </w14:solidFill>
                </w14:textFill>
              </w:rPr>
              <w:t>3</w:t>
            </w:r>
            <w:r>
              <w:rPr>
                <w:rFonts w:hint="default" w:ascii="Times New Roman" w:hAnsi="Times New Roman" w:cs="Times New Roman"/>
                <w:b/>
                <w:bCs/>
                <w:color w:val="000000" w:themeColor="text1"/>
                <w:kern w:val="0"/>
                <w:sz w:val="24"/>
                <w14:textFill>
                  <w14:solidFill>
                    <w14:schemeClr w14:val="tx1"/>
                  </w14:solidFill>
                </w14:textFill>
              </w:rPr>
              <w:t>、影响分析</w:t>
            </w:r>
          </w:p>
          <w:p w14:paraId="1E4EE872">
            <w:pPr>
              <w:pageBreakBefore w:val="0"/>
              <w:wordWrap/>
              <w:topLinePunct w:val="0"/>
              <w:autoSpaceDE w:val="0"/>
              <w:autoSpaceDN w:val="0"/>
              <w:bidi w:val="0"/>
              <w:adjustRightInd w:val="0"/>
              <w:snapToGrid w:val="0"/>
              <w:spacing w:line="360" w:lineRule="auto"/>
              <w:ind w:firstLine="480" w:firstLineChars="200"/>
              <w:jc w:val="left"/>
              <w:textAlignment w:val="baseline"/>
              <w:rPr>
                <w:rFonts w:hint="default" w:ascii="Times New Roman" w:hAnsi="Times New Roman" w:cs="Times New Roman"/>
                <w:b/>
                <w:bCs/>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根据前述的影响分析，项目运营时厂界噪声可做到达标排放，项目周边50m范围内无声环境敏感点</w:t>
            </w:r>
            <w:r>
              <w:rPr>
                <w:rFonts w:hint="default" w:ascii="Times New Roman" w:hAnsi="Times New Roman" w:cs="Times New Roman"/>
                <w:color w:val="000000" w:themeColor="text1"/>
                <w:kern w:val="1"/>
                <w:sz w:val="24"/>
                <w14:textFill>
                  <w14:solidFill>
                    <w14:schemeClr w14:val="tx1"/>
                  </w14:solidFill>
                </w14:textFill>
              </w:rPr>
              <w:t>，故本项目的噪声对周边声环境影响较小</w:t>
            </w:r>
            <w:r>
              <w:rPr>
                <w:rFonts w:hint="default" w:ascii="Times New Roman" w:hAnsi="Times New Roman" w:cs="Times New Roman"/>
                <w:bCs/>
                <w:color w:val="000000" w:themeColor="text1"/>
                <w:kern w:val="1"/>
                <w:sz w:val="24"/>
                <w14:textFill>
                  <w14:solidFill>
                    <w14:schemeClr w14:val="tx1"/>
                  </w14:solidFill>
                </w14:textFill>
              </w:rPr>
              <w:t>。</w:t>
            </w:r>
          </w:p>
          <w:p w14:paraId="0CA63C36">
            <w:pPr>
              <w:pageBreakBefore w:val="0"/>
              <w:wordWrap/>
              <w:topLinePunct w:val="0"/>
              <w:autoSpaceDE w:val="0"/>
              <w:autoSpaceDN w:val="0"/>
              <w:bidi w:val="0"/>
              <w:adjustRightInd w:val="0"/>
              <w:snapToGrid w:val="0"/>
              <w:spacing w:line="360" w:lineRule="auto"/>
              <w:ind w:firstLine="480" w:firstLineChars="200"/>
              <w:jc w:val="left"/>
              <w:textAlignment w:val="baseline"/>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为确保项目厂界噪声稳定达标，项目建设单位应采取以下噪声防治措施，尽可能减小噪声对环境的影响：</w:t>
            </w:r>
          </w:p>
          <w:p w14:paraId="38C69D9F">
            <w:pPr>
              <w:pStyle w:val="16"/>
              <w:pageBreakBefore w:val="0"/>
              <w:wordWrap/>
              <w:topLinePunct w:val="0"/>
              <w:bidi w:val="0"/>
              <w:adjustRightInd/>
              <w:spacing w:line="360" w:lineRule="auto"/>
              <w:ind w:firstLine="480" w:firstLineChars="20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为减小运营期噪声对周边环境的影响，环评提出如下措施：</w:t>
            </w:r>
          </w:p>
          <w:p w14:paraId="69DA7D21">
            <w:pPr>
              <w:pageBreakBefore w:val="0"/>
              <w:wordWrap/>
              <w:topLinePunct w:val="0"/>
              <w:bidi w:val="0"/>
              <w:adjustRightInd w:val="0"/>
              <w:snapToGrid w:val="0"/>
              <w:spacing w:line="360" w:lineRule="auto"/>
              <w:ind w:firstLine="472" w:firstLineChars="200"/>
              <w:textAlignment w:val="center"/>
              <w:rPr>
                <w:rFonts w:hint="eastAsia" w:ascii="Times New Roman" w:hAnsi="Times New Roman" w:eastAsia="宋体" w:cs="Times New Roman"/>
                <w:color w:val="000000" w:themeColor="text1"/>
                <w:spacing w:val="-2"/>
                <w:sz w:val="24"/>
                <w:lang w:eastAsia="zh-CN"/>
                <w14:textFill>
                  <w14:solidFill>
                    <w14:schemeClr w14:val="tx1"/>
                  </w14:solidFill>
                </w14:textFill>
              </w:rPr>
            </w:pPr>
            <w:r>
              <w:rPr>
                <w:rFonts w:hint="default" w:ascii="Times New Roman" w:hAnsi="Times New Roman" w:cs="Times New Roman"/>
                <w:color w:val="000000" w:themeColor="text1"/>
                <w:spacing w:val="-2"/>
                <w:sz w:val="24"/>
                <w14:textFill>
                  <w14:solidFill>
                    <w14:schemeClr w14:val="tx1"/>
                  </w14:solidFill>
                </w14:textFill>
              </w:rPr>
              <w:t>加强维护、定期检修，保持设备运行正常，避免因设备的非正常运转造成设备噪声增大</w:t>
            </w:r>
            <w:r>
              <w:rPr>
                <w:rFonts w:hint="eastAsia" w:cs="Times New Roman"/>
                <w:color w:val="000000" w:themeColor="text1"/>
                <w:spacing w:val="-2"/>
                <w:sz w:val="24"/>
                <w:lang w:eastAsia="zh-CN"/>
                <w14:textFill>
                  <w14:solidFill>
                    <w14:schemeClr w14:val="tx1"/>
                  </w14:solidFill>
                </w14:textFill>
              </w:rPr>
              <w:t>；</w:t>
            </w:r>
          </w:p>
          <w:p w14:paraId="30FDE550">
            <w:pPr>
              <w:pageBreakBefore w:val="0"/>
              <w:wordWrap/>
              <w:topLinePunct w:val="0"/>
              <w:bidi w:val="0"/>
              <w:adjustRightInd w:val="0"/>
              <w:snapToGrid w:val="0"/>
              <w:spacing w:line="360" w:lineRule="auto"/>
              <w:ind w:firstLine="480" w:firstLineChars="200"/>
              <w:rPr>
                <w:rFonts w:hint="default" w:ascii="Times New Roman" w:hAnsi="Times New Roman" w:cs="Times New Roman"/>
                <w:color w:val="000000" w:themeColor="text1"/>
                <w:kern w:val="0"/>
                <w:sz w:val="24"/>
                <w:lang w:val="zh-CN"/>
                <w14:textFill>
                  <w14:solidFill>
                    <w14:schemeClr w14:val="tx1"/>
                  </w14:solidFill>
                </w14:textFill>
              </w:rPr>
            </w:pPr>
            <w:r>
              <w:rPr>
                <w:rFonts w:hint="default" w:ascii="Times New Roman" w:hAnsi="Times New Roman" w:cs="Times New Roman"/>
                <w:color w:val="000000" w:themeColor="text1"/>
                <w:kern w:val="0"/>
                <w:sz w:val="24"/>
                <w:lang w:val="zh-CN"/>
                <w14:textFill>
                  <w14:solidFill>
                    <w14:schemeClr w14:val="tx1"/>
                  </w14:solidFill>
                </w14:textFill>
              </w:rPr>
              <w:t>项目噪声对声环境的贡献值较小，在实施环评提出的相关措施后，不会改变项目所在区域声环境功能，对周边环境影响较小。</w:t>
            </w:r>
          </w:p>
          <w:p w14:paraId="3F12BBB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4</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、监测要求</w:t>
            </w:r>
          </w:p>
          <w:p w14:paraId="3589A5BA">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w:t>
            </w:r>
            <w:r>
              <w:rPr>
                <w:color w:val="000000" w:themeColor="text1"/>
                <w:sz w:val="24"/>
                <w14:textFill>
                  <w14:solidFill>
                    <w14:schemeClr w14:val="tx1"/>
                  </w14:solidFill>
                </w14:textFill>
              </w:rPr>
              <w:t>环境保护</w:t>
            </w:r>
            <w:r>
              <w:rPr>
                <w:rFonts w:hint="eastAsia"/>
                <w:color w:val="000000" w:themeColor="text1"/>
                <w:sz w:val="24"/>
                <w14:textFill>
                  <w14:solidFill>
                    <w14:schemeClr w14:val="tx1"/>
                  </w14:solidFill>
                </w14:textFill>
              </w:rPr>
              <w:t>竣工验收监测计划如下：</w:t>
            </w:r>
          </w:p>
          <w:p w14:paraId="7528E3C6">
            <w:pPr>
              <w:adjustRightInd w:val="0"/>
              <w:snapToGrid w:val="0"/>
              <w:jc w:val="center"/>
              <w:rPr>
                <w:b/>
                <w:color w:val="000000" w:themeColor="text1"/>
                <w:szCs w:val="21"/>
                <w:highlight w:val="none"/>
                <w:lang w:bidi="ar"/>
                <w14:textFill>
                  <w14:solidFill>
                    <w14:schemeClr w14:val="tx1"/>
                  </w14:solidFill>
                </w14:textFill>
              </w:rPr>
            </w:pPr>
          </w:p>
          <w:p w14:paraId="15A1F419">
            <w:pPr>
              <w:adjustRightInd w:val="0"/>
              <w:snapToGrid w:val="0"/>
              <w:jc w:val="center"/>
              <w:rPr>
                <w:b/>
                <w:color w:val="000000" w:themeColor="text1"/>
                <w:szCs w:val="21"/>
                <w:highlight w:val="yellow"/>
                <w:lang w:bidi="ar"/>
                <w14:textFill>
                  <w14:solidFill>
                    <w14:schemeClr w14:val="tx1"/>
                  </w14:solidFill>
                </w14:textFill>
              </w:rPr>
            </w:pPr>
            <w:r>
              <w:rPr>
                <w:b/>
                <w:color w:val="000000" w:themeColor="text1"/>
                <w:szCs w:val="21"/>
                <w:highlight w:val="none"/>
                <w:lang w:bidi="ar"/>
                <w14:textFill>
                  <w14:solidFill>
                    <w14:schemeClr w14:val="tx1"/>
                  </w14:solidFill>
                </w14:textFill>
              </w:rPr>
              <w:t>表4-</w:t>
            </w:r>
            <w:r>
              <w:rPr>
                <w:rFonts w:hint="eastAsia"/>
                <w:b/>
                <w:color w:val="000000" w:themeColor="text1"/>
                <w:szCs w:val="21"/>
                <w:highlight w:val="none"/>
                <w:lang w:val="en-US" w:eastAsia="zh-CN" w:bidi="ar"/>
                <w14:textFill>
                  <w14:solidFill>
                    <w14:schemeClr w14:val="tx1"/>
                  </w14:solidFill>
                </w14:textFill>
              </w:rPr>
              <w:t>6</w:t>
            </w:r>
            <w:r>
              <w:rPr>
                <w:rFonts w:hint="eastAsia"/>
                <w:b/>
                <w:color w:val="000000" w:themeColor="text1"/>
                <w:szCs w:val="21"/>
                <w:highlight w:val="none"/>
                <w:lang w:bidi="ar"/>
                <w14:textFill>
                  <w14:solidFill>
                    <w14:schemeClr w14:val="tx1"/>
                  </w14:solidFill>
                </w14:textFill>
              </w:rPr>
              <w:t xml:space="preserve">    噪声监测要求一览表</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0"/>
              <w:gridCol w:w="2128"/>
              <w:gridCol w:w="3196"/>
            </w:tblGrid>
            <w:tr w14:paraId="0480F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858" w:type="pct"/>
                  <w:noWrap/>
                  <w:vAlign w:val="center"/>
                </w:tcPr>
                <w:p w14:paraId="54997B61">
                  <w:pPr>
                    <w:widowControl/>
                    <w:jc w:val="center"/>
                    <w:rPr>
                      <w:b/>
                      <w:color w:val="000000" w:themeColor="text1"/>
                      <w:kern w:val="0"/>
                      <w:szCs w:val="21"/>
                      <w14:textFill>
                        <w14:solidFill>
                          <w14:schemeClr w14:val="tx1"/>
                        </w14:solidFill>
                      </w14:textFill>
                    </w:rPr>
                  </w:pPr>
                  <w:r>
                    <w:rPr>
                      <w:rFonts w:hint="eastAsia"/>
                      <w:b/>
                      <w:color w:val="000000" w:themeColor="text1"/>
                      <w:kern w:val="0"/>
                      <w:szCs w:val="21"/>
                      <w14:textFill>
                        <w14:solidFill>
                          <w14:schemeClr w14:val="tx1"/>
                        </w14:solidFill>
                      </w14:textFill>
                    </w:rPr>
                    <w:t>监测点位</w:t>
                  </w:r>
                </w:p>
              </w:tc>
              <w:tc>
                <w:tcPr>
                  <w:tcW w:w="1255" w:type="pct"/>
                  <w:noWrap/>
                  <w:vAlign w:val="center"/>
                </w:tcPr>
                <w:p w14:paraId="388F8098">
                  <w:pPr>
                    <w:widowControl/>
                    <w:jc w:val="center"/>
                    <w:rPr>
                      <w:b/>
                      <w:color w:val="000000" w:themeColor="text1"/>
                      <w:kern w:val="0"/>
                      <w:szCs w:val="21"/>
                      <w14:textFill>
                        <w14:solidFill>
                          <w14:schemeClr w14:val="tx1"/>
                        </w14:solidFill>
                      </w14:textFill>
                    </w:rPr>
                  </w:pPr>
                  <w:r>
                    <w:rPr>
                      <w:rFonts w:hint="eastAsia"/>
                      <w:b/>
                      <w:color w:val="000000" w:themeColor="text1"/>
                      <w:kern w:val="0"/>
                      <w:szCs w:val="21"/>
                      <w14:textFill>
                        <w14:solidFill>
                          <w14:schemeClr w14:val="tx1"/>
                        </w14:solidFill>
                      </w14:textFill>
                    </w:rPr>
                    <w:t>监测因子</w:t>
                  </w:r>
                </w:p>
              </w:tc>
              <w:tc>
                <w:tcPr>
                  <w:tcW w:w="1885" w:type="pct"/>
                  <w:noWrap/>
                  <w:vAlign w:val="center"/>
                </w:tcPr>
                <w:p w14:paraId="080D2B79">
                  <w:pPr>
                    <w:widowControl/>
                    <w:jc w:val="center"/>
                    <w:rPr>
                      <w:b/>
                      <w:color w:val="000000" w:themeColor="text1"/>
                      <w:kern w:val="0"/>
                      <w:szCs w:val="21"/>
                      <w14:textFill>
                        <w14:solidFill>
                          <w14:schemeClr w14:val="tx1"/>
                        </w14:solidFill>
                      </w14:textFill>
                    </w:rPr>
                  </w:pPr>
                  <w:r>
                    <w:rPr>
                      <w:rFonts w:hint="eastAsia"/>
                      <w:b/>
                      <w:color w:val="000000" w:themeColor="text1"/>
                      <w:kern w:val="0"/>
                      <w:szCs w:val="21"/>
                      <w14:textFill>
                        <w14:solidFill>
                          <w14:schemeClr w14:val="tx1"/>
                        </w14:solidFill>
                      </w14:textFill>
                    </w:rPr>
                    <w:t>监测频次</w:t>
                  </w:r>
                </w:p>
              </w:tc>
            </w:tr>
            <w:tr w14:paraId="2ED8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858" w:type="pct"/>
                  <w:noWrap/>
                  <w:vAlign w:val="center"/>
                </w:tcPr>
                <w:p w14:paraId="2371DC61">
                  <w:pPr>
                    <w:widowControl/>
                    <w:jc w:val="center"/>
                    <w:rPr>
                      <w:color w:val="000000" w:themeColor="text1"/>
                      <w:szCs w:val="21"/>
                      <w14:textFill>
                        <w14:solidFill>
                          <w14:schemeClr w14:val="tx1"/>
                        </w14:solidFill>
                      </w14:textFill>
                    </w:rPr>
                  </w:pPr>
                  <w:r>
                    <w:rPr>
                      <w:rFonts w:hint="eastAsia" w:ascii="宋体" w:hAnsi="宋体"/>
                      <w:color w:val="000000" w:themeColor="text1"/>
                      <w:kern w:val="0"/>
                      <w14:textFill>
                        <w14:solidFill>
                          <w14:schemeClr w14:val="tx1"/>
                        </w14:solidFill>
                      </w14:textFill>
                    </w:rPr>
                    <w:t>东、南、西、北面厂界外</w:t>
                  </w:r>
                  <w:r>
                    <w:rPr>
                      <w:rFonts w:hint="eastAsia"/>
                      <w:color w:val="000000" w:themeColor="text1"/>
                      <w:kern w:val="0"/>
                      <w14:textFill>
                        <w14:solidFill>
                          <w14:schemeClr w14:val="tx1"/>
                        </w14:solidFill>
                      </w14:textFill>
                    </w:rPr>
                    <w:t>1</w:t>
                  </w:r>
                  <w:r>
                    <w:rPr>
                      <w:rFonts w:hint="eastAsia" w:ascii="宋体" w:hAnsi="宋体"/>
                      <w:color w:val="000000" w:themeColor="text1"/>
                      <w:kern w:val="0"/>
                      <w14:textFill>
                        <w14:solidFill>
                          <w14:schemeClr w14:val="tx1"/>
                        </w14:solidFill>
                      </w14:textFill>
                    </w:rPr>
                    <w:t>米处</w:t>
                  </w:r>
                </w:p>
              </w:tc>
              <w:tc>
                <w:tcPr>
                  <w:tcW w:w="1255" w:type="pct"/>
                  <w:noWrap/>
                  <w:vAlign w:val="center"/>
                </w:tcPr>
                <w:p w14:paraId="55100659">
                  <w:pPr>
                    <w:widowControl/>
                    <w:jc w:val="center"/>
                    <w:rPr>
                      <w:color w:val="000000" w:themeColor="text1"/>
                      <w:kern w:val="0"/>
                      <w:szCs w:val="21"/>
                      <w14:textFill>
                        <w14:solidFill>
                          <w14:schemeClr w14:val="tx1"/>
                        </w14:solidFill>
                      </w14:textFill>
                    </w:rPr>
                  </w:pPr>
                  <w:r>
                    <w:rPr>
                      <w:rFonts w:hint="eastAsia"/>
                      <w:color w:val="000000" w:themeColor="text1"/>
                      <w:szCs w:val="21"/>
                      <w14:textFill>
                        <w14:solidFill>
                          <w14:schemeClr w14:val="tx1"/>
                        </w14:solidFill>
                      </w14:textFill>
                    </w:rPr>
                    <w:t>等效连续A声级</w:t>
                  </w:r>
                </w:p>
              </w:tc>
              <w:tc>
                <w:tcPr>
                  <w:tcW w:w="1885" w:type="pct"/>
                  <w:noWrap/>
                  <w:vAlign w:val="center"/>
                </w:tcPr>
                <w:p w14:paraId="3FE16F57">
                  <w:pPr>
                    <w:widowControl/>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监测2天，每天昼夜各一次</w:t>
                  </w:r>
                </w:p>
              </w:tc>
            </w:tr>
          </w:tbl>
          <w:p w14:paraId="1D715634">
            <w:pPr>
              <w:pageBreakBefore w:val="0"/>
              <w:wordWrap/>
              <w:topLinePunct w:val="0"/>
              <w:bidi w:val="0"/>
              <w:adjustRightInd w:val="0"/>
              <w:snapToGrid w:val="0"/>
              <w:spacing w:line="360" w:lineRule="auto"/>
              <w:ind w:firstLine="482"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四、固体废物</w:t>
            </w:r>
          </w:p>
          <w:p w14:paraId="783855D1">
            <w:pPr>
              <w:pStyle w:val="26"/>
              <w:pageBreakBefore w:val="0"/>
              <w:wordWrap/>
              <w:topLinePunct w:val="0"/>
              <w:bidi w:val="0"/>
              <w:spacing w:before="0" w:beforeAutospacing="0" w:after="0" w:afterAutospacing="0" w:line="360" w:lineRule="auto"/>
              <w:ind w:firstLine="482" w:firstLineChars="200"/>
              <w:jc w:val="both"/>
              <w:rPr>
                <w:rFonts w:hint="default" w:ascii="Times New Roman" w:hAnsi="Times New Roman" w:cs="Times New Roman"/>
                <w:b/>
                <w:color w:val="000000" w:themeColor="text1"/>
                <w:szCs w:val="24"/>
                <w:lang w:eastAsia="zh-CN"/>
                <w14:textFill>
                  <w14:solidFill>
                    <w14:schemeClr w14:val="tx1"/>
                  </w14:solidFill>
                </w14:textFill>
              </w:rPr>
            </w:pPr>
            <w:r>
              <w:rPr>
                <w:rFonts w:hint="default" w:ascii="Times New Roman" w:hAnsi="Times New Roman" w:cs="Times New Roman"/>
                <w:b/>
                <w:color w:val="000000" w:themeColor="text1"/>
                <w:lang w:val="en-US" w:eastAsia="zh-CN"/>
                <w14:textFill>
                  <w14:solidFill>
                    <w14:schemeClr w14:val="tx1"/>
                  </w14:solidFill>
                </w14:textFill>
              </w:rPr>
              <w:t>（1）产生情况</w:t>
            </w:r>
          </w:p>
          <w:p w14:paraId="05FC9B9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项目运营过程中产生的固体废物分为一般固体废物（</w:t>
            </w:r>
            <w:r>
              <w:rPr>
                <w:rFonts w:hint="eastAsia" w:cs="Times New Roman"/>
                <w:color w:val="000000" w:themeColor="text1"/>
                <w:sz w:val="24"/>
                <w:szCs w:val="24"/>
                <w:lang w:val="en-US" w:eastAsia="zh-CN"/>
                <w14:textFill>
                  <w14:solidFill>
                    <w14:schemeClr w14:val="tx1"/>
                  </w14:solidFill>
                </w14:textFill>
              </w:rPr>
              <w:t>称量打磨废气收尘灰、车间沉降粉尘、边角料与不合格品、废包装袋）</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和危险废物（</w:t>
            </w:r>
            <w:r>
              <w:rPr>
                <w:rFonts w:hint="eastAsia" w:cs="Times New Roman"/>
                <w:color w:val="000000" w:themeColor="text1"/>
                <w:sz w:val="24"/>
                <w:szCs w:val="24"/>
                <w:lang w:val="en-US" w:eastAsia="zh-CN"/>
                <w14:textFill>
                  <w14:solidFill>
                    <w14:schemeClr w14:val="tx1"/>
                  </w14:solidFill>
                </w14:textFill>
              </w:rPr>
              <w:t>废润滑油、废液压油、废润滑油桶、废催化剂</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与</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生活垃圾。</w:t>
            </w:r>
          </w:p>
          <w:p w14:paraId="3CD01C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1）一般固体废物</w:t>
            </w:r>
          </w:p>
          <w:p w14:paraId="14E8B10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①称量打磨废气收尘灰</w:t>
            </w:r>
          </w:p>
          <w:p w14:paraId="0FFC5BE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称量打磨废气布袋除尘器处理后通过15m高排气筒（DA002）外排，收尘灰产生量为2.53t/a，该部分收集后外售综合利用。</w:t>
            </w:r>
          </w:p>
          <w:p w14:paraId="12F7DC4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②车间沉降粉尘</w:t>
            </w:r>
          </w:p>
          <w:p w14:paraId="25D753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称量打磨废气未收集量为0.45t/a。颗粒物大部分在车间内自然沉降，且项目生产车间均为封闭厂房，约有60%未收集到粉尘在车间内自然沉降，则车间沉降粉尘产生量为0.27t/a，该部分收集后委托环卫部门处置。</w:t>
            </w:r>
          </w:p>
          <w:p w14:paraId="0B4781E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③边角料与不合格品</w:t>
            </w:r>
          </w:p>
          <w:p w14:paraId="5588CAC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热压成型后素盘需要进行人工修边，去除多余的边角，根据业主提供资料，边角料的产生量约为产品的0.05%；人工检验过程中会分拣出少量的不合格有瑕疵产品；根据业主提供的资料，不合格品产生量约为产品的0.1%。综上，边角料与不合格品产生量为1.5t/a，该部分收集后外售综合利用。</w:t>
            </w:r>
          </w:p>
          <w:p w14:paraId="6E5C0A4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④废包装袋</w:t>
            </w:r>
          </w:p>
          <w:p w14:paraId="262D15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产品在拆包与包装过程中会产生废包装袋，根据业主提供资料，项目年产生废包装袋0.2t/a，</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统一收集后外售综合利用</w:t>
            </w:r>
            <w:r>
              <w:rPr>
                <w:rFonts w:hint="eastAsia" w:cs="Times New Roman"/>
                <w:color w:val="000000" w:themeColor="text1"/>
                <w:sz w:val="24"/>
                <w:szCs w:val="24"/>
                <w:lang w:val="en-US" w:eastAsia="zh-CN"/>
                <w14:textFill>
                  <w14:solidFill>
                    <w14:schemeClr w14:val="tx1"/>
                  </w14:solidFill>
                </w14:textFill>
              </w:rPr>
              <w:t>。</w:t>
            </w:r>
          </w:p>
          <w:p w14:paraId="51EDE41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2）危险废物</w:t>
            </w:r>
          </w:p>
          <w:p w14:paraId="25D0C09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①废润滑油</w:t>
            </w:r>
          </w:p>
          <w:p w14:paraId="76B4F1F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项目需定期对生产设备</w:t>
            </w:r>
            <w:r>
              <w:rPr>
                <w:rFonts w:hint="eastAsia" w:ascii="Times New Roman" w:hAnsi="Times New Roman" w:cs="Times New Roman"/>
                <w:color w:val="000000" w:themeColor="text1"/>
                <w:sz w:val="24"/>
                <w:szCs w:val="24"/>
                <w:lang w:val="en-US" w:eastAsia="zh-CN"/>
                <w14:textFill>
                  <w14:solidFill>
                    <w14:schemeClr w14:val="tx1"/>
                  </w14:solidFill>
                </w14:textFill>
              </w:rPr>
              <w:t>维护修理等过程需</w:t>
            </w:r>
            <w:r>
              <w:rPr>
                <w:rFonts w:hint="default" w:ascii="Times New Roman" w:hAnsi="Times New Roman" w:cs="Times New Roman"/>
                <w:color w:val="000000" w:themeColor="text1"/>
                <w:sz w:val="24"/>
                <w:szCs w:val="24"/>
                <w14:textFill>
                  <w14:solidFill>
                    <w14:schemeClr w14:val="tx1"/>
                  </w14:solidFill>
                </w14:textFill>
              </w:rPr>
              <w:t>添加润滑油，保持设备润滑，同时每年检修及保养一次，会产生一定的</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废润滑油</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，产生量为0.1t/a。</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根据《国家危险废物名录（202</w:t>
            </w:r>
            <w:r>
              <w:rPr>
                <w:rFonts w:hint="eastAsia" w:cs="Times New Roman"/>
                <w:color w:val="000000" w:themeColor="text1"/>
                <w:sz w:val="24"/>
                <w:szCs w:val="24"/>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年版）》的相关规定，废润滑油属于</w:t>
            </w:r>
            <w:r>
              <w:rPr>
                <w:rFonts w:hint="eastAsia"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HW08废矿物油与含矿物油废物</w:t>
            </w:r>
            <w:r>
              <w:rPr>
                <w:rFonts w:hint="eastAsia"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类别中的</w:t>
            </w:r>
            <w:r>
              <w:rPr>
                <w:rFonts w:hint="eastAsia" w:cs="Times New Roman"/>
                <w:color w:val="000000" w:themeColor="text1"/>
                <w:sz w:val="24"/>
                <w:szCs w:val="24"/>
                <w:lang w:val="en-US" w:eastAsia="zh-CN"/>
                <w14:textFill>
                  <w14:solidFill>
                    <w14:schemeClr w14:val="tx1"/>
                  </w14:solidFill>
                </w14:textFill>
              </w:rPr>
              <w:t>“车辆、轮船及其他机械维修过程中产生的废发动机油、制动器油、自动变速器油、出轮油等废润滑油</w:t>
            </w:r>
            <w:r>
              <w:rPr>
                <w:rFonts w:hint="default" w:ascii="Times New Roman" w:hAnsi="Times New Roman" w:cs="Times New Roman"/>
                <w:color w:val="000000" w:themeColor="text1"/>
                <w:sz w:val="24"/>
                <w:szCs w:val="24"/>
                <w:lang w:val="en-US" w:eastAsia="zh-CN"/>
                <w14:textFill>
                  <w14:solidFill>
                    <w14:schemeClr w14:val="tx1"/>
                  </w14:solidFill>
                </w14:textFill>
              </w:rPr>
              <w:t>（900-2</w:t>
            </w:r>
            <w:r>
              <w:rPr>
                <w:rFonts w:hint="eastAsia" w:cs="Times New Roman"/>
                <w:color w:val="000000" w:themeColor="text1"/>
                <w:sz w:val="24"/>
                <w:szCs w:val="24"/>
                <w:lang w:val="en-US" w:eastAsia="zh-CN"/>
                <w14:textFill>
                  <w14:solidFill>
                    <w14:schemeClr w14:val="tx1"/>
                  </w14:solidFill>
                </w14:textFill>
              </w:rPr>
              <w:t>14</w:t>
            </w:r>
            <w:r>
              <w:rPr>
                <w:rFonts w:hint="default" w:ascii="Times New Roman" w:hAnsi="Times New Roman" w:cs="Times New Roman"/>
                <w:color w:val="000000" w:themeColor="text1"/>
                <w:sz w:val="24"/>
                <w:szCs w:val="24"/>
                <w:lang w:val="en-US" w:eastAsia="zh-CN"/>
                <w14:textFill>
                  <w14:solidFill>
                    <w14:schemeClr w14:val="tx1"/>
                  </w14:solidFill>
                </w14:textFill>
              </w:rPr>
              <w:t>-08）</w:t>
            </w:r>
            <w:r>
              <w:rPr>
                <w:rFonts w:hint="eastAsia"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属于危险</w:t>
            </w:r>
            <w:r>
              <w:rPr>
                <w:rFonts w:hint="default" w:ascii="Times New Roman" w:hAnsi="Times New Roman" w:cs="Times New Roman"/>
                <w:color w:val="000000" w:themeColor="text1"/>
                <w:sz w:val="24"/>
                <w:szCs w:val="24"/>
                <w:lang w:val="en-US" w:eastAsia="zh-CN"/>
                <w14:textFill>
                  <w14:solidFill>
                    <w14:schemeClr w14:val="tx1"/>
                  </w14:solidFill>
                </w14:textFill>
              </w:rPr>
              <w:t>废物，</w:t>
            </w:r>
            <w:r>
              <w:rPr>
                <w:rFonts w:hint="eastAsia" w:ascii="Times New Roman" w:hAnsi="Times New Roman" w:cs="Times New Roman"/>
                <w:color w:val="000000" w:themeColor="text1"/>
                <w:sz w:val="24"/>
                <w:szCs w:val="24"/>
                <w:lang w:val="en-US" w:eastAsia="zh-CN"/>
                <w14:textFill>
                  <w14:solidFill>
                    <w14:schemeClr w14:val="tx1"/>
                  </w14:solidFill>
                </w14:textFill>
              </w:rPr>
              <w:t>本项目经收集后暂存于</w:t>
            </w:r>
            <w:r>
              <w:rPr>
                <w:rFonts w:hint="eastAsia" w:cs="Times New Roman"/>
                <w:color w:val="000000" w:themeColor="text1"/>
                <w:sz w:val="24"/>
                <w:szCs w:val="24"/>
                <w:lang w:val="en-US" w:eastAsia="zh-CN"/>
                <w14:textFill>
                  <w14:solidFill>
                    <w14:schemeClr w14:val="tx1"/>
                  </w14:solidFill>
                </w14:textFill>
              </w:rPr>
              <w:t>危险废物贮存间</w:t>
            </w:r>
            <w:r>
              <w:rPr>
                <w:rFonts w:hint="eastAsia" w:ascii="Times New Roman" w:hAnsi="Times New Roman" w:cs="Times New Roman"/>
                <w:color w:val="000000" w:themeColor="text1"/>
                <w:sz w:val="24"/>
                <w:szCs w:val="24"/>
                <w:lang w:val="en-US" w:eastAsia="zh-CN"/>
                <w14:textFill>
                  <w14:solidFill>
                    <w14:schemeClr w14:val="tx1"/>
                  </w14:solidFill>
                </w14:textFill>
              </w:rPr>
              <w:t>，定期</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委托有资质的单位</w:t>
            </w:r>
            <w:r>
              <w:rPr>
                <w:rFonts w:hint="default" w:ascii="Times New Roman" w:hAnsi="Times New Roman" w:cs="Times New Roman"/>
                <w:color w:val="000000" w:themeColor="text1"/>
                <w:sz w:val="24"/>
                <w:szCs w:val="24"/>
                <w:lang w:val="en-US" w:eastAsia="zh-CN"/>
                <w14:textFill>
                  <w14:solidFill>
                    <w14:schemeClr w14:val="tx1"/>
                  </w14:solidFill>
                </w14:textFill>
              </w:rPr>
              <w:t>定期</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清运处置</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p>
          <w:p w14:paraId="6054D1F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②</w:t>
            </w:r>
            <w:r>
              <w:rPr>
                <w:rFonts w:hint="eastAsia" w:cs="Times New Roman"/>
                <w:color w:val="000000" w:themeColor="text1"/>
                <w:sz w:val="24"/>
                <w:szCs w:val="24"/>
                <w:lang w:val="en-US" w:eastAsia="zh-CN"/>
                <w14:textFill>
                  <w14:solidFill>
                    <w14:schemeClr w14:val="tx1"/>
                  </w14:solidFill>
                </w14:textFill>
              </w:rPr>
              <w:t>废液压油</w:t>
            </w:r>
          </w:p>
          <w:p w14:paraId="4FCEAD2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项目成型机使用过程中会产生少量废液压油，产生量为0.25t/a。根据《国家危险废物名录》（2025年版），废液压油属于危险废物，废物类别为“HW08废矿物油与含矿物油废物”，废物代码为“900-218-08 液压设备维护、更换和拆解过程中产生的废液压油”，废液压油收集后分区暂存于危险废物暂存间，委托有资质单位处置。</w:t>
            </w:r>
          </w:p>
          <w:p w14:paraId="57D0903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③</w:t>
            </w:r>
            <w:r>
              <w:rPr>
                <w:rFonts w:hint="default" w:ascii="Times New Roman" w:hAnsi="Times New Roman" w:cs="Times New Roman"/>
                <w:color w:val="000000" w:themeColor="text1"/>
                <w:sz w:val="24"/>
                <w:szCs w:val="24"/>
                <w:lang w:val="en-US" w:eastAsia="zh-CN"/>
                <w14:textFill>
                  <w14:solidFill>
                    <w14:schemeClr w14:val="tx1"/>
                  </w14:solidFill>
                </w14:textFill>
              </w:rPr>
              <w:t>废油桶</w:t>
            </w:r>
          </w:p>
          <w:p w14:paraId="7EEC4A9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由于项目生产过程中涉及润滑油</w:t>
            </w:r>
            <w:r>
              <w:rPr>
                <w:rFonts w:hint="eastAsia" w:cs="Times New Roman"/>
                <w:color w:val="000000" w:themeColor="text1"/>
                <w:sz w:val="24"/>
                <w:szCs w:val="24"/>
                <w:lang w:val="en-US" w:eastAsia="zh-CN"/>
                <w14:textFill>
                  <w14:solidFill>
                    <w14:schemeClr w14:val="tx1"/>
                  </w14:solidFill>
                </w14:textFill>
              </w:rPr>
              <w:t>与液压油</w:t>
            </w:r>
            <w:r>
              <w:rPr>
                <w:rFonts w:hint="default" w:ascii="Times New Roman" w:hAnsi="Times New Roman" w:cs="Times New Roman"/>
                <w:color w:val="000000" w:themeColor="text1"/>
                <w:sz w:val="24"/>
                <w:szCs w:val="24"/>
                <w:lang w:val="en-US" w:eastAsia="zh-CN"/>
                <w14:textFill>
                  <w14:solidFill>
                    <w14:schemeClr w14:val="tx1"/>
                  </w14:solidFill>
                </w14:textFill>
              </w:rPr>
              <w:t>的使用，会产生废油桶，产生量为0.02t/a，根据《国家危险废物名录》（2025年版），废油桶属于危险废物，废物类别为“HW08废矿物油与含矿物油废物”，废物代码为“900-249-08 其他生产、销售、使用过程中产生的废矿物油及沾染矿物油的废弃包装物”，废润滑油桶收集后分区暂存于危险废物暂存间，委托有资质单位处置。</w:t>
            </w:r>
          </w:p>
          <w:p w14:paraId="2FE3AB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④废活性炭</w:t>
            </w:r>
          </w:p>
          <w:p w14:paraId="413116A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项目有机废气采用活性炭吸附/脱附+催化燃烧净化处理，吸附后的活性炭为危废，根据《国家危险废物名录》（2025版）的相关规定，废活性炭属于HW49其他废物中“烟气、VOCs治理过程（不包括餐饮行业油烟治理过程）产生的废活性炭，化学原料和化学制品脱色（不包括有机合成食品添加剂脱色）、除杂、净化过程产生的废活性炭，危废代码为900-039-49。根据</w:t>
            </w:r>
            <w:r>
              <w:rPr>
                <w:rFonts w:hint="eastAsia" w:cs="Times New Roman"/>
                <w:color w:val="000000" w:themeColor="text1"/>
                <w:sz w:val="24"/>
                <w:szCs w:val="24"/>
                <w:lang w:val="en-US" w:eastAsia="zh-CN"/>
                <w14:textFill>
                  <w14:solidFill>
                    <w14:schemeClr w14:val="tx1"/>
                  </w14:solidFill>
                </w14:textFill>
              </w:rPr>
              <w:t>废气设备厂商提供资料，该项目使用设备吸附箱容积为2m</w:t>
            </w:r>
            <w:r>
              <w:rPr>
                <w:rFonts w:hint="eastAsia" w:cs="Times New Roman"/>
                <w:color w:val="000000" w:themeColor="text1"/>
                <w:sz w:val="24"/>
                <w:szCs w:val="24"/>
                <w:vertAlign w:val="superscript"/>
                <w:lang w:val="en-US" w:eastAsia="zh-CN"/>
                <w14:textFill>
                  <w14:solidFill>
                    <w14:schemeClr w14:val="tx1"/>
                  </w14:solidFill>
                </w14:textFill>
              </w:rPr>
              <w:t>3</w:t>
            </w:r>
            <w:r>
              <w:rPr>
                <w:rFonts w:hint="eastAsia" w:cs="Times New Roman"/>
                <w:color w:val="000000" w:themeColor="text1"/>
                <w:sz w:val="24"/>
                <w:szCs w:val="24"/>
                <w:lang w:val="en-US" w:eastAsia="zh-CN"/>
                <w14:textFill>
                  <w14:solidFill>
                    <w14:schemeClr w14:val="tx1"/>
                  </w14:solidFill>
                </w14:textFill>
              </w:rPr>
              <w:t>，使用碘值800的煤质柱状活性炭装填密度为550kg/m</w:t>
            </w:r>
            <w:r>
              <w:rPr>
                <w:rFonts w:hint="eastAsia" w:cs="Times New Roman"/>
                <w:color w:val="000000" w:themeColor="text1"/>
                <w:sz w:val="24"/>
                <w:szCs w:val="24"/>
                <w:vertAlign w:val="superscript"/>
                <w:lang w:val="en-US" w:eastAsia="zh-CN"/>
                <w14:textFill>
                  <w14:solidFill>
                    <w14:schemeClr w14:val="tx1"/>
                  </w14:solidFill>
                </w14:textFill>
              </w:rPr>
              <w:t>3</w:t>
            </w:r>
            <w:r>
              <w:rPr>
                <w:rFonts w:hint="eastAsia" w:cs="Times New Roman"/>
                <w:color w:val="000000" w:themeColor="text1"/>
                <w:sz w:val="24"/>
                <w:szCs w:val="24"/>
                <w:lang w:val="en-US" w:eastAsia="zh-CN"/>
                <w14:textFill>
                  <w14:solidFill>
                    <w14:schemeClr w14:val="tx1"/>
                  </w14:solidFill>
                </w14:textFill>
              </w:rPr>
              <w:t>，则该项目使用活性炭量为1.1t/a。为保证吸附效率，活性炭约1年更换一次，更换下来废活性炭为危险废物，统一收集后进行委托有资质单位进行处置。</w:t>
            </w:r>
          </w:p>
          <w:p w14:paraId="08162C3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⑤废催化剂</w:t>
            </w:r>
          </w:p>
          <w:p w14:paraId="42E6C7E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项目有机废气采用活性炭吸附/脱附+催化燃烧净化处理，装置内装填催化剂在长期运行后会因老化、烧结等原因失活，需定期更换</w:t>
            </w:r>
            <w:r>
              <w:rPr>
                <w:rFonts w:hint="eastAsia" w:cs="Times New Roman"/>
                <w:color w:val="000000" w:themeColor="text1"/>
                <w:sz w:val="24"/>
                <w:szCs w:val="24"/>
                <w:lang w:val="en-US" w:eastAsia="zh-CN"/>
                <w14:textFill>
                  <w14:solidFill>
                    <w14:schemeClr w14:val="tx1"/>
                  </w14:solidFill>
                </w14:textFill>
              </w:rPr>
              <w:t>，更换周期为2年1次，催化剂主要成分为铂钯铑等贵金属，更换的废催化剂</w:t>
            </w:r>
            <w:r>
              <w:rPr>
                <w:rFonts w:hint="default" w:ascii="Times New Roman" w:hAnsi="Times New Roman" w:cs="Times New Roman"/>
                <w:color w:val="000000" w:themeColor="text1"/>
                <w:sz w:val="24"/>
                <w:szCs w:val="24"/>
                <w:lang w:val="en-US" w:eastAsia="zh-CN"/>
                <w14:textFill>
                  <w14:solidFill>
                    <w14:schemeClr w14:val="tx1"/>
                  </w14:solidFill>
                </w14:textFill>
              </w:rPr>
              <w:t>为危废</w:t>
            </w:r>
            <w:r>
              <w:rPr>
                <w:rFonts w:hint="eastAsia" w:cs="Times New Roman"/>
                <w:color w:val="000000" w:themeColor="text1"/>
                <w:sz w:val="24"/>
                <w:szCs w:val="24"/>
                <w:lang w:val="en-US" w:eastAsia="zh-CN"/>
                <w14:textFill>
                  <w14:solidFill>
                    <w14:schemeClr w14:val="tx1"/>
                  </w14:solidFill>
                </w14:textFill>
              </w:rPr>
              <w:t>。根据《国家危险废物名录》（2025版）的相关规定，废催化剂属于HW49其他废物中“含有或者沾染毒性、感染性危险废物的废弃的包装物、容器、过滤吸附介质”，危废代码为900-041-49。根据废气设备厂商提供资料，该项目使用设备催化箱容积为0.5m</w:t>
            </w:r>
            <w:r>
              <w:rPr>
                <w:rFonts w:hint="eastAsia" w:cs="Times New Roman"/>
                <w:color w:val="000000" w:themeColor="text1"/>
                <w:sz w:val="24"/>
                <w:szCs w:val="24"/>
                <w:vertAlign w:val="superscript"/>
                <w:lang w:val="en-US" w:eastAsia="zh-CN"/>
                <w14:textFill>
                  <w14:solidFill>
                    <w14:schemeClr w14:val="tx1"/>
                  </w14:solidFill>
                </w14:textFill>
              </w:rPr>
              <w:t>3</w:t>
            </w:r>
            <w:r>
              <w:rPr>
                <w:rFonts w:hint="eastAsia" w:cs="Times New Roman"/>
                <w:color w:val="000000" w:themeColor="text1"/>
                <w:sz w:val="24"/>
                <w:szCs w:val="24"/>
                <w:lang w:val="en-US" w:eastAsia="zh-CN"/>
                <w14:textFill>
                  <w14:solidFill>
                    <w14:schemeClr w14:val="tx1"/>
                  </w14:solidFill>
                </w14:textFill>
              </w:rPr>
              <w:t>，蜂窝陶瓷载体堆积密度为500kg/m</w:t>
            </w:r>
            <w:r>
              <w:rPr>
                <w:rFonts w:hint="eastAsia" w:cs="Times New Roman"/>
                <w:color w:val="000000" w:themeColor="text1"/>
                <w:sz w:val="24"/>
                <w:szCs w:val="24"/>
                <w:vertAlign w:val="superscript"/>
                <w:lang w:val="en-US" w:eastAsia="zh-CN"/>
                <w14:textFill>
                  <w14:solidFill>
                    <w14:schemeClr w14:val="tx1"/>
                  </w14:solidFill>
                </w14:textFill>
              </w:rPr>
              <w:t>3</w:t>
            </w:r>
            <w:r>
              <w:rPr>
                <w:rFonts w:hint="eastAsia" w:cs="Times New Roman"/>
                <w:color w:val="000000" w:themeColor="text1"/>
                <w:sz w:val="24"/>
                <w:szCs w:val="24"/>
                <w:lang w:val="en-US" w:eastAsia="zh-CN"/>
                <w14:textFill>
                  <w14:solidFill>
                    <w14:schemeClr w14:val="tx1"/>
                  </w14:solidFill>
                </w14:textFill>
              </w:rPr>
              <w:t>，则该项目使用催化剂量为0.25t，则每年更换的催化剂为0.125t/a。更换下来废催化剂为危险废物，统一收集后进行委托有资质单位进行处置。</w:t>
            </w:r>
          </w:p>
          <w:p w14:paraId="17BADF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建设单位应当建立活性炭</w:t>
            </w:r>
            <w:r>
              <w:rPr>
                <w:rFonts w:hint="eastAsia" w:cs="Times New Roman"/>
                <w:color w:val="000000" w:themeColor="text1"/>
                <w:sz w:val="24"/>
                <w:szCs w:val="24"/>
                <w:lang w:val="en-US" w:eastAsia="zh-CN"/>
                <w14:textFill>
                  <w14:solidFill>
                    <w14:schemeClr w14:val="tx1"/>
                  </w14:solidFill>
                </w14:textFill>
              </w:rPr>
              <w:t>与催化剂</w:t>
            </w:r>
            <w:r>
              <w:rPr>
                <w:rFonts w:hint="default" w:ascii="Times New Roman" w:hAnsi="Times New Roman" w:cs="Times New Roman"/>
                <w:color w:val="000000" w:themeColor="text1"/>
                <w:sz w:val="24"/>
                <w:szCs w:val="24"/>
                <w:lang w:val="en-US" w:eastAsia="zh-CN"/>
                <w14:textFill>
                  <w14:solidFill>
                    <w14:schemeClr w14:val="tx1"/>
                  </w14:solidFill>
                </w14:textFill>
              </w:rPr>
              <w:t>管理要求、更换情况、处置情况等台账备查。包括内部管理制度（管理组织架构、管理制度、公开制度、培训制度、档案管理制度），贮存环节记录表，更换情况记录表，废活性炭</w:t>
            </w:r>
            <w:r>
              <w:rPr>
                <w:rFonts w:hint="eastAsia" w:cs="Times New Roman"/>
                <w:color w:val="000000" w:themeColor="text1"/>
                <w:sz w:val="24"/>
                <w:szCs w:val="24"/>
                <w:lang w:val="en-US" w:eastAsia="zh-CN"/>
                <w14:textFill>
                  <w14:solidFill>
                    <w14:schemeClr w14:val="tx1"/>
                  </w14:solidFill>
                </w14:textFill>
              </w:rPr>
              <w:t>与废催化剂</w:t>
            </w:r>
            <w:r>
              <w:rPr>
                <w:rFonts w:hint="default" w:ascii="Times New Roman" w:hAnsi="Times New Roman" w:cs="Times New Roman"/>
                <w:color w:val="000000" w:themeColor="text1"/>
                <w:sz w:val="24"/>
                <w:szCs w:val="24"/>
                <w:lang w:val="en-US" w:eastAsia="zh-CN"/>
                <w14:textFill>
                  <w14:solidFill>
                    <w14:schemeClr w14:val="tx1"/>
                  </w14:solidFill>
                </w14:textFill>
              </w:rPr>
              <w:t>产生环节记录表，废活性炭与废催化剂处置情况记录表、月度活性炭与催化剂台账报表（含日期、置入量、置出量、操作人、备注情况）等。</w:t>
            </w:r>
          </w:p>
          <w:p w14:paraId="7A7FDC8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）生活垃圾</w:t>
            </w:r>
          </w:p>
          <w:p w14:paraId="6878636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项目员工总人数</w:t>
            </w:r>
            <w:r>
              <w:rPr>
                <w:rFonts w:hint="eastAsia" w:cs="Times New Roman"/>
                <w:color w:val="000000" w:themeColor="text1"/>
                <w:sz w:val="24"/>
                <w:szCs w:val="24"/>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人，</w:t>
            </w:r>
            <w:r>
              <w:rPr>
                <w:rFonts w:hint="eastAsia" w:cs="Times New Roman"/>
                <w:color w:val="000000" w:themeColor="text1"/>
                <w:sz w:val="24"/>
                <w:szCs w:val="24"/>
                <w:lang w:val="en-US" w:eastAsia="zh-CN"/>
                <w14:textFill>
                  <w14:solidFill>
                    <w14:schemeClr w14:val="tx1"/>
                  </w14:solidFill>
                </w14:textFill>
              </w:rPr>
              <w:t>均不</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在项目内</w:t>
            </w:r>
            <w:r>
              <w:rPr>
                <w:rFonts w:hint="default" w:ascii="Times New Roman" w:hAnsi="Times New Roman" w:cs="Times New Roman"/>
                <w:color w:val="000000" w:themeColor="text1"/>
                <w:sz w:val="24"/>
                <w:szCs w:val="24"/>
                <w:lang w:val="en-US" w:eastAsia="zh-CN"/>
                <w14:textFill>
                  <w14:solidFill>
                    <w14:schemeClr w14:val="tx1"/>
                  </w14:solidFill>
                </w14:textFill>
              </w:rPr>
              <w:t>住</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宿，垃圾产生量按</w:t>
            </w:r>
            <w:r>
              <w:rPr>
                <w:rFonts w:hint="eastAsia" w:cs="Times New Roman"/>
                <w:color w:val="000000" w:themeColor="text1"/>
                <w:sz w:val="24"/>
                <w:szCs w:val="24"/>
                <w:lang w:val="en-US" w:eastAsia="zh-CN"/>
                <w14:textFill>
                  <w14:solidFill>
                    <w14:schemeClr w14:val="tx1"/>
                  </w14:solidFill>
                </w14:textFill>
              </w:rPr>
              <w:t>0.5</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kg/人·d计，则员工生活垃圾产生量为</w:t>
            </w:r>
            <w:r>
              <w:rPr>
                <w:rFonts w:hint="eastAsia" w:cs="Times New Roman"/>
                <w:color w:val="000000" w:themeColor="text1"/>
                <w:sz w:val="24"/>
                <w:szCs w:val="24"/>
                <w:lang w:val="en-US" w:eastAsia="zh-CN"/>
                <w14:textFill>
                  <w14:solidFill>
                    <w14:schemeClr w14:val="tx1"/>
                  </w14:solidFill>
                </w14:textFill>
              </w:rPr>
              <w:t>0.005t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/d，</w:t>
            </w:r>
            <w:r>
              <w:rPr>
                <w:rFonts w:hint="eastAsia" w:cs="Times New Roman"/>
                <w:color w:val="000000" w:themeColor="text1"/>
                <w:sz w:val="24"/>
                <w:szCs w:val="24"/>
                <w:lang w:val="en-US" w:eastAsia="zh-CN"/>
                <w14:textFill>
                  <w14:solidFill>
                    <w14:schemeClr w14:val="tx1"/>
                  </w14:solidFill>
                </w14:textFill>
              </w:rPr>
              <w:t>1.3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t/a。经统一收集后委托环卫部门清运处置。</w:t>
            </w:r>
          </w:p>
          <w:p w14:paraId="2D7233AB">
            <w:pPr>
              <w:pageBreakBefore w:val="0"/>
              <w:wordWrap/>
              <w:topLinePunct w:val="0"/>
              <w:bidi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项目固体废弃物产生量详见</w:t>
            </w:r>
            <w:r>
              <w:rPr>
                <w:rFonts w:hint="default" w:ascii="Times New Roman" w:hAnsi="Times New Roman" w:cs="Times New Roman"/>
                <w:color w:val="000000" w:themeColor="text1"/>
                <w:sz w:val="24"/>
                <w14:textFill>
                  <w14:solidFill>
                    <w14:schemeClr w14:val="tx1"/>
                  </w14:solidFill>
                </w14:textFill>
              </w:rPr>
              <w:t>下表：</w:t>
            </w:r>
          </w:p>
          <w:p w14:paraId="1F1AF449">
            <w:pPr>
              <w:pageBreakBefore w:val="0"/>
              <w:wordWrap/>
              <w:topLinePunct w:val="0"/>
              <w:bidi w:val="0"/>
              <w:jc w:val="center"/>
              <w:rPr>
                <w:rFonts w:hint="default" w:ascii="Times New Roman" w:hAnsi="Times New Roman" w:eastAsia="宋体" w:cs="Times New Roman"/>
                <w:b/>
                <w:color w:val="000000" w:themeColor="text1"/>
                <w:kern w:val="0"/>
                <w:szCs w:val="21"/>
                <w:highlight w:val="none"/>
                <w:lang w:val="zh-CN"/>
                <w14:textFill>
                  <w14:solidFill>
                    <w14:schemeClr w14:val="tx1"/>
                  </w14:solidFill>
                </w14:textFill>
              </w:rPr>
            </w:pPr>
            <w:r>
              <w:rPr>
                <w:rFonts w:hint="default" w:ascii="Times New Roman" w:hAnsi="Times New Roman" w:eastAsia="宋体" w:cs="Times New Roman"/>
                <w:b/>
                <w:color w:val="000000" w:themeColor="text1"/>
                <w:kern w:val="0"/>
                <w:szCs w:val="21"/>
                <w:highlight w:val="none"/>
                <w:lang w:val="zh-CN"/>
                <w14:textFill>
                  <w14:solidFill>
                    <w14:schemeClr w14:val="tx1"/>
                  </w14:solidFill>
                </w14:textFill>
              </w:rPr>
              <w:t>表4-</w:t>
            </w:r>
            <w:r>
              <w:rPr>
                <w:rFonts w:hint="eastAsia" w:ascii="Times New Roman" w:hAnsi="Times New Roman" w:cs="Times New Roman"/>
                <w:b/>
                <w:color w:val="000000" w:themeColor="text1"/>
                <w:kern w:val="0"/>
                <w:szCs w:val="21"/>
                <w:highlight w:val="none"/>
                <w:lang w:val="en-US" w:eastAsia="zh-CN"/>
                <w14:textFill>
                  <w14:solidFill>
                    <w14:schemeClr w14:val="tx1"/>
                  </w14:solidFill>
                </w14:textFill>
              </w:rPr>
              <w:t>7</w:t>
            </w:r>
            <w:r>
              <w:rPr>
                <w:rFonts w:hint="default" w:ascii="Times New Roman" w:hAnsi="Times New Roman" w:eastAsia="宋体" w:cs="Times New Roman"/>
                <w:b/>
                <w:color w:val="000000" w:themeColor="text1"/>
                <w:kern w:val="0"/>
                <w:szCs w:val="21"/>
                <w:highlight w:val="none"/>
                <w:lang w:val="zh-CN"/>
                <w14:textFill>
                  <w14:solidFill>
                    <w14:schemeClr w14:val="tx1"/>
                  </w14:solidFill>
                </w14:textFill>
              </w:rPr>
              <w:t xml:space="preserve">  固废产生情况</w:t>
            </w:r>
          </w:p>
          <w:tbl>
            <w:tblPr>
              <w:tblStyle w:val="32"/>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77"/>
              <w:gridCol w:w="814"/>
              <w:gridCol w:w="568"/>
              <w:gridCol w:w="739"/>
              <w:gridCol w:w="569"/>
              <w:gridCol w:w="620"/>
              <w:gridCol w:w="1158"/>
              <w:gridCol w:w="535"/>
              <w:gridCol w:w="986"/>
              <w:gridCol w:w="1224"/>
              <w:gridCol w:w="673"/>
            </w:tblGrid>
            <w:tr w14:paraId="0F935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40" w:type="pct"/>
                  <w:noWrap w:val="0"/>
                  <w:vAlign w:val="center"/>
                </w:tcPr>
                <w:p w14:paraId="5B6F7A2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产生环节</w:t>
                  </w:r>
                </w:p>
              </w:tc>
              <w:tc>
                <w:tcPr>
                  <w:tcW w:w="480" w:type="pct"/>
                  <w:noWrap w:val="0"/>
                  <w:vAlign w:val="center"/>
                </w:tcPr>
                <w:p w14:paraId="211CC7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名称</w:t>
                  </w:r>
                </w:p>
              </w:tc>
              <w:tc>
                <w:tcPr>
                  <w:tcW w:w="335" w:type="pct"/>
                  <w:noWrap w:val="0"/>
                  <w:vAlign w:val="center"/>
                </w:tcPr>
                <w:p w14:paraId="1EDC9F0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属性</w:t>
                  </w:r>
                </w:p>
              </w:tc>
              <w:tc>
                <w:tcPr>
                  <w:tcW w:w="436" w:type="pct"/>
                  <w:noWrap w:val="0"/>
                  <w:vAlign w:val="center"/>
                </w:tcPr>
                <w:p w14:paraId="4D0A34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b/>
                      <w:bCs/>
                      <w:i w:val="0"/>
                      <w:iCs w:val="0"/>
                      <w:color w:val="000000" w:themeColor="text1"/>
                      <w:kern w:val="0"/>
                      <w:sz w:val="21"/>
                      <w:szCs w:val="21"/>
                      <w:u w:val="none"/>
                      <w:lang w:val="en-US" w:eastAsia="zh-CN" w:bidi="ar"/>
                      <w14:textFill>
                        <w14:solidFill>
                          <w14:schemeClr w14:val="tx1"/>
                        </w14:solidFill>
                      </w14:textFill>
                    </w:rPr>
                    <w:t>固废代码</w:t>
                  </w:r>
                </w:p>
              </w:tc>
              <w:tc>
                <w:tcPr>
                  <w:tcW w:w="336" w:type="pct"/>
                  <w:noWrap w:val="0"/>
                  <w:vAlign w:val="center"/>
                </w:tcPr>
                <w:p w14:paraId="069463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物理性状</w:t>
                  </w:r>
                </w:p>
              </w:tc>
              <w:tc>
                <w:tcPr>
                  <w:tcW w:w="366" w:type="pct"/>
                  <w:noWrap w:val="0"/>
                  <w:vAlign w:val="center"/>
                </w:tcPr>
                <w:p w14:paraId="41E6271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环境危险特性</w:t>
                  </w:r>
                </w:p>
              </w:tc>
              <w:tc>
                <w:tcPr>
                  <w:tcW w:w="684" w:type="pct"/>
                  <w:noWrap w:val="0"/>
                  <w:vAlign w:val="center"/>
                </w:tcPr>
                <w:p w14:paraId="1974400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年度产生量（t/a）</w:t>
                  </w:r>
                </w:p>
              </w:tc>
              <w:tc>
                <w:tcPr>
                  <w:tcW w:w="316" w:type="pct"/>
                  <w:noWrap w:val="0"/>
                  <w:vAlign w:val="center"/>
                </w:tcPr>
                <w:p w14:paraId="0A79AB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贮存方式</w:t>
                  </w:r>
                </w:p>
              </w:tc>
              <w:tc>
                <w:tcPr>
                  <w:tcW w:w="582" w:type="pct"/>
                  <w:noWrap w:val="0"/>
                  <w:vAlign w:val="center"/>
                </w:tcPr>
                <w:p w14:paraId="1B5EA4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利用处置方式和去向</w:t>
                  </w:r>
                </w:p>
              </w:tc>
              <w:tc>
                <w:tcPr>
                  <w:tcW w:w="723" w:type="pct"/>
                  <w:noWrap w:val="0"/>
                  <w:vAlign w:val="center"/>
                </w:tcPr>
                <w:p w14:paraId="5CB9BF0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利用或处置量（t/a）</w:t>
                  </w:r>
                </w:p>
              </w:tc>
              <w:tc>
                <w:tcPr>
                  <w:tcW w:w="397" w:type="pct"/>
                  <w:noWrap w:val="0"/>
                  <w:vAlign w:val="center"/>
                </w:tcPr>
                <w:p w14:paraId="2723C8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环境管理要求</w:t>
                  </w:r>
                </w:p>
              </w:tc>
            </w:tr>
            <w:tr w14:paraId="60376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40" w:type="pct"/>
                  <w:noWrap w:val="0"/>
                  <w:vAlign w:val="center"/>
                </w:tcPr>
                <w:p w14:paraId="05AEE0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员工生活</w:t>
                  </w:r>
                </w:p>
              </w:tc>
              <w:tc>
                <w:tcPr>
                  <w:tcW w:w="480" w:type="pct"/>
                  <w:noWrap w:val="0"/>
                  <w:vAlign w:val="center"/>
                </w:tcPr>
                <w:p w14:paraId="087922E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生活垃圾</w:t>
                  </w:r>
                </w:p>
              </w:tc>
              <w:tc>
                <w:tcPr>
                  <w:tcW w:w="335" w:type="pct"/>
                  <w:noWrap w:val="0"/>
                  <w:vAlign w:val="center"/>
                </w:tcPr>
                <w:p w14:paraId="4D963D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生活垃圾</w:t>
                  </w:r>
                </w:p>
              </w:tc>
              <w:tc>
                <w:tcPr>
                  <w:tcW w:w="436" w:type="pct"/>
                  <w:noWrap w:val="0"/>
                  <w:vAlign w:val="center"/>
                </w:tcPr>
                <w:p w14:paraId="06B22A8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900-099-S64</w:t>
                  </w:r>
                </w:p>
              </w:tc>
              <w:tc>
                <w:tcPr>
                  <w:tcW w:w="336" w:type="pct"/>
                  <w:noWrap w:val="0"/>
                  <w:vAlign w:val="center"/>
                </w:tcPr>
                <w:p w14:paraId="6FAA69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固态</w:t>
                  </w:r>
                </w:p>
              </w:tc>
              <w:tc>
                <w:tcPr>
                  <w:tcW w:w="366" w:type="pct"/>
                  <w:noWrap w:val="0"/>
                  <w:vAlign w:val="center"/>
                </w:tcPr>
                <w:p w14:paraId="6B80A3C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684" w:type="pct"/>
                  <w:noWrap w:val="0"/>
                  <w:vAlign w:val="center"/>
                </w:tcPr>
                <w:p w14:paraId="3B888C7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1.30</w:t>
                  </w:r>
                </w:p>
              </w:tc>
              <w:tc>
                <w:tcPr>
                  <w:tcW w:w="316" w:type="pct"/>
                  <w:noWrap w:val="0"/>
                  <w:vAlign w:val="center"/>
                </w:tcPr>
                <w:p w14:paraId="541C838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垃圾桶</w:t>
                  </w:r>
                </w:p>
              </w:tc>
              <w:tc>
                <w:tcPr>
                  <w:tcW w:w="582" w:type="pct"/>
                  <w:noWrap w:val="0"/>
                  <w:vAlign w:val="center"/>
                </w:tcPr>
                <w:p w14:paraId="50013D5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环卫部门清运</w:t>
                  </w:r>
                </w:p>
              </w:tc>
              <w:tc>
                <w:tcPr>
                  <w:tcW w:w="723" w:type="pct"/>
                  <w:noWrap w:val="0"/>
                  <w:vAlign w:val="center"/>
                </w:tcPr>
                <w:p w14:paraId="54664DC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1.30</w:t>
                  </w:r>
                </w:p>
              </w:tc>
              <w:tc>
                <w:tcPr>
                  <w:tcW w:w="397" w:type="pct"/>
                  <w:noWrap w:val="0"/>
                  <w:vAlign w:val="center"/>
                </w:tcPr>
                <w:p w14:paraId="42FE9D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100%处置</w:t>
                  </w:r>
                </w:p>
              </w:tc>
            </w:tr>
            <w:tr w14:paraId="146DD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40" w:type="pct"/>
                  <w:vMerge w:val="restart"/>
                  <w:noWrap w:val="0"/>
                  <w:vAlign w:val="center"/>
                </w:tcPr>
                <w:p w14:paraId="354333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称量打磨</w:t>
                  </w:r>
                </w:p>
              </w:tc>
              <w:tc>
                <w:tcPr>
                  <w:tcW w:w="480" w:type="pct"/>
                  <w:noWrap w:val="0"/>
                  <w:vAlign w:val="center"/>
                </w:tcPr>
                <w:p w14:paraId="2C1B33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称量打磨废气收尘灰</w:t>
                  </w:r>
                </w:p>
              </w:tc>
              <w:tc>
                <w:tcPr>
                  <w:tcW w:w="335" w:type="pct"/>
                  <w:vMerge w:val="restart"/>
                  <w:noWrap w:val="0"/>
                  <w:vAlign w:val="center"/>
                </w:tcPr>
                <w:p w14:paraId="260135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一般工业固废</w:t>
                  </w:r>
                </w:p>
              </w:tc>
              <w:tc>
                <w:tcPr>
                  <w:tcW w:w="436" w:type="pct"/>
                  <w:noWrap w:val="0"/>
                  <w:vAlign w:val="center"/>
                </w:tcPr>
                <w:p w14:paraId="7DEE73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900-099-S59</w:t>
                  </w:r>
                </w:p>
              </w:tc>
              <w:tc>
                <w:tcPr>
                  <w:tcW w:w="336" w:type="pct"/>
                  <w:noWrap w:val="0"/>
                  <w:vAlign w:val="center"/>
                </w:tcPr>
                <w:p w14:paraId="5AC579E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固态</w:t>
                  </w:r>
                </w:p>
              </w:tc>
              <w:tc>
                <w:tcPr>
                  <w:tcW w:w="366" w:type="pct"/>
                  <w:noWrap w:val="0"/>
                  <w:vAlign w:val="center"/>
                </w:tcPr>
                <w:p w14:paraId="53121C6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684" w:type="pct"/>
                  <w:noWrap w:val="0"/>
                  <w:vAlign w:val="center"/>
                </w:tcPr>
                <w:p w14:paraId="1FAA58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2.53</w:t>
                  </w:r>
                </w:p>
              </w:tc>
              <w:tc>
                <w:tcPr>
                  <w:tcW w:w="316" w:type="pct"/>
                  <w:vMerge w:val="restart"/>
                  <w:noWrap w:val="0"/>
                  <w:vAlign w:val="center"/>
                </w:tcPr>
                <w:p w14:paraId="691C59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一般固废</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暂存点</w:t>
                  </w:r>
                </w:p>
              </w:tc>
              <w:tc>
                <w:tcPr>
                  <w:tcW w:w="582" w:type="pct"/>
                  <w:noWrap w:val="0"/>
                  <w:vAlign w:val="center"/>
                </w:tcPr>
                <w:p w14:paraId="10B9BA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收集后外售综合利用</w:t>
                  </w:r>
                </w:p>
              </w:tc>
              <w:tc>
                <w:tcPr>
                  <w:tcW w:w="723" w:type="pct"/>
                  <w:noWrap w:val="0"/>
                  <w:vAlign w:val="center"/>
                </w:tcPr>
                <w:p w14:paraId="446029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2.53</w:t>
                  </w:r>
                </w:p>
              </w:tc>
              <w:tc>
                <w:tcPr>
                  <w:tcW w:w="397" w:type="pct"/>
                  <w:noWrap w:val="0"/>
                  <w:vAlign w:val="center"/>
                </w:tcPr>
                <w:p w14:paraId="0A15B6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100%处置</w:t>
                  </w:r>
                </w:p>
              </w:tc>
            </w:tr>
            <w:tr w14:paraId="4C483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40" w:type="pct"/>
                  <w:vMerge w:val="continue"/>
                  <w:noWrap w:val="0"/>
                  <w:vAlign w:val="center"/>
                </w:tcPr>
                <w:p w14:paraId="722FCD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480" w:type="pct"/>
                  <w:noWrap w:val="0"/>
                  <w:vAlign w:val="center"/>
                </w:tcPr>
                <w:p w14:paraId="1C9D26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车间沉降粉尘</w:t>
                  </w:r>
                </w:p>
              </w:tc>
              <w:tc>
                <w:tcPr>
                  <w:tcW w:w="335" w:type="pct"/>
                  <w:vMerge w:val="continue"/>
                  <w:noWrap w:val="0"/>
                  <w:vAlign w:val="center"/>
                </w:tcPr>
                <w:p w14:paraId="495790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436" w:type="pct"/>
                  <w:noWrap w:val="0"/>
                  <w:vAlign w:val="center"/>
                </w:tcPr>
                <w:p w14:paraId="38978B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900-099-S59</w:t>
                  </w:r>
                </w:p>
              </w:tc>
              <w:tc>
                <w:tcPr>
                  <w:tcW w:w="336" w:type="pct"/>
                  <w:noWrap w:val="0"/>
                  <w:vAlign w:val="center"/>
                </w:tcPr>
                <w:p w14:paraId="442CD90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固态</w:t>
                  </w:r>
                </w:p>
              </w:tc>
              <w:tc>
                <w:tcPr>
                  <w:tcW w:w="366" w:type="pct"/>
                  <w:noWrap w:val="0"/>
                  <w:vAlign w:val="center"/>
                </w:tcPr>
                <w:p w14:paraId="3464441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684" w:type="pct"/>
                  <w:noWrap w:val="0"/>
                  <w:vAlign w:val="center"/>
                </w:tcPr>
                <w:p w14:paraId="2B04F6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0.27</w:t>
                  </w:r>
                </w:p>
              </w:tc>
              <w:tc>
                <w:tcPr>
                  <w:tcW w:w="316" w:type="pct"/>
                  <w:vMerge w:val="continue"/>
                  <w:noWrap w:val="0"/>
                  <w:vAlign w:val="center"/>
                </w:tcPr>
                <w:p w14:paraId="511816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582" w:type="pct"/>
                  <w:noWrap w:val="0"/>
                  <w:vAlign w:val="center"/>
                </w:tcPr>
                <w:p w14:paraId="6E8D380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收集后委托环卫部门处置</w:t>
                  </w:r>
                </w:p>
              </w:tc>
              <w:tc>
                <w:tcPr>
                  <w:tcW w:w="723" w:type="pct"/>
                  <w:noWrap w:val="0"/>
                  <w:vAlign w:val="center"/>
                </w:tcPr>
                <w:p w14:paraId="55EABD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0.27</w:t>
                  </w:r>
                </w:p>
              </w:tc>
              <w:tc>
                <w:tcPr>
                  <w:tcW w:w="397" w:type="pct"/>
                  <w:noWrap w:val="0"/>
                  <w:vAlign w:val="center"/>
                </w:tcPr>
                <w:p w14:paraId="33DFFBE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100%处置</w:t>
                  </w:r>
                </w:p>
              </w:tc>
            </w:tr>
            <w:tr w14:paraId="43CA7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40" w:type="pct"/>
                  <w:noWrap w:val="0"/>
                  <w:vAlign w:val="center"/>
                </w:tcPr>
                <w:p w14:paraId="6B43DF7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修边</w:t>
                  </w:r>
                </w:p>
              </w:tc>
              <w:tc>
                <w:tcPr>
                  <w:tcW w:w="480" w:type="pct"/>
                  <w:noWrap w:val="0"/>
                  <w:vAlign w:val="center"/>
                </w:tcPr>
                <w:p w14:paraId="6B66862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边角料与不合格品</w:t>
                  </w:r>
                </w:p>
              </w:tc>
              <w:tc>
                <w:tcPr>
                  <w:tcW w:w="335" w:type="pct"/>
                  <w:vMerge w:val="continue"/>
                  <w:noWrap w:val="0"/>
                  <w:vAlign w:val="center"/>
                </w:tcPr>
                <w:p w14:paraId="189B118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436" w:type="pct"/>
                  <w:noWrap w:val="0"/>
                  <w:vAlign w:val="center"/>
                </w:tcPr>
                <w:p w14:paraId="058A80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900-099-S59</w:t>
                  </w:r>
                </w:p>
              </w:tc>
              <w:tc>
                <w:tcPr>
                  <w:tcW w:w="336" w:type="pct"/>
                  <w:noWrap w:val="0"/>
                  <w:vAlign w:val="center"/>
                </w:tcPr>
                <w:p w14:paraId="7955B6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固态</w:t>
                  </w:r>
                </w:p>
              </w:tc>
              <w:tc>
                <w:tcPr>
                  <w:tcW w:w="366" w:type="pct"/>
                  <w:noWrap w:val="0"/>
                  <w:vAlign w:val="center"/>
                </w:tcPr>
                <w:p w14:paraId="2C8AB05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684" w:type="pct"/>
                  <w:noWrap w:val="0"/>
                  <w:vAlign w:val="center"/>
                </w:tcPr>
                <w:p w14:paraId="31CC342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1.50</w:t>
                  </w:r>
                </w:p>
              </w:tc>
              <w:tc>
                <w:tcPr>
                  <w:tcW w:w="316" w:type="pct"/>
                  <w:vMerge w:val="continue"/>
                  <w:noWrap w:val="0"/>
                  <w:vAlign w:val="center"/>
                </w:tcPr>
                <w:p w14:paraId="6F3D68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582" w:type="pct"/>
                  <w:noWrap w:val="0"/>
                  <w:vAlign w:val="center"/>
                </w:tcPr>
                <w:p w14:paraId="1F8AC3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该部分收集后外售综合利用</w:t>
                  </w:r>
                </w:p>
              </w:tc>
              <w:tc>
                <w:tcPr>
                  <w:tcW w:w="723" w:type="pct"/>
                  <w:noWrap w:val="0"/>
                  <w:vAlign w:val="center"/>
                </w:tcPr>
                <w:p w14:paraId="7F7791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1.50</w:t>
                  </w:r>
                </w:p>
              </w:tc>
              <w:tc>
                <w:tcPr>
                  <w:tcW w:w="397" w:type="pct"/>
                  <w:noWrap w:val="0"/>
                  <w:vAlign w:val="center"/>
                </w:tcPr>
                <w:p w14:paraId="1976AD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100%处置</w:t>
                  </w:r>
                </w:p>
              </w:tc>
            </w:tr>
            <w:tr w14:paraId="38BBA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40" w:type="pct"/>
                  <w:noWrap w:val="0"/>
                  <w:vAlign w:val="center"/>
                </w:tcPr>
                <w:p w14:paraId="0F924E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包装</w:t>
                  </w:r>
                </w:p>
              </w:tc>
              <w:tc>
                <w:tcPr>
                  <w:tcW w:w="480" w:type="pct"/>
                  <w:noWrap w:val="0"/>
                  <w:vAlign w:val="center"/>
                </w:tcPr>
                <w:p w14:paraId="5989D3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废包装袋</w:t>
                  </w:r>
                </w:p>
              </w:tc>
              <w:tc>
                <w:tcPr>
                  <w:tcW w:w="335" w:type="pct"/>
                  <w:vMerge w:val="continue"/>
                  <w:noWrap w:val="0"/>
                  <w:vAlign w:val="center"/>
                </w:tcPr>
                <w:p w14:paraId="392C2C3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436" w:type="pct"/>
                  <w:noWrap w:val="0"/>
                  <w:vAlign w:val="center"/>
                </w:tcPr>
                <w:p w14:paraId="08105F5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900-099-S59</w:t>
                  </w:r>
                </w:p>
              </w:tc>
              <w:tc>
                <w:tcPr>
                  <w:tcW w:w="336" w:type="pct"/>
                  <w:noWrap w:val="0"/>
                  <w:vAlign w:val="center"/>
                </w:tcPr>
                <w:p w14:paraId="63CAA8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固态</w:t>
                  </w:r>
                </w:p>
              </w:tc>
              <w:tc>
                <w:tcPr>
                  <w:tcW w:w="366" w:type="pct"/>
                  <w:noWrap w:val="0"/>
                  <w:vAlign w:val="center"/>
                </w:tcPr>
                <w:p w14:paraId="4253380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684" w:type="pct"/>
                  <w:noWrap w:val="0"/>
                  <w:vAlign w:val="center"/>
                </w:tcPr>
                <w:p w14:paraId="62670D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w:t>
                  </w:r>
                  <w:r>
                    <w:rPr>
                      <w:rFonts w:hint="eastAsia" w:cs="Times New Roman"/>
                      <w:i w:val="0"/>
                      <w:iCs w:val="0"/>
                      <w:color w:val="000000" w:themeColor="text1"/>
                      <w:kern w:val="0"/>
                      <w:sz w:val="21"/>
                      <w:szCs w:val="21"/>
                      <w:u w:val="none"/>
                      <w:lang w:val="en-US" w:eastAsia="zh-CN" w:bidi="ar"/>
                      <w14:textFill>
                        <w14:solidFill>
                          <w14:schemeClr w14:val="tx1"/>
                        </w14:solidFill>
                      </w14:textFill>
                    </w:rPr>
                    <w:t>2</w:t>
                  </w: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w:t>
                  </w:r>
                </w:p>
              </w:tc>
              <w:tc>
                <w:tcPr>
                  <w:tcW w:w="316" w:type="pct"/>
                  <w:vMerge w:val="continue"/>
                  <w:noWrap w:val="0"/>
                  <w:vAlign w:val="center"/>
                </w:tcPr>
                <w:p w14:paraId="0FA448E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582" w:type="pct"/>
                  <w:noWrap w:val="0"/>
                  <w:vAlign w:val="center"/>
                </w:tcPr>
                <w:p w14:paraId="13322BA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该部分收集后外售综合利用</w:t>
                  </w:r>
                </w:p>
              </w:tc>
              <w:tc>
                <w:tcPr>
                  <w:tcW w:w="723" w:type="pct"/>
                  <w:noWrap w:val="0"/>
                  <w:vAlign w:val="center"/>
                </w:tcPr>
                <w:p w14:paraId="7B06040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w:t>
                  </w:r>
                  <w:r>
                    <w:rPr>
                      <w:rFonts w:hint="eastAsia" w:cs="Times New Roman"/>
                      <w:i w:val="0"/>
                      <w:iCs w:val="0"/>
                      <w:color w:val="000000" w:themeColor="text1"/>
                      <w:kern w:val="0"/>
                      <w:sz w:val="21"/>
                      <w:szCs w:val="21"/>
                      <w:u w:val="none"/>
                      <w:lang w:val="en-US" w:eastAsia="zh-CN" w:bidi="ar"/>
                      <w14:textFill>
                        <w14:solidFill>
                          <w14:schemeClr w14:val="tx1"/>
                        </w14:solidFill>
                      </w14:textFill>
                    </w:rPr>
                    <w:t>2</w:t>
                  </w: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w:t>
                  </w:r>
                </w:p>
              </w:tc>
              <w:tc>
                <w:tcPr>
                  <w:tcW w:w="397" w:type="pct"/>
                  <w:noWrap w:val="0"/>
                  <w:vAlign w:val="center"/>
                </w:tcPr>
                <w:p w14:paraId="3568884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100%处置</w:t>
                  </w:r>
                </w:p>
              </w:tc>
            </w:tr>
            <w:tr w14:paraId="30636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34" w:hRule="atLeast"/>
                <w:jc w:val="center"/>
              </w:trPr>
              <w:tc>
                <w:tcPr>
                  <w:tcW w:w="340" w:type="pct"/>
                  <w:vMerge w:val="restart"/>
                  <w:noWrap w:val="0"/>
                  <w:vAlign w:val="center"/>
                </w:tcPr>
                <w:p w14:paraId="78551C7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设备维修</w:t>
                  </w:r>
                </w:p>
              </w:tc>
              <w:tc>
                <w:tcPr>
                  <w:tcW w:w="480" w:type="pct"/>
                  <w:noWrap w:val="0"/>
                  <w:vAlign w:val="center"/>
                </w:tcPr>
                <w:p w14:paraId="51BAD03F">
                  <w:pPr>
                    <w:adjustRightInd w:val="0"/>
                    <w:snapToGrid w:val="0"/>
                    <w:jc w:val="cente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废润滑油</w:t>
                  </w:r>
                </w:p>
              </w:tc>
              <w:tc>
                <w:tcPr>
                  <w:tcW w:w="335" w:type="pct"/>
                  <w:vMerge w:val="restart"/>
                  <w:noWrap w:val="0"/>
                  <w:vAlign w:val="center"/>
                </w:tcPr>
                <w:p w14:paraId="4EAB0F5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危险废物</w:t>
                  </w:r>
                </w:p>
              </w:tc>
              <w:tc>
                <w:tcPr>
                  <w:tcW w:w="436" w:type="pct"/>
                  <w:noWrap w:val="0"/>
                  <w:vAlign w:val="center"/>
                </w:tcPr>
                <w:p w14:paraId="26E27C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900-214-08</w:t>
                  </w:r>
                </w:p>
              </w:tc>
              <w:tc>
                <w:tcPr>
                  <w:tcW w:w="336" w:type="pct"/>
                  <w:noWrap w:val="0"/>
                  <w:vAlign w:val="center"/>
                </w:tcPr>
                <w:p w14:paraId="624529E5">
                  <w:pPr>
                    <w:adjustRightInd w:val="0"/>
                    <w:snapToGrid w:val="0"/>
                    <w:jc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bCs/>
                      <w:color w:val="000000" w:themeColor="text1"/>
                      <w:kern w:val="0"/>
                      <w:szCs w:val="21"/>
                      <w:lang w:val="en-US" w:eastAsia="zh-CN"/>
                      <w14:textFill>
                        <w14:solidFill>
                          <w14:schemeClr w14:val="tx1"/>
                        </w14:solidFill>
                      </w14:textFill>
                    </w:rPr>
                    <w:t>液态</w:t>
                  </w:r>
                </w:p>
              </w:tc>
              <w:tc>
                <w:tcPr>
                  <w:tcW w:w="366" w:type="pct"/>
                  <w:noWrap w:val="0"/>
                  <w:vAlign w:val="center"/>
                </w:tcPr>
                <w:p w14:paraId="082DDF9D">
                  <w:pPr>
                    <w:adjustRightInd w:val="0"/>
                    <w:snapToGrid w:val="0"/>
                    <w:jc w:val="cente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T，I</w:t>
                  </w:r>
                </w:p>
              </w:tc>
              <w:tc>
                <w:tcPr>
                  <w:tcW w:w="684" w:type="pct"/>
                  <w:noWrap w:val="0"/>
                  <w:vAlign w:val="center"/>
                </w:tcPr>
                <w:p w14:paraId="312AFEC3">
                  <w:pPr>
                    <w:adjustRightInd w:val="0"/>
                    <w:snapToGrid w:val="0"/>
                    <w:jc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bCs/>
                      <w:color w:val="000000" w:themeColor="text1"/>
                      <w:kern w:val="0"/>
                      <w:szCs w:val="21"/>
                      <w:highlight w:val="none"/>
                      <w:lang w:val="en-US" w:eastAsia="zh-CN"/>
                      <w14:textFill>
                        <w14:solidFill>
                          <w14:schemeClr w14:val="tx1"/>
                        </w14:solidFill>
                      </w14:textFill>
                    </w:rPr>
                    <w:t>0.</w:t>
                  </w:r>
                  <w:r>
                    <w:rPr>
                      <w:rFonts w:hint="eastAsia" w:cs="Times New Roman"/>
                      <w:bCs/>
                      <w:color w:val="000000" w:themeColor="text1"/>
                      <w:kern w:val="0"/>
                      <w:szCs w:val="21"/>
                      <w:highlight w:val="none"/>
                      <w:lang w:val="en-US" w:eastAsia="zh-CN"/>
                      <w14:textFill>
                        <w14:solidFill>
                          <w14:schemeClr w14:val="tx1"/>
                        </w14:solidFill>
                      </w14:textFill>
                    </w:rPr>
                    <w:t>2</w:t>
                  </w:r>
                  <w:r>
                    <w:rPr>
                      <w:rFonts w:hint="eastAsia" w:ascii="Times New Roman" w:hAnsi="Times New Roman" w:cs="Times New Roman"/>
                      <w:bCs/>
                      <w:color w:val="000000" w:themeColor="text1"/>
                      <w:kern w:val="0"/>
                      <w:szCs w:val="21"/>
                      <w:highlight w:val="none"/>
                      <w:lang w:val="en-US" w:eastAsia="zh-CN"/>
                      <w14:textFill>
                        <w14:solidFill>
                          <w14:schemeClr w14:val="tx1"/>
                        </w14:solidFill>
                      </w14:textFill>
                    </w:rPr>
                    <w:t>0</w:t>
                  </w:r>
                </w:p>
              </w:tc>
              <w:tc>
                <w:tcPr>
                  <w:tcW w:w="316" w:type="pct"/>
                  <w:vMerge w:val="restart"/>
                  <w:noWrap w:val="0"/>
                  <w:vAlign w:val="center"/>
                </w:tcPr>
                <w:p w14:paraId="5C5A777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收集后暂存于危险废物暂存间</w:t>
                  </w:r>
                </w:p>
              </w:tc>
              <w:tc>
                <w:tcPr>
                  <w:tcW w:w="582" w:type="pct"/>
                  <w:vMerge w:val="restart"/>
                  <w:noWrap w:val="0"/>
                  <w:vAlign w:val="center"/>
                </w:tcPr>
                <w:p w14:paraId="3512BC3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收集后分区暂存于危险废物暂存间，定期委托有资质单位处置</w:t>
                  </w:r>
                </w:p>
              </w:tc>
              <w:tc>
                <w:tcPr>
                  <w:tcW w:w="723" w:type="pct"/>
                  <w:noWrap w:val="0"/>
                  <w:vAlign w:val="center"/>
                </w:tcPr>
                <w:p w14:paraId="1637F402">
                  <w:pPr>
                    <w:adjustRightInd w:val="0"/>
                    <w:snapToGrid w:val="0"/>
                    <w:jc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bCs/>
                      <w:color w:val="000000" w:themeColor="text1"/>
                      <w:kern w:val="0"/>
                      <w:szCs w:val="21"/>
                      <w:highlight w:val="none"/>
                      <w:lang w:val="en-US" w:eastAsia="zh-CN"/>
                      <w14:textFill>
                        <w14:solidFill>
                          <w14:schemeClr w14:val="tx1"/>
                        </w14:solidFill>
                      </w14:textFill>
                    </w:rPr>
                    <w:t>0.10</w:t>
                  </w:r>
                </w:p>
              </w:tc>
              <w:tc>
                <w:tcPr>
                  <w:tcW w:w="397" w:type="pct"/>
                  <w:noWrap w:val="0"/>
                  <w:vAlign w:val="center"/>
                </w:tcPr>
                <w:p w14:paraId="5960D0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100%处置</w:t>
                  </w:r>
                </w:p>
              </w:tc>
            </w:tr>
            <w:tr w14:paraId="14E34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32" w:hRule="atLeast"/>
                <w:jc w:val="center"/>
              </w:trPr>
              <w:tc>
                <w:tcPr>
                  <w:tcW w:w="340" w:type="pct"/>
                  <w:vMerge w:val="continue"/>
                  <w:noWrap w:val="0"/>
                  <w:vAlign w:val="center"/>
                </w:tcPr>
                <w:p w14:paraId="0FC07A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480" w:type="pct"/>
                  <w:noWrap w:val="0"/>
                  <w:vAlign w:val="center"/>
                </w:tcPr>
                <w:p w14:paraId="36C0C998">
                  <w:pPr>
                    <w:adjustRightInd w:val="0"/>
                    <w:snapToGrid w:val="0"/>
                    <w:jc w:val="cente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bCs/>
                      <w:color w:val="000000" w:themeColor="text1"/>
                      <w:kern w:val="0"/>
                      <w:szCs w:val="21"/>
                      <w:lang w:eastAsia="zh-CN"/>
                      <w14:textFill>
                        <w14:solidFill>
                          <w14:schemeClr w14:val="tx1"/>
                        </w14:solidFill>
                      </w14:textFill>
                    </w:rPr>
                    <w:t>废油桶</w:t>
                  </w:r>
                </w:p>
              </w:tc>
              <w:tc>
                <w:tcPr>
                  <w:tcW w:w="335" w:type="pct"/>
                  <w:vMerge w:val="continue"/>
                  <w:noWrap w:val="0"/>
                  <w:vAlign w:val="center"/>
                </w:tcPr>
                <w:p w14:paraId="20F572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436" w:type="pct"/>
                  <w:noWrap w:val="0"/>
                  <w:vAlign w:val="center"/>
                </w:tcPr>
                <w:p w14:paraId="0B46DF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900-249-08</w:t>
                  </w:r>
                </w:p>
              </w:tc>
              <w:tc>
                <w:tcPr>
                  <w:tcW w:w="336" w:type="pct"/>
                  <w:noWrap w:val="0"/>
                  <w:vAlign w:val="center"/>
                </w:tcPr>
                <w:p w14:paraId="6EFC6752">
                  <w:pPr>
                    <w:adjustRightInd w:val="0"/>
                    <w:snapToGrid w:val="0"/>
                    <w:jc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bCs/>
                      <w:color w:val="000000" w:themeColor="text1"/>
                      <w:kern w:val="0"/>
                      <w:szCs w:val="21"/>
                      <w14:textFill>
                        <w14:solidFill>
                          <w14:schemeClr w14:val="tx1"/>
                        </w14:solidFill>
                      </w14:textFill>
                    </w:rPr>
                    <w:t>固态</w:t>
                  </w:r>
                </w:p>
              </w:tc>
              <w:tc>
                <w:tcPr>
                  <w:tcW w:w="366" w:type="pct"/>
                  <w:noWrap w:val="0"/>
                  <w:vAlign w:val="center"/>
                </w:tcPr>
                <w:p w14:paraId="170E9C7C">
                  <w:pPr>
                    <w:adjustRightInd w:val="0"/>
                    <w:snapToGrid w:val="0"/>
                    <w:jc w:val="cente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T，I</w:t>
                  </w:r>
                </w:p>
              </w:tc>
              <w:tc>
                <w:tcPr>
                  <w:tcW w:w="684" w:type="pct"/>
                  <w:noWrap w:val="0"/>
                  <w:vAlign w:val="center"/>
                </w:tcPr>
                <w:p w14:paraId="0196E818">
                  <w:pPr>
                    <w:adjustRightInd w:val="0"/>
                    <w:snapToGrid w:val="0"/>
                    <w:jc w:val="cente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bCs/>
                      <w:color w:val="000000" w:themeColor="text1"/>
                      <w:kern w:val="0"/>
                      <w:szCs w:val="21"/>
                      <w:highlight w:val="none"/>
                      <w:lang w:val="en-US" w:eastAsia="zh-CN"/>
                      <w14:textFill>
                        <w14:solidFill>
                          <w14:schemeClr w14:val="tx1"/>
                        </w14:solidFill>
                      </w14:textFill>
                    </w:rPr>
                    <w:t>0.02</w:t>
                  </w:r>
                </w:p>
              </w:tc>
              <w:tc>
                <w:tcPr>
                  <w:tcW w:w="316" w:type="pct"/>
                  <w:vMerge w:val="continue"/>
                  <w:noWrap w:val="0"/>
                  <w:vAlign w:val="center"/>
                </w:tcPr>
                <w:p w14:paraId="035533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582" w:type="pct"/>
                  <w:vMerge w:val="continue"/>
                  <w:noWrap w:val="0"/>
                  <w:vAlign w:val="center"/>
                </w:tcPr>
                <w:p w14:paraId="786F46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723" w:type="pct"/>
                  <w:noWrap w:val="0"/>
                  <w:vAlign w:val="center"/>
                </w:tcPr>
                <w:p w14:paraId="5D6C449D">
                  <w:pPr>
                    <w:adjustRightInd w:val="0"/>
                    <w:snapToGrid w:val="0"/>
                    <w:jc w:val="cente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bCs/>
                      <w:color w:val="000000" w:themeColor="text1"/>
                      <w:kern w:val="0"/>
                      <w:szCs w:val="21"/>
                      <w:highlight w:val="none"/>
                      <w:lang w:val="en-US" w:eastAsia="zh-CN"/>
                      <w14:textFill>
                        <w14:solidFill>
                          <w14:schemeClr w14:val="tx1"/>
                        </w14:solidFill>
                      </w14:textFill>
                    </w:rPr>
                    <w:t>0.02</w:t>
                  </w:r>
                </w:p>
              </w:tc>
              <w:tc>
                <w:tcPr>
                  <w:tcW w:w="397" w:type="pct"/>
                  <w:noWrap w:val="0"/>
                  <w:vAlign w:val="center"/>
                </w:tcPr>
                <w:p w14:paraId="5CC4B7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100%处置</w:t>
                  </w:r>
                </w:p>
              </w:tc>
            </w:tr>
            <w:tr w14:paraId="1370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74" w:hRule="atLeast"/>
                <w:jc w:val="center"/>
              </w:trPr>
              <w:tc>
                <w:tcPr>
                  <w:tcW w:w="340" w:type="pct"/>
                  <w:vMerge w:val="continue"/>
                  <w:noWrap w:val="0"/>
                  <w:vAlign w:val="center"/>
                </w:tcPr>
                <w:p w14:paraId="2323638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480" w:type="pct"/>
                  <w:noWrap w:val="0"/>
                  <w:vAlign w:val="center"/>
                </w:tcPr>
                <w:p w14:paraId="1F5612D3">
                  <w:pPr>
                    <w:adjustRightInd w:val="0"/>
                    <w:snapToGrid w:val="0"/>
                    <w:jc w:val="center"/>
                    <w:rPr>
                      <w:rFonts w:hint="default" w:ascii="Times New Roman" w:hAnsi="Times New Roman" w:cs="Times New Roman"/>
                      <w:bCs/>
                      <w:color w:val="000000" w:themeColor="text1"/>
                      <w:kern w:val="0"/>
                      <w:szCs w:val="21"/>
                      <w:lang w:val="en-US" w:eastAsia="zh-CN"/>
                      <w14:textFill>
                        <w14:solidFill>
                          <w14:schemeClr w14:val="tx1"/>
                        </w14:solidFill>
                      </w14:textFill>
                    </w:rPr>
                  </w:pPr>
                  <w:r>
                    <w:rPr>
                      <w:rFonts w:hint="eastAsia" w:ascii="Times New Roman" w:hAnsi="Times New Roman" w:cs="Times New Roman"/>
                      <w:bCs/>
                      <w:color w:val="000000" w:themeColor="text1"/>
                      <w:kern w:val="0"/>
                      <w:szCs w:val="21"/>
                      <w:lang w:val="en-US" w:eastAsia="zh-CN"/>
                      <w14:textFill>
                        <w14:solidFill>
                          <w14:schemeClr w14:val="tx1"/>
                        </w14:solidFill>
                      </w14:textFill>
                    </w:rPr>
                    <w:t>废液压油</w:t>
                  </w:r>
                </w:p>
              </w:tc>
              <w:tc>
                <w:tcPr>
                  <w:tcW w:w="335" w:type="pct"/>
                  <w:vMerge w:val="continue"/>
                  <w:noWrap w:val="0"/>
                  <w:vAlign w:val="center"/>
                </w:tcPr>
                <w:p w14:paraId="336C5A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436" w:type="pct"/>
                  <w:noWrap w:val="0"/>
                  <w:vAlign w:val="center"/>
                </w:tcPr>
                <w:p w14:paraId="7C6E90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900-218-08</w:t>
                  </w:r>
                </w:p>
              </w:tc>
              <w:tc>
                <w:tcPr>
                  <w:tcW w:w="336" w:type="pct"/>
                  <w:noWrap w:val="0"/>
                  <w:vAlign w:val="center"/>
                </w:tcPr>
                <w:p w14:paraId="6698821D">
                  <w:pPr>
                    <w:adjustRightInd w:val="0"/>
                    <w:snapToGrid w:val="0"/>
                    <w:jc w:val="center"/>
                    <w:rPr>
                      <w:rFonts w:hint="eastAsia"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cs="Times New Roman"/>
                      <w:bCs/>
                      <w:color w:val="000000" w:themeColor="text1"/>
                      <w:kern w:val="0"/>
                      <w:szCs w:val="21"/>
                      <w:lang w:val="en-US" w:eastAsia="zh-CN"/>
                      <w14:textFill>
                        <w14:solidFill>
                          <w14:schemeClr w14:val="tx1"/>
                        </w14:solidFill>
                      </w14:textFill>
                    </w:rPr>
                    <w:t>液态</w:t>
                  </w:r>
                </w:p>
              </w:tc>
              <w:tc>
                <w:tcPr>
                  <w:tcW w:w="366" w:type="pct"/>
                  <w:noWrap w:val="0"/>
                  <w:vAlign w:val="center"/>
                </w:tcPr>
                <w:p w14:paraId="606220D7">
                  <w:pPr>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T，I</w:t>
                  </w:r>
                </w:p>
              </w:tc>
              <w:tc>
                <w:tcPr>
                  <w:tcW w:w="684" w:type="pct"/>
                  <w:noWrap w:val="0"/>
                  <w:vAlign w:val="center"/>
                </w:tcPr>
                <w:p w14:paraId="771BD13C">
                  <w:pPr>
                    <w:adjustRightInd w:val="0"/>
                    <w:snapToGrid w:val="0"/>
                    <w:jc w:val="cente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kern w:val="0"/>
                      <w:szCs w:val="21"/>
                      <w:highlight w:val="none"/>
                      <w:lang w:val="en-US" w:eastAsia="zh-CN"/>
                      <w14:textFill>
                        <w14:solidFill>
                          <w14:schemeClr w14:val="tx1"/>
                        </w14:solidFill>
                      </w14:textFill>
                    </w:rPr>
                    <w:t>0.25</w:t>
                  </w:r>
                </w:p>
              </w:tc>
              <w:tc>
                <w:tcPr>
                  <w:tcW w:w="316" w:type="pct"/>
                  <w:vMerge w:val="continue"/>
                  <w:noWrap w:val="0"/>
                  <w:vAlign w:val="center"/>
                </w:tcPr>
                <w:p w14:paraId="0BFFDE8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582" w:type="pct"/>
                  <w:vMerge w:val="continue"/>
                  <w:noWrap w:val="0"/>
                  <w:vAlign w:val="center"/>
                </w:tcPr>
                <w:p w14:paraId="31CD12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723" w:type="pct"/>
                  <w:noWrap w:val="0"/>
                  <w:vAlign w:val="center"/>
                </w:tcPr>
                <w:p w14:paraId="42EF15A6">
                  <w:pPr>
                    <w:adjustRightInd w:val="0"/>
                    <w:snapToGrid w:val="0"/>
                    <w:jc w:val="cente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kern w:val="0"/>
                      <w:szCs w:val="21"/>
                      <w:highlight w:val="none"/>
                      <w:lang w:val="en-US" w:eastAsia="zh-CN"/>
                      <w14:textFill>
                        <w14:solidFill>
                          <w14:schemeClr w14:val="tx1"/>
                        </w14:solidFill>
                      </w14:textFill>
                    </w:rPr>
                    <w:t>0.25</w:t>
                  </w:r>
                </w:p>
              </w:tc>
              <w:tc>
                <w:tcPr>
                  <w:tcW w:w="397" w:type="pct"/>
                  <w:noWrap w:val="0"/>
                  <w:vAlign w:val="center"/>
                </w:tcPr>
                <w:p w14:paraId="026135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100%处置</w:t>
                  </w:r>
                </w:p>
              </w:tc>
            </w:tr>
            <w:tr w14:paraId="1B925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74" w:hRule="atLeast"/>
                <w:jc w:val="center"/>
              </w:trPr>
              <w:tc>
                <w:tcPr>
                  <w:tcW w:w="340" w:type="pct"/>
                  <w:vMerge w:val="restart"/>
                  <w:noWrap w:val="0"/>
                  <w:vAlign w:val="center"/>
                </w:tcPr>
                <w:p w14:paraId="0748C5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废气处理</w:t>
                  </w:r>
                </w:p>
              </w:tc>
              <w:tc>
                <w:tcPr>
                  <w:tcW w:w="480" w:type="pct"/>
                  <w:noWrap w:val="0"/>
                  <w:vAlign w:val="center"/>
                </w:tcPr>
                <w:p w14:paraId="598D2EE0">
                  <w:pPr>
                    <w:adjustRightInd w:val="0"/>
                    <w:snapToGrid w:val="0"/>
                    <w:jc w:val="center"/>
                    <w:rPr>
                      <w:rFonts w:hint="eastAsia" w:ascii="Times New Roman" w:hAnsi="Times New Roman" w:cs="Times New Roman"/>
                      <w:bCs/>
                      <w:color w:val="000000" w:themeColor="text1"/>
                      <w:kern w:val="0"/>
                      <w:szCs w:val="21"/>
                      <w:lang w:val="en-US" w:eastAsia="zh-CN"/>
                      <w14:textFill>
                        <w14:solidFill>
                          <w14:schemeClr w14:val="tx1"/>
                        </w14:solidFill>
                      </w14:textFill>
                    </w:rPr>
                  </w:pPr>
                  <w:r>
                    <w:rPr>
                      <w:rFonts w:hint="eastAsia"/>
                      <w:bCs/>
                      <w:color w:val="000000" w:themeColor="text1"/>
                      <w:kern w:val="0"/>
                      <w:szCs w:val="21"/>
                      <w:lang w:val="en-US" w:eastAsia="zh-CN"/>
                      <w14:textFill>
                        <w14:solidFill>
                          <w14:schemeClr w14:val="tx1"/>
                        </w14:solidFill>
                      </w14:textFill>
                    </w:rPr>
                    <w:t>废活性炭</w:t>
                  </w:r>
                </w:p>
              </w:tc>
              <w:tc>
                <w:tcPr>
                  <w:tcW w:w="335" w:type="pct"/>
                  <w:vMerge w:val="continue"/>
                  <w:noWrap w:val="0"/>
                  <w:vAlign w:val="center"/>
                </w:tcPr>
                <w:p w14:paraId="3C857F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436" w:type="pct"/>
                  <w:noWrap w:val="0"/>
                  <w:vAlign w:val="center"/>
                </w:tcPr>
                <w:p w14:paraId="74FD6C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900-039-49</w:t>
                  </w:r>
                </w:p>
              </w:tc>
              <w:tc>
                <w:tcPr>
                  <w:tcW w:w="336" w:type="pct"/>
                  <w:noWrap w:val="0"/>
                  <w:vAlign w:val="center"/>
                </w:tcPr>
                <w:p w14:paraId="72F08834">
                  <w:pPr>
                    <w:adjustRightInd w:val="0"/>
                    <w:snapToGrid w:val="0"/>
                    <w:jc w:val="center"/>
                    <w:rPr>
                      <w:rFonts w:hint="eastAsia" w:ascii="Times New Roman" w:hAnsi="Times New Roman" w:cs="Times New Roman"/>
                      <w:bCs/>
                      <w:color w:val="000000" w:themeColor="text1"/>
                      <w:kern w:val="0"/>
                      <w:szCs w:val="21"/>
                      <w:lang w:val="en-US" w:eastAsia="zh-CN"/>
                      <w14:textFill>
                        <w14:solidFill>
                          <w14:schemeClr w14:val="tx1"/>
                        </w14:solidFill>
                      </w14:textFill>
                    </w:rPr>
                  </w:pPr>
                  <w:r>
                    <w:rPr>
                      <w:rFonts w:hint="eastAsia"/>
                      <w:bCs/>
                      <w:color w:val="000000" w:themeColor="text1"/>
                      <w:kern w:val="0"/>
                      <w:szCs w:val="21"/>
                      <w14:textFill>
                        <w14:solidFill>
                          <w14:schemeClr w14:val="tx1"/>
                        </w14:solidFill>
                      </w14:textFill>
                    </w:rPr>
                    <w:t>固态</w:t>
                  </w:r>
                </w:p>
              </w:tc>
              <w:tc>
                <w:tcPr>
                  <w:tcW w:w="366" w:type="pct"/>
                  <w:noWrap w:val="0"/>
                  <w:vAlign w:val="center"/>
                </w:tcPr>
                <w:p w14:paraId="40DEC836">
                  <w:pPr>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color w:val="000000" w:themeColor="text1"/>
                      <w:sz w:val="21"/>
                      <w:szCs w:val="21"/>
                      <w:highlight w:val="none"/>
                      <w14:textFill>
                        <w14:solidFill>
                          <w14:schemeClr w14:val="tx1"/>
                        </w14:solidFill>
                      </w14:textFill>
                    </w:rPr>
                    <w:t>T，I</w:t>
                  </w:r>
                </w:p>
              </w:tc>
              <w:tc>
                <w:tcPr>
                  <w:tcW w:w="684" w:type="pct"/>
                  <w:noWrap w:val="0"/>
                  <w:vAlign w:val="center"/>
                </w:tcPr>
                <w:p w14:paraId="6ED46F7D">
                  <w:pPr>
                    <w:adjustRightInd w:val="0"/>
                    <w:snapToGrid w:val="0"/>
                    <w:jc w:val="cente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pPr>
                  <w:r>
                    <w:rPr>
                      <w:rFonts w:hint="eastAsia" w:cs="Times New Roman"/>
                      <w:bCs/>
                      <w:color w:val="000000" w:themeColor="text1"/>
                      <w:kern w:val="0"/>
                      <w:szCs w:val="21"/>
                      <w:highlight w:val="none"/>
                      <w:lang w:val="en-US" w:eastAsia="zh-CN"/>
                      <w14:textFill>
                        <w14:solidFill>
                          <w14:schemeClr w14:val="tx1"/>
                        </w14:solidFill>
                      </w14:textFill>
                    </w:rPr>
                    <w:t>1.10</w:t>
                  </w:r>
                </w:p>
              </w:tc>
              <w:tc>
                <w:tcPr>
                  <w:tcW w:w="316" w:type="pct"/>
                  <w:vMerge w:val="continue"/>
                  <w:noWrap w:val="0"/>
                  <w:vAlign w:val="center"/>
                </w:tcPr>
                <w:p w14:paraId="3054E6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582" w:type="pct"/>
                  <w:vMerge w:val="continue"/>
                  <w:noWrap w:val="0"/>
                  <w:vAlign w:val="center"/>
                </w:tcPr>
                <w:p w14:paraId="253809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723" w:type="pct"/>
                  <w:noWrap w:val="0"/>
                  <w:vAlign w:val="center"/>
                </w:tcPr>
                <w:p w14:paraId="1856FE6C">
                  <w:pPr>
                    <w:adjustRightInd w:val="0"/>
                    <w:snapToGrid w:val="0"/>
                    <w:jc w:val="cente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pPr>
                  <w:r>
                    <w:rPr>
                      <w:rFonts w:hint="eastAsia"/>
                      <w:bCs/>
                      <w:color w:val="000000" w:themeColor="text1"/>
                      <w:kern w:val="0"/>
                      <w:szCs w:val="21"/>
                      <w:highlight w:val="none"/>
                      <w:lang w:val="en-US" w:eastAsia="zh-CN"/>
                      <w14:textFill>
                        <w14:solidFill>
                          <w14:schemeClr w14:val="tx1"/>
                        </w14:solidFill>
                      </w14:textFill>
                    </w:rPr>
                    <w:t>1.10</w:t>
                  </w:r>
                </w:p>
              </w:tc>
              <w:tc>
                <w:tcPr>
                  <w:tcW w:w="397" w:type="pct"/>
                  <w:noWrap w:val="0"/>
                  <w:vAlign w:val="center"/>
                </w:tcPr>
                <w:p w14:paraId="6DB70D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100%处置</w:t>
                  </w:r>
                </w:p>
              </w:tc>
            </w:tr>
            <w:tr w14:paraId="1FD67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74" w:hRule="atLeast"/>
                <w:jc w:val="center"/>
              </w:trPr>
              <w:tc>
                <w:tcPr>
                  <w:tcW w:w="340" w:type="pct"/>
                  <w:vMerge w:val="continue"/>
                  <w:noWrap w:val="0"/>
                  <w:vAlign w:val="center"/>
                </w:tcPr>
                <w:p w14:paraId="2DEAAD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p>
              </w:tc>
              <w:tc>
                <w:tcPr>
                  <w:tcW w:w="480" w:type="pct"/>
                  <w:noWrap w:val="0"/>
                  <w:vAlign w:val="center"/>
                </w:tcPr>
                <w:p w14:paraId="1EF5CBF4">
                  <w:pPr>
                    <w:adjustRightInd w:val="0"/>
                    <w:snapToGrid w:val="0"/>
                    <w:jc w:val="center"/>
                    <w:rPr>
                      <w:rFonts w:hint="default"/>
                      <w:bCs/>
                      <w:color w:val="000000" w:themeColor="text1"/>
                      <w:kern w:val="0"/>
                      <w:szCs w:val="21"/>
                      <w:lang w:val="en-US" w:eastAsia="zh-CN"/>
                      <w14:textFill>
                        <w14:solidFill>
                          <w14:schemeClr w14:val="tx1"/>
                        </w14:solidFill>
                      </w14:textFill>
                    </w:rPr>
                  </w:pPr>
                  <w:r>
                    <w:rPr>
                      <w:rFonts w:hint="eastAsia"/>
                      <w:bCs/>
                      <w:color w:val="000000" w:themeColor="text1"/>
                      <w:kern w:val="0"/>
                      <w:szCs w:val="21"/>
                      <w:lang w:val="en-US" w:eastAsia="zh-CN"/>
                      <w14:textFill>
                        <w14:solidFill>
                          <w14:schemeClr w14:val="tx1"/>
                        </w14:solidFill>
                      </w14:textFill>
                    </w:rPr>
                    <w:t>废催化剂</w:t>
                  </w:r>
                </w:p>
              </w:tc>
              <w:tc>
                <w:tcPr>
                  <w:tcW w:w="335" w:type="pct"/>
                  <w:vMerge w:val="continue"/>
                  <w:noWrap w:val="0"/>
                  <w:vAlign w:val="center"/>
                </w:tcPr>
                <w:p w14:paraId="65A784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436" w:type="pct"/>
                  <w:noWrap w:val="0"/>
                  <w:vAlign w:val="center"/>
                </w:tcPr>
                <w:p w14:paraId="40E947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900-041-49</w:t>
                  </w:r>
                </w:p>
              </w:tc>
              <w:tc>
                <w:tcPr>
                  <w:tcW w:w="336" w:type="pct"/>
                  <w:noWrap w:val="0"/>
                  <w:vAlign w:val="center"/>
                </w:tcPr>
                <w:p w14:paraId="476423C0">
                  <w:pPr>
                    <w:adjustRightInd w:val="0"/>
                    <w:snapToGrid w:val="0"/>
                    <w:jc w:val="center"/>
                    <w:rPr>
                      <w:rFonts w:hint="eastAsia" w:eastAsia="宋体"/>
                      <w:bCs/>
                      <w:color w:val="000000" w:themeColor="text1"/>
                      <w:kern w:val="0"/>
                      <w:szCs w:val="21"/>
                      <w:lang w:val="en-US" w:eastAsia="zh-CN"/>
                      <w14:textFill>
                        <w14:solidFill>
                          <w14:schemeClr w14:val="tx1"/>
                        </w14:solidFill>
                      </w14:textFill>
                    </w:rPr>
                  </w:pPr>
                  <w:r>
                    <w:rPr>
                      <w:rFonts w:hint="eastAsia"/>
                      <w:bCs/>
                      <w:color w:val="000000" w:themeColor="text1"/>
                      <w:kern w:val="0"/>
                      <w:szCs w:val="21"/>
                      <w:lang w:val="en-US" w:eastAsia="zh-CN"/>
                      <w14:textFill>
                        <w14:solidFill>
                          <w14:schemeClr w14:val="tx1"/>
                        </w14:solidFill>
                      </w14:textFill>
                    </w:rPr>
                    <w:t>固态</w:t>
                  </w:r>
                </w:p>
              </w:tc>
              <w:tc>
                <w:tcPr>
                  <w:tcW w:w="366" w:type="pct"/>
                  <w:noWrap w:val="0"/>
                  <w:vAlign w:val="center"/>
                </w:tcPr>
                <w:p w14:paraId="1EAEB42E">
                  <w:pPr>
                    <w:adjustRightInd w:val="0"/>
                    <w:snapToGrid w:val="0"/>
                    <w:jc w:val="center"/>
                    <w:rPr>
                      <w:rFonts w:ascii="Times New Roman"/>
                      <w:color w:val="000000" w:themeColor="text1"/>
                      <w:sz w:val="21"/>
                      <w:szCs w:val="21"/>
                      <w:highlight w:val="none"/>
                      <w14:textFill>
                        <w14:solidFill>
                          <w14:schemeClr w14:val="tx1"/>
                        </w14:solidFill>
                      </w14:textFill>
                    </w:rPr>
                  </w:pPr>
                  <w:r>
                    <w:rPr>
                      <w:rFonts w:ascii="Times New Roman"/>
                      <w:color w:val="000000" w:themeColor="text1"/>
                      <w:sz w:val="21"/>
                      <w:szCs w:val="21"/>
                      <w:highlight w:val="none"/>
                      <w14:textFill>
                        <w14:solidFill>
                          <w14:schemeClr w14:val="tx1"/>
                        </w14:solidFill>
                      </w14:textFill>
                    </w:rPr>
                    <w:t>T，I</w:t>
                  </w:r>
                </w:p>
              </w:tc>
              <w:tc>
                <w:tcPr>
                  <w:tcW w:w="684" w:type="pct"/>
                  <w:noWrap w:val="0"/>
                  <w:vAlign w:val="center"/>
                </w:tcPr>
                <w:p w14:paraId="49F737BB">
                  <w:pPr>
                    <w:adjustRightInd w:val="0"/>
                    <w:snapToGrid w:val="0"/>
                    <w:jc w:val="center"/>
                    <w:rPr>
                      <w:rFonts w:hint="default" w:cs="Times New Roman"/>
                      <w:bCs/>
                      <w:color w:val="000000" w:themeColor="text1"/>
                      <w:kern w:val="0"/>
                      <w:szCs w:val="21"/>
                      <w:highlight w:val="none"/>
                      <w:lang w:val="en-US" w:eastAsia="zh-CN"/>
                      <w14:textFill>
                        <w14:solidFill>
                          <w14:schemeClr w14:val="tx1"/>
                        </w14:solidFill>
                      </w14:textFill>
                    </w:rPr>
                  </w:pPr>
                  <w:r>
                    <w:rPr>
                      <w:rFonts w:hint="eastAsia" w:cs="Times New Roman"/>
                      <w:bCs/>
                      <w:color w:val="000000" w:themeColor="text1"/>
                      <w:kern w:val="0"/>
                      <w:szCs w:val="21"/>
                      <w:highlight w:val="none"/>
                      <w:lang w:val="en-US" w:eastAsia="zh-CN"/>
                      <w14:textFill>
                        <w14:solidFill>
                          <w14:schemeClr w14:val="tx1"/>
                        </w14:solidFill>
                      </w14:textFill>
                    </w:rPr>
                    <w:t>0.125</w:t>
                  </w:r>
                </w:p>
              </w:tc>
              <w:tc>
                <w:tcPr>
                  <w:tcW w:w="316" w:type="pct"/>
                  <w:vMerge w:val="continue"/>
                  <w:noWrap w:val="0"/>
                  <w:vAlign w:val="center"/>
                </w:tcPr>
                <w:p w14:paraId="1CA516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582" w:type="pct"/>
                  <w:vMerge w:val="continue"/>
                  <w:noWrap w:val="0"/>
                  <w:vAlign w:val="center"/>
                </w:tcPr>
                <w:p w14:paraId="76C650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p>
              </w:tc>
              <w:tc>
                <w:tcPr>
                  <w:tcW w:w="723" w:type="pct"/>
                  <w:noWrap w:val="0"/>
                  <w:vAlign w:val="center"/>
                </w:tcPr>
                <w:p w14:paraId="1789F079">
                  <w:pPr>
                    <w:adjustRightInd w:val="0"/>
                    <w:snapToGrid w:val="0"/>
                    <w:jc w:val="center"/>
                    <w:rPr>
                      <w:rFonts w:hint="default"/>
                      <w:bCs/>
                      <w:color w:val="000000" w:themeColor="text1"/>
                      <w:kern w:val="0"/>
                      <w:szCs w:val="21"/>
                      <w:highlight w:val="none"/>
                      <w:lang w:val="en-US" w:eastAsia="zh-CN"/>
                      <w14:textFill>
                        <w14:solidFill>
                          <w14:schemeClr w14:val="tx1"/>
                        </w14:solidFill>
                      </w14:textFill>
                    </w:rPr>
                  </w:pPr>
                  <w:r>
                    <w:rPr>
                      <w:rFonts w:hint="eastAsia"/>
                      <w:bCs/>
                      <w:color w:val="000000" w:themeColor="text1"/>
                      <w:kern w:val="0"/>
                      <w:szCs w:val="21"/>
                      <w:highlight w:val="none"/>
                      <w:lang w:val="en-US" w:eastAsia="zh-CN"/>
                      <w14:textFill>
                        <w14:solidFill>
                          <w14:schemeClr w14:val="tx1"/>
                        </w14:solidFill>
                      </w14:textFill>
                    </w:rPr>
                    <w:t>0.125</w:t>
                  </w:r>
                </w:p>
              </w:tc>
              <w:tc>
                <w:tcPr>
                  <w:tcW w:w="397" w:type="pct"/>
                  <w:noWrap w:val="0"/>
                  <w:vAlign w:val="center"/>
                </w:tcPr>
                <w:p w14:paraId="03AF1EF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100%处置</w:t>
                  </w:r>
                </w:p>
              </w:tc>
            </w:tr>
          </w:tbl>
          <w:p w14:paraId="6566ACCE">
            <w:pPr>
              <w:pageBreakBefore w:val="0"/>
              <w:wordWrap/>
              <w:topLinePunct w:val="0"/>
              <w:bidi w:val="0"/>
              <w:adjustRightInd w:val="0"/>
              <w:snapToGrid w:val="0"/>
              <w:spacing w:line="360" w:lineRule="auto"/>
              <w:ind w:firstLine="482" w:firstLineChars="200"/>
              <w:rPr>
                <w:rFonts w:hint="eastAsia" w:cs="Times New Roman"/>
                <w:b/>
                <w:bCs/>
                <w:color w:val="000000" w:themeColor="text1"/>
                <w:sz w:val="24"/>
                <w:lang w:val="en-US" w:eastAsia="zh-CN"/>
                <w14:textFill>
                  <w14:solidFill>
                    <w14:schemeClr w14:val="tx1"/>
                  </w14:solidFill>
                </w14:textFill>
              </w:rPr>
            </w:pPr>
            <w:r>
              <w:rPr>
                <w:rFonts w:hint="eastAsia" w:cs="Times New Roman"/>
                <w:b/>
                <w:bCs/>
                <w:color w:val="000000" w:themeColor="text1"/>
                <w:sz w:val="24"/>
                <w:lang w:val="en-US" w:eastAsia="zh-CN"/>
                <w14:textFill>
                  <w14:solidFill>
                    <w14:schemeClr w14:val="tx1"/>
                  </w14:solidFill>
                </w14:textFill>
              </w:rPr>
              <w:t>（2）一般固体废物环境管理要求</w:t>
            </w:r>
          </w:p>
          <w:p w14:paraId="6F398EA2">
            <w:pPr>
              <w:pStyle w:val="79"/>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项目一般固废临时暂存区位于生产车间内，生产车间地面已进行了硬化，防渗满足《一般工业固体废物贮存和填埋污染控制标准》（GB18599-2020）I类场要求。项目一般固废临时暂存区目前尚未明确划分区域，本环评要求：</w:t>
            </w:r>
          </w:p>
          <w:p w14:paraId="0D90E0B2">
            <w:pPr>
              <w:pStyle w:val="79"/>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①规范设置一般固废临时暂存区，明确划分区域；</w:t>
            </w:r>
          </w:p>
          <w:p w14:paraId="2EB9E288">
            <w:pPr>
              <w:pStyle w:val="79"/>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②产生固体废弃物应及时存放于临时堆场，不得随意堆存产生二次污染。</w:t>
            </w:r>
          </w:p>
          <w:p w14:paraId="3D6E9C35">
            <w:pPr>
              <w:pStyle w:val="79"/>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③按照《一般工业固体废物贮存和填埋污染控制标准》（GB18599-2020）、《一般工业固体废弃物管理台账制定指南（试行）》等相关要求制定台账管理制度，如实记录工业固体废物的种类、数量、流向、贮存、利用、处置等信息。</w:t>
            </w:r>
          </w:p>
          <w:p w14:paraId="16260727">
            <w:pPr>
              <w:pageBreakBefore w:val="0"/>
              <w:wordWrap/>
              <w:topLinePunct w:val="0"/>
              <w:bidi w:val="0"/>
              <w:adjustRightInd w:val="0"/>
              <w:snapToGrid w:val="0"/>
              <w:spacing w:line="360" w:lineRule="auto"/>
              <w:ind w:firstLine="482" w:firstLineChars="200"/>
              <w:rPr>
                <w:rFonts w:hint="default" w:ascii="Times New Roman" w:hAnsi="Times New Roman" w:eastAsia="宋体" w:cs="Times New Roman"/>
                <w:b/>
                <w:bCs/>
                <w:color w:val="000000" w:themeColor="text1"/>
                <w:sz w:val="24"/>
                <w:lang w:val="en-US" w:eastAsia="zh-CN"/>
                <w14:textFill>
                  <w14:solidFill>
                    <w14:schemeClr w14:val="tx1"/>
                  </w14:solidFill>
                </w14:textFill>
              </w:rPr>
            </w:pPr>
            <w:r>
              <w:rPr>
                <w:rFonts w:hint="eastAsia" w:cs="Times New Roman"/>
                <w:b/>
                <w:bCs/>
                <w:color w:val="000000" w:themeColor="text1"/>
                <w:sz w:val="24"/>
                <w:lang w:eastAsia="zh-CN"/>
                <w14:textFill>
                  <w14:solidFill>
                    <w14:schemeClr w14:val="tx1"/>
                  </w14:solidFill>
                </w14:textFill>
              </w:rPr>
              <w:t>（</w:t>
            </w:r>
            <w:r>
              <w:rPr>
                <w:rFonts w:hint="eastAsia" w:cs="Times New Roman"/>
                <w:b/>
                <w:bCs/>
                <w:color w:val="000000" w:themeColor="text1"/>
                <w:sz w:val="24"/>
                <w:lang w:val="en-US" w:eastAsia="zh-CN"/>
                <w14:textFill>
                  <w14:solidFill>
                    <w14:schemeClr w14:val="tx1"/>
                  </w14:solidFill>
                </w14:textFill>
              </w:rPr>
              <w:t>3</w:t>
            </w:r>
            <w:r>
              <w:rPr>
                <w:rFonts w:hint="eastAsia" w:cs="Times New Roman"/>
                <w:b/>
                <w:bCs/>
                <w:color w:val="000000" w:themeColor="text1"/>
                <w:sz w:val="24"/>
                <w:lang w:eastAsia="zh-CN"/>
                <w14:textFill>
                  <w14:solidFill>
                    <w14:schemeClr w14:val="tx1"/>
                  </w14:solidFill>
                </w14:textFill>
              </w:rPr>
              <w:t>）</w:t>
            </w:r>
            <w:r>
              <w:rPr>
                <w:rFonts w:hint="eastAsia" w:cs="Times New Roman"/>
                <w:b/>
                <w:bCs/>
                <w:color w:val="000000" w:themeColor="text1"/>
                <w:sz w:val="24"/>
                <w:lang w:val="en-US" w:eastAsia="zh-CN"/>
                <w14:textFill>
                  <w14:solidFill>
                    <w14:schemeClr w14:val="tx1"/>
                  </w14:solidFill>
                </w14:textFill>
              </w:rPr>
              <w:t>危险废物的收集、暂存、处置要求</w:t>
            </w:r>
          </w:p>
          <w:p w14:paraId="2A6FB529">
            <w:pPr>
              <w:pageBreakBefore w:val="0"/>
              <w:wordWrap/>
              <w:topLinePunct w:val="0"/>
              <w:bidi w:val="0"/>
              <w:adjustRightInd w:val="0"/>
              <w:snapToGrid w:val="0"/>
              <w:spacing w:line="360" w:lineRule="auto"/>
              <w:ind w:firstLine="480" w:firstLineChars="200"/>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本次评价要求建设单位建设1间</w:t>
            </w:r>
            <w:r>
              <w:rPr>
                <w:rFonts w:hint="eastAsia" w:cs="Times New Roman"/>
                <w:b w:val="0"/>
                <w:bCs w:val="0"/>
                <w:color w:val="000000" w:themeColor="text1"/>
                <w:sz w:val="24"/>
                <w:lang w:eastAsia="zh-CN"/>
                <w14:textFill>
                  <w14:solidFill>
                    <w14:schemeClr w14:val="tx1"/>
                  </w14:solidFill>
                </w14:textFill>
              </w:rPr>
              <w:t>危险废物贮存间</w:t>
            </w:r>
            <w:r>
              <w:rPr>
                <w:rFonts w:hint="default" w:ascii="Times New Roman" w:hAnsi="Times New Roman" w:cs="Times New Roman"/>
                <w:b w:val="0"/>
                <w:bCs w:val="0"/>
                <w:color w:val="000000" w:themeColor="text1"/>
                <w:sz w:val="24"/>
                <w14:textFill>
                  <w14:solidFill>
                    <w14:schemeClr w14:val="tx1"/>
                  </w14:solidFill>
                </w14:textFill>
              </w:rPr>
              <w:t>，利用租用厂房进行建设，位于</w:t>
            </w:r>
            <w:r>
              <w:rPr>
                <w:rFonts w:hint="eastAsia" w:cs="Times New Roman"/>
                <w:b w:val="0"/>
                <w:bCs w:val="0"/>
                <w:color w:val="000000" w:themeColor="text1"/>
                <w:sz w:val="24"/>
                <w:lang w:val="en-US" w:eastAsia="zh-CN"/>
                <w14:textFill>
                  <w14:solidFill>
                    <w14:schemeClr w14:val="tx1"/>
                  </w14:solidFill>
                </w14:textFill>
              </w:rPr>
              <w:t>项目生产车间南部</w:t>
            </w:r>
            <w:r>
              <w:rPr>
                <w:rFonts w:hint="default" w:ascii="Times New Roman" w:hAnsi="Times New Roman" w:cs="Times New Roman"/>
                <w:b w:val="0"/>
                <w:bCs w:val="0"/>
                <w:color w:val="000000" w:themeColor="text1"/>
                <w:sz w:val="24"/>
                <w14:textFill>
                  <w14:solidFill>
                    <w14:schemeClr w14:val="tx1"/>
                  </w14:solidFill>
                </w14:textFill>
              </w:rPr>
              <w:t>，占地面积为</w:t>
            </w:r>
            <w:r>
              <w:rPr>
                <w:rFonts w:hint="eastAsia" w:cs="Times New Roman"/>
                <w:b w:val="0"/>
                <w:bCs w:val="0"/>
                <w:color w:val="000000" w:themeColor="text1"/>
                <w:sz w:val="24"/>
                <w:lang w:val="en-US" w:eastAsia="zh-CN"/>
                <w14:textFill>
                  <w14:solidFill>
                    <w14:schemeClr w14:val="tx1"/>
                  </w14:solidFill>
                </w14:textFill>
              </w:rPr>
              <w:t>5</w:t>
            </w:r>
            <w:r>
              <w:rPr>
                <w:rFonts w:hint="default" w:ascii="Times New Roman" w:hAnsi="Times New Roman" w:cs="Times New Roman"/>
                <w:b w:val="0"/>
                <w:bCs w:val="0"/>
                <w:color w:val="000000" w:themeColor="text1"/>
                <w:sz w:val="24"/>
                <w14:textFill>
                  <w14:solidFill>
                    <w14:schemeClr w14:val="tx1"/>
                  </w14:solidFill>
                </w14:textFill>
              </w:rPr>
              <w:t>m</w:t>
            </w:r>
            <w:r>
              <w:rPr>
                <w:rFonts w:hint="default" w:ascii="Times New Roman" w:hAnsi="Times New Roman" w:cs="Times New Roman"/>
                <w:b w:val="0"/>
                <w:bCs w:val="0"/>
                <w:color w:val="000000" w:themeColor="text1"/>
                <w:sz w:val="24"/>
                <w:vertAlign w:val="superscript"/>
                <w14:textFill>
                  <w14:solidFill>
                    <w14:schemeClr w14:val="tx1"/>
                  </w14:solidFill>
                </w14:textFill>
              </w:rPr>
              <w:t>2</w:t>
            </w:r>
            <w:r>
              <w:rPr>
                <w:rFonts w:hint="default" w:ascii="Times New Roman" w:hAnsi="Times New Roman" w:cs="Times New Roman"/>
                <w:b w:val="0"/>
                <w:bCs w:val="0"/>
                <w:color w:val="000000" w:themeColor="text1"/>
                <w:sz w:val="24"/>
                <w14:textFill>
                  <w14:solidFill>
                    <w14:schemeClr w14:val="tx1"/>
                  </w14:solidFill>
                </w14:textFill>
              </w:rPr>
              <w:t>，</w:t>
            </w:r>
            <w:r>
              <w:rPr>
                <w:rFonts w:hint="eastAsia" w:cs="Times New Roman"/>
                <w:b w:val="0"/>
                <w:bCs w:val="0"/>
                <w:color w:val="000000" w:themeColor="text1"/>
                <w:sz w:val="24"/>
                <w:lang w:val="en-US" w:eastAsia="zh-CN"/>
                <w14:textFill>
                  <w14:solidFill>
                    <w14:schemeClr w14:val="tx1"/>
                  </w14:solidFill>
                </w14:textFill>
              </w:rPr>
              <w:t>项目需</w:t>
            </w:r>
            <w:r>
              <w:rPr>
                <w:rFonts w:hint="default" w:ascii="Times New Roman" w:hAnsi="Times New Roman" w:cs="Times New Roman"/>
                <w:b w:val="0"/>
                <w:bCs w:val="0"/>
                <w:color w:val="000000" w:themeColor="text1"/>
                <w:sz w:val="24"/>
                <w:highlight w:val="none"/>
                <w14:textFill>
                  <w14:solidFill>
                    <w14:schemeClr w14:val="tx1"/>
                  </w14:solidFill>
                </w14:textFill>
              </w:rPr>
              <w:t>对危险废物进行收集，不同类别危废需分区堆存于</w:t>
            </w:r>
            <w:r>
              <w:rPr>
                <w:rFonts w:hint="eastAsia" w:cs="Times New Roman"/>
                <w:b w:val="0"/>
                <w:bCs w:val="0"/>
                <w:color w:val="000000" w:themeColor="text1"/>
                <w:sz w:val="24"/>
                <w:highlight w:val="none"/>
                <w:lang w:eastAsia="zh-CN"/>
                <w14:textFill>
                  <w14:solidFill>
                    <w14:schemeClr w14:val="tx1"/>
                  </w14:solidFill>
                </w14:textFill>
              </w:rPr>
              <w:t>危险废物贮存间</w:t>
            </w:r>
            <w:r>
              <w:rPr>
                <w:rFonts w:hint="default" w:ascii="Times New Roman" w:hAnsi="Times New Roman" w:cs="Times New Roman"/>
                <w:b w:val="0"/>
                <w:bCs w:val="0"/>
                <w:color w:val="000000" w:themeColor="text1"/>
                <w:sz w:val="24"/>
                <w:highlight w:val="none"/>
                <w14:textFill>
                  <w14:solidFill>
                    <w14:schemeClr w14:val="tx1"/>
                  </w14:solidFill>
                </w14:textFill>
              </w:rPr>
              <w:t>内，定期委托相关有资质单位进行清运处理</w:t>
            </w:r>
            <w:r>
              <w:rPr>
                <w:rFonts w:hint="eastAsia" w:cs="Times New Roman"/>
                <w:b w:val="0"/>
                <w:bCs w:val="0"/>
                <w:color w:val="000000" w:themeColor="text1"/>
                <w:sz w:val="24"/>
                <w:highlight w:val="none"/>
                <w:lang w:eastAsia="zh-CN"/>
                <w14:textFill>
                  <w14:solidFill>
                    <w14:schemeClr w14:val="tx1"/>
                  </w14:solidFill>
                </w14:textFill>
              </w:rPr>
              <w:t>。</w:t>
            </w:r>
            <w:r>
              <w:rPr>
                <w:rFonts w:hint="eastAsia" w:cs="Times New Roman"/>
                <w:b w:val="0"/>
                <w:bCs w:val="0"/>
                <w:color w:val="000000" w:themeColor="text1"/>
                <w:sz w:val="24"/>
                <w:highlight w:val="none"/>
                <w:lang w:val="en-US" w:eastAsia="zh-CN"/>
                <w14:textFill>
                  <w14:solidFill>
                    <w14:schemeClr w14:val="tx1"/>
                  </w14:solidFill>
                </w14:textFill>
              </w:rPr>
              <w:t>按照《危险废物收集 贮存 运输技术规范》（HJ2025-2012）、《危险废物贮存污染控制标准》（GB18597-2023）中对危废收集、贮存要求，对本项目危险固废日常收集、贮存及管理提出以下要求：</w:t>
            </w:r>
          </w:p>
          <w:p w14:paraId="2F283770">
            <w:pPr>
              <w:pageBreakBefore w:val="0"/>
              <w:wordWrap/>
              <w:topLinePunct w:val="0"/>
              <w:bidi w:val="0"/>
              <w:adjustRightInd w:val="0"/>
              <w:snapToGrid w:val="0"/>
              <w:spacing w:line="360" w:lineRule="auto"/>
              <w:ind w:firstLine="480" w:firstLineChars="200"/>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1）危废收集、暂存控制要求</w:t>
            </w:r>
          </w:p>
          <w:p w14:paraId="072C071A">
            <w:pPr>
              <w:keepNext w:val="0"/>
              <w:keepLines w:val="0"/>
              <w:pageBreakBefore w:val="0"/>
              <w:widowControl w:val="0"/>
              <w:kinsoku/>
              <w:overflowPunct/>
              <w:topLinePunct w:val="0"/>
              <w:autoSpaceDE/>
              <w:autoSpaceDN/>
              <w:bidi w:val="0"/>
              <w:adjustRightInd w:val="0"/>
              <w:snapToGrid w:val="0"/>
              <w:spacing w:line="360" w:lineRule="auto"/>
              <w:ind w:firstLine="482" w:firstLineChars="200"/>
              <w:jc w:val="both"/>
              <w:rPr>
                <w:rFonts w:hint="default" w:ascii="Times New Roman" w:hAnsi="Times New Roman" w:eastAsia="宋体" w:cs="Times New Roman"/>
                <w:b/>
                <w:bCs/>
                <w:caps w:val="0"/>
                <w:smallCap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2"/>
                <w:sz w:val="24"/>
                <w:szCs w:val="24"/>
                <w:highlight w:val="none"/>
                <w:lang w:val="en-US" w:eastAsia="zh-CN" w:bidi="ar-SA"/>
                <w14:textFill>
                  <w14:solidFill>
                    <w14:schemeClr w14:val="tx1"/>
                  </w14:solidFill>
                </w14:textFill>
              </w:rPr>
              <w:t>①总体要求</w:t>
            </w:r>
          </w:p>
          <w:p w14:paraId="267B65ED">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t>根据《危险废物贮存污染控制标准》（GB18597-2023），产生、收集、贮存危险废物的单位应建造危险废物贮存设施或贮存场所，并根据需要选择贮存设施类型；贮存危险废物应根据危险废物的类型、数量、形态、物理化学性质和环境风险等因素，确定贮存设施或场所类型和规模；应根据危险废物的类别、形态、物理化学性质和污染防治要求进行分类贮存，且应避免危险废物与不相容的物质或者材料接触；应根据危险废物的形态、物理化学性质、包装形式和污染迁移途径，采取措施减少渗滤液及其衍生废物、渗漏的液态废物、粉尘、VOCs、酸雾、有毒有害大气污染物和刺激性气味气体等污染物的产生，防止其污染环境；危险废物贮存过程</w:t>
            </w:r>
            <w:r>
              <w:rPr>
                <w:rFonts w:hint="eastAsia" w:cs="Times New Roman"/>
                <w:caps w:val="0"/>
                <w:smallCaps w:val="0"/>
                <w:color w:val="000000" w:themeColor="text1"/>
                <w:kern w:val="2"/>
                <w:sz w:val="24"/>
                <w:szCs w:val="24"/>
                <w:highlight w:val="none"/>
                <w:lang w:val="en-US" w:eastAsia="zh-CN" w:bidi="ar-SA"/>
                <w14:textFill>
                  <w14:solidFill>
                    <w14:schemeClr w14:val="tx1"/>
                  </w14:solidFill>
                </w14:textFill>
              </w:rPr>
              <w:t>中</w:t>
            </w:r>
            <w:r>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t>产生的液态废物和固态废物应分类收集，按其环境管理要求妥善处置；贮存设施或场所、容器和包装物应按HJ 1276要求设置危险废物贮存设施或场所标志、危险废物贮存分区标志和危险废物标签等危险废物识别标志。</w:t>
            </w:r>
          </w:p>
          <w:p w14:paraId="7F705FD9">
            <w:pPr>
              <w:keepNext w:val="0"/>
              <w:keepLines w:val="0"/>
              <w:pageBreakBefore w:val="0"/>
              <w:widowControl w:val="0"/>
              <w:kinsoku/>
              <w:overflowPunct/>
              <w:topLinePunct w:val="0"/>
              <w:autoSpaceDE/>
              <w:autoSpaceDN/>
              <w:bidi w:val="0"/>
              <w:adjustRightInd w:val="0"/>
              <w:snapToGrid w:val="0"/>
              <w:spacing w:line="360" w:lineRule="auto"/>
              <w:ind w:firstLine="482" w:firstLineChars="200"/>
              <w:jc w:val="both"/>
              <w:rPr>
                <w:rFonts w:hint="default" w:ascii="Times New Roman" w:hAnsi="Times New Roman" w:eastAsia="宋体" w:cs="Times New Roman"/>
                <w:b/>
                <w:bCs/>
                <w:caps w:val="0"/>
                <w:smallCap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2"/>
                <w:sz w:val="24"/>
                <w:szCs w:val="24"/>
                <w:highlight w:val="none"/>
                <w:lang w:val="en-US" w:eastAsia="zh-CN" w:bidi="ar-SA"/>
                <w14:textFill>
                  <w14:solidFill>
                    <w14:schemeClr w14:val="tx1"/>
                  </w14:solidFill>
                </w14:textFill>
              </w:rPr>
              <w:t>②贮存设施污染控制要求</w:t>
            </w:r>
          </w:p>
          <w:p w14:paraId="5A8226C6">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t>A.根据形态、物理化学性质、包装形式和污染物迁移途径，采取必要的防风、防晒、防雨、防渗、防腐以及其他环境污染防治措施，不应露天堆放危险废物；</w:t>
            </w:r>
          </w:p>
          <w:p w14:paraId="54F7D689">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t>B.应根据危险废物的类别、数量、形态、物理化学性质和污染防治等要求设置必要的贮存分区，避免不相容的危险废物接触、混合。</w:t>
            </w:r>
          </w:p>
          <w:p w14:paraId="71A98717">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t>C.贮存设施或贮存分区内地面、墙面裙脚、堵截泄漏的围堰、接触危险废物的隔板和墙体等应采用坚固的材料建造，表面无裂缝。</w:t>
            </w:r>
          </w:p>
          <w:p w14:paraId="7E8C720E">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t>D.贮存设施地面与裙脚应采取表面防渗措施；表面防渗材料应与所接触的物料或污染物相容，可采用抗渗混凝土、高密度聚乙烯膜、钠基膨润土防水毡或其他防渗性能等效的材料；贮存的危险废物直接接触地面的，还应进行基础防渗，防渗层为至少1m厚黏土层（渗透系数≤10</w:t>
            </w:r>
            <w:r>
              <w:rPr>
                <w:rFonts w:hint="default" w:ascii="Times New Roman" w:hAnsi="Times New Roman" w:eastAsia="宋体" w:cs="Times New Roman"/>
                <w:caps w:val="0"/>
                <w:smallCaps w:val="0"/>
                <w:color w:val="000000" w:themeColor="text1"/>
                <w:kern w:val="2"/>
                <w:sz w:val="24"/>
                <w:szCs w:val="24"/>
                <w:highlight w:val="none"/>
                <w:vertAlign w:val="superscript"/>
                <w:lang w:val="en-US" w:eastAsia="zh-CN" w:bidi="ar-SA"/>
                <w14:textFill>
                  <w14:solidFill>
                    <w14:schemeClr w14:val="tx1"/>
                  </w14:solidFill>
                </w14:textFill>
              </w:rPr>
              <w:t>-7</w:t>
            </w:r>
            <w:r>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t>cm/s），或至少2mm厚高密度聚乙烯膜等人工防渗材料（渗透系数≤10</w:t>
            </w:r>
            <w:r>
              <w:rPr>
                <w:rFonts w:hint="default" w:ascii="Times New Roman" w:hAnsi="Times New Roman" w:eastAsia="宋体" w:cs="Times New Roman"/>
                <w:caps w:val="0"/>
                <w:smallCaps w:val="0"/>
                <w:color w:val="000000" w:themeColor="text1"/>
                <w:kern w:val="2"/>
                <w:sz w:val="24"/>
                <w:szCs w:val="24"/>
                <w:highlight w:val="none"/>
                <w:vertAlign w:val="superscript"/>
                <w:lang w:val="en-US" w:eastAsia="zh-CN" w:bidi="ar-SA"/>
                <w14:textFill>
                  <w14:solidFill>
                    <w14:schemeClr w14:val="tx1"/>
                  </w14:solidFill>
                </w14:textFill>
              </w:rPr>
              <w:t>-10</w:t>
            </w:r>
            <w:r>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t>cm/s），或其他防渗性能等效的材料。</w:t>
            </w:r>
          </w:p>
          <w:p w14:paraId="7E0EADDC">
            <w:pPr>
              <w:keepNext w:val="0"/>
              <w:keepLines w:val="0"/>
              <w:pageBreakBefore w:val="0"/>
              <w:kinsoku/>
              <w:overflowPunct/>
              <w:topLinePunct w:val="0"/>
              <w:autoSpaceDE/>
              <w:autoSpaceDN/>
              <w:bidi w:val="0"/>
              <w:adjustRightInd w:val="0"/>
              <w:snapToGrid w:val="0"/>
              <w:spacing w:line="360" w:lineRule="auto"/>
              <w:ind w:firstLine="480" w:firstLineChars="200"/>
              <w:rPr>
                <w:rFonts w:hint="default" w:ascii="Times New Roman" w:hAnsi="Times New Roman" w:eastAsia="宋体" w:cs="Times New Roman"/>
                <w:caps w:val="0"/>
                <w:smallCaps w:val="0"/>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caps w:val="0"/>
                <w:smallCaps w:val="0"/>
                <w:color w:val="000000" w:themeColor="text1"/>
                <w:kern w:val="2"/>
                <w:sz w:val="24"/>
                <w:szCs w:val="24"/>
                <w:highlight w:val="none"/>
                <w:lang w:val="en-US" w:eastAsia="zh-CN"/>
                <w14:textFill>
                  <w14:solidFill>
                    <w14:schemeClr w14:val="tx1"/>
                  </w14:solidFill>
                </w14:textFill>
              </w:rPr>
              <w:t>E</w:t>
            </w:r>
            <w:r>
              <w:rPr>
                <w:rFonts w:hint="default" w:ascii="Times New Roman" w:hAnsi="Times New Roman" w:eastAsia="宋体" w:cs="Times New Roman"/>
                <w:caps w:val="0"/>
                <w:smallCaps w:val="0"/>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aps w:val="0"/>
                <w:smallCaps w:val="0"/>
                <w:color w:val="000000" w:themeColor="text1"/>
                <w:kern w:val="2"/>
                <w:sz w:val="24"/>
                <w:szCs w:val="24"/>
                <w:highlight w:val="none"/>
                <w:lang w:val="en-US" w:eastAsia="zh-CN"/>
                <w14:textFill>
                  <w14:solidFill>
                    <w14:schemeClr w14:val="tx1"/>
                  </w14:solidFill>
                </w14:textFill>
              </w:rPr>
              <w:t>同一暂存间宜采用相同的防渗、防腐工艺（包括防渗、防腐结构或材料），防渗、防腐材料应覆盖所有可能与废物及其渗滤液、渗漏液等接触的构筑物表面；采用不同防渗、防腐工艺应分别建设贮存分区。</w:t>
            </w:r>
          </w:p>
          <w:p w14:paraId="4431DF3E">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t>F贮存设施应采取技术和管理措施防止无关人员进入。</w:t>
            </w:r>
          </w:p>
          <w:p w14:paraId="7FB5DBB0">
            <w:pPr>
              <w:keepNext w:val="0"/>
              <w:keepLines w:val="0"/>
              <w:pageBreakBefore w:val="0"/>
              <w:widowControl w:val="0"/>
              <w:kinsoku/>
              <w:overflowPunct/>
              <w:topLinePunct w:val="0"/>
              <w:autoSpaceDE/>
              <w:autoSpaceDN/>
              <w:bidi w:val="0"/>
              <w:adjustRightInd w:val="0"/>
              <w:snapToGrid w:val="0"/>
              <w:spacing w:line="360" w:lineRule="auto"/>
              <w:ind w:firstLine="482" w:firstLineChars="200"/>
              <w:jc w:val="both"/>
              <w:rPr>
                <w:rFonts w:hint="default" w:ascii="Times New Roman" w:hAnsi="Times New Roman" w:eastAsia="宋体" w:cs="Times New Roman"/>
                <w:b/>
                <w:bCs/>
                <w:caps w:val="0"/>
                <w:smallCap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2"/>
                <w:sz w:val="24"/>
                <w:szCs w:val="24"/>
                <w:highlight w:val="none"/>
                <w:lang w:val="en-US" w:eastAsia="zh-CN" w:bidi="ar-SA"/>
                <w14:textFill>
                  <w14:solidFill>
                    <w14:schemeClr w14:val="tx1"/>
                  </w14:solidFill>
                </w14:textFill>
              </w:rPr>
              <w:t>③贮存过程污染控制要求</w:t>
            </w:r>
          </w:p>
          <w:p w14:paraId="0B7DCD68">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t>A.在常温常压下不易水解、不易挥发的固态危险废物可分类堆放贮存，其他固态危险废物应装入容器或包装物内贮存；液态危险废物应装入容器内贮存，或直接采用贮存池、贮存罐区贮存；半固态危险废物应装入容器或包装袋内贮存，或直接采用贮存池贮存；具有热塑性的危险废物应装入容器或包装袋内进行贮存；易产生粉尘、VOCs、酸雾、有毒有害大气污染物和刺激性气味气体的危险废物应装入闭口容器或包装物内贮存；危险废物贮存过程中易产生粉尘等无组织排放的，应采取抑尘等有效措施。</w:t>
            </w:r>
          </w:p>
          <w:p w14:paraId="447C7EA2">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t>B.贮存设施运行环境管理要求</w:t>
            </w:r>
          </w:p>
          <w:p w14:paraId="7DD137A9">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t>a.危险废物存入贮存设施前应对危险废物类别和特性与危险废物标签等危险废物识别标志的一致性进行核验，不一致的或类别、特性不明的不应存入；</w:t>
            </w:r>
          </w:p>
          <w:p w14:paraId="6B046B5F">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t>b.应定期检查危险废物的贮存状况，及时清理贮存设施地面，更换破损泄漏的危险废物贮存容器和包装物，保证堆存危险废物的防雨、防风、防扬尘等设施功能完好；</w:t>
            </w:r>
          </w:p>
          <w:p w14:paraId="0DEE343E">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t>c.作业设备及车辆等结束作业离开贮存设施时，应对其残留的危险废物进行清理，清理的废物或清洗废水应收集处理；</w:t>
            </w:r>
          </w:p>
          <w:p w14:paraId="7E415B93">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t>d.贮存设施运行期间，应按国家有关标准和规定建立危险废物管理台账并保存；</w:t>
            </w:r>
          </w:p>
          <w:p w14:paraId="7BCAE97C">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t>e.贮存设施所有者或运营者应建立贮存设施环境管理制度、管理人员岗位职责制度、设施运行操作制度、人员岗位培训制度等；</w:t>
            </w:r>
          </w:p>
          <w:p w14:paraId="4A1C5E78">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t>f.贮存设施所有者或运营者应依据国家土壤和地下水污染防治的有关规定，结合贮存设施特点建立土壤和地下水污染隐患排查制度，并定期开展隐患排查；发现隐患应及时采取措施消除隐患，并建立档案；</w:t>
            </w:r>
          </w:p>
          <w:p w14:paraId="62049DFA">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aps w:val="0"/>
                <w:smallCaps w:val="0"/>
                <w:color w:val="000000" w:themeColor="text1"/>
                <w:kern w:val="2"/>
                <w:sz w:val="24"/>
                <w:szCs w:val="24"/>
                <w:highlight w:val="none"/>
                <w:lang w:val="en-US" w:eastAsia="zh-CN" w:bidi="ar-SA"/>
                <w14:textFill>
                  <w14:solidFill>
                    <w14:schemeClr w14:val="tx1"/>
                  </w14:solidFill>
                </w14:textFill>
              </w:rPr>
              <w:t>g.贮存设施所有者或运营者应建立贮存设施全部档案，包括设计、施工、验收、运行、监测和环境应急等，应按国家有关档案管理的法律法规进行整理和归档。</w:t>
            </w:r>
          </w:p>
          <w:p w14:paraId="6A15893F">
            <w:pPr>
              <w:spacing w:line="360" w:lineRule="auto"/>
              <w:ind w:firstLine="422" w:firstLineChars="200"/>
              <w:rPr>
                <w:rFonts w:hint="default" w:ascii="Times New Roman" w:hAnsi="Times New Roman" w:eastAsia="宋体" w:cs="Times New Roman"/>
                <w:b/>
                <w:bCs/>
                <w:i w:val="0"/>
                <w:iCs/>
                <w:caps w:val="0"/>
                <w:smallCap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aps w:val="0"/>
                <w:smallCaps w:val="0"/>
                <w:color w:val="000000" w:themeColor="text1"/>
                <w:highlight w:val="none"/>
                <w:lang w:val="en-US" w:eastAsia="zh-CN"/>
                <w14:textFill>
                  <w14:solidFill>
                    <w14:schemeClr w14:val="tx1"/>
                  </w14:solidFill>
                </w14:textFill>
              </w:rPr>
              <w:t>2）</w:t>
            </w:r>
            <w:r>
              <w:rPr>
                <w:rFonts w:hint="default" w:ascii="Times New Roman" w:hAnsi="Times New Roman" w:eastAsia="宋体" w:cs="Times New Roman"/>
                <w:b/>
                <w:bCs/>
                <w:i w:val="0"/>
                <w:iCs/>
                <w:caps w:val="0"/>
                <w:smallCaps w:val="0"/>
                <w:color w:val="000000" w:themeColor="text1"/>
                <w:sz w:val="24"/>
                <w:szCs w:val="24"/>
                <w:highlight w:val="none"/>
                <w:lang w:val="en-US" w:eastAsia="zh-CN"/>
                <w14:textFill>
                  <w14:solidFill>
                    <w14:schemeClr w14:val="tx1"/>
                  </w14:solidFill>
                </w14:textFill>
              </w:rPr>
              <w:t>危废的管理及转移登记</w:t>
            </w:r>
          </w:p>
          <w:p w14:paraId="7CDF94F1">
            <w:pPr>
              <w:spacing w:line="360" w:lineRule="auto"/>
              <w:ind w:firstLine="480" w:firstLineChars="200"/>
              <w:rPr>
                <w:rFonts w:hint="default" w:ascii="Times New Roman" w:hAnsi="Times New Roman" w:eastAsia="宋体" w:cs="Times New Roman"/>
                <w:caps w:val="0"/>
                <w:smallCaps w:val="0"/>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aps w:val="0"/>
                <w:smallCaps w:val="0"/>
                <w:color w:val="000000" w:themeColor="text1"/>
                <w:sz w:val="24"/>
                <w:szCs w:val="24"/>
                <w:highlight w:val="none"/>
                <w:lang w:eastAsia="zh-CN"/>
                <w14:textFill>
                  <w14:solidFill>
                    <w14:schemeClr w14:val="tx1"/>
                  </w14:solidFill>
                </w14:textFill>
              </w:rPr>
              <w:t>项目日常运营中，不得将不相容的废物混合存放，必须定期对危险废物包装容器和贮存设施进行检查，发现破损，应及时采取措施清理更换，各类危险废物的贮存不得超过1年。</w:t>
            </w:r>
          </w:p>
          <w:p w14:paraId="6C5FED74">
            <w:pPr>
              <w:spacing w:line="360" w:lineRule="auto"/>
              <w:ind w:firstLine="480" w:firstLineChars="200"/>
              <w:rPr>
                <w:rFonts w:hint="default" w:ascii="Times New Roman" w:hAnsi="Times New Roman" w:eastAsia="宋体" w:cs="Times New Roman"/>
                <w:caps w:val="0"/>
                <w:smallCaps w:val="0"/>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aps w:val="0"/>
                <w:smallCaps w:val="0"/>
                <w:color w:val="000000" w:themeColor="text1"/>
                <w:sz w:val="24"/>
                <w:szCs w:val="24"/>
                <w:highlight w:val="none"/>
                <w:lang w:eastAsia="zh-CN"/>
                <w14:textFill>
                  <w14:solidFill>
                    <w14:schemeClr w14:val="tx1"/>
                  </w14:solidFill>
                </w14:textFill>
              </w:rPr>
              <w:t>①项目建设单位应编制危险废物管理计划，管理计划应包括减少危废产生量和危害性的措施，危废贮存、处置措施的相关内容。管理计划应按要求上报主管环保部门备案；转移危险废物的，应当通过国家危险废物信息管理系统（以下简称信息系统）填写、运行危险废物电子转移联单，并依照国家有关规定公开危险废物转移相关污染环境防治信息</w:t>
            </w:r>
          </w:p>
          <w:p w14:paraId="4E71066A">
            <w:pPr>
              <w:spacing w:line="360" w:lineRule="auto"/>
              <w:ind w:firstLine="480" w:firstLineChars="200"/>
              <w:rPr>
                <w:rFonts w:hint="default" w:ascii="Times New Roman" w:hAnsi="Times New Roman" w:eastAsia="宋体" w:cs="Times New Roman"/>
                <w:caps w:val="0"/>
                <w:smallCaps w:val="0"/>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aps w:val="0"/>
                <w:smallCaps w:val="0"/>
                <w:color w:val="000000" w:themeColor="text1"/>
                <w:sz w:val="24"/>
                <w:szCs w:val="24"/>
                <w:highlight w:val="none"/>
                <w:lang w:eastAsia="zh-CN"/>
                <w14:textFill>
                  <w14:solidFill>
                    <w14:schemeClr w14:val="tx1"/>
                  </w14:solidFill>
                </w14:textFill>
              </w:rPr>
              <w:t>②建设单位应严格按照《危险废物转移管理办法》（</w:t>
            </w:r>
            <w:r>
              <w:rPr>
                <w:rFonts w:hint="default" w:ascii="Times New Roman" w:hAnsi="Times New Roman" w:eastAsia="宋体" w:cs="Times New Roman"/>
                <w:caps w:val="0"/>
                <w:smallCaps w:val="0"/>
                <w:color w:val="000000" w:themeColor="text1"/>
                <w:sz w:val="24"/>
                <w:szCs w:val="24"/>
                <w:highlight w:val="none"/>
                <w:lang w:val="en-US" w:eastAsia="zh-CN"/>
                <w14:textFill>
                  <w14:solidFill>
                    <w14:schemeClr w14:val="tx1"/>
                  </w14:solidFill>
                </w14:textFill>
              </w:rPr>
              <w:t>部令 第23号</w:t>
            </w:r>
            <w:r>
              <w:rPr>
                <w:rFonts w:hint="default" w:ascii="Times New Roman" w:hAnsi="Times New Roman" w:eastAsia="宋体" w:cs="Times New Roman"/>
                <w:caps w:val="0"/>
                <w:smallCaps w:val="0"/>
                <w:color w:val="000000" w:themeColor="text1"/>
                <w:sz w:val="24"/>
                <w:szCs w:val="24"/>
                <w:highlight w:val="none"/>
                <w:lang w:eastAsia="zh-CN"/>
                <w14:textFill>
                  <w14:solidFill>
                    <w14:schemeClr w14:val="tx1"/>
                  </w14:solidFill>
                </w14:textFill>
              </w:rPr>
              <w:t>）的相关规定，在转移危险废物前，向环保部门报批危险废物转移计划，经批准后，按要求如实填写转移联单，并存档备查；</w:t>
            </w:r>
          </w:p>
          <w:p w14:paraId="0BE61CEF">
            <w:pPr>
              <w:spacing w:line="360" w:lineRule="auto"/>
              <w:ind w:firstLine="480" w:firstLineChars="200"/>
              <w:rPr>
                <w:rFonts w:hint="default" w:ascii="Times New Roman" w:hAnsi="Times New Roman" w:eastAsia="宋体" w:cs="Times New Roman"/>
                <w:caps w:val="0"/>
                <w:smallCaps w:val="0"/>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aps w:val="0"/>
                <w:smallCaps w:val="0"/>
                <w:color w:val="000000" w:themeColor="text1"/>
                <w:sz w:val="24"/>
                <w:szCs w:val="24"/>
                <w:highlight w:val="none"/>
                <w:lang w:eastAsia="zh-CN"/>
                <w14:textFill>
                  <w14:solidFill>
                    <w14:schemeClr w14:val="tx1"/>
                  </w14:solidFill>
                </w14:textFill>
              </w:rPr>
              <w:t>③危险废物转移联单应当根据危险废物管理计划中填报的危险废物转移等备案信息填写、运行。移出人每转移一车（船或者其他运输工具）次同类危险废物，应当填写、运行一份危险废物转移联单；每车（船或者其他运输工具）次转移多类危险废物的，可以填写、运行一份危险废物转移联单，也可以每一类危险废物填写、运行一份危险废物转移联单。使用同一车（船或者其他运输工具）一次为多个移出人转移危险废物的，每个移出人应当分别填写、运行危险废物转移联单。危险废物电子转移联单数据应当在信息系统中至少保存十年，因特殊原因无法运行危险废物电子转移联单的，可以先使用纸质转移联单，并于转移活动完成后十个工作日内在信息系统中补录电子转移联单。</w:t>
            </w:r>
          </w:p>
          <w:p w14:paraId="0DF490D0">
            <w:pPr>
              <w:spacing w:line="360" w:lineRule="auto"/>
              <w:ind w:firstLine="480" w:firstLineChars="200"/>
              <w:rPr>
                <w:rFonts w:hint="default" w:ascii="Times New Roman" w:hAnsi="Times New Roman" w:eastAsia="宋体" w:cs="Times New Roman"/>
                <w:caps w:val="0"/>
                <w:smallCaps w:val="0"/>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aps w:val="0"/>
                <w:smallCaps w:val="0"/>
                <w:color w:val="000000" w:themeColor="text1"/>
                <w:sz w:val="24"/>
                <w:szCs w:val="24"/>
                <w:highlight w:val="none"/>
                <w:lang w:eastAsia="zh-CN"/>
                <w14:textFill>
                  <w14:solidFill>
                    <w14:schemeClr w14:val="tx1"/>
                  </w14:solidFill>
                </w14:textFill>
              </w:rPr>
              <w:t>④建设单位应建立危险废物产生记录台账，定期核查自行贮存和处置的危险废物记录及相关证明材料，妥善保存规定期限内的危废转移联单及危废处置协议等相关资料。</w:t>
            </w:r>
          </w:p>
          <w:p w14:paraId="0C1970D5">
            <w:pPr>
              <w:pageBreakBefore w:val="0"/>
              <w:wordWrap/>
              <w:topLinePunct w:val="0"/>
              <w:bidi w:val="0"/>
              <w:adjustRightInd w:val="0"/>
              <w:snapToGrid w:val="0"/>
              <w:spacing w:line="360" w:lineRule="auto"/>
              <w:ind w:firstLine="480" w:firstLineChars="200"/>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eastAsia="宋体" w:cs="Times New Roman"/>
                <w:caps w:val="0"/>
                <w:smallCaps w:val="0"/>
                <w:color w:val="000000" w:themeColor="text1"/>
                <w:sz w:val="24"/>
                <w:szCs w:val="24"/>
                <w:highlight w:val="none"/>
                <w:lang w:val="en-US" w:eastAsia="zh-CN"/>
                <w14:textFill>
                  <w14:solidFill>
                    <w14:schemeClr w14:val="tx1"/>
                  </w14:solidFill>
                </w14:textFill>
              </w:rPr>
              <w:t>本项目须严格执行《中华人民共和国固体废物污染环境防治法》及相关地方法规要求，对产生的各类固体废物实施分类收集、规范贮存和合法处置。危险废物应落实防渗、防雨、防晒等措施，在专用危废贮存间内分区、密闭存放，按规范设置识别标志，建立台账并强化日产日清管理，委托有资质单位合规处置，严防流失、渗漏及扬散，切实防范环境风险。一般工业固废优先资源化利用，生活垃圾纳入环卫系统统一处理</w:t>
            </w:r>
            <w:r>
              <w:rPr>
                <w:rFonts w:hint="eastAsia" w:cs="Times New Roman"/>
                <w:caps w:val="0"/>
                <w:smallCaps w:val="0"/>
                <w:color w:val="000000" w:themeColor="text1"/>
                <w:sz w:val="24"/>
                <w:szCs w:val="24"/>
                <w:highlight w:val="none"/>
                <w:lang w:val="en-US" w:eastAsia="zh-CN"/>
                <w14:textFill>
                  <w14:solidFill>
                    <w14:schemeClr w14:val="tx1"/>
                  </w14:solidFill>
                </w14:textFill>
              </w:rPr>
              <w:t>。</w:t>
            </w:r>
          </w:p>
          <w:p w14:paraId="7DACDA9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sz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lang w:val="en-US" w:eastAsia="zh-CN"/>
                <w14:textFill>
                  <w14:solidFill>
                    <w14:schemeClr w14:val="tx1"/>
                  </w14:solidFill>
                </w14:textFill>
              </w:rPr>
              <w:t>五、</w:t>
            </w:r>
            <w:r>
              <w:rPr>
                <w:rFonts w:hint="default" w:ascii="Times New Roman" w:hAnsi="Times New Roman" w:eastAsia="宋体" w:cs="Times New Roman"/>
                <w:b/>
                <w:bCs/>
                <w:color w:val="000000" w:themeColor="text1"/>
                <w:sz w:val="24"/>
                <w:lang w:val="en-US" w:eastAsia="zh-CN"/>
                <w14:textFill>
                  <w14:solidFill>
                    <w14:schemeClr w14:val="tx1"/>
                  </w14:solidFill>
                </w14:textFill>
              </w:rPr>
              <w:t>地下水</w:t>
            </w:r>
            <w:r>
              <w:rPr>
                <w:rFonts w:hint="eastAsia" w:ascii="Times New Roman" w:hAnsi="Times New Roman" w:eastAsia="宋体" w:cs="Times New Roman"/>
                <w:b/>
                <w:bCs/>
                <w:color w:val="000000" w:themeColor="text1"/>
                <w:sz w:val="24"/>
                <w:lang w:val="en-US" w:eastAsia="zh-CN"/>
                <w14:textFill>
                  <w14:solidFill>
                    <w14:schemeClr w14:val="tx1"/>
                  </w14:solidFill>
                </w14:textFill>
              </w:rPr>
              <w:t>、土壤</w:t>
            </w:r>
            <w:r>
              <w:rPr>
                <w:rFonts w:hint="default" w:ascii="Times New Roman" w:hAnsi="Times New Roman" w:eastAsia="宋体" w:cs="Times New Roman"/>
                <w:b/>
                <w:bCs/>
                <w:color w:val="000000" w:themeColor="text1"/>
                <w:sz w:val="24"/>
                <w:lang w:val="en-US" w:eastAsia="zh-CN"/>
                <w14:textFill>
                  <w14:solidFill>
                    <w14:schemeClr w14:val="tx1"/>
                  </w14:solidFill>
                </w14:textFill>
              </w:rPr>
              <w:t>环境影响</w:t>
            </w:r>
            <w:r>
              <w:rPr>
                <w:rFonts w:hint="eastAsia" w:ascii="Times New Roman" w:hAnsi="Times New Roman" w:eastAsia="宋体" w:cs="Times New Roman"/>
                <w:b/>
                <w:bCs/>
                <w:color w:val="000000" w:themeColor="text1"/>
                <w:sz w:val="24"/>
                <w:lang w:val="en-US" w:eastAsia="zh-CN"/>
                <w14:textFill>
                  <w14:solidFill>
                    <w14:schemeClr w14:val="tx1"/>
                  </w14:solidFill>
                </w14:textFill>
              </w:rPr>
              <w:t>及防治措施分析</w:t>
            </w:r>
          </w:p>
          <w:p w14:paraId="57BF0B5B">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根据《环境影响评价技术导则 地下水环境》（HJ610-2016）中的附录A</w:t>
            </w:r>
            <w:r>
              <w:rPr>
                <w:rFonts w:hint="eastAsia"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地下水环境影响评价行业分类表</w:t>
            </w:r>
            <w:r>
              <w:rPr>
                <w:rFonts w:hint="eastAsia" w:cs="Times New Roman"/>
                <w:color w:val="000000" w:themeColor="text1"/>
                <w:sz w:val="24"/>
                <w:szCs w:val="24"/>
                <w:lang w:val="en-US" w:eastAsia="zh-CN"/>
                <w14:textFill>
                  <w14:solidFill>
                    <w14:schemeClr w14:val="tx1"/>
                  </w14:solidFill>
                </w14:textFill>
              </w:rPr>
              <w:t>”，本项目属于“N轻工”中的“116 塑料制品制造”，确定项目属于地下水影响评价Ⅳ类项目，无需开展地下水环境影响评价工作。在此仅作定性分析，简要分析地下水环境影响。</w:t>
            </w:r>
          </w:p>
          <w:p w14:paraId="0964ACA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对照《环境影响评价技术导则 土壤环境（试行）》（HJ964-2018），本项目属于附录A中的其他</w:t>
            </w:r>
            <w:r>
              <w:rPr>
                <w:rFonts w:hint="eastAsia" w:cs="Times New Roman"/>
                <w:color w:val="000000" w:themeColor="text1"/>
                <w:sz w:val="24"/>
                <w:szCs w:val="24"/>
                <w:lang w:val="en-US" w:eastAsia="zh-CN"/>
                <w14:textFill>
                  <w14:solidFill>
                    <w14:schemeClr w14:val="tx1"/>
                  </w14:solidFill>
                </w14:textFill>
              </w:rPr>
              <w:t>行业</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，为Ⅳ类建设项目</w:t>
            </w:r>
            <w:r>
              <w:rPr>
                <w:rFonts w:hint="eastAsia"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其中Ⅳ类建设项目可不开展土壤环境影响评价</w:t>
            </w:r>
            <w:r>
              <w:rPr>
                <w:rFonts w:hint="eastAsia"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在此仅作定性分析，简要分析</w:t>
            </w:r>
            <w:r>
              <w:rPr>
                <w:rFonts w:hint="eastAsia" w:cs="Times New Roman"/>
                <w:color w:val="000000" w:themeColor="text1"/>
                <w:sz w:val="24"/>
                <w:szCs w:val="24"/>
                <w:lang w:val="en-US" w:eastAsia="zh-CN"/>
                <w14:textFill>
                  <w14:solidFill>
                    <w14:schemeClr w14:val="tx1"/>
                  </w14:solidFill>
                </w14:textFill>
              </w:rPr>
              <w:t>土壤</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环境影响。</w:t>
            </w:r>
          </w:p>
          <w:p w14:paraId="687A67F5">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针对可能发生的地下水污染，项目污染防治措施以</w:t>
            </w:r>
            <w:r>
              <w:rPr>
                <w:rFonts w:hint="eastAsia"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源头控制、分区防渗、污染监控、应急响应</w:t>
            </w:r>
            <w:r>
              <w:rPr>
                <w:rFonts w:hint="eastAsia"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相结合的原则，从污染物的产生、入渗、扩散、应急响应全方位进行防控。</w:t>
            </w:r>
          </w:p>
          <w:p w14:paraId="10629651">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（1）源头控制措施</w:t>
            </w:r>
          </w:p>
          <w:p w14:paraId="1F7FC75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营运期间加强管理，主要污染源包括危险废物贮存间，降低和防止污染物跑、冒、滴、漏，将污染物泄漏的环境风险事故降低到最低程度。</w:t>
            </w:r>
          </w:p>
          <w:p w14:paraId="5ADB75AD">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（2）分区防渗</w:t>
            </w:r>
          </w:p>
          <w:p w14:paraId="3DA0969D">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根据现场踏勘，环评提出将项目区分为重点防渗区和简单防渗区，进行防渗。</w:t>
            </w:r>
          </w:p>
          <w:p w14:paraId="2550813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重点防渗</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危险废物贮存间</w:t>
            </w:r>
            <w:r>
              <w:rPr>
                <w:rFonts w:hint="default" w:ascii="Times New Roman" w:hAnsi="Times New Roman" w:eastAsia="宋体" w:cs="Times New Roman"/>
                <w:color w:val="000000" w:themeColor="text1"/>
                <w:spacing w:val="8"/>
                <w:sz w:val="24"/>
                <w:szCs w:val="24"/>
                <w14:textFill>
                  <w14:solidFill>
                    <w14:schemeClr w14:val="tx1"/>
                  </w14:solidFill>
                </w14:textFill>
              </w:rPr>
              <w:t>按照《危险废物贮存污染控制标准》</w:t>
            </w:r>
            <w:r>
              <w:rPr>
                <w:rFonts w:hint="default" w:ascii="Times New Roman" w:hAnsi="Times New Roman" w:eastAsia="宋体" w:cs="Times New Roman"/>
                <w:color w:val="000000" w:themeColor="text1"/>
                <w:spacing w:val="9"/>
                <w:sz w:val="24"/>
                <w:szCs w:val="24"/>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GB</w:t>
            </w:r>
            <w:r>
              <w:rPr>
                <w:rFonts w:hint="default" w:ascii="Times New Roman" w:hAnsi="Times New Roman" w:eastAsia="宋体" w:cs="Times New Roman"/>
                <w:color w:val="000000" w:themeColor="text1"/>
                <w:spacing w:val="9"/>
                <w:sz w:val="24"/>
                <w:szCs w:val="24"/>
                <w14:textFill>
                  <w14:solidFill>
                    <w14:schemeClr w14:val="tx1"/>
                  </w14:solidFill>
                </w14:textFill>
              </w:rPr>
              <w:t>18597-2023）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9"/>
                <w:sz w:val="24"/>
                <w:szCs w:val="24"/>
                <w14:textFill>
                  <w14:solidFill>
                    <w14:schemeClr w14:val="tx1"/>
                  </w14:solidFill>
                </w14:textFill>
              </w:rPr>
              <w:t>防渗层为</w:t>
            </w:r>
            <w:r>
              <w:rPr>
                <w:rFonts w:hint="default" w:ascii="Times New Roman" w:hAnsi="Times New Roman" w:eastAsia="宋体" w:cs="Times New Roman"/>
                <w:color w:val="000000" w:themeColor="text1"/>
                <w:spacing w:val="3"/>
                <w:sz w:val="24"/>
                <w:szCs w:val="24"/>
                <w14:textFill>
                  <w14:solidFill>
                    <w14:schemeClr w14:val="tx1"/>
                  </w14:solidFill>
                </w14:textFill>
              </w:rPr>
              <w:t>至少1m厚粘土层</w:t>
            </w:r>
            <w:r>
              <w:rPr>
                <w:rFonts w:hint="default" w:ascii="Times New Roman" w:hAnsi="Times New Roman" w:eastAsia="宋体" w:cs="Times New Roman"/>
                <w:color w:val="000000" w:themeColor="text1"/>
                <w:spacing w:val="3"/>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3"/>
                <w:sz w:val="24"/>
                <w:szCs w:val="24"/>
                <w14:textFill>
                  <w14:solidFill>
                    <w14:schemeClr w14:val="tx1"/>
                  </w14:solidFill>
                </w14:textFill>
              </w:rPr>
              <w:t>渗透系数≤</w:t>
            </w:r>
            <w:r>
              <w:rPr>
                <w:rFonts w:hint="default" w:ascii="Times New Roman" w:hAnsi="Times New Roman" w:eastAsia="宋体" w:cs="Times New Roman"/>
                <w:color w:val="000000" w:themeColor="text1"/>
                <w:sz w:val="24"/>
                <w:szCs w:val="24"/>
                <w:highlight w:val="none"/>
                <w14:textFill>
                  <w14:solidFill>
                    <w14:schemeClr w14:val="tx1"/>
                  </w14:solidFill>
                </w14:textFill>
              </w:rPr>
              <w:t>10</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-7</w:t>
            </w:r>
            <w:r>
              <w:rPr>
                <w:rFonts w:hint="default" w:ascii="Times New Roman" w:hAnsi="Times New Roman" w:eastAsia="宋体" w:cs="Times New Roman"/>
                <w:color w:val="000000" w:themeColor="text1"/>
                <w:sz w:val="24"/>
                <w:szCs w:val="24"/>
                <w:highlight w:val="none"/>
                <w14:textFill>
                  <w14:solidFill>
                    <w14:schemeClr w14:val="tx1"/>
                  </w14:solidFill>
                </w14:textFill>
              </w:rPr>
              <w:t>c</w:t>
            </w:r>
            <w:r>
              <w:rPr>
                <w:rFonts w:hint="default" w:ascii="Times New Roman" w:hAnsi="Times New Roman" w:eastAsia="宋体" w:cs="Times New Roman"/>
                <w:color w:val="000000" w:themeColor="text1"/>
                <w:sz w:val="24"/>
                <w:szCs w:val="24"/>
                <w14:textFill>
                  <w14:solidFill>
                    <w14:schemeClr w14:val="tx1"/>
                  </w14:solidFill>
                </w14:textFill>
              </w:rPr>
              <w:t>m</w:t>
            </w:r>
            <w:r>
              <w:rPr>
                <w:rFonts w:hint="default" w:ascii="Times New Roman" w:hAnsi="Times New Roman" w:eastAsia="宋体" w:cs="Times New Roman"/>
                <w:color w:val="000000" w:themeColor="text1"/>
                <w:spacing w:val="3"/>
                <w:sz w:val="24"/>
                <w:szCs w:val="24"/>
                <w14:textFill>
                  <w14:solidFill>
                    <w14:schemeClr w14:val="tx1"/>
                  </w14:solidFill>
                </w14:textFill>
              </w:rPr>
              <w:t>/s</w:t>
            </w:r>
            <w:r>
              <w:rPr>
                <w:rFonts w:hint="default" w:ascii="Times New Roman" w:hAnsi="Times New Roman" w:eastAsia="宋体" w:cs="Times New Roman"/>
                <w:color w:val="000000" w:themeColor="text1"/>
                <w:spacing w:val="3"/>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3"/>
                <w:sz w:val="24"/>
                <w:szCs w:val="24"/>
                <w14:textFill>
                  <w14:solidFill>
                    <w14:schemeClr w14:val="tx1"/>
                  </w14:solidFill>
                </w14:textFill>
              </w:rPr>
              <w:t>，或2</w:t>
            </w:r>
            <w:r>
              <w:rPr>
                <w:rFonts w:hint="default" w:ascii="Times New Roman" w:hAnsi="Times New Roman" w:eastAsia="宋体" w:cs="Times New Roman"/>
                <w:color w:val="000000" w:themeColor="text1"/>
                <w:sz w:val="24"/>
                <w:szCs w:val="24"/>
                <w14:textFill>
                  <w14:solidFill>
                    <w14:schemeClr w14:val="tx1"/>
                  </w14:solidFill>
                </w14:textFill>
              </w:rPr>
              <w:t>mm</w:t>
            </w:r>
            <w:r>
              <w:rPr>
                <w:rFonts w:hint="default" w:ascii="Times New Roman" w:hAnsi="Times New Roman" w:eastAsia="宋体" w:cs="Times New Roman"/>
                <w:color w:val="000000" w:themeColor="text1"/>
                <w:spacing w:val="8"/>
                <w:sz w:val="24"/>
                <w:szCs w:val="24"/>
                <w14:textFill>
                  <w14:solidFill>
                    <w14:schemeClr w14:val="tx1"/>
                  </w14:solidFill>
                </w14:textFill>
              </w:rPr>
              <w:t>厚高密度聚乙烯，或至少2</w:t>
            </w:r>
            <w:r>
              <w:rPr>
                <w:rFonts w:hint="default" w:ascii="Times New Roman" w:hAnsi="Times New Roman" w:eastAsia="宋体" w:cs="Times New Roman"/>
                <w:color w:val="000000" w:themeColor="text1"/>
                <w:sz w:val="24"/>
                <w:szCs w:val="24"/>
                <w14:textFill>
                  <w14:solidFill>
                    <w14:schemeClr w14:val="tx1"/>
                  </w14:solidFill>
                </w14:textFill>
              </w:rPr>
              <w:t>mm</w:t>
            </w:r>
            <w:r>
              <w:rPr>
                <w:rFonts w:hint="default" w:ascii="Times New Roman" w:hAnsi="Times New Roman" w:eastAsia="宋体" w:cs="Times New Roman"/>
                <w:color w:val="000000" w:themeColor="text1"/>
                <w:spacing w:val="8"/>
                <w:sz w:val="24"/>
                <w:szCs w:val="24"/>
                <w14:textFill>
                  <w14:solidFill>
                    <w14:schemeClr w14:val="tx1"/>
                  </w14:solidFill>
                </w14:textFill>
              </w:rPr>
              <w:t>厚的其它人工材</w:t>
            </w:r>
            <w:r>
              <w:rPr>
                <w:rFonts w:hint="default" w:ascii="Times New Roman" w:hAnsi="Times New Roman" w:eastAsia="宋体" w:cs="Times New Roman"/>
                <w:color w:val="000000" w:themeColor="text1"/>
                <w:spacing w:val="7"/>
                <w:sz w:val="24"/>
                <w:szCs w:val="24"/>
                <w14:textFill>
                  <w14:solidFill>
                    <w14:schemeClr w14:val="tx1"/>
                  </w14:solidFill>
                </w14:textFill>
              </w:rPr>
              <w:t>料，渗透系数≤1</w:t>
            </w:r>
            <w:r>
              <w:rPr>
                <w:rFonts w:hint="default" w:ascii="Times New Roman" w:hAnsi="Times New Roman" w:eastAsia="宋体" w:cs="Times New Roman"/>
                <w:color w:val="000000" w:themeColor="text1"/>
                <w:sz w:val="24"/>
                <w:szCs w:val="24"/>
                <w:highlight w:val="none"/>
                <w14:textFill>
                  <w14:solidFill>
                    <w14:schemeClr w14:val="tx1"/>
                  </w14:solidFill>
                </w14:textFill>
              </w:rPr>
              <w:t>0</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14:textFill>
                  <w14:solidFill>
                    <w14:schemeClr w14:val="tx1"/>
                  </w14:solidFill>
                </w14:textFill>
              </w:rPr>
              <w:t>cm</w:t>
            </w:r>
            <w:r>
              <w:rPr>
                <w:rFonts w:hint="default" w:ascii="Times New Roman" w:hAnsi="Times New Roman" w:eastAsia="宋体" w:cs="Times New Roman"/>
                <w:color w:val="000000" w:themeColor="text1"/>
                <w:spacing w:val="7"/>
                <w:sz w:val="24"/>
                <w:szCs w:val="24"/>
                <w14:textFill>
                  <w14:solidFill>
                    <w14:schemeClr w14:val="tx1"/>
                  </w14:solidFill>
                </w14:textFill>
              </w:rPr>
              <w:t>/s进行防渗</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74B1248A">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简单</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防渗区</w:t>
            </w:r>
            <w:r>
              <w:rPr>
                <w:rFonts w:hint="default" w:ascii="Times New Roman" w:hAnsi="Times New Roman" w:eastAsia="宋体" w:cs="Times New Roman"/>
                <w:b/>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生产加工区域、</w:t>
            </w:r>
            <w:r>
              <w:rPr>
                <w:rFonts w:hint="default" w:ascii="Times New Roman" w:hAnsi="Times New Roman" w:eastAsia="宋体" w:cs="Times New Roman"/>
                <w:color w:val="000000" w:themeColor="text1"/>
                <w:spacing w:val="9"/>
                <w:sz w:val="24"/>
                <w:szCs w:val="24"/>
                <w14:textFill>
                  <w14:solidFill>
                    <w14:schemeClr w14:val="tx1"/>
                  </w14:solidFill>
                </w14:textFill>
              </w:rPr>
              <w:t>道路</w:t>
            </w:r>
            <w:r>
              <w:rPr>
                <w:rFonts w:hint="default" w:ascii="Times New Roman" w:hAnsi="Times New Roman" w:eastAsia="宋体" w:cs="Times New Roman"/>
                <w:color w:val="000000" w:themeColor="text1"/>
                <w:spacing w:val="9"/>
                <w:sz w:val="24"/>
                <w:szCs w:val="24"/>
                <w:lang w:val="en-US" w:eastAsia="zh-CN"/>
                <w14:textFill>
                  <w14:solidFill>
                    <w14:schemeClr w14:val="tx1"/>
                  </w14:solidFill>
                </w14:textFill>
              </w:rPr>
              <w:t>等</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进行一般的地面硬化处理</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68043C30">
            <w:pPr>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color w:val="000000" w:themeColor="text1"/>
                <w:kern w:val="0"/>
                <w:szCs w:val="21"/>
                <w:lang w:val="zh-CN"/>
                <w14:textFill>
                  <w14:solidFill>
                    <w14:schemeClr w14:val="tx1"/>
                  </w14:solidFill>
                </w14:textFill>
              </w:rPr>
              <w:t>表4-</w:t>
            </w:r>
            <w:r>
              <w:rPr>
                <w:rFonts w:hint="eastAsia" w:ascii="Times New Roman" w:hAnsi="Times New Roman" w:eastAsia="宋体" w:cs="Times New Roman"/>
                <w:b/>
                <w:color w:val="000000" w:themeColor="text1"/>
                <w:kern w:val="0"/>
                <w:szCs w:val="21"/>
                <w:lang w:val="en-US" w:eastAsia="zh-CN"/>
                <w14:textFill>
                  <w14:solidFill>
                    <w14:schemeClr w14:val="tx1"/>
                  </w14:solidFill>
                </w14:textFill>
              </w:rPr>
              <w:t>8</w:t>
            </w:r>
            <w:r>
              <w:rPr>
                <w:rFonts w:hint="default" w:ascii="Times New Roman" w:hAnsi="Times New Roman" w:eastAsia="宋体" w:cs="Times New Roman"/>
                <w:b/>
                <w:color w:val="000000" w:themeColor="text1"/>
                <w:kern w:val="0"/>
                <w:szCs w:val="21"/>
                <w:lang w:val="zh-CN"/>
                <w14:textFill>
                  <w14:solidFill>
                    <w14:schemeClr w14:val="tx1"/>
                  </w14:solidFill>
                </w14:textFill>
              </w:rPr>
              <w:t xml:space="preserve">  </w:t>
            </w:r>
            <w:r>
              <w:rPr>
                <w:rFonts w:hint="eastAsia" w:ascii="Times New Roman" w:hAnsi="Times New Roman" w:eastAsia="宋体" w:cs="Times New Roman"/>
                <w:b/>
                <w:color w:val="000000" w:themeColor="text1"/>
                <w:kern w:val="0"/>
                <w:szCs w:val="21"/>
                <w:lang w:val="en-US" w:eastAsia="zh-CN"/>
                <w14:textFill>
                  <w14:solidFill>
                    <w14:schemeClr w14:val="tx1"/>
                  </w14:solidFill>
                </w14:textFill>
              </w:rPr>
              <w:t>项目厂区污染防渗分区</w:t>
            </w:r>
          </w:p>
          <w:tbl>
            <w:tblPr>
              <w:tblStyle w:val="32"/>
              <w:tblW w:w="81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1316"/>
              <w:gridCol w:w="1984"/>
              <w:gridCol w:w="1373"/>
              <w:gridCol w:w="1281"/>
              <w:gridCol w:w="1538"/>
            </w:tblGrid>
            <w:tr w14:paraId="1C6CD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vAlign w:val="center"/>
                </w:tcPr>
                <w:p w14:paraId="106403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序号</w:t>
                  </w:r>
                </w:p>
              </w:tc>
              <w:tc>
                <w:tcPr>
                  <w:tcW w:w="1316" w:type="dxa"/>
                  <w:vAlign w:val="center"/>
                </w:tcPr>
                <w:p w14:paraId="37814A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名称</w:t>
                  </w:r>
                </w:p>
              </w:tc>
              <w:tc>
                <w:tcPr>
                  <w:tcW w:w="1984" w:type="dxa"/>
                  <w:vAlign w:val="center"/>
                </w:tcPr>
                <w:p w14:paraId="6888B8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污染控制难易程度</w:t>
                  </w:r>
                </w:p>
              </w:tc>
              <w:tc>
                <w:tcPr>
                  <w:tcW w:w="1373" w:type="dxa"/>
                  <w:vAlign w:val="center"/>
                </w:tcPr>
                <w:p w14:paraId="6CB89B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污染物类型</w:t>
                  </w:r>
                </w:p>
              </w:tc>
              <w:tc>
                <w:tcPr>
                  <w:tcW w:w="1281" w:type="dxa"/>
                  <w:vAlign w:val="center"/>
                </w:tcPr>
                <w:p w14:paraId="61B31C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防渗分区</w:t>
                  </w:r>
                </w:p>
              </w:tc>
              <w:tc>
                <w:tcPr>
                  <w:tcW w:w="1538" w:type="dxa"/>
                  <w:vAlign w:val="center"/>
                </w:tcPr>
                <w:p w14:paraId="7B9265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防渗技术要求</w:t>
                  </w:r>
                </w:p>
              </w:tc>
            </w:tr>
            <w:tr w14:paraId="59497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653" w:type="dxa"/>
                  <w:vAlign w:val="center"/>
                </w:tcPr>
                <w:p w14:paraId="2040D5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1</w:t>
                  </w:r>
                </w:p>
              </w:tc>
              <w:tc>
                <w:tcPr>
                  <w:tcW w:w="1316" w:type="dxa"/>
                  <w:vAlign w:val="center"/>
                </w:tcPr>
                <w:p w14:paraId="084BC7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危废暂存间</w:t>
                  </w:r>
                </w:p>
              </w:tc>
              <w:tc>
                <w:tcPr>
                  <w:tcW w:w="1984" w:type="dxa"/>
                  <w:vMerge w:val="restart"/>
                  <w:vAlign w:val="center"/>
                </w:tcPr>
                <w:p w14:paraId="6883779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难</w:t>
                  </w:r>
                </w:p>
              </w:tc>
              <w:tc>
                <w:tcPr>
                  <w:tcW w:w="1373" w:type="dxa"/>
                  <w:vMerge w:val="restart"/>
                  <w:vAlign w:val="center"/>
                </w:tcPr>
                <w:p w14:paraId="0444CD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其他类型</w:t>
                  </w:r>
                </w:p>
              </w:tc>
              <w:tc>
                <w:tcPr>
                  <w:tcW w:w="1281" w:type="dxa"/>
                  <w:vMerge w:val="restart"/>
                  <w:vAlign w:val="center"/>
                </w:tcPr>
                <w:p w14:paraId="42BA805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重点防渗区</w:t>
                  </w:r>
                </w:p>
              </w:tc>
              <w:tc>
                <w:tcPr>
                  <w:tcW w:w="1538" w:type="dxa"/>
                  <w:vMerge w:val="restart"/>
                  <w:vAlign w:val="center"/>
                </w:tcPr>
                <w:p w14:paraId="569E8A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等效黏土防渗层 Mb ≥6.0m，K≤1×10</w:t>
                  </w:r>
                  <w:r>
                    <w:rPr>
                      <w:rFonts w:hint="default" w:ascii="Times New Roman" w:hAnsi="Times New Roman" w:eastAsia="宋体" w:cs="Times New Roman"/>
                      <w:color w:val="000000" w:themeColor="text1"/>
                      <w:sz w:val="21"/>
                      <w:szCs w:val="21"/>
                      <w:vertAlign w:val="superscript"/>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cm/s；或参照GB18598执行</w:t>
                  </w:r>
                </w:p>
              </w:tc>
            </w:tr>
            <w:tr w14:paraId="4C704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653" w:type="dxa"/>
                  <w:vAlign w:val="center"/>
                </w:tcPr>
                <w:p w14:paraId="76ECE3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2</w:t>
                  </w:r>
                </w:p>
              </w:tc>
              <w:tc>
                <w:tcPr>
                  <w:tcW w:w="1316" w:type="dxa"/>
                  <w:vAlign w:val="center"/>
                </w:tcPr>
                <w:p w14:paraId="5720ED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原料库</w:t>
                  </w:r>
                </w:p>
              </w:tc>
              <w:tc>
                <w:tcPr>
                  <w:tcW w:w="1984" w:type="dxa"/>
                  <w:vMerge w:val="continue"/>
                  <w:vAlign w:val="center"/>
                </w:tcPr>
                <w:p w14:paraId="046398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p>
              </w:tc>
              <w:tc>
                <w:tcPr>
                  <w:tcW w:w="1373" w:type="dxa"/>
                  <w:vMerge w:val="continue"/>
                  <w:vAlign w:val="center"/>
                </w:tcPr>
                <w:p w14:paraId="7F03FB0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p>
              </w:tc>
              <w:tc>
                <w:tcPr>
                  <w:tcW w:w="1281" w:type="dxa"/>
                  <w:vMerge w:val="continue"/>
                  <w:vAlign w:val="center"/>
                </w:tcPr>
                <w:p w14:paraId="79728E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p>
              </w:tc>
              <w:tc>
                <w:tcPr>
                  <w:tcW w:w="1538" w:type="dxa"/>
                  <w:vMerge w:val="continue"/>
                  <w:vAlign w:val="center"/>
                </w:tcPr>
                <w:p w14:paraId="698F7D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p>
              </w:tc>
            </w:tr>
          </w:tbl>
          <w:p w14:paraId="10CCB949">
            <w:pPr>
              <w:keepNext w:val="0"/>
              <w:keepLines w:val="0"/>
              <w:pageBreakBefore w:val="0"/>
              <w:widowControl w:val="0"/>
              <w:shd w:val="clear"/>
              <w:kinsoku/>
              <w:wordWrap/>
              <w:overflowPunct/>
              <w:topLinePunct w:val="0"/>
              <w:autoSpaceDE/>
              <w:autoSpaceDN/>
              <w:bidi w:val="0"/>
              <w:adjustRightInd/>
              <w:snapToGrid/>
              <w:spacing w:line="360" w:lineRule="auto"/>
              <w:ind w:firstLine="456"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Cs/>
                <w:color w:val="000000" w:themeColor="text1"/>
                <w:spacing w:val="-6"/>
                <w:sz w:val="24"/>
                <w:szCs w:val="24"/>
                <w:highlight w:val="none"/>
                <w:lang w:val="en-US" w:eastAsia="zh-CN"/>
                <w14:textFill>
                  <w14:solidFill>
                    <w14:schemeClr w14:val="tx1"/>
                  </w14:solidFill>
                </w14:textFill>
              </w:rPr>
              <w:t>本项目建成后</w:t>
            </w:r>
            <w:r>
              <w:rPr>
                <w:rFonts w:hint="eastAsia" w:cs="Times New Roman"/>
                <w:bCs/>
                <w:color w:val="000000" w:themeColor="text1"/>
                <w:spacing w:val="-6"/>
                <w:sz w:val="24"/>
                <w:szCs w:val="24"/>
                <w:highlight w:val="none"/>
                <w:lang w:val="en-US" w:eastAsia="zh-CN"/>
                <w14:textFill>
                  <w14:solidFill>
                    <w14:schemeClr w14:val="tx1"/>
                  </w14:solidFill>
                </w14:textFill>
              </w:rPr>
              <w:t>均</w:t>
            </w:r>
            <w:r>
              <w:rPr>
                <w:rFonts w:hint="default" w:ascii="Times New Roman" w:hAnsi="Times New Roman" w:eastAsia="宋体" w:cs="Times New Roman"/>
                <w:bCs/>
                <w:color w:val="000000" w:themeColor="text1"/>
                <w:spacing w:val="-6"/>
                <w:sz w:val="24"/>
                <w:szCs w:val="24"/>
                <w:highlight w:val="none"/>
                <w:lang w:val="en-US" w:eastAsia="zh-CN"/>
                <w14:textFill>
                  <w14:solidFill>
                    <w14:schemeClr w14:val="tx1"/>
                  </w14:solidFill>
                </w14:textFill>
              </w:rPr>
              <w:t>采取场地</w:t>
            </w:r>
            <w:r>
              <w:rPr>
                <w:rFonts w:hint="default" w:ascii="Times New Roman" w:hAnsi="Times New Roman" w:eastAsia="宋体" w:cs="Times New Roman"/>
                <w:color w:val="000000" w:themeColor="text1"/>
                <w:sz w:val="24"/>
                <w:szCs w:val="24"/>
                <w:highlight w:val="none"/>
                <w14:textFill>
                  <w14:solidFill>
                    <w14:schemeClr w14:val="tx1"/>
                  </w14:solidFill>
                </w14:textFill>
              </w:rPr>
              <w:t>硬化</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分区防渗的措施后</w:t>
            </w:r>
            <w:r>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t>对</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地下水及</w:t>
            </w:r>
            <w:r>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t>土壤造成的污染影响较小。</w:t>
            </w:r>
          </w:p>
          <w:p w14:paraId="1B6903F0">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（3）污染监控</w:t>
            </w:r>
          </w:p>
          <w:p w14:paraId="43402693">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根据《环境影响评价技术导则 地下水》（HJ610-2016），本项目属于地下水评价的Ⅳ类项目，不需设置地下水监测井。</w:t>
            </w:r>
          </w:p>
          <w:p w14:paraId="5A337CB6">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仅在事故情况或者非正常工况下对土壤和地下水产生影响，正常运行时一般不涉及土壤和地下水影响。项目采取土壤和地下水防控措施，对土壤和地下水影响小，且根据地下水导则和土壤导则相关内容，本项目无需制定监测计划。本次环评要求建设单位加强管理，定期巡视，防止泄漏。</w:t>
            </w:r>
          </w:p>
          <w:p w14:paraId="314499E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（4）应急响应</w:t>
            </w:r>
          </w:p>
          <w:p w14:paraId="33E1F091">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项目运营期建设单位需加强管理，定期巡视，一旦发现危险废物贮存间破损引起储存物渗漏，应及时进行检修或更换储存设施。</w:t>
            </w:r>
          </w:p>
          <w:p w14:paraId="38DCA39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综上所述，项目厂界外500米范围内无土壤及地下水环境保护目标，采取本环评提出的控制措施后，项目建设对地下水、土壤影响较小。</w:t>
            </w:r>
          </w:p>
          <w:p w14:paraId="660C0172">
            <w:pPr>
              <w:pageBreakBefore w:val="0"/>
              <w:wordWrap/>
              <w:topLinePunct w:val="0"/>
              <w:bidi w:val="0"/>
              <w:spacing w:line="360" w:lineRule="auto"/>
              <w:ind w:firstLine="482" w:firstLineChars="200"/>
              <w:rPr>
                <w:b/>
                <w:color w:val="000000" w:themeColor="text1"/>
                <w:sz w:val="24"/>
                <w14:textFill>
                  <w14:solidFill>
                    <w14:schemeClr w14:val="tx1"/>
                  </w14:solidFill>
                </w14:textFill>
              </w:rPr>
            </w:pPr>
            <w:r>
              <w:rPr>
                <w:rFonts w:hint="eastAsia"/>
                <w:b/>
                <w:color w:val="000000" w:themeColor="text1"/>
                <w:sz w:val="24"/>
                <w:lang w:val="en-US" w:eastAsia="zh-CN"/>
                <w14:textFill>
                  <w14:solidFill>
                    <w14:schemeClr w14:val="tx1"/>
                  </w14:solidFill>
                </w14:textFill>
              </w:rPr>
              <w:t>六</w:t>
            </w:r>
            <w:r>
              <w:rPr>
                <w:b/>
                <w:color w:val="000000" w:themeColor="text1"/>
                <w:sz w:val="24"/>
                <w14:textFill>
                  <w14:solidFill>
                    <w14:schemeClr w14:val="tx1"/>
                  </w14:solidFill>
                </w14:textFill>
              </w:rPr>
              <w:t>、</w:t>
            </w:r>
            <w:r>
              <w:rPr>
                <w:rFonts w:hint="eastAsia"/>
                <w:b/>
                <w:color w:val="000000" w:themeColor="text1"/>
                <w:sz w:val="24"/>
                <w14:textFill>
                  <w14:solidFill>
                    <w14:schemeClr w14:val="tx1"/>
                  </w14:solidFill>
                </w14:textFill>
              </w:rPr>
              <w:t>环境风险分析</w:t>
            </w:r>
          </w:p>
          <w:p w14:paraId="21D251D1">
            <w:pPr>
              <w:pageBreakBefore w:val="0"/>
              <w:wordWrap/>
              <w:topLinePunct w:val="0"/>
              <w:bidi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按照《建设项目环境风险评价技术导则》（HJ169-2018）的要求，环境风险评价应以突发性事故导致的危险物质环境急性损害防控为目标，对建设项目的环境风险进行分析、预测和评估，提出环境风险预防、控制、减缓措施，明确环境风险监控及应急建议要求，为建设项目环境风险防控提供科学依据。</w:t>
            </w:r>
          </w:p>
          <w:p w14:paraId="117C4816">
            <w:pPr>
              <w:pStyle w:val="69"/>
              <w:pageBreakBefore w:val="0"/>
              <w:wordWrap/>
              <w:topLinePunct w:val="0"/>
              <w:bidi w:val="0"/>
              <w:spacing w:line="360" w:lineRule="auto"/>
              <w:ind w:right="0" w:firstLine="482"/>
              <w:jc w:val="left"/>
              <w:rPr>
                <w:rFonts w:hAnsi="Times New Roman"/>
                <w:b/>
                <w:bCs/>
                <w:color w:val="000000" w:themeColor="text1"/>
                <w:sz w:val="24"/>
                <w14:textFill>
                  <w14:solidFill>
                    <w14:schemeClr w14:val="tx1"/>
                  </w14:solidFill>
                </w14:textFill>
              </w:rPr>
            </w:pPr>
            <w:r>
              <w:rPr>
                <w:rFonts w:hAnsi="Times New Roman"/>
                <w:b/>
                <w:bCs/>
                <w:color w:val="000000" w:themeColor="text1"/>
                <w:sz w:val="24"/>
                <w14:textFill>
                  <w14:solidFill>
                    <w14:schemeClr w14:val="tx1"/>
                  </w14:solidFill>
                </w14:textFill>
              </w:rPr>
              <w:t>1、评价依据</w:t>
            </w:r>
          </w:p>
          <w:p w14:paraId="4F79CAB6">
            <w:pPr>
              <w:pStyle w:val="69"/>
              <w:pageBreakBefore w:val="0"/>
              <w:wordWrap/>
              <w:topLinePunct w:val="0"/>
              <w:bidi w:val="0"/>
              <w:spacing w:line="360" w:lineRule="auto"/>
              <w:ind w:right="0" w:firstLine="482"/>
              <w:jc w:val="left"/>
              <w:rPr>
                <w:rFonts w:hAnsi="Times New Roman"/>
                <w:b/>
                <w:bCs/>
                <w:color w:val="000000" w:themeColor="text1"/>
                <w:sz w:val="24"/>
                <w14:textFill>
                  <w14:solidFill>
                    <w14:schemeClr w14:val="tx1"/>
                  </w14:solidFill>
                </w14:textFill>
              </w:rPr>
            </w:pPr>
            <w:r>
              <w:rPr>
                <w:rFonts w:hint="eastAsia" w:hAnsi="Times New Roman"/>
                <w:b/>
                <w:bCs/>
                <w:color w:val="000000" w:themeColor="text1"/>
                <w:sz w:val="24"/>
                <w14:textFill>
                  <w14:solidFill>
                    <w14:schemeClr w14:val="tx1"/>
                  </w14:solidFill>
                </w14:textFill>
              </w:rPr>
              <w:t>（</w:t>
            </w:r>
            <w:r>
              <w:rPr>
                <w:rFonts w:hAnsi="Times New Roman"/>
                <w:b/>
                <w:bCs/>
                <w:color w:val="000000" w:themeColor="text1"/>
                <w:sz w:val="24"/>
                <w14:textFill>
                  <w14:solidFill>
                    <w14:schemeClr w14:val="tx1"/>
                  </w14:solidFill>
                </w14:textFill>
              </w:rPr>
              <w:t>1）风险调查</w:t>
            </w:r>
          </w:p>
          <w:p w14:paraId="229BAEAA">
            <w:pPr>
              <w:pStyle w:val="11"/>
              <w:pageBreakBefore w:val="0"/>
              <w:wordWrap/>
              <w:topLinePunct w:val="0"/>
              <w:bidi w:val="0"/>
              <w:snapToGrid/>
              <w:spacing w:before="0" w:after="0" w:line="360" w:lineRule="auto"/>
              <w:ind w:right="0" w:firstLine="480" w:firstLineChars="200"/>
              <w:jc w:val="left"/>
              <w:rPr>
                <w:color w:val="000000" w:themeColor="text1"/>
                <w:sz w:val="24"/>
                <w:szCs w:val="28"/>
                <w14:textFill>
                  <w14:solidFill>
                    <w14:schemeClr w14:val="tx1"/>
                  </w14:solidFill>
                </w14:textFill>
              </w:rPr>
            </w:pPr>
            <w:r>
              <w:rPr>
                <w:rFonts w:hint="eastAsia"/>
                <w:color w:val="000000" w:themeColor="text1"/>
                <w:sz w:val="24"/>
                <w:szCs w:val="28"/>
                <w14:textFill>
                  <w14:solidFill>
                    <w14:schemeClr w14:val="tx1"/>
                  </w14:solidFill>
                </w14:textFill>
              </w:rPr>
              <w:t>本项目风险物质对照《建设项目环境风险评价技术导则》（HJ169-2018）附录B中</w:t>
            </w:r>
            <w:r>
              <w:rPr>
                <w:rFonts w:hint="eastAsia"/>
                <w:color w:val="000000" w:themeColor="text1"/>
                <w:sz w:val="24"/>
                <w:szCs w:val="28"/>
                <w:lang w:eastAsia="zh-CN"/>
                <w14:textFill>
                  <w14:solidFill>
                    <w14:schemeClr w14:val="tx1"/>
                  </w14:solidFill>
                </w14:textFill>
              </w:rPr>
              <w:t>“</w:t>
            </w:r>
            <w:r>
              <w:rPr>
                <w:rFonts w:hint="eastAsia"/>
                <w:color w:val="000000" w:themeColor="text1"/>
                <w:sz w:val="24"/>
                <w:szCs w:val="28"/>
                <w14:textFill>
                  <w14:solidFill>
                    <w14:schemeClr w14:val="tx1"/>
                  </w14:solidFill>
                </w14:textFill>
              </w:rPr>
              <w:t>表B.1突发环境事件风险物质及临界量</w:t>
            </w:r>
            <w:r>
              <w:rPr>
                <w:rFonts w:hint="eastAsia"/>
                <w:color w:val="000000" w:themeColor="text1"/>
                <w:sz w:val="24"/>
                <w:szCs w:val="28"/>
                <w:lang w:eastAsia="zh-CN"/>
                <w14:textFill>
                  <w14:solidFill>
                    <w14:schemeClr w14:val="tx1"/>
                  </w14:solidFill>
                </w14:textFill>
              </w:rPr>
              <w:t>”</w:t>
            </w:r>
            <w:r>
              <w:rPr>
                <w:rFonts w:hint="eastAsia"/>
                <w:color w:val="000000" w:themeColor="text1"/>
                <w:sz w:val="24"/>
                <w:szCs w:val="28"/>
                <w14:textFill>
                  <w14:solidFill>
                    <w14:schemeClr w14:val="tx1"/>
                  </w14:solidFill>
                </w14:textFill>
              </w:rPr>
              <w:t>的物质直接判定为环境风险物质，对未列入表B.1，但根据风险调查需要分析计算的危险物质，则根据其特性分别参考《化学品分类和标签规范 第28部分：对水生环境的危害》（GB30000.28-2013）及《化学品分类和标签规范 第18部分：急性毒性》（GB30000.18-2013）确定。</w:t>
            </w:r>
          </w:p>
          <w:p w14:paraId="491A2EB8">
            <w:pPr>
              <w:pStyle w:val="11"/>
              <w:pageBreakBefore w:val="0"/>
              <w:wordWrap/>
              <w:topLinePunct w:val="0"/>
              <w:bidi w:val="0"/>
              <w:snapToGrid/>
              <w:spacing w:before="0" w:after="0" w:line="360" w:lineRule="auto"/>
              <w:ind w:right="0" w:firstLine="480" w:firstLineChars="200"/>
              <w:jc w:val="left"/>
              <w:rPr>
                <w:color w:val="000000" w:themeColor="text1"/>
                <w:sz w:val="24"/>
                <w:szCs w:val="28"/>
                <w14:textFill>
                  <w14:solidFill>
                    <w14:schemeClr w14:val="tx1"/>
                  </w14:solidFill>
                </w14:textFill>
              </w:rPr>
            </w:pPr>
            <w:r>
              <w:rPr>
                <w:rFonts w:hint="eastAsia"/>
                <w:color w:val="000000" w:themeColor="text1"/>
                <w:sz w:val="24"/>
                <w:szCs w:val="28"/>
                <w14:textFill>
                  <w14:solidFill>
                    <w14:schemeClr w14:val="tx1"/>
                  </w14:solidFill>
                </w14:textFill>
              </w:rPr>
              <w:t>通过分析，本项目风险物质识别情况详见下表：</w:t>
            </w:r>
          </w:p>
          <w:tbl>
            <w:tblPr>
              <w:tblStyle w:val="3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4"/>
              <w:gridCol w:w="957"/>
              <w:gridCol w:w="981"/>
              <w:gridCol w:w="1004"/>
              <w:gridCol w:w="2665"/>
              <w:gridCol w:w="1421"/>
            </w:tblGrid>
            <w:tr w14:paraId="42C87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4" w:type="dxa"/>
                  <w:vAlign w:val="center"/>
                </w:tcPr>
                <w:p w14:paraId="162FBABD">
                  <w:pPr>
                    <w:pageBreakBefore w:val="0"/>
                    <w:wordWrap/>
                    <w:topLinePunct w:val="0"/>
                    <w:bidi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物质名称</w:t>
                  </w:r>
                </w:p>
              </w:tc>
              <w:tc>
                <w:tcPr>
                  <w:tcW w:w="957" w:type="dxa"/>
                  <w:vAlign w:val="center"/>
                </w:tcPr>
                <w:p w14:paraId="4F609DEA">
                  <w:pPr>
                    <w:pageBreakBefore w:val="0"/>
                    <w:wordWrap/>
                    <w:topLinePunct w:val="0"/>
                    <w:bidi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闪点</w:t>
                  </w:r>
                </w:p>
              </w:tc>
              <w:tc>
                <w:tcPr>
                  <w:tcW w:w="981" w:type="dxa"/>
                  <w:vAlign w:val="center"/>
                </w:tcPr>
                <w:p w14:paraId="57CBFC42">
                  <w:pPr>
                    <w:pageBreakBefore w:val="0"/>
                    <w:wordWrap/>
                    <w:topLinePunct w:val="0"/>
                    <w:bidi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沸点</w:t>
                  </w:r>
                </w:p>
              </w:tc>
              <w:tc>
                <w:tcPr>
                  <w:tcW w:w="1004" w:type="dxa"/>
                  <w:vAlign w:val="center"/>
                </w:tcPr>
                <w:p w14:paraId="6AE2BD0B">
                  <w:pPr>
                    <w:pageBreakBefore w:val="0"/>
                    <w:wordWrap/>
                    <w:topLinePunct w:val="0"/>
                    <w:bidi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熔点</w:t>
                  </w:r>
                </w:p>
              </w:tc>
              <w:tc>
                <w:tcPr>
                  <w:tcW w:w="2665" w:type="dxa"/>
                  <w:vAlign w:val="center"/>
                </w:tcPr>
                <w:p w14:paraId="736CF04B">
                  <w:pPr>
                    <w:pageBreakBefore w:val="0"/>
                    <w:wordWrap/>
                    <w:topLinePunct w:val="0"/>
                    <w:bidi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LD50（mg/kg）</w:t>
                  </w:r>
                </w:p>
              </w:tc>
              <w:tc>
                <w:tcPr>
                  <w:tcW w:w="1421" w:type="dxa"/>
                  <w:vAlign w:val="center"/>
                </w:tcPr>
                <w:p w14:paraId="244EF97B">
                  <w:pPr>
                    <w:pageBreakBefore w:val="0"/>
                    <w:wordWrap/>
                    <w:topLinePunct w:val="0"/>
                    <w:bidi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分布情况</w:t>
                  </w:r>
                </w:p>
              </w:tc>
            </w:tr>
            <w:tr w14:paraId="4F4A2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4" w:type="dxa"/>
                  <w:vAlign w:val="center"/>
                </w:tcPr>
                <w:p w14:paraId="0AE7414E">
                  <w:pPr>
                    <w:pageBreakBefore w:val="0"/>
                    <w:wordWrap/>
                    <w:topLinePunct w:val="0"/>
                    <w:bidi w:val="0"/>
                    <w:jc w:val="center"/>
                    <w:rPr>
                      <w:rFonts w:hint="eastAsia" w:eastAsia="宋体"/>
                      <w:b w:val="0"/>
                      <w:bCs w:val="0"/>
                      <w:color w:val="000000" w:themeColor="text1"/>
                      <w:szCs w:val="21"/>
                      <w:lang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废液压油</w:t>
                  </w:r>
                </w:p>
              </w:tc>
              <w:tc>
                <w:tcPr>
                  <w:tcW w:w="957" w:type="dxa"/>
                  <w:vAlign w:val="center"/>
                </w:tcPr>
                <w:p w14:paraId="5F71D52A">
                  <w:pPr>
                    <w:pageBreakBefore w:val="0"/>
                    <w:wordWrap/>
                    <w:topLinePunct w:val="0"/>
                    <w:bidi w:val="0"/>
                    <w:jc w:val="center"/>
                    <w:rPr>
                      <w:rFonts w:hint="default" w:eastAsia="宋体"/>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160</w:t>
                  </w:r>
                  <w:r>
                    <w:rPr>
                      <w:b w:val="0"/>
                      <w:bCs w:val="0"/>
                      <w:color w:val="000000" w:themeColor="text1"/>
                      <w:szCs w:val="21"/>
                      <w14:textFill>
                        <w14:solidFill>
                          <w14:schemeClr w14:val="tx1"/>
                        </w14:solidFill>
                      </w14:textFill>
                    </w:rPr>
                    <w:t>℃</w:t>
                  </w:r>
                </w:p>
              </w:tc>
              <w:tc>
                <w:tcPr>
                  <w:tcW w:w="981" w:type="dxa"/>
                  <w:vAlign w:val="center"/>
                </w:tcPr>
                <w:p w14:paraId="26BCDFFE">
                  <w:pPr>
                    <w:pageBreakBefore w:val="0"/>
                    <w:wordWrap/>
                    <w:topLinePunct w:val="0"/>
                    <w:bidi w:val="0"/>
                    <w:jc w:val="center"/>
                    <w:rPr>
                      <w:b w:val="0"/>
                      <w:bCs w:val="0"/>
                      <w:color w:val="000000" w:themeColor="text1"/>
                      <w:szCs w:val="21"/>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290</w:t>
                  </w:r>
                  <w:r>
                    <w:rPr>
                      <w:b w:val="0"/>
                      <w:bCs w:val="0"/>
                      <w:color w:val="000000" w:themeColor="text1"/>
                      <w:szCs w:val="21"/>
                      <w14:textFill>
                        <w14:solidFill>
                          <w14:schemeClr w14:val="tx1"/>
                        </w14:solidFill>
                      </w14:textFill>
                    </w:rPr>
                    <w:t>℃</w:t>
                  </w:r>
                </w:p>
              </w:tc>
              <w:tc>
                <w:tcPr>
                  <w:tcW w:w="1004" w:type="dxa"/>
                  <w:vAlign w:val="center"/>
                </w:tcPr>
                <w:p w14:paraId="73C0039E">
                  <w:pPr>
                    <w:pageBreakBefore w:val="0"/>
                    <w:wordWrap/>
                    <w:topLinePunct w:val="0"/>
                    <w:bidi w:val="0"/>
                    <w:jc w:val="center"/>
                    <w:rPr>
                      <w:rFonts w:hint="eastAsia" w:eastAsia="宋体"/>
                      <w:b w:val="0"/>
                      <w:bCs w:val="0"/>
                      <w:color w:val="000000" w:themeColor="text1"/>
                      <w:szCs w:val="21"/>
                      <w:lang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w:t>
                  </w:r>
                </w:p>
              </w:tc>
              <w:tc>
                <w:tcPr>
                  <w:tcW w:w="2665" w:type="dxa"/>
                  <w:vAlign w:val="center"/>
                </w:tcPr>
                <w:p w14:paraId="5855DEBC">
                  <w:pPr>
                    <w:pageBreakBefore w:val="0"/>
                    <w:wordWrap/>
                    <w:topLinePunct w:val="0"/>
                    <w:bidi w:val="0"/>
                    <w:jc w:val="center"/>
                    <w:rPr>
                      <w:rFonts w:hint="eastAsia" w:eastAsia="宋体"/>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w:t>
                  </w:r>
                </w:p>
              </w:tc>
              <w:tc>
                <w:tcPr>
                  <w:tcW w:w="1421" w:type="dxa"/>
                  <w:vMerge w:val="restart"/>
                  <w:vAlign w:val="center"/>
                </w:tcPr>
                <w:p w14:paraId="3299DD21">
                  <w:pPr>
                    <w:pageBreakBefore w:val="0"/>
                    <w:wordWrap/>
                    <w:topLinePunct w:val="0"/>
                    <w:bidi w:val="0"/>
                    <w:jc w:val="center"/>
                    <w:rPr>
                      <w:rFonts w:hint="default" w:eastAsia="宋体"/>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危险废物贮存间</w:t>
                  </w:r>
                </w:p>
              </w:tc>
            </w:tr>
            <w:tr w14:paraId="1EE71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4" w:type="dxa"/>
                  <w:vAlign w:val="center"/>
                </w:tcPr>
                <w:p w14:paraId="0042A36F">
                  <w:pPr>
                    <w:pageBreakBefore w:val="0"/>
                    <w:wordWrap/>
                    <w:topLinePunct w:val="0"/>
                    <w:bidi w:val="0"/>
                    <w:jc w:val="center"/>
                    <w:rPr>
                      <w:rFonts w:hint="default"/>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废润滑油</w:t>
                  </w:r>
                </w:p>
              </w:tc>
              <w:tc>
                <w:tcPr>
                  <w:tcW w:w="957" w:type="dxa"/>
                  <w:vAlign w:val="center"/>
                </w:tcPr>
                <w:p w14:paraId="22FE65AC">
                  <w:pPr>
                    <w:pageBreakBefore w:val="0"/>
                    <w:wordWrap/>
                    <w:topLinePunct w:val="0"/>
                    <w:bidi w:val="0"/>
                    <w:jc w:val="center"/>
                    <w:rPr>
                      <w:rFonts w:hint="default"/>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135</w:t>
                  </w:r>
                  <w:r>
                    <w:rPr>
                      <w:b w:val="0"/>
                      <w:bCs w:val="0"/>
                      <w:color w:val="000000" w:themeColor="text1"/>
                      <w:szCs w:val="21"/>
                      <w14:textFill>
                        <w14:solidFill>
                          <w14:schemeClr w14:val="tx1"/>
                        </w14:solidFill>
                      </w14:textFill>
                    </w:rPr>
                    <w:t>℃</w:t>
                  </w:r>
                </w:p>
              </w:tc>
              <w:tc>
                <w:tcPr>
                  <w:tcW w:w="981" w:type="dxa"/>
                  <w:vAlign w:val="center"/>
                </w:tcPr>
                <w:p w14:paraId="069C1D35">
                  <w:pPr>
                    <w:pageBreakBefore w:val="0"/>
                    <w:wordWrap/>
                    <w:topLinePunct w:val="0"/>
                    <w:bidi w:val="0"/>
                    <w:jc w:val="center"/>
                    <w:rPr>
                      <w:rFonts w:hint="eastAsia"/>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179</w:t>
                  </w:r>
                  <w:r>
                    <w:rPr>
                      <w:b w:val="0"/>
                      <w:bCs w:val="0"/>
                      <w:color w:val="000000" w:themeColor="text1"/>
                      <w:szCs w:val="21"/>
                      <w14:textFill>
                        <w14:solidFill>
                          <w14:schemeClr w14:val="tx1"/>
                        </w14:solidFill>
                      </w14:textFill>
                    </w:rPr>
                    <w:t>℃</w:t>
                  </w:r>
                </w:p>
              </w:tc>
              <w:tc>
                <w:tcPr>
                  <w:tcW w:w="1004" w:type="dxa"/>
                  <w:vAlign w:val="center"/>
                </w:tcPr>
                <w:p w14:paraId="14092C28">
                  <w:pPr>
                    <w:pageBreakBefore w:val="0"/>
                    <w:wordWrap/>
                    <w:topLinePunct w:val="0"/>
                    <w:bidi w:val="0"/>
                    <w:jc w:val="center"/>
                    <w:rPr>
                      <w:rFonts w:hint="default"/>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w:t>
                  </w:r>
                </w:p>
              </w:tc>
              <w:tc>
                <w:tcPr>
                  <w:tcW w:w="2665" w:type="dxa"/>
                  <w:vAlign w:val="center"/>
                </w:tcPr>
                <w:p w14:paraId="122863EE">
                  <w:pPr>
                    <w:pageBreakBefore w:val="0"/>
                    <w:wordWrap/>
                    <w:topLinePunct w:val="0"/>
                    <w:bidi w:val="0"/>
                    <w:jc w:val="center"/>
                    <w:rPr>
                      <w:rFonts w:hint="default"/>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w:t>
                  </w:r>
                </w:p>
              </w:tc>
              <w:tc>
                <w:tcPr>
                  <w:tcW w:w="1421" w:type="dxa"/>
                  <w:vMerge w:val="continue"/>
                  <w:vAlign w:val="center"/>
                </w:tcPr>
                <w:p w14:paraId="4E873CE1">
                  <w:pPr>
                    <w:pageBreakBefore w:val="0"/>
                    <w:wordWrap/>
                    <w:topLinePunct w:val="0"/>
                    <w:bidi w:val="0"/>
                    <w:jc w:val="center"/>
                    <w:rPr>
                      <w:rFonts w:hint="default"/>
                      <w:b w:val="0"/>
                      <w:bCs w:val="0"/>
                      <w:color w:val="000000" w:themeColor="text1"/>
                      <w:szCs w:val="21"/>
                      <w:lang w:val="en-US" w:eastAsia="zh-CN"/>
                      <w14:textFill>
                        <w14:solidFill>
                          <w14:schemeClr w14:val="tx1"/>
                        </w14:solidFill>
                      </w14:textFill>
                    </w:rPr>
                  </w:pPr>
                </w:p>
              </w:tc>
            </w:tr>
            <w:tr w14:paraId="7F35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4" w:type="dxa"/>
                  <w:vAlign w:val="center"/>
                </w:tcPr>
                <w:p w14:paraId="2E1FDE99">
                  <w:pPr>
                    <w:pageBreakBefore w:val="0"/>
                    <w:wordWrap/>
                    <w:topLinePunct w:val="0"/>
                    <w:bidi w:val="0"/>
                    <w:jc w:val="center"/>
                    <w:rPr>
                      <w:rFonts w:hint="eastAsia"/>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液压油</w:t>
                  </w:r>
                </w:p>
              </w:tc>
              <w:tc>
                <w:tcPr>
                  <w:tcW w:w="957" w:type="dxa"/>
                  <w:vAlign w:val="center"/>
                </w:tcPr>
                <w:p w14:paraId="0DC68F66">
                  <w:pPr>
                    <w:pageBreakBefore w:val="0"/>
                    <w:wordWrap/>
                    <w:topLinePunct w:val="0"/>
                    <w:bidi w:val="0"/>
                    <w:jc w:val="center"/>
                    <w:rPr>
                      <w:rFonts w:hint="eastAsia"/>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160</w:t>
                  </w:r>
                  <w:r>
                    <w:rPr>
                      <w:b w:val="0"/>
                      <w:bCs w:val="0"/>
                      <w:color w:val="000000" w:themeColor="text1"/>
                      <w:szCs w:val="21"/>
                      <w14:textFill>
                        <w14:solidFill>
                          <w14:schemeClr w14:val="tx1"/>
                        </w14:solidFill>
                      </w14:textFill>
                    </w:rPr>
                    <w:t>℃</w:t>
                  </w:r>
                </w:p>
              </w:tc>
              <w:tc>
                <w:tcPr>
                  <w:tcW w:w="981" w:type="dxa"/>
                  <w:vAlign w:val="center"/>
                </w:tcPr>
                <w:p w14:paraId="393E214A">
                  <w:pPr>
                    <w:pageBreakBefore w:val="0"/>
                    <w:wordWrap/>
                    <w:topLinePunct w:val="0"/>
                    <w:bidi w:val="0"/>
                    <w:jc w:val="center"/>
                    <w:rPr>
                      <w:rFonts w:hint="eastAsia"/>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290</w:t>
                  </w:r>
                  <w:r>
                    <w:rPr>
                      <w:b w:val="0"/>
                      <w:bCs w:val="0"/>
                      <w:color w:val="000000" w:themeColor="text1"/>
                      <w:szCs w:val="21"/>
                      <w14:textFill>
                        <w14:solidFill>
                          <w14:schemeClr w14:val="tx1"/>
                        </w14:solidFill>
                      </w14:textFill>
                    </w:rPr>
                    <w:t>℃</w:t>
                  </w:r>
                </w:p>
              </w:tc>
              <w:tc>
                <w:tcPr>
                  <w:tcW w:w="1004" w:type="dxa"/>
                  <w:vAlign w:val="center"/>
                </w:tcPr>
                <w:p w14:paraId="286B5CD9">
                  <w:pPr>
                    <w:pageBreakBefore w:val="0"/>
                    <w:wordWrap/>
                    <w:topLinePunct w:val="0"/>
                    <w:bidi w:val="0"/>
                    <w:jc w:val="center"/>
                    <w:rPr>
                      <w:rFonts w:hint="eastAsia"/>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w:t>
                  </w:r>
                </w:p>
              </w:tc>
              <w:tc>
                <w:tcPr>
                  <w:tcW w:w="2665" w:type="dxa"/>
                  <w:vAlign w:val="center"/>
                </w:tcPr>
                <w:p w14:paraId="15F6D23A">
                  <w:pPr>
                    <w:pageBreakBefore w:val="0"/>
                    <w:wordWrap/>
                    <w:topLinePunct w:val="0"/>
                    <w:bidi w:val="0"/>
                    <w:jc w:val="center"/>
                    <w:rPr>
                      <w:rFonts w:hint="eastAsia"/>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w:t>
                  </w:r>
                </w:p>
              </w:tc>
              <w:tc>
                <w:tcPr>
                  <w:tcW w:w="1421" w:type="dxa"/>
                  <w:vAlign w:val="center"/>
                </w:tcPr>
                <w:p w14:paraId="5787149E">
                  <w:pPr>
                    <w:pageBreakBefore w:val="0"/>
                    <w:wordWrap/>
                    <w:topLinePunct w:val="0"/>
                    <w:bidi w:val="0"/>
                    <w:jc w:val="center"/>
                    <w:rPr>
                      <w:rFonts w:hint="default"/>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液压成型机</w:t>
                  </w:r>
                </w:p>
              </w:tc>
            </w:tr>
            <w:tr w14:paraId="28050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4" w:type="dxa"/>
                  <w:vAlign w:val="center"/>
                </w:tcPr>
                <w:p w14:paraId="19420FA7">
                  <w:pPr>
                    <w:pageBreakBefore w:val="0"/>
                    <w:wordWrap/>
                    <w:topLinePunct w:val="0"/>
                    <w:bidi w:val="0"/>
                    <w:jc w:val="center"/>
                    <w:rPr>
                      <w:rFonts w:hint="eastAsia"/>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润滑油</w:t>
                  </w:r>
                </w:p>
              </w:tc>
              <w:tc>
                <w:tcPr>
                  <w:tcW w:w="957" w:type="dxa"/>
                  <w:vAlign w:val="center"/>
                </w:tcPr>
                <w:p w14:paraId="593765A2">
                  <w:pPr>
                    <w:pageBreakBefore w:val="0"/>
                    <w:wordWrap/>
                    <w:topLinePunct w:val="0"/>
                    <w:bidi w:val="0"/>
                    <w:jc w:val="center"/>
                    <w:rPr>
                      <w:rFonts w:hint="eastAsia"/>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135</w:t>
                  </w:r>
                  <w:r>
                    <w:rPr>
                      <w:b w:val="0"/>
                      <w:bCs w:val="0"/>
                      <w:color w:val="000000" w:themeColor="text1"/>
                      <w:szCs w:val="21"/>
                      <w14:textFill>
                        <w14:solidFill>
                          <w14:schemeClr w14:val="tx1"/>
                        </w14:solidFill>
                      </w14:textFill>
                    </w:rPr>
                    <w:t>℃</w:t>
                  </w:r>
                </w:p>
              </w:tc>
              <w:tc>
                <w:tcPr>
                  <w:tcW w:w="981" w:type="dxa"/>
                  <w:vAlign w:val="center"/>
                </w:tcPr>
                <w:p w14:paraId="5C306092">
                  <w:pPr>
                    <w:pageBreakBefore w:val="0"/>
                    <w:wordWrap/>
                    <w:topLinePunct w:val="0"/>
                    <w:bidi w:val="0"/>
                    <w:jc w:val="center"/>
                    <w:rPr>
                      <w:rFonts w:hint="eastAsia"/>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179</w:t>
                  </w:r>
                  <w:r>
                    <w:rPr>
                      <w:b w:val="0"/>
                      <w:bCs w:val="0"/>
                      <w:color w:val="000000" w:themeColor="text1"/>
                      <w:szCs w:val="21"/>
                      <w14:textFill>
                        <w14:solidFill>
                          <w14:schemeClr w14:val="tx1"/>
                        </w14:solidFill>
                      </w14:textFill>
                    </w:rPr>
                    <w:t>℃</w:t>
                  </w:r>
                </w:p>
              </w:tc>
              <w:tc>
                <w:tcPr>
                  <w:tcW w:w="1004" w:type="dxa"/>
                  <w:vAlign w:val="center"/>
                </w:tcPr>
                <w:p w14:paraId="5AE88CFB">
                  <w:pPr>
                    <w:pageBreakBefore w:val="0"/>
                    <w:wordWrap/>
                    <w:topLinePunct w:val="0"/>
                    <w:bidi w:val="0"/>
                    <w:jc w:val="center"/>
                    <w:rPr>
                      <w:rFonts w:hint="eastAsia"/>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w:t>
                  </w:r>
                </w:p>
              </w:tc>
              <w:tc>
                <w:tcPr>
                  <w:tcW w:w="2665" w:type="dxa"/>
                  <w:vAlign w:val="center"/>
                </w:tcPr>
                <w:p w14:paraId="78FA644D">
                  <w:pPr>
                    <w:pageBreakBefore w:val="0"/>
                    <w:wordWrap/>
                    <w:topLinePunct w:val="0"/>
                    <w:bidi w:val="0"/>
                    <w:jc w:val="center"/>
                    <w:rPr>
                      <w:rFonts w:hint="eastAsia"/>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w:t>
                  </w:r>
                </w:p>
              </w:tc>
              <w:tc>
                <w:tcPr>
                  <w:tcW w:w="1421" w:type="dxa"/>
                  <w:vAlign w:val="center"/>
                </w:tcPr>
                <w:p w14:paraId="26CC3159">
                  <w:pPr>
                    <w:pageBreakBefore w:val="0"/>
                    <w:wordWrap/>
                    <w:topLinePunct w:val="0"/>
                    <w:bidi w:val="0"/>
                    <w:jc w:val="center"/>
                    <w:rPr>
                      <w:rFonts w:hint="default"/>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仓库</w:t>
                  </w:r>
                </w:p>
              </w:tc>
            </w:tr>
            <w:tr w14:paraId="1E95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4" w:type="dxa"/>
                  <w:vAlign w:val="center"/>
                </w:tcPr>
                <w:p w14:paraId="42BB6BFD">
                  <w:pPr>
                    <w:pageBreakBefore w:val="0"/>
                    <w:wordWrap/>
                    <w:topLinePunct w:val="0"/>
                    <w:bidi w:val="0"/>
                    <w:jc w:val="center"/>
                    <w:rPr>
                      <w:rFonts w:hint="default"/>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甲醛</w:t>
                  </w:r>
                </w:p>
              </w:tc>
              <w:tc>
                <w:tcPr>
                  <w:tcW w:w="957" w:type="dxa"/>
                  <w:vAlign w:val="center"/>
                </w:tcPr>
                <w:p w14:paraId="180CC38F">
                  <w:pPr>
                    <w:pageBreakBefore w:val="0"/>
                    <w:wordWrap/>
                    <w:topLinePunct w:val="0"/>
                    <w:bidi w:val="0"/>
                    <w:jc w:val="center"/>
                    <w:rPr>
                      <w:rFonts w:hint="default"/>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w:t>
                  </w:r>
                </w:p>
              </w:tc>
              <w:tc>
                <w:tcPr>
                  <w:tcW w:w="981" w:type="dxa"/>
                  <w:vAlign w:val="center"/>
                </w:tcPr>
                <w:p w14:paraId="52666B96">
                  <w:pPr>
                    <w:pageBreakBefore w:val="0"/>
                    <w:wordWrap/>
                    <w:topLinePunct w:val="0"/>
                    <w:bidi w:val="0"/>
                    <w:jc w:val="center"/>
                    <w:rPr>
                      <w:rFonts w:hint="default"/>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w:t>
                  </w:r>
                </w:p>
              </w:tc>
              <w:tc>
                <w:tcPr>
                  <w:tcW w:w="1004" w:type="dxa"/>
                  <w:vAlign w:val="center"/>
                </w:tcPr>
                <w:p w14:paraId="3334DB61">
                  <w:pPr>
                    <w:pageBreakBefore w:val="0"/>
                    <w:wordWrap/>
                    <w:topLinePunct w:val="0"/>
                    <w:bidi w:val="0"/>
                    <w:jc w:val="center"/>
                    <w:rPr>
                      <w:rFonts w:hint="default"/>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w:t>
                  </w:r>
                </w:p>
              </w:tc>
              <w:tc>
                <w:tcPr>
                  <w:tcW w:w="2665" w:type="dxa"/>
                  <w:vAlign w:val="center"/>
                </w:tcPr>
                <w:p w14:paraId="3328C71D">
                  <w:pPr>
                    <w:pageBreakBefore w:val="0"/>
                    <w:wordWrap/>
                    <w:topLinePunct w:val="0"/>
                    <w:bidi w:val="0"/>
                    <w:jc w:val="center"/>
                    <w:rPr>
                      <w:rFonts w:hint="default"/>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w:t>
                  </w:r>
                </w:p>
              </w:tc>
              <w:tc>
                <w:tcPr>
                  <w:tcW w:w="1421" w:type="dxa"/>
                  <w:vAlign w:val="center"/>
                </w:tcPr>
                <w:p w14:paraId="776F691D">
                  <w:pPr>
                    <w:pageBreakBefore w:val="0"/>
                    <w:wordWrap/>
                    <w:topLinePunct w:val="0"/>
                    <w:bidi w:val="0"/>
                    <w:jc w:val="center"/>
                    <w:rPr>
                      <w:rFonts w:hint="default"/>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生产过程中</w:t>
                  </w:r>
                </w:p>
              </w:tc>
            </w:tr>
          </w:tbl>
          <w:p w14:paraId="191606B4">
            <w:pPr>
              <w:pStyle w:val="69"/>
              <w:pageBreakBefore w:val="0"/>
              <w:wordWrap/>
              <w:topLinePunct w:val="0"/>
              <w:bidi w:val="0"/>
              <w:spacing w:line="360" w:lineRule="auto"/>
              <w:ind w:right="0" w:firstLine="482"/>
              <w:jc w:val="left"/>
              <w:rPr>
                <w:rFonts w:hAnsi="Times New Roman"/>
                <w:b/>
                <w:bCs/>
                <w:color w:val="000000" w:themeColor="text1"/>
                <w:sz w:val="24"/>
                <w14:textFill>
                  <w14:solidFill>
                    <w14:schemeClr w14:val="tx1"/>
                  </w14:solidFill>
                </w14:textFill>
              </w:rPr>
            </w:pPr>
            <w:r>
              <w:rPr>
                <w:rFonts w:hint="eastAsia" w:hAnsi="Times New Roman"/>
                <w:b/>
                <w:bCs/>
                <w:color w:val="000000" w:themeColor="text1"/>
                <w:sz w:val="24"/>
                <w14:textFill>
                  <w14:solidFill>
                    <w14:schemeClr w14:val="tx1"/>
                  </w14:solidFill>
                </w14:textFill>
              </w:rPr>
              <w:t>（2）</w:t>
            </w:r>
            <w:r>
              <w:rPr>
                <w:rFonts w:hAnsi="Times New Roman"/>
                <w:b/>
                <w:bCs/>
                <w:color w:val="000000" w:themeColor="text1"/>
                <w:sz w:val="24"/>
                <w14:textFill>
                  <w14:solidFill>
                    <w14:schemeClr w14:val="tx1"/>
                  </w14:solidFill>
                </w14:textFill>
              </w:rPr>
              <w:t>风险潜势初判</w:t>
            </w:r>
          </w:p>
          <w:p w14:paraId="4BA0F325">
            <w:pPr>
              <w:pStyle w:val="69"/>
              <w:pageBreakBefore w:val="0"/>
              <w:wordWrap/>
              <w:topLinePunct w:val="0"/>
              <w:bidi w:val="0"/>
              <w:spacing w:line="360" w:lineRule="auto"/>
              <w:ind w:right="0"/>
              <w:jc w:val="left"/>
              <w:rPr>
                <w:rFonts w:hAnsi="Times New Roman"/>
                <w:color w:val="000000" w:themeColor="text1"/>
                <w:sz w:val="24"/>
                <w14:textFill>
                  <w14:solidFill>
                    <w14:schemeClr w14:val="tx1"/>
                  </w14:solidFill>
                </w14:textFill>
              </w:rPr>
            </w:pPr>
            <w:r>
              <w:rPr>
                <w:rFonts w:hAnsi="Times New Roman"/>
                <w:color w:val="000000" w:themeColor="text1"/>
                <w:sz w:val="24"/>
                <w14:textFill>
                  <w14:solidFill>
                    <w14:schemeClr w14:val="tx1"/>
                  </w14:solidFill>
                </w14:textFill>
              </w:rPr>
              <w:t>根据《建设项目环境风险评价技术导则》（HJ169-2018），建设项目环境风险潜势划分为Ⅰ、Ⅱ、Ⅲ、Ⅳ/Ⅳ+级。根据建设项目涉及的物质和工艺系统的危险性及其所在地的环境敏感程度，结合事故情形下环境影响途径，对建设项目潜在环境危害程度进行概化分析，确定环境风险潜势。</w:t>
            </w:r>
          </w:p>
          <w:p w14:paraId="4383B643">
            <w:pPr>
              <w:pStyle w:val="69"/>
              <w:pageBreakBefore w:val="0"/>
              <w:wordWrap/>
              <w:topLinePunct w:val="0"/>
              <w:bidi w:val="0"/>
              <w:spacing w:line="360" w:lineRule="auto"/>
              <w:ind w:right="0"/>
              <w:jc w:val="left"/>
              <w:rPr>
                <w:rFonts w:hAnsi="Times New Roman"/>
                <w:color w:val="000000" w:themeColor="text1"/>
                <w:sz w:val="24"/>
                <w14:textFill>
                  <w14:solidFill>
                    <w14:schemeClr w14:val="tx1"/>
                  </w14:solidFill>
                </w14:textFill>
              </w:rPr>
            </w:pPr>
            <w:r>
              <w:rPr>
                <w:rFonts w:hAnsi="Times New Roman"/>
                <w:color w:val="000000" w:themeColor="text1"/>
                <w:sz w:val="24"/>
                <w14:textFill>
                  <w14:solidFill>
                    <w14:schemeClr w14:val="tx1"/>
                  </w14:solidFill>
                </w14:textFill>
              </w:rPr>
              <w:t>依据导则附录 B，确定项目涉及的危险物质，并且以危险物质使用情况和贮存情况</w:t>
            </w:r>
            <w:r>
              <w:rPr>
                <w:rFonts w:hint="eastAsia" w:hAnsi="Times New Roman"/>
                <w:color w:val="000000" w:themeColor="text1"/>
                <w:sz w:val="24"/>
                <w:lang w:eastAsia="zh-CN"/>
                <w14:textFill>
                  <w14:solidFill>
                    <w14:schemeClr w14:val="tx1"/>
                  </w14:solidFill>
                </w14:textFill>
              </w:rPr>
              <w:t>为</w:t>
            </w:r>
            <w:r>
              <w:rPr>
                <w:rFonts w:hAnsi="Times New Roman"/>
                <w:color w:val="000000" w:themeColor="text1"/>
                <w:sz w:val="24"/>
                <w14:textFill>
                  <w14:solidFill>
                    <w14:schemeClr w14:val="tx1"/>
                  </w14:solidFill>
                </w14:textFill>
              </w:rPr>
              <w:t>基础，根据导则附录 C 进行危险物质存在量（如存在量呈动态变化，则按年度内最大存在量计算）与临界量比值（Q）的定量估算。</w:t>
            </w:r>
          </w:p>
          <w:p w14:paraId="04625790">
            <w:pPr>
              <w:pStyle w:val="69"/>
              <w:pageBreakBefore w:val="0"/>
              <w:wordWrap/>
              <w:topLinePunct w:val="0"/>
              <w:bidi w:val="0"/>
              <w:spacing w:line="360" w:lineRule="auto"/>
              <w:ind w:right="0"/>
              <w:jc w:val="left"/>
              <w:rPr>
                <w:rFonts w:hAnsi="Times New Roman"/>
                <w:color w:val="000000" w:themeColor="text1"/>
                <w:sz w:val="24"/>
                <w14:textFill>
                  <w14:solidFill>
                    <w14:schemeClr w14:val="tx1"/>
                  </w14:solidFill>
                </w14:textFill>
              </w:rPr>
            </w:pPr>
            <w:r>
              <w:rPr>
                <w:rFonts w:hAnsi="Times New Roman"/>
                <w:color w:val="000000" w:themeColor="text1"/>
                <w:sz w:val="24"/>
                <w14:textFill>
                  <w14:solidFill>
                    <w14:schemeClr w14:val="tx1"/>
                  </w14:solidFill>
                </w14:textFill>
              </w:rPr>
              <w:t>当只涉及一种危险物质时，计算该物质的总量与其临界量的比值，即为 Q。</w:t>
            </w:r>
          </w:p>
          <w:p w14:paraId="30B394E0">
            <w:pPr>
              <w:pStyle w:val="69"/>
              <w:pageBreakBefore w:val="0"/>
              <w:wordWrap/>
              <w:topLinePunct w:val="0"/>
              <w:bidi w:val="0"/>
              <w:spacing w:line="360" w:lineRule="auto"/>
              <w:ind w:right="0"/>
              <w:jc w:val="left"/>
              <w:rPr>
                <w:rFonts w:hAnsi="Times New Roman"/>
                <w:color w:val="000000" w:themeColor="text1"/>
                <w:sz w:val="24"/>
                <w14:textFill>
                  <w14:solidFill>
                    <w14:schemeClr w14:val="tx1"/>
                  </w14:solidFill>
                </w14:textFill>
              </w:rPr>
            </w:pPr>
            <w:r>
              <w:rPr>
                <w:rFonts w:hAnsi="Times New Roman"/>
                <w:color w:val="000000" w:themeColor="text1"/>
                <w:sz w:val="24"/>
                <w14:textFill>
                  <w14:solidFill>
                    <w14:schemeClr w14:val="tx1"/>
                  </w14:solidFill>
                </w14:textFill>
              </w:rPr>
              <w:t>当存在多种危险物质时，则按下式计算物质数量与临界量比值（Q）：</w:t>
            </w:r>
          </w:p>
          <w:p w14:paraId="6F167C61">
            <w:pPr>
              <w:pStyle w:val="69"/>
              <w:pageBreakBefore w:val="0"/>
              <w:wordWrap/>
              <w:topLinePunct w:val="0"/>
              <w:bidi w:val="0"/>
              <w:spacing w:line="360" w:lineRule="auto"/>
              <w:ind w:right="0" w:firstLine="0" w:firstLineChars="0"/>
              <w:jc w:val="center"/>
              <w:rPr>
                <w:rFonts w:hAnsi="Times New Roman"/>
                <w:color w:val="000000" w:themeColor="text1"/>
                <w:sz w:val="24"/>
                <w14:textFill>
                  <w14:solidFill>
                    <w14:schemeClr w14:val="tx1"/>
                  </w14:solidFill>
                </w14:textFill>
              </w:rPr>
            </w:pPr>
            <w:r>
              <w:rPr>
                <w:rFonts w:hAnsi="Times New Roman"/>
                <w:color w:val="000000" w:themeColor="text1"/>
                <w:sz w:val="24"/>
                <w14:textFill>
                  <w14:solidFill>
                    <w14:schemeClr w14:val="tx1"/>
                  </w14:solidFill>
                </w14:textFill>
              </w:rPr>
              <w:drawing>
                <wp:inline distT="0" distB="0" distL="114300" distR="114300">
                  <wp:extent cx="1628775" cy="542925"/>
                  <wp:effectExtent l="0" t="0" r="9525" b="9525"/>
                  <wp:docPr id="3" name="图片 3" descr="16509587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50958700(1)"/>
                          <pic:cNvPicPr>
                            <a:picLocks noChangeAspect="1"/>
                          </pic:cNvPicPr>
                        </pic:nvPicPr>
                        <pic:blipFill>
                          <a:blip r:embed="rId26"/>
                          <a:stretch>
                            <a:fillRect/>
                          </a:stretch>
                        </pic:blipFill>
                        <pic:spPr>
                          <a:xfrm>
                            <a:off x="0" y="0"/>
                            <a:ext cx="1628775" cy="542925"/>
                          </a:xfrm>
                          <a:prstGeom prst="rect">
                            <a:avLst/>
                          </a:prstGeom>
                        </pic:spPr>
                      </pic:pic>
                    </a:graphicData>
                  </a:graphic>
                </wp:inline>
              </w:drawing>
            </w:r>
          </w:p>
          <w:p w14:paraId="2BF354EC">
            <w:pPr>
              <w:pStyle w:val="69"/>
              <w:pageBreakBefore w:val="0"/>
              <w:wordWrap/>
              <w:topLinePunct w:val="0"/>
              <w:bidi w:val="0"/>
              <w:spacing w:line="360" w:lineRule="auto"/>
              <w:ind w:right="0"/>
              <w:jc w:val="left"/>
              <w:rPr>
                <w:rFonts w:hAnsi="Times New Roman"/>
                <w:color w:val="000000" w:themeColor="text1"/>
                <w:sz w:val="24"/>
                <w14:textFill>
                  <w14:solidFill>
                    <w14:schemeClr w14:val="tx1"/>
                  </w14:solidFill>
                </w14:textFill>
              </w:rPr>
            </w:pPr>
            <w:r>
              <w:rPr>
                <w:rFonts w:hAnsi="Times New Roman"/>
                <w:color w:val="000000" w:themeColor="text1"/>
                <w:sz w:val="24"/>
                <w14:textFill>
                  <w14:solidFill>
                    <w14:schemeClr w14:val="tx1"/>
                  </w14:solidFill>
                </w14:textFill>
              </w:rPr>
              <w:t>式中：q</w:t>
            </w:r>
            <w:r>
              <w:rPr>
                <w:rFonts w:hAnsi="Times New Roman"/>
                <w:color w:val="000000" w:themeColor="text1"/>
                <w:sz w:val="24"/>
                <w:vertAlign w:val="subscript"/>
                <w14:textFill>
                  <w14:solidFill>
                    <w14:schemeClr w14:val="tx1"/>
                  </w14:solidFill>
                </w14:textFill>
              </w:rPr>
              <w:t>1</w:t>
            </w:r>
            <w:r>
              <w:rPr>
                <w:rFonts w:hAnsi="Times New Roman"/>
                <w:color w:val="000000" w:themeColor="text1"/>
                <w:sz w:val="24"/>
                <w14:textFill>
                  <w14:solidFill>
                    <w14:schemeClr w14:val="tx1"/>
                  </w14:solidFill>
                </w14:textFill>
              </w:rPr>
              <w:t>，q</w:t>
            </w:r>
            <w:r>
              <w:rPr>
                <w:rFonts w:hAnsi="Times New Roman"/>
                <w:color w:val="000000" w:themeColor="text1"/>
                <w:sz w:val="24"/>
                <w:vertAlign w:val="subscript"/>
                <w14:textFill>
                  <w14:solidFill>
                    <w14:schemeClr w14:val="tx1"/>
                  </w14:solidFill>
                </w14:textFill>
              </w:rPr>
              <w:t>2</w:t>
            </w:r>
            <w:r>
              <w:rPr>
                <w:rFonts w:hAnsi="Times New Roman"/>
                <w:color w:val="000000" w:themeColor="text1"/>
                <w:sz w:val="24"/>
                <w14:textFill>
                  <w14:solidFill>
                    <w14:schemeClr w14:val="tx1"/>
                  </w14:solidFill>
                </w14:textFill>
              </w:rPr>
              <w:t>......q</w:t>
            </w:r>
            <w:r>
              <w:rPr>
                <w:rFonts w:hAnsi="Times New Roman"/>
                <w:color w:val="000000" w:themeColor="text1"/>
                <w:sz w:val="24"/>
                <w:vertAlign w:val="subscript"/>
                <w14:textFill>
                  <w14:solidFill>
                    <w14:schemeClr w14:val="tx1"/>
                  </w14:solidFill>
                </w14:textFill>
              </w:rPr>
              <w:t>n</w:t>
            </w:r>
            <w:r>
              <w:rPr>
                <w:rFonts w:hAnsi="Times New Roman"/>
                <w:color w:val="000000" w:themeColor="text1"/>
                <w:sz w:val="24"/>
                <w14:textFill>
                  <w14:solidFill>
                    <w14:schemeClr w14:val="tx1"/>
                  </w14:solidFill>
                </w14:textFill>
              </w:rPr>
              <w:t xml:space="preserve">——每种危险物质的最大存在总量，t； </w:t>
            </w:r>
          </w:p>
          <w:p w14:paraId="12CD0A57">
            <w:pPr>
              <w:pStyle w:val="69"/>
              <w:pageBreakBefore w:val="0"/>
              <w:wordWrap/>
              <w:topLinePunct w:val="0"/>
              <w:bidi w:val="0"/>
              <w:spacing w:line="360" w:lineRule="auto"/>
              <w:ind w:right="0"/>
              <w:jc w:val="left"/>
              <w:rPr>
                <w:rFonts w:hAnsi="Times New Roman"/>
                <w:color w:val="000000" w:themeColor="text1"/>
                <w:sz w:val="24"/>
                <w14:textFill>
                  <w14:solidFill>
                    <w14:schemeClr w14:val="tx1"/>
                  </w14:solidFill>
                </w14:textFill>
              </w:rPr>
            </w:pPr>
            <w:r>
              <w:rPr>
                <w:rFonts w:hAnsi="Times New Roman"/>
                <w:color w:val="000000" w:themeColor="text1"/>
                <w:sz w:val="24"/>
                <w14:textFill>
                  <w14:solidFill>
                    <w14:schemeClr w14:val="tx1"/>
                  </w14:solidFill>
                </w14:textFill>
              </w:rPr>
              <w:t>Q</w:t>
            </w:r>
            <w:r>
              <w:rPr>
                <w:rFonts w:hAnsi="Times New Roman"/>
                <w:color w:val="000000" w:themeColor="text1"/>
                <w:sz w:val="24"/>
                <w:vertAlign w:val="subscript"/>
                <w14:textFill>
                  <w14:solidFill>
                    <w14:schemeClr w14:val="tx1"/>
                  </w14:solidFill>
                </w14:textFill>
              </w:rPr>
              <w:t>1</w:t>
            </w:r>
            <w:r>
              <w:rPr>
                <w:rFonts w:hAnsi="Times New Roman"/>
                <w:color w:val="000000" w:themeColor="text1"/>
                <w:sz w:val="24"/>
                <w14:textFill>
                  <w14:solidFill>
                    <w14:schemeClr w14:val="tx1"/>
                  </w14:solidFill>
                </w14:textFill>
              </w:rPr>
              <w:t>，Q</w:t>
            </w:r>
            <w:r>
              <w:rPr>
                <w:rFonts w:hAnsi="Times New Roman"/>
                <w:color w:val="000000" w:themeColor="text1"/>
                <w:sz w:val="24"/>
                <w:vertAlign w:val="subscript"/>
                <w14:textFill>
                  <w14:solidFill>
                    <w14:schemeClr w14:val="tx1"/>
                  </w14:solidFill>
                </w14:textFill>
              </w:rPr>
              <w:t>2</w:t>
            </w:r>
            <w:r>
              <w:rPr>
                <w:rFonts w:hAnsi="Times New Roman"/>
                <w:color w:val="000000" w:themeColor="text1"/>
                <w:sz w:val="24"/>
                <w14:textFill>
                  <w14:solidFill>
                    <w14:schemeClr w14:val="tx1"/>
                  </w14:solidFill>
                </w14:textFill>
              </w:rPr>
              <w:t>......Q</w:t>
            </w:r>
            <w:r>
              <w:rPr>
                <w:rFonts w:hAnsi="Times New Roman"/>
                <w:color w:val="000000" w:themeColor="text1"/>
                <w:sz w:val="24"/>
                <w:vertAlign w:val="subscript"/>
                <w14:textFill>
                  <w14:solidFill>
                    <w14:schemeClr w14:val="tx1"/>
                  </w14:solidFill>
                </w14:textFill>
              </w:rPr>
              <w:t>n</w:t>
            </w:r>
            <w:r>
              <w:rPr>
                <w:rFonts w:hAnsi="Times New Roman"/>
                <w:color w:val="000000" w:themeColor="text1"/>
                <w:sz w:val="24"/>
                <w14:textFill>
                  <w14:solidFill>
                    <w14:schemeClr w14:val="tx1"/>
                  </w14:solidFill>
                </w14:textFill>
              </w:rPr>
              <w:t>——每种危险物质的临界量，t。</w:t>
            </w:r>
          </w:p>
          <w:p w14:paraId="009814FD">
            <w:pPr>
              <w:pStyle w:val="69"/>
              <w:pageBreakBefore w:val="0"/>
              <w:wordWrap/>
              <w:topLinePunct w:val="0"/>
              <w:bidi w:val="0"/>
              <w:spacing w:line="360" w:lineRule="auto"/>
              <w:ind w:right="0"/>
              <w:jc w:val="left"/>
              <w:rPr>
                <w:rFonts w:hAnsi="Times New Roman"/>
                <w:color w:val="000000" w:themeColor="text1"/>
                <w:sz w:val="24"/>
                <w14:textFill>
                  <w14:solidFill>
                    <w14:schemeClr w14:val="tx1"/>
                  </w14:solidFill>
                </w14:textFill>
              </w:rPr>
            </w:pPr>
            <w:r>
              <w:rPr>
                <w:rFonts w:hAnsi="Times New Roman"/>
                <w:color w:val="000000" w:themeColor="text1"/>
                <w:sz w:val="24"/>
                <w14:textFill>
                  <w14:solidFill>
                    <w14:schemeClr w14:val="tx1"/>
                  </w14:solidFill>
                </w14:textFill>
              </w:rPr>
              <w:t>Q&lt;1 时，该项目环境风险潜势为Ⅰ。</w:t>
            </w:r>
          </w:p>
          <w:p w14:paraId="2E9DB3A5">
            <w:pPr>
              <w:pStyle w:val="69"/>
              <w:pageBreakBefore w:val="0"/>
              <w:wordWrap/>
              <w:topLinePunct w:val="0"/>
              <w:bidi w:val="0"/>
              <w:spacing w:line="360" w:lineRule="auto"/>
              <w:ind w:right="0"/>
              <w:jc w:val="left"/>
              <w:rPr>
                <w:rFonts w:hAnsi="Times New Roman"/>
                <w:color w:val="000000" w:themeColor="text1"/>
                <w:sz w:val="24"/>
                <w14:textFill>
                  <w14:solidFill>
                    <w14:schemeClr w14:val="tx1"/>
                  </w14:solidFill>
                </w14:textFill>
              </w:rPr>
            </w:pPr>
            <w:r>
              <w:rPr>
                <w:rFonts w:hAnsi="Times New Roman"/>
                <w:color w:val="000000" w:themeColor="text1"/>
                <w:sz w:val="24"/>
                <w14:textFill>
                  <w14:solidFill>
                    <w14:schemeClr w14:val="tx1"/>
                  </w14:solidFill>
                </w14:textFill>
              </w:rPr>
              <w:t>当 Q≥1 时，将 Q 值划分为：（1）1≤Q＜10；（2）10≤Q＜100；（3）Q≥100。</w:t>
            </w:r>
          </w:p>
          <w:p w14:paraId="3A55B6D4">
            <w:pPr>
              <w:pStyle w:val="69"/>
              <w:pageBreakBefore w:val="0"/>
              <w:wordWrap/>
              <w:topLinePunct w:val="0"/>
              <w:bidi w:val="0"/>
              <w:spacing w:line="360" w:lineRule="auto"/>
              <w:ind w:right="0"/>
              <w:jc w:val="left"/>
              <w:rPr>
                <w:rFonts w:hAnsi="Times New Roman"/>
                <w:color w:val="000000" w:themeColor="text1"/>
                <w:sz w:val="24"/>
                <w14:textFill>
                  <w14:solidFill>
                    <w14:schemeClr w14:val="tx1"/>
                  </w14:solidFill>
                </w14:textFill>
              </w:rPr>
            </w:pPr>
            <w:r>
              <w:rPr>
                <w:rFonts w:hAnsi="Times New Roman"/>
                <w:color w:val="000000" w:themeColor="text1"/>
                <w:sz w:val="24"/>
                <w14:textFill>
                  <w14:solidFill>
                    <w14:schemeClr w14:val="tx1"/>
                  </w14:solidFill>
                </w14:textFill>
              </w:rPr>
              <w:t>本项目Q 值计算结果如下：</w:t>
            </w:r>
          </w:p>
          <w:p w14:paraId="53E9AA11">
            <w:pPr>
              <w:pStyle w:val="69"/>
              <w:pageBreakBefore w:val="0"/>
              <w:wordWrap/>
              <w:topLinePunct w:val="0"/>
              <w:bidi w:val="0"/>
              <w:ind w:right="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表4-</w:t>
            </w:r>
            <w:r>
              <w:rPr>
                <w:rFonts w:hint="eastAsia" w:hAnsi="Times New Roman" w:cs="Times New Roman"/>
                <w:b/>
                <w:bCs/>
                <w:color w:val="000000" w:themeColor="text1"/>
                <w:sz w:val="21"/>
                <w:szCs w:val="21"/>
                <w:lang w:val="en-US" w:eastAsia="zh-CN"/>
                <w14:textFill>
                  <w14:solidFill>
                    <w14:schemeClr w14:val="tx1"/>
                  </w14:solidFill>
                </w14:textFill>
              </w:rPr>
              <w:t>9</w:t>
            </w:r>
            <w:r>
              <w:rPr>
                <w:rFonts w:hint="default" w:ascii="Times New Roman" w:hAnsi="Times New Roman" w:eastAsia="宋体" w:cs="Times New Roman"/>
                <w:b/>
                <w:bCs/>
                <w:color w:val="000000" w:themeColor="text1"/>
                <w:sz w:val="21"/>
                <w:szCs w:val="21"/>
                <w14:textFill>
                  <w14:solidFill>
                    <w14:schemeClr w14:val="tx1"/>
                  </w14:solidFill>
                </w14:textFill>
              </w:rPr>
              <w:t xml:space="preserve"> 环境危险物质数量与临界量比值统计表</w:t>
            </w:r>
          </w:p>
          <w:tbl>
            <w:tblPr>
              <w:tblStyle w:val="32"/>
              <w:tblW w:w="815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0"/>
              <w:gridCol w:w="1630"/>
              <w:gridCol w:w="1630"/>
              <w:gridCol w:w="1630"/>
              <w:gridCol w:w="1631"/>
            </w:tblGrid>
            <w:tr w14:paraId="3E6DD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0" w:type="dxa"/>
                  <w:tcBorders>
                    <w:tl2br w:val="nil"/>
                    <w:tr2bl w:val="nil"/>
                  </w:tcBorders>
                  <w:vAlign w:val="center"/>
                </w:tcPr>
                <w:p w14:paraId="68A70ADF">
                  <w:pPr>
                    <w:pStyle w:val="18"/>
                    <w:pageBreakBefore w:val="0"/>
                    <w:wordWrap/>
                    <w:topLinePunct w:val="0"/>
                    <w:bidi w:val="0"/>
                    <w:adjustRightInd w:val="0"/>
                    <w:snapToGrid w:val="0"/>
                    <w:spacing w:line="240" w:lineRule="auto"/>
                    <w:ind w:firstLine="0"/>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风险物质名称</w:t>
                  </w:r>
                </w:p>
              </w:tc>
              <w:tc>
                <w:tcPr>
                  <w:tcW w:w="1630" w:type="dxa"/>
                  <w:tcBorders>
                    <w:tl2br w:val="nil"/>
                    <w:tr2bl w:val="nil"/>
                  </w:tcBorders>
                  <w:vAlign w:val="center"/>
                </w:tcPr>
                <w:p w14:paraId="0DBA8A77">
                  <w:pPr>
                    <w:pStyle w:val="18"/>
                    <w:pageBreakBefore w:val="0"/>
                    <w:wordWrap/>
                    <w:topLinePunct w:val="0"/>
                    <w:bidi w:val="0"/>
                    <w:adjustRightInd w:val="0"/>
                    <w:snapToGrid w:val="0"/>
                    <w:spacing w:line="240" w:lineRule="auto"/>
                    <w:ind w:firstLine="0"/>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最大贮存量（t）</w:t>
                  </w:r>
                </w:p>
              </w:tc>
              <w:tc>
                <w:tcPr>
                  <w:tcW w:w="1630" w:type="dxa"/>
                  <w:tcBorders>
                    <w:tl2br w:val="nil"/>
                    <w:tr2bl w:val="nil"/>
                  </w:tcBorders>
                  <w:vAlign w:val="center"/>
                </w:tcPr>
                <w:p w14:paraId="3D969493">
                  <w:pPr>
                    <w:pStyle w:val="18"/>
                    <w:pageBreakBefore w:val="0"/>
                    <w:wordWrap/>
                    <w:topLinePunct w:val="0"/>
                    <w:bidi w:val="0"/>
                    <w:adjustRightInd w:val="0"/>
                    <w:snapToGrid w:val="0"/>
                    <w:spacing w:line="240" w:lineRule="auto"/>
                    <w:ind w:firstLine="0"/>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临界量（t）</w:t>
                  </w:r>
                </w:p>
              </w:tc>
              <w:tc>
                <w:tcPr>
                  <w:tcW w:w="1630" w:type="dxa"/>
                  <w:tcBorders>
                    <w:tl2br w:val="nil"/>
                    <w:tr2bl w:val="nil"/>
                  </w:tcBorders>
                  <w:vAlign w:val="center"/>
                </w:tcPr>
                <w:p w14:paraId="4E97C1F5">
                  <w:pPr>
                    <w:pStyle w:val="18"/>
                    <w:pageBreakBefore w:val="0"/>
                    <w:wordWrap/>
                    <w:topLinePunct w:val="0"/>
                    <w:bidi w:val="0"/>
                    <w:adjustRightInd w:val="0"/>
                    <w:snapToGrid w:val="0"/>
                    <w:spacing w:line="240" w:lineRule="auto"/>
                    <w:ind w:firstLine="0"/>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Q值</w:t>
                  </w:r>
                </w:p>
              </w:tc>
              <w:tc>
                <w:tcPr>
                  <w:tcW w:w="1631" w:type="dxa"/>
                  <w:tcBorders>
                    <w:tl2br w:val="nil"/>
                    <w:tr2bl w:val="nil"/>
                  </w:tcBorders>
                  <w:vAlign w:val="center"/>
                </w:tcPr>
                <w:p w14:paraId="4A2602F8">
                  <w:pPr>
                    <w:pStyle w:val="18"/>
                    <w:pageBreakBefore w:val="0"/>
                    <w:wordWrap/>
                    <w:topLinePunct w:val="0"/>
                    <w:bidi w:val="0"/>
                    <w:adjustRightInd w:val="0"/>
                    <w:snapToGrid w:val="0"/>
                    <w:spacing w:line="240" w:lineRule="auto"/>
                    <w:ind w:firstLine="0"/>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风险潜势</w:t>
                  </w:r>
                </w:p>
              </w:tc>
            </w:tr>
            <w:tr w14:paraId="52B8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0" w:type="dxa"/>
                  <w:tcBorders>
                    <w:tl2br w:val="nil"/>
                    <w:tr2bl w:val="nil"/>
                  </w:tcBorders>
                  <w:vAlign w:val="center"/>
                </w:tcPr>
                <w:p w14:paraId="76AA3EC3">
                  <w:pPr>
                    <w:pageBreakBefore w:val="0"/>
                    <w:wordWrap/>
                    <w:topLinePunct w:val="0"/>
                    <w:bidi w:val="0"/>
                    <w:jc w:val="center"/>
                    <w:rPr>
                      <w:rFonts w:hint="default" w:ascii="Times New Roman"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甲醛</w:t>
                  </w:r>
                </w:p>
              </w:tc>
              <w:tc>
                <w:tcPr>
                  <w:tcW w:w="1630" w:type="dxa"/>
                  <w:tcBorders>
                    <w:tl2br w:val="nil"/>
                    <w:tr2bl w:val="nil"/>
                  </w:tcBorders>
                  <w:vAlign w:val="center"/>
                </w:tcPr>
                <w:p w14:paraId="2A698525">
                  <w:pPr>
                    <w:pageBreakBefore w:val="0"/>
                    <w:wordWrap/>
                    <w:topLinePunct w:val="0"/>
                    <w:bidi w:val="0"/>
                    <w:adjustRightInd w:val="0"/>
                    <w:snapToGrid w:val="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0.014</w:t>
                  </w:r>
                </w:p>
              </w:tc>
              <w:tc>
                <w:tcPr>
                  <w:tcW w:w="1630" w:type="dxa"/>
                  <w:tcBorders>
                    <w:tl2br w:val="nil"/>
                    <w:tr2bl w:val="nil"/>
                  </w:tcBorders>
                  <w:vAlign w:val="center"/>
                </w:tcPr>
                <w:p w14:paraId="03539957">
                  <w:pPr>
                    <w:pageBreakBefore w:val="0"/>
                    <w:wordWrap/>
                    <w:topLinePunct w:val="0"/>
                    <w:bidi w:val="0"/>
                    <w:adjustRightInd w:val="0"/>
                    <w:snapToGrid w:val="0"/>
                    <w:jc w:val="center"/>
                    <w:rPr>
                      <w:rFonts w:hint="default" w:eastAsia="宋体"/>
                      <w:color w:val="000000" w:themeColor="text1"/>
                      <w:kern w:val="0"/>
                      <w:szCs w:val="21"/>
                      <w:lang w:val="en-US" w:eastAsia="zh-CN" w:bidi="ar"/>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0.5</w:t>
                  </w:r>
                </w:p>
              </w:tc>
              <w:tc>
                <w:tcPr>
                  <w:tcW w:w="1630" w:type="dxa"/>
                  <w:tcBorders>
                    <w:tl2br w:val="nil"/>
                    <w:tr2bl w:val="nil"/>
                  </w:tcBorders>
                  <w:vAlign w:val="center"/>
                </w:tcPr>
                <w:p w14:paraId="1D64F958">
                  <w:pPr>
                    <w:keepNext w:val="0"/>
                    <w:keepLines w:val="0"/>
                    <w:widowControl/>
                    <w:suppressLineNumbers w:val="0"/>
                    <w:jc w:val="center"/>
                    <w:textAlignment w:val="center"/>
                    <w:rPr>
                      <w:rFonts w:hint="default" w:ascii="Times New Roman"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0.02800</w:t>
                  </w:r>
                </w:p>
              </w:tc>
              <w:tc>
                <w:tcPr>
                  <w:tcW w:w="1631" w:type="dxa"/>
                  <w:tcBorders>
                    <w:tl2br w:val="nil"/>
                    <w:tr2bl w:val="nil"/>
                  </w:tcBorders>
                  <w:vAlign w:val="center"/>
                </w:tcPr>
                <w:p w14:paraId="66763FF4">
                  <w:pPr>
                    <w:pStyle w:val="18"/>
                    <w:pageBreakBefore w:val="0"/>
                    <w:tabs>
                      <w:tab w:val="left" w:pos="264"/>
                      <w:tab w:val="center" w:pos="767"/>
                    </w:tabs>
                    <w:wordWrap/>
                    <w:topLinePunct w:val="0"/>
                    <w:bidi w:val="0"/>
                    <w:adjustRightInd w:val="0"/>
                    <w:snapToGrid w:val="0"/>
                    <w:spacing w:line="240" w:lineRule="auto"/>
                    <w:ind w:firstLine="0" w:firstLineChars="0"/>
                    <w:jc w:val="center"/>
                    <w:rPr>
                      <w:rFonts w:hint="default" w:ascii="Times New Roman" w:eastAsia="宋体"/>
                      <w:color w:val="000000" w:themeColor="text1"/>
                      <w:sz w:val="21"/>
                      <w:szCs w:val="21"/>
                      <w:lang w:val="en-US" w:eastAsia="zh-CN"/>
                      <w14:textFill>
                        <w14:solidFill>
                          <w14:schemeClr w14:val="tx1"/>
                        </w14:solidFill>
                      </w14:textFill>
                    </w:rPr>
                  </w:pPr>
                  <w:r>
                    <w:rPr>
                      <w:rFonts w:hint="eastAsia" w:ascii="Times New Roman"/>
                      <w:color w:val="000000" w:themeColor="text1"/>
                      <w:sz w:val="21"/>
                      <w:szCs w:val="21"/>
                      <w:lang w:val="en-US" w:eastAsia="zh-CN"/>
                      <w14:textFill>
                        <w14:solidFill>
                          <w14:schemeClr w14:val="tx1"/>
                        </w14:solidFill>
                      </w14:textFill>
                    </w:rPr>
                    <w:t>/</w:t>
                  </w:r>
                </w:p>
              </w:tc>
            </w:tr>
            <w:tr w14:paraId="05EA8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0" w:type="dxa"/>
                  <w:tcBorders>
                    <w:tl2br w:val="nil"/>
                    <w:tr2bl w:val="nil"/>
                  </w:tcBorders>
                  <w:shd w:val="clear" w:color="auto" w:fill="auto"/>
                  <w:vAlign w:val="center"/>
                </w:tcPr>
                <w:p w14:paraId="4D491431">
                  <w:pPr>
                    <w:pageBreakBefore w:val="0"/>
                    <w:wordWrap/>
                    <w:topLinePunct w:val="0"/>
                    <w:bidi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液压油</w:t>
                  </w:r>
                </w:p>
              </w:tc>
              <w:tc>
                <w:tcPr>
                  <w:tcW w:w="1630" w:type="dxa"/>
                  <w:tcBorders>
                    <w:tl2br w:val="nil"/>
                    <w:tr2bl w:val="nil"/>
                  </w:tcBorders>
                  <w:shd w:val="clear" w:color="auto" w:fill="auto"/>
                  <w:vAlign w:val="center"/>
                </w:tcPr>
                <w:p w14:paraId="3313B3CB">
                  <w:pPr>
                    <w:pageBreakBefore w:val="0"/>
                    <w:wordWrap/>
                    <w:topLinePunct w:val="0"/>
                    <w:bidi w:val="0"/>
                    <w:adjustRightInd w:val="0"/>
                    <w:snapToGrid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Cs w:val="21"/>
                      <w:lang w:val="en-US" w:eastAsia="zh-CN"/>
                      <w14:textFill>
                        <w14:solidFill>
                          <w14:schemeClr w14:val="tx1"/>
                        </w14:solidFill>
                      </w14:textFill>
                    </w:rPr>
                    <w:t>0.20</w:t>
                  </w:r>
                </w:p>
              </w:tc>
              <w:tc>
                <w:tcPr>
                  <w:tcW w:w="1630" w:type="dxa"/>
                  <w:tcBorders>
                    <w:tl2br w:val="nil"/>
                    <w:tr2bl w:val="nil"/>
                  </w:tcBorders>
                  <w:shd w:val="clear" w:color="auto" w:fill="auto"/>
                  <w:vAlign w:val="center"/>
                </w:tcPr>
                <w:p w14:paraId="1D52DA12">
                  <w:pPr>
                    <w:pageBreakBefore w:val="0"/>
                    <w:wordWrap/>
                    <w:topLinePunct w:val="0"/>
                    <w:bidi w:val="0"/>
                    <w:adjustRightInd w:val="0"/>
                    <w:snapToGrid w:val="0"/>
                    <w:jc w:val="cente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2500</w:t>
                  </w:r>
                </w:p>
              </w:tc>
              <w:tc>
                <w:tcPr>
                  <w:tcW w:w="1630" w:type="dxa"/>
                  <w:tcBorders>
                    <w:tl2br w:val="nil"/>
                    <w:tr2bl w:val="nil"/>
                  </w:tcBorders>
                  <w:shd w:val="clear" w:color="auto" w:fill="auto"/>
                  <w:vAlign w:val="center"/>
                </w:tcPr>
                <w:p w14:paraId="3AC09D76">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0.00008</w:t>
                  </w:r>
                </w:p>
              </w:tc>
              <w:tc>
                <w:tcPr>
                  <w:tcW w:w="1631" w:type="dxa"/>
                  <w:tcBorders>
                    <w:tl2br w:val="nil"/>
                    <w:tr2bl w:val="nil"/>
                  </w:tcBorders>
                  <w:shd w:val="clear" w:color="auto" w:fill="auto"/>
                  <w:vAlign w:val="center"/>
                </w:tcPr>
                <w:p w14:paraId="11019A6B">
                  <w:pPr>
                    <w:pStyle w:val="18"/>
                    <w:pageBreakBefore w:val="0"/>
                    <w:tabs>
                      <w:tab w:val="left" w:pos="264"/>
                      <w:tab w:val="center" w:pos="767"/>
                    </w:tabs>
                    <w:wordWrap/>
                    <w:topLinePunct w:val="0"/>
                    <w:bidi w:val="0"/>
                    <w:adjustRightInd w:val="0"/>
                    <w:snapToGrid w:val="0"/>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color w:val="000000" w:themeColor="text1"/>
                      <w:sz w:val="21"/>
                      <w:szCs w:val="21"/>
                      <w:lang w:val="en-US" w:eastAsia="zh-CN"/>
                      <w14:textFill>
                        <w14:solidFill>
                          <w14:schemeClr w14:val="tx1"/>
                        </w14:solidFill>
                      </w14:textFill>
                    </w:rPr>
                    <w:t>/</w:t>
                  </w:r>
                </w:p>
              </w:tc>
            </w:tr>
            <w:tr w14:paraId="22F56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0" w:type="dxa"/>
                  <w:tcBorders>
                    <w:tl2br w:val="nil"/>
                    <w:tr2bl w:val="nil"/>
                  </w:tcBorders>
                  <w:vAlign w:val="center"/>
                </w:tcPr>
                <w:p w14:paraId="70293098">
                  <w:pPr>
                    <w:pageBreakBefore w:val="0"/>
                    <w:wordWrap/>
                    <w:topLinePunct w:val="0"/>
                    <w:bidi w:val="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润滑油</w:t>
                  </w:r>
                </w:p>
              </w:tc>
              <w:tc>
                <w:tcPr>
                  <w:tcW w:w="1630" w:type="dxa"/>
                  <w:tcBorders>
                    <w:tl2br w:val="nil"/>
                    <w:tr2bl w:val="nil"/>
                  </w:tcBorders>
                  <w:vAlign w:val="center"/>
                </w:tcPr>
                <w:p w14:paraId="68F3E24F">
                  <w:pPr>
                    <w:pageBreakBefore w:val="0"/>
                    <w:wordWrap/>
                    <w:topLinePunct w:val="0"/>
                    <w:bidi w:val="0"/>
                    <w:adjustRightInd w:val="0"/>
                    <w:snapToGrid w:val="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0.20</w:t>
                  </w:r>
                </w:p>
              </w:tc>
              <w:tc>
                <w:tcPr>
                  <w:tcW w:w="1630" w:type="dxa"/>
                  <w:tcBorders>
                    <w:tl2br w:val="nil"/>
                    <w:tr2bl w:val="nil"/>
                  </w:tcBorders>
                  <w:vAlign w:val="center"/>
                </w:tcPr>
                <w:p w14:paraId="67E4F361">
                  <w:pPr>
                    <w:pageBreakBefore w:val="0"/>
                    <w:wordWrap/>
                    <w:topLinePunct w:val="0"/>
                    <w:bidi w:val="0"/>
                    <w:adjustRightInd w:val="0"/>
                    <w:snapToGrid w:val="0"/>
                    <w:jc w:val="center"/>
                    <w:rPr>
                      <w:rFonts w:hint="default" w:eastAsia="宋体"/>
                      <w:color w:val="000000" w:themeColor="text1"/>
                      <w:kern w:val="0"/>
                      <w:szCs w:val="21"/>
                      <w:lang w:val="en-US" w:eastAsia="zh-CN" w:bidi="ar"/>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2500</w:t>
                  </w:r>
                </w:p>
              </w:tc>
              <w:tc>
                <w:tcPr>
                  <w:tcW w:w="1630" w:type="dxa"/>
                  <w:tcBorders>
                    <w:tl2br w:val="nil"/>
                    <w:tr2bl w:val="nil"/>
                  </w:tcBorders>
                  <w:vAlign w:val="center"/>
                </w:tcPr>
                <w:p w14:paraId="3F69E129">
                  <w:pPr>
                    <w:keepNext w:val="0"/>
                    <w:keepLines w:val="0"/>
                    <w:widowControl/>
                    <w:suppressLineNumbers w:val="0"/>
                    <w:jc w:val="center"/>
                    <w:textAlignment w:val="center"/>
                    <w:rPr>
                      <w:rFonts w:hint="default" w:ascii="Times New Roman" w:eastAsia="宋体"/>
                      <w:color w:val="000000" w:themeColor="text1"/>
                      <w:sz w:val="21"/>
                      <w:szCs w:val="21"/>
                      <w:lang w:val="en-US" w:eastAsia="zh-CN"/>
                      <w14:textFill>
                        <w14:solidFill>
                          <w14:schemeClr w14:val="tx1"/>
                        </w14:solidFill>
                      </w14:textFill>
                    </w:rPr>
                  </w:pPr>
                  <w:r>
                    <w:rPr>
                      <w:rFonts w:hint="default" w:ascii="Times New Roman" w:eastAsia="宋体"/>
                      <w:color w:val="000000" w:themeColor="text1"/>
                      <w:sz w:val="21"/>
                      <w:szCs w:val="21"/>
                      <w:lang w:val="en-US" w:eastAsia="zh-CN"/>
                      <w14:textFill>
                        <w14:solidFill>
                          <w14:schemeClr w14:val="tx1"/>
                        </w14:solidFill>
                      </w14:textFill>
                    </w:rPr>
                    <w:t>0.00008</w:t>
                  </w:r>
                </w:p>
              </w:tc>
              <w:tc>
                <w:tcPr>
                  <w:tcW w:w="1631" w:type="dxa"/>
                  <w:tcBorders>
                    <w:tl2br w:val="nil"/>
                    <w:tr2bl w:val="nil"/>
                  </w:tcBorders>
                  <w:vAlign w:val="center"/>
                </w:tcPr>
                <w:p w14:paraId="6F41B216">
                  <w:pPr>
                    <w:pStyle w:val="18"/>
                    <w:pageBreakBefore w:val="0"/>
                    <w:tabs>
                      <w:tab w:val="left" w:pos="264"/>
                      <w:tab w:val="center" w:pos="767"/>
                    </w:tabs>
                    <w:wordWrap/>
                    <w:topLinePunct w:val="0"/>
                    <w:bidi w:val="0"/>
                    <w:adjustRightInd w:val="0"/>
                    <w:snapToGrid w:val="0"/>
                    <w:spacing w:line="240" w:lineRule="auto"/>
                    <w:ind w:firstLine="0" w:firstLineChars="0"/>
                    <w:jc w:val="center"/>
                    <w:rPr>
                      <w:rFonts w:hint="eastAsia" w:ascii="Times New Roman" w:eastAsia="宋体"/>
                      <w:color w:val="000000" w:themeColor="text1"/>
                      <w:sz w:val="21"/>
                      <w:szCs w:val="21"/>
                      <w:lang w:val="en-US" w:eastAsia="zh-CN"/>
                      <w14:textFill>
                        <w14:solidFill>
                          <w14:schemeClr w14:val="tx1"/>
                        </w14:solidFill>
                      </w14:textFill>
                    </w:rPr>
                  </w:pPr>
                  <w:r>
                    <w:rPr>
                      <w:rFonts w:hint="eastAsia" w:ascii="Times New Roman"/>
                      <w:color w:val="000000" w:themeColor="text1"/>
                      <w:sz w:val="21"/>
                      <w:szCs w:val="21"/>
                      <w:lang w:val="en-US" w:eastAsia="zh-CN"/>
                      <w14:textFill>
                        <w14:solidFill>
                          <w14:schemeClr w14:val="tx1"/>
                        </w14:solidFill>
                      </w14:textFill>
                    </w:rPr>
                    <w:t>/</w:t>
                  </w:r>
                </w:p>
              </w:tc>
            </w:tr>
            <w:tr w14:paraId="2FAA6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0" w:type="dxa"/>
                  <w:tcBorders>
                    <w:tl2br w:val="nil"/>
                    <w:tr2bl w:val="nil"/>
                  </w:tcBorders>
                  <w:shd w:val="clear" w:color="auto" w:fill="auto"/>
                  <w:vAlign w:val="center"/>
                </w:tcPr>
                <w:p w14:paraId="26BBE29B">
                  <w:pPr>
                    <w:pageBreakBefore w:val="0"/>
                    <w:wordWrap/>
                    <w:topLinePunct w:val="0"/>
                    <w:bidi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废润滑油</w:t>
                  </w:r>
                </w:p>
              </w:tc>
              <w:tc>
                <w:tcPr>
                  <w:tcW w:w="1630" w:type="dxa"/>
                  <w:tcBorders>
                    <w:tl2br w:val="nil"/>
                    <w:tr2bl w:val="nil"/>
                  </w:tcBorders>
                  <w:shd w:val="clear" w:color="auto" w:fill="auto"/>
                  <w:vAlign w:val="center"/>
                </w:tcPr>
                <w:p w14:paraId="1F1F8DFC">
                  <w:pPr>
                    <w:pageBreakBefore w:val="0"/>
                    <w:wordWrap/>
                    <w:topLinePunct w:val="0"/>
                    <w:bidi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Cs w:val="21"/>
                      <w:lang w:val="en-US" w:eastAsia="zh-CN"/>
                      <w14:textFill>
                        <w14:solidFill>
                          <w14:schemeClr w14:val="tx1"/>
                        </w14:solidFill>
                      </w14:textFill>
                    </w:rPr>
                    <w:t>0.10</w:t>
                  </w:r>
                </w:p>
              </w:tc>
              <w:tc>
                <w:tcPr>
                  <w:tcW w:w="1630" w:type="dxa"/>
                  <w:tcBorders>
                    <w:tl2br w:val="nil"/>
                    <w:tr2bl w:val="nil"/>
                  </w:tcBorders>
                  <w:shd w:val="clear" w:color="auto" w:fill="auto"/>
                  <w:vAlign w:val="center"/>
                </w:tcPr>
                <w:p w14:paraId="12CD07A8">
                  <w:pPr>
                    <w:pageBreakBefore w:val="0"/>
                    <w:wordWrap/>
                    <w:topLinePunct w:val="0"/>
                    <w:bidi w:val="0"/>
                    <w:adjustRightInd w:val="0"/>
                    <w:snapToGrid w:val="0"/>
                    <w:jc w:val="cente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2500</w:t>
                  </w:r>
                </w:p>
              </w:tc>
              <w:tc>
                <w:tcPr>
                  <w:tcW w:w="1630" w:type="dxa"/>
                  <w:tcBorders>
                    <w:tl2br w:val="nil"/>
                    <w:tr2bl w:val="nil"/>
                  </w:tcBorders>
                  <w:shd w:val="clear" w:color="auto" w:fill="auto"/>
                  <w:vAlign w:val="center"/>
                </w:tcPr>
                <w:p w14:paraId="5A841DD3">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w:t>
                  </w:r>
                  <w:r>
                    <w:rPr>
                      <w:rFonts w:hint="eastAsia" w:cs="Times New Roman"/>
                      <w:i w:val="0"/>
                      <w:iCs w:val="0"/>
                      <w:color w:val="000000" w:themeColor="text1"/>
                      <w:kern w:val="0"/>
                      <w:sz w:val="21"/>
                      <w:szCs w:val="21"/>
                      <w:u w:val="none"/>
                      <w:lang w:val="en-US" w:eastAsia="zh-CN" w:bidi="ar"/>
                      <w14:textFill>
                        <w14:solidFill>
                          <w14:schemeClr w14:val="tx1"/>
                        </w14:solidFill>
                      </w14:textFill>
                    </w:rPr>
                    <w:t>04</w:t>
                  </w:r>
                </w:p>
              </w:tc>
              <w:tc>
                <w:tcPr>
                  <w:tcW w:w="1631" w:type="dxa"/>
                  <w:tcBorders>
                    <w:tl2br w:val="nil"/>
                    <w:tr2bl w:val="nil"/>
                  </w:tcBorders>
                  <w:shd w:val="clear" w:color="auto" w:fill="auto"/>
                  <w:vAlign w:val="center"/>
                </w:tcPr>
                <w:p w14:paraId="5BAE143C">
                  <w:pPr>
                    <w:pStyle w:val="18"/>
                    <w:pageBreakBefore w:val="0"/>
                    <w:tabs>
                      <w:tab w:val="left" w:pos="264"/>
                      <w:tab w:val="center" w:pos="767"/>
                    </w:tabs>
                    <w:wordWrap/>
                    <w:topLinePunct w:val="0"/>
                    <w:bidi w:val="0"/>
                    <w:adjustRightInd w:val="0"/>
                    <w:snapToGrid w:val="0"/>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color w:val="000000" w:themeColor="text1"/>
                      <w:sz w:val="21"/>
                      <w:szCs w:val="21"/>
                      <w:lang w:val="en-US" w:eastAsia="zh-CN"/>
                      <w14:textFill>
                        <w14:solidFill>
                          <w14:schemeClr w14:val="tx1"/>
                        </w14:solidFill>
                      </w14:textFill>
                    </w:rPr>
                    <w:t>/</w:t>
                  </w:r>
                </w:p>
              </w:tc>
            </w:tr>
            <w:tr w14:paraId="1198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0" w:type="dxa"/>
                  <w:tcBorders>
                    <w:tl2br w:val="nil"/>
                    <w:tr2bl w:val="nil"/>
                  </w:tcBorders>
                  <w:vAlign w:val="center"/>
                </w:tcPr>
                <w:p w14:paraId="3C4227BD">
                  <w:pPr>
                    <w:pageBreakBefore w:val="0"/>
                    <w:wordWrap/>
                    <w:topLinePunct w:val="0"/>
                    <w:bidi w:val="0"/>
                    <w:jc w:val="center"/>
                    <w:rPr>
                      <w:rFonts w:hint="default"/>
                      <w:b w:val="0"/>
                      <w:bCs w:val="0"/>
                      <w:color w:val="000000" w:themeColor="text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废液压油</w:t>
                  </w:r>
                </w:p>
              </w:tc>
              <w:tc>
                <w:tcPr>
                  <w:tcW w:w="1630" w:type="dxa"/>
                  <w:tcBorders>
                    <w:tl2br w:val="nil"/>
                    <w:tr2bl w:val="nil"/>
                  </w:tcBorders>
                  <w:vAlign w:val="center"/>
                </w:tcPr>
                <w:p w14:paraId="5097FDA3">
                  <w:pPr>
                    <w:pageBreakBefore w:val="0"/>
                    <w:wordWrap/>
                    <w:topLinePunct w:val="0"/>
                    <w:bidi w:val="0"/>
                    <w:adjustRightInd w:val="0"/>
                    <w:snapToGrid w:val="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0.25</w:t>
                  </w:r>
                </w:p>
              </w:tc>
              <w:tc>
                <w:tcPr>
                  <w:tcW w:w="1630" w:type="dxa"/>
                  <w:tcBorders>
                    <w:tl2br w:val="nil"/>
                    <w:tr2bl w:val="nil"/>
                  </w:tcBorders>
                  <w:vAlign w:val="center"/>
                </w:tcPr>
                <w:p w14:paraId="2EFE9111">
                  <w:pPr>
                    <w:pageBreakBefore w:val="0"/>
                    <w:wordWrap/>
                    <w:topLinePunct w:val="0"/>
                    <w:bidi w:val="0"/>
                    <w:adjustRightInd w:val="0"/>
                    <w:snapToGrid w:val="0"/>
                    <w:jc w:val="center"/>
                    <w:rPr>
                      <w:rFonts w:hint="default"/>
                      <w:color w:val="000000" w:themeColor="text1"/>
                      <w:kern w:val="0"/>
                      <w:szCs w:val="21"/>
                      <w:lang w:val="en-US" w:eastAsia="zh-CN" w:bidi="ar"/>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2500</w:t>
                  </w:r>
                </w:p>
              </w:tc>
              <w:tc>
                <w:tcPr>
                  <w:tcW w:w="1630" w:type="dxa"/>
                  <w:tcBorders>
                    <w:tl2br w:val="nil"/>
                    <w:tr2bl w:val="nil"/>
                  </w:tcBorders>
                  <w:vAlign w:val="center"/>
                </w:tcPr>
                <w:p w14:paraId="0826E1B9">
                  <w:pPr>
                    <w:keepNext w:val="0"/>
                    <w:keepLines w:val="0"/>
                    <w:widowControl/>
                    <w:suppressLineNumbers w:val="0"/>
                    <w:jc w:val="center"/>
                    <w:textAlignment w:val="center"/>
                    <w:rPr>
                      <w:rFonts w:hint="default" w:ascii="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w:t>
                  </w:r>
                  <w:r>
                    <w:rPr>
                      <w:rFonts w:hint="eastAsia" w:cs="Times New Roman"/>
                      <w:i w:val="0"/>
                      <w:iCs w:val="0"/>
                      <w:color w:val="000000" w:themeColor="text1"/>
                      <w:kern w:val="0"/>
                      <w:sz w:val="21"/>
                      <w:szCs w:val="21"/>
                      <w:u w:val="none"/>
                      <w:lang w:val="en-US" w:eastAsia="zh-CN" w:bidi="ar"/>
                      <w14:textFill>
                        <w14:solidFill>
                          <w14:schemeClr w14:val="tx1"/>
                        </w14:solidFill>
                      </w14:textFill>
                    </w:rPr>
                    <w:t>10</w:t>
                  </w:r>
                </w:p>
              </w:tc>
              <w:tc>
                <w:tcPr>
                  <w:tcW w:w="1631" w:type="dxa"/>
                  <w:tcBorders>
                    <w:tl2br w:val="nil"/>
                    <w:tr2bl w:val="nil"/>
                  </w:tcBorders>
                  <w:vAlign w:val="center"/>
                </w:tcPr>
                <w:p w14:paraId="3A9791A7">
                  <w:pPr>
                    <w:pStyle w:val="18"/>
                    <w:pageBreakBefore w:val="0"/>
                    <w:tabs>
                      <w:tab w:val="left" w:pos="264"/>
                      <w:tab w:val="center" w:pos="767"/>
                    </w:tabs>
                    <w:wordWrap/>
                    <w:topLinePunct w:val="0"/>
                    <w:bidi w:val="0"/>
                    <w:adjustRightInd w:val="0"/>
                    <w:snapToGrid w:val="0"/>
                    <w:spacing w:line="240" w:lineRule="auto"/>
                    <w:ind w:firstLine="0"/>
                    <w:jc w:val="center"/>
                    <w:rPr>
                      <w:rFonts w:hint="eastAsia" w:ascii="Times New Roman" w:eastAsia="宋体"/>
                      <w:color w:val="000000" w:themeColor="text1"/>
                      <w:sz w:val="21"/>
                      <w:szCs w:val="21"/>
                      <w:lang w:val="en-US" w:eastAsia="zh-CN"/>
                      <w14:textFill>
                        <w14:solidFill>
                          <w14:schemeClr w14:val="tx1"/>
                        </w14:solidFill>
                      </w14:textFill>
                    </w:rPr>
                  </w:pPr>
                  <w:r>
                    <w:rPr>
                      <w:rFonts w:hint="eastAsia" w:ascii="Times New Roman"/>
                      <w:color w:val="000000" w:themeColor="text1"/>
                      <w:sz w:val="21"/>
                      <w:szCs w:val="21"/>
                      <w:lang w:val="en-US" w:eastAsia="zh-CN"/>
                      <w14:textFill>
                        <w14:solidFill>
                          <w14:schemeClr w14:val="tx1"/>
                        </w14:solidFill>
                      </w14:textFill>
                    </w:rPr>
                    <w:t>/</w:t>
                  </w:r>
                </w:p>
              </w:tc>
            </w:tr>
            <w:tr w14:paraId="695C0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630" w:type="dxa"/>
                  <w:tcBorders>
                    <w:tl2br w:val="nil"/>
                    <w:tr2bl w:val="nil"/>
                  </w:tcBorders>
                  <w:vAlign w:val="center"/>
                </w:tcPr>
                <w:p w14:paraId="01BA7B32">
                  <w:pPr>
                    <w:pageBreakBefore w:val="0"/>
                    <w:wordWrap/>
                    <w:topLinePunct w:val="0"/>
                    <w:bidi w:val="0"/>
                    <w:jc w:val="center"/>
                    <w:rPr>
                      <w:rFonts w:hint="default"/>
                      <w:b w:val="0"/>
                      <w:bCs w:val="0"/>
                      <w:color w:val="000000" w:themeColor="text1"/>
                      <w:szCs w:val="21"/>
                      <w:lang w:val="en-US" w:eastAsia="zh-CN"/>
                      <w14:textFill>
                        <w14:solidFill>
                          <w14:schemeClr w14:val="tx1"/>
                        </w14:solidFill>
                      </w14:textFill>
                    </w:rPr>
                  </w:pPr>
                  <w:r>
                    <w:rPr>
                      <w:rFonts w:hint="eastAsia"/>
                      <w:b w:val="0"/>
                      <w:bCs w:val="0"/>
                      <w:color w:val="000000" w:themeColor="text1"/>
                      <w:szCs w:val="21"/>
                      <w:lang w:val="en-US" w:eastAsia="zh-CN"/>
                      <w14:textFill>
                        <w14:solidFill>
                          <w14:schemeClr w14:val="tx1"/>
                        </w14:solidFill>
                      </w14:textFill>
                    </w:rPr>
                    <w:t>合计</w:t>
                  </w:r>
                </w:p>
              </w:tc>
              <w:tc>
                <w:tcPr>
                  <w:tcW w:w="1630" w:type="dxa"/>
                  <w:tcBorders>
                    <w:tl2br w:val="nil"/>
                    <w:tr2bl w:val="nil"/>
                  </w:tcBorders>
                  <w:vAlign w:val="center"/>
                </w:tcPr>
                <w:p w14:paraId="034CB772">
                  <w:pPr>
                    <w:pageBreakBefore w:val="0"/>
                    <w:wordWrap/>
                    <w:topLinePunct w:val="0"/>
                    <w:bidi w:val="0"/>
                    <w:adjustRightInd w:val="0"/>
                    <w:snapToGrid w:val="0"/>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w:t>
                  </w:r>
                </w:p>
              </w:tc>
              <w:tc>
                <w:tcPr>
                  <w:tcW w:w="1630" w:type="dxa"/>
                  <w:tcBorders>
                    <w:tl2br w:val="nil"/>
                    <w:tr2bl w:val="nil"/>
                  </w:tcBorders>
                  <w:vAlign w:val="center"/>
                </w:tcPr>
                <w:p w14:paraId="288B26F5">
                  <w:pPr>
                    <w:pageBreakBefore w:val="0"/>
                    <w:wordWrap/>
                    <w:topLinePunct w:val="0"/>
                    <w:bidi w:val="0"/>
                    <w:adjustRightInd w:val="0"/>
                    <w:snapToGrid w:val="0"/>
                    <w:jc w:val="center"/>
                    <w:rPr>
                      <w:rFonts w:hint="default"/>
                      <w:color w:val="000000" w:themeColor="text1"/>
                      <w:kern w:val="0"/>
                      <w:szCs w:val="21"/>
                      <w:lang w:val="en-US" w:eastAsia="zh-CN" w:bidi="ar"/>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w:t>
                  </w:r>
                </w:p>
              </w:tc>
              <w:tc>
                <w:tcPr>
                  <w:tcW w:w="1630" w:type="dxa"/>
                  <w:tcBorders>
                    <w:tl2br w:val="nil"/>
                    <w:tr2bl w:val="nil"/>
                  </w:tcBorders>
                  <w:vAlign w:val="center"/>
                </w:tcPr>
                <w:p w14:paraId="63AE3885">
                  <w:pPr>
                    <w:keepNext w:val="0"/>
                    <w:keepLines w:val="0"/>
                    <w:widowControl/>
                    <w:suppressLineNumbers w:val="0"/>
                    <w:jc w:val="center"/>
                    <w:textAlignment w:val="center"/>
                    <w:rPr>
                      <w:rFonts w:hint="default" w:ascii="Times New Roman"/>
                      <w:color w:val="000000" w:themeColor="text1"/>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0.02830</w:t>
                  </w:r>
                </w:p>
              </w:tc>
              <w:tc>
                <w:tcPr>
                  <w:tcW w:w="1631" w:type="dxa"/>
                  <w:tcBorders>
                    <w:tl2br w:val="nil"/>
                    <w:tr2bl w:val="nil"/>
                  </w:tcBorders>
                  <w:vAlign w:val="center"/>
                </w:tcPr>
                <w:p w14:paraId="1591A7B4">
                  <w:pPr>
                    <w:pStyle w:val="18"/>
                    <w:pageBreakBefore w:val="0"/>
                    <w:tabs>
                      <w:tab w:val="left" w:pos="264"/>
                      <w:tab w:val="center" w:pos="767"/>
                    </w:tabs>
                    <w:wordWrap/>
                    <w:topLinePunct w:val="0"/>
                    <w:bidi w:val="0"/>
                    <w:adjustRightInd w:val="0"/>
                    <w:snapToGrid w:val="0"/>
                    <w:spacing w:line="240" w:lineRule="auto"/>
                    <w:ind w:firstLine="0"/>
                    <w:jc w:val="center"/>
                    <w:rPr>
                      <w:rFonts w:hint="eastAsia" w:ascii="Times New Roman" w:eastAsia="宋体"/>
                      <w:color w:val="000000" w:themeColor="text1"/>
                      <w:sz w:val="21"/>
                      <w:szCs w:val="21"/>
                      <w:lang w:val="en-US" w:eastAsia="zh-CN"/>
                      <w14:textFill>
                        <w14:solidFill>
                          <w14:schemeClr w14:val="tx1"/>
                        </w14:solidFill>
                      </w14:textFill>
                    </w:rPr>
                  </w:pPr>
                  <w:r>
                    <w:rPr>
                      <w:rFonts w:hint="eastAsia" w:hAnsi="宋体" w:cs="宋体"/>
                      <w:color w:val="000000" w:themeColor="text1"/>
                      <w:sz w:val="21"/>
                      <w14:textFill>
                        <w14:solidFill>
                          <w14:schemeClr w14:val="tx1"/>
                        </w14:solidFill>
                      </w14:textFill>
                    </w:rPr>
                    <w:t>Ⅰ</w:t>
                  </w:r>
                </w:p>
              </w:tc>
            </w:tr>
          </w:tbl>
          <w:p w14:paraId="58EBE45B">
            <w:pPr>
              <w:pStyle w:val="69"/>
              <w:pageBreakBefore w:val="0"/>
              <w:wordWrap/>
              <w:topLinePunct w:val="0"/>
              <w:bidi w:val="0"/>
              <w:spacing w:line="360" w:lineRule="auto"/>
              <w:ind w:right="0" w:firstLine="482"/>
              <w:jc w:val="left"/>
              <w:rPr>
                <w:rFonts w:hAnsi="Times New Roman"/>
                <w:b/>
                <w:bCs/>
                <w:color w:val="000000" w:themeColor="text1"/>
                <w:sz w:val="24"/>
                <w14:textFill>
                  <w14:solidFill>
                    <w14:schemeClr w14:val="tx1"/>
                  </w14:solidFill>
                </w14:textFill>
              </w:rPr>
            </w:pPr>
            <w:r>
              <w:rPr>
                <w:rFonts w:hint="eastAsia" w:hAnsi="Times New Roman"/>
                <w:b/>
                <w:bCs/>
                <w:color w:val="000000" w:themeColor="text1"/>
                <w:sz w:val="24"/>
                <w14:textFill>
                  <w14:solidFill>
                    <w14:schemeClr w14:val="tx1"/>
                  </w14:solidFill>
                </w14:textFill>
              </w:rPr>
              <w:t>（3）评价等级</w:t>
            </w:r>
          </w:p>
          <w:p w14:paraId="09184593">
            <w:pPr>
              <w:pStyle w:val="15"/>
              <w:pageBreakBefore w:val="0"/>
              <w:wordWrap/>
              <w:topLinePunct w:val="0"/>
              <w:bidi w:val="0"/>
              <w:spacing w:line="360" w:lineRule="auto"/>
              <w:ind w:firstLine="480" w:firstLineChars="200"/>
              <w:jc w:val="left"/>
              <w:textAlignment w:val="baseline"/>
              <w:rPr>
                <w:rFonts w:hint="eastAsia" w:ascii="Times New Roman"/>
                <w:color w:val="000000" w:themeColor="text1"/>
                <w:sz w:val="24"/>
                <w:szCs w:val="24"/>
                <w14:textFill>
                  <w14:solidFill>
                    <w14:schemeClr w14:val="tx1"/>
                  </w14:solidFill>
                </w14:textFill>
              </w:rPr>
            </w:pPr>
            <w:r>
              <w:rPr>
                <w:rFonts w:hint="eastAsia" w:ascii="Times New Roman"/>
                <w:color w:val="000000" w:themeColor="text1"/>
                <w:sz w:val="24"/>
                <w:szCs w:val="24"/>
                <w14:textFill>
                  <w14:solidFill>
                    <w14:schemeClr w14:val="tx1"/>
                  </w14:solidFill>
                </w14:textFill>
              </w:rPr>
              <w:t>根据《建设项目环境风险评价技术导则》（HJ169-2018）评价工作等级划分要求，确定项目环境风险评价等级为简单分析，划分依据</w:t>
            </w:r>
            <w:r>
              <w:rPr>
                <w:rFonts w:hint="eastAsia" w:ascii="Times New Roman"/>
                <w:color w:val="000000" w:themeColor="text1"/>
                <w:sz w:val="24"/>
                <w:szCs w:val="24"/>
                <w:lang w:eastAsia="zh-CN"/>
                <w14:textFill>
                  <w14:solidFill>
                    <w14:schemeClr w14:val="tx1"/>
                  </w14:solidFill>
                </w14:textFill>
              </w:rPr>
              <w:t>详见</w:t>
            </w:r>
            <w:r>
              <w:rPr>
                <w:rFonts w:hint="eastAsia" w:ascii="Times New Roman"/>
                <w:color w:val="000000" w:themeColor="text1"/>
                <w:sz w:val="24"/>
                <w:szCs w:val="24"/>
                <w14:textFill>
                  <w14:solidFill>
                    <w14:schemeClr w14:val="tx1"/>
                  </w14:solidFill>
                </w14:textFill>
              </w:rPr>
              <w:t>下表：</w:t>
            </w:r>
          </w:p>
          <w:p w14:paraId="4CCE909E">
            <w:pPr>
              <w:pStyle w:val="15"/>
              <w:pageBreakBefore w:val="0"/>
              <w:wordWrap/>
              <w:topLinePunct w:val="0"/>
              <w:bidi w:val="0"/>
              <w:adjustRightInd w:val="0"/>
              <w:snapToGrid w:val="0"/>
              <w:spacing w:line="240" w:lineRule="auto"/>
              <w:jc w:val="center"/>
              <w:rPr>
                <w:rFonts w:ascii="Times New Roman" w:hAnsi="Times New Roman"/>
                <w:b/>
                <w:color w:val="000000" w:themeColor="text1"/>
                <w:sz w:val="21"/>
                <w:szCs w:val="21"/>
                <w14:textFill>
                  <w14:solidFill>
                    <w14:schemeClr w14:val="tx1"/>
                  </w14:solidFill>
                </w14:textFill>
              </w:rPr>
            </w:pPr>
            <w:r>
              <w:rPr>
                <w:rFonts w:ascii="Times New Roman"/>
                <w:b/>
                <w:color w:val="000000" w:themeColor="text1"/>
                <w:sz w:val="21"/>
                <w:szCs w:val="21"/>
                <w14:textFill>
                  <w14:solidFill>
                    <w14:schemeClr w14:val="tx1"/>
                  </w14:solidFill>
                </w14:textFill>
              </w:rPr>
              <w:t>表</w:t>
            </w:r>
            <w:r>
              <w:rPr>
                <w:rFonts w:hint="eastAsia" w:ascii="Times New Roman" w:hAnsi="Times New Roman"/>
                <w:b/>
                <w:color w:val="000000" w:themeColor="text1"/>
                <w:sz w:val="21"/>
                <w:szCs w:val="21"/>
                <w14:textFill>
                  <w14:solidFill>
                    <w14:schemeClr w14:val="tx1"/>
                  </w14:solidFill>
                </w14:textFill>
              </w:rPr>
              <w:t>4</w:t>
            </w:r>
            <w:r>
              <w:rPr>
                <w:rFonts w:ascii="Times New Roman" w:hAnsi="Times New Roman"/>
                <w:b/>
                <w:color w:val="000000" w:themeColor="text1"/>
                <w:sz w:val="21"/>
                <w:szCs w:val="21"/>
                <w14:textFill>
                  <w14:solidFill>
                    <w14:schemeClr w14:val="tx1"/>
                  </w14:solidFill>
                </w14:textFill>
              </w:rPr>
              <w:t>-</w:t>
            </w:r>
            <w:r>
              <w:rPr>
                <w:rFonts w:hint="eastAsia" w:ascii="Times New Roman" w:hAnsi="Times New Roman"/>
                <w:b/>
                <w:color w:val="000000" w:themeColor="text1"/>
                <w:sz w:val="21"/>
                <w:szCs w:val="21"/>
                <w:lang w:val="en-US" w:eastAsia="zh-CN"/>
                <w14:textFill>
                  <w14:solidFill>
                    <w14:schemeClr w14:val="tx1"/>
                  </w14:solidFill>
                </w14:textFill>
              </w:rPr>
              <w:t>10</w:t>
            </w:r>
            <w:r>
              <w:rPr>
                <w:rFonts w:hint="eastAsia" w:ascii="Times New Roman" w:hAnsi="Times New Roman"/>
                <w:b/>
                <w:color w:val="000000" w:themeColor="text1"/>
                <w:sz w:val="21"/>
                <w:szCs w:val="21"/>
                <w14:textFill>
                  <w14:solidFill>
                    <w14:schemeClr w14:val="tx1"/>
                  </w14:solidFill>
                </w14:textFill>
              </w:rPr>
              <w:t xml:space="preserve"> </w:t>
            </w:r>
            <w:r>
              <w:rPr>
                <w:rFonts w:ascii="Times New Roman"/>
                <w:b/>
                <w:color w:val="000000" w:themeColor="text1"/>
                <w:sz w:val="21"/>
                <w:szCs w:val="21"/>
                <w14:textFill>
                  <w14:solidFill>
                    <w14:schemeClr w14:val="tx1"/>
                  </w14:solidFill>
                </w14:textFill>
              </w:rPr>
              <w:t>评价工作级别划分</w:t>
            </w:r>
          </w:p>
          <w:tbl>
            <w:tblPr>
              <w:tblStyle w:val="31"/>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1694"/>
              <w:gridCol w:w="1692"/>
              <w:gridCol w:w="1692"/>
              <w:gridCol w:w="1699"/>
            </w:tblGrid>
            <w:tr w14:paraId="4DBCC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noWrap/>
                  <w:vAlign w:val="center"/>
                </w:tcPr>
                <w:p w14:paraId="5C394CD1">
                  <w:pPr>
                    <w:pStyle w:val="15"/>
                    <w:pageBreakBefore w:val="0"/>
                    <w:wordWrap/>
                    <w:topLinePunct w:val="0"/>
                    <w:bidi w:val="0"/>
                    <w:adjustRightInd w:val="0"/>
                    <w:snapToGrid w:val="0"/>
                    <w:spacing w:line="240" w:lineRule="auto"/>
                    <w:jc w:val="left"/>
                    <w:rPr>
                      <w:rFonts w:ascii="Times New Roman" w:hAnsi="Times New Roman"/>
                      <w:color w:val="000000" w:themeColor="text1"/>
                      <w:sz w:val="21"/>
                      <w14:textFill>
                        <w14:solidFill>
                          <w14:schemeClr w14:val="tx1"/>
                        </w14:solidFill>
                      </w14:textFill>
                    </w:rPr>
                  </w:pPr>
                  <w:r>
                    <w:rPr>
                      <w:rFonts w:ascii="Times New Roman"/>
                      <w:color w:val="000000" w:themeColor="text1"/>
                      <w:sz w:val="21"/>
                      <w14:textFill>
                        <w14:solidFill>
                          <w14:schemeClr w14:val="tx1"/>
                        </w14:solidFill>
                      </w14:textFill>
                    </w:rPr>
                    <w:t>环境风险潜势</w:t>
                  </w:r>
                </w:p>
              </w:tc>
              <w:tc>
                <w:tcPr>
                  <w:tcW w:w="1000" w:type="pct"/>
                  <w:noWrap/>
                  <w:vAlign w:val="center"/>
                </w:tcPr>
                <w:p w14:paraId="02FA6F34">
                  <w:pPr>
                    <w:pStyle w:val="15"/>
                    <w:pageBreakBefore w:val="0"/>
                    <w:wordWrap/>
                    <w:topLinePunct w:val="0"/>
                    <w:bidi w:val="0"/>
                    <w:adjustRightInd w:val="0"/>
                    <w:snapToGrid w:val="0"/>
                    <w:spacing w:line="240" w:lineRule="auto"/>
                    <w:jc w:val="left"/>
                    <w:rPr>
                      <w:rFonts w:ascii="Times New Roman" w:hAnsi="Times New Roman"/>
                      <w:color w:val="000000" w:themeColor="text1"/>
                      <w:sz w:val="21"/>
                      <w14:textFill>
                        <w14:solidFill>
                          <w14:schemeClr w14:val="tx1"/>
                        </w14:solidFill>
                      </w14:textFill>
                    </w:rPr>
                  </w:pPr>
                  <w:r>
                    <w:rPr>
                      <w:rFonts w:hint="eastAsia" w:hAnsi="宋体" w:cs="宋体"/>
                      <w:color w:val="000000" w:themeColor="text1"/>
                      <w:sz w:val="21"/>
                      <w14:textFill>
                        <w14:solidFill>
                          <w14:schemeClr w14:val="tx1"/>
                        </w14:solidFill>
                      </w14:textFill>
                    </w:rPr>
                    <w:t>Ⅳ</w:t>
                  </w:r>
                  <w:r>
                    <w:rPr>
                      <w:rFonts w:ascii="Times New Roman"/>
                      <w:color w:val="000000" w:themeColor="text1"/>
                      <w:sz w:val="21"/>
                      <w14:textFill>
                        <w14:solidFill>
                          <w14:schemeClr w14:val="tx1"/>
                        </w14:solidFill>
                      </w14:textFill>
                    </w:rPr>
                    <w:t>、</w:t>
                  </w:r>
                  <w:r>
                    <w:rPr>
                      <w:rFonts w:hint="eastAsia" w:hAnsi="宋体" w:cs="宋体"/>
                      <w:color w:val="000000" w:themeColor="text1"/>
                      <w:sz w:val="21"/>
                      <w14:textFill>
                        <w14:solidFill>
                          <w14:schemeClr w14:val="tx1"/>
                        </w14:solidFill>
                      </w14:textFill>
                    </w:rPr>
                    <w:t>Ⅳ</w:t>
                  </w:r>
                  <w:r>
                    <w:rPr>
                      <w:rFonts w:ascii="Times New Roman" w:hAnsi="Times New Roman"/>
                      <w:color w:val="000000" w:themeColor="text1"/>
                      <w:sz w:val="21"/>
                      <w14:textFill>
                        <w14:solidFill>
                          <w14:schemeClr w14:val="tx1"/>
                        </w14:solidFill>
                      </w14:textFill>
                    </w:rPr>
                    <w:t>+</w:t>
                  </w:r>
                </w:p>
              </w:tc>
              <w:tc>
                <w:tcPr>
                  <w:tcW w:w="999" w:type="pct"/>
                  <w:noWrap/>
                  <w:vAlign w:val="center"/>
                </w:tcPr>
                <w:p w14:paraId="19258326">
                  <w:pPr>
                    <w:pStyle w:val="15"/>
                    <w:pageBreakBefore w:val="0"/>
                    <w:wordWrap/>
                    <w:topLinePunct w:val="0"/>
                    <w:bidi w:val="0"/>
                    <w:adjustRightInd w:val="0"/>
                    <w:snapToGrid w:val="0"/>
                    <w:spacing w:line="240" w:lineRule="auto"/>
                    <w:jc w:val="left"/>
                    <w:rPr>
                      <w:rFonts w:ascii="Times New Roman" w:hAnsi="Times New Roman"/>
                      <w:color w:val="000000" w:themeColor="text1"/>
                      <w:sz w:val="21"/>
                      <w14:textFill>
                        <w14:solidFill>
                          <w14:schemeClr w14:val="tx1"/>
                        </w14:solidFill>
                      </w14:textFill>
                    </w:rPr>
                  </w:pPr>
                  <w:r>
                    <w:rPr>
                      <w:rFonts w:hint="eastAsia" w:hAnsi="宋体" w:cs="宋体"/>
                      <w:color w:val="000000" w:themeColor="text1"/>
                      <w:sz w:val="21"/>
                      <w14:textFill>
                        <w14:solidFill>
                          <w14:schemeClr w14:val="tx1"/>
                        </w14:solidFill>
                      </w14:textFill>
                    </w:rPr>
                    <w:t>Ⅲ</w:t>
                  </w:r>
                </w:p>
              </w:tc>
              <w:tc>
                <w:tcPr>
                  <w:tcW w:w="999" w:type="pct"/>
                  <w:noWrap/>
                  <w:vAlign w:val="center"/>
                </w:tcPr>
                <w:p w14:paraId="2EB280D2">
                  <w:pPr>
                    <w:pStyle w:val="15"/>
                    <w:pageBreakBefore w:val="0"/>
                    <w:wordWrap/>
                    <w:topLinePunct w:val="0"/>
                    <w:bidi w:val="0"/>
                    <w:adjustRightInd w:val="0"/>
                    <w:snapToGrid w:val="0"/>
                    <w:spacing w:line="240" w:lineRule="auto"/>
                    <w:jc w:val="left"/>
                    <w:rPr>
                      <w:rFonts w:ascii="Times New Roman" w:hAnsi="Times New Roman"/>
                      <w:color w:val="000000" w:themeColor="text1"/>
                      <w:sz w:val="21"/>
                      <w14:textFill>
                        <w14:solidFill>
                          <w14:schemeClr w14:val="tx1"/>
                        </w14:solidFill>
                      </w14:textFill>
                    </w:rPr>
                  </w:pPr>
                  <w:r>
                    <w:rPr>
                      <w:rFonts w:hint="eastAsia" w:hAnsi="宋体" w:cs="宋体"/>
                      <w:color w:val="000000" w:themeColor="text1"/>
                      <w:sz w:val="21"/>
                      <w14:textFill>
                        <w14:solidFill>
                          <w14:schemeClr w14:val="tx1"/>
                        </w14:solidFill>
                      </w14:textFill>
                    </w:rPr>
                    <w:t>Ⅱ</w:t>
                  </w:r>
                </w:p>
              </w:tc>
              <w:tc>
                <w:tcPr>
                  <w:tcW w:w="999" w:type="pct"/>
                  <w:noWrap/>
                  <w:vAlign w:val="center"/>
                </w:tcPr>
                <w:p w14:paraId="7E29B6C0">
                  <w:pPr>
                    <w:pStyle w:val="15"/>
                    <w:pageBreakBefore w:val="0"/>
                    <w:wordWrap/>
                    <w:topLinePunct w:val="0"/>
                    <w:bidi w:val="0"/>
                    <w:adjustRightInd w:val="0"/>
                    <w:snapToGrid w:val="0"/>
                    <w:spacing w:line="240" w:lineRule="auto"/>
                    <w:jc w:val="left"/>
                    <w:rPr>
                      <w:rFonts w:ascii="Times New Roman" w:hAnsi="Times New Roman"/>
                      <w:color w:val="000000" w:themeColor="text1"/>
                      <w:sz w:val="21"/>
                      <w14:textFill>
                        <w14:solidFill>
                          <w14:schemeClr w14:val="tx1"/>
                        </w14:solidFill>
                      </w14:textFill>
                    </w:rPr>
                  </w:pPr>
                  <w:r>
                    <w:rPr>
                      <w:rFonts w:hint="eastAsia" w:hAnsi="宋体" w:cs="宋体"/>
                      <w:color w:val="000000" w:themeColor="text1"/>
                      <w:sz w:val="21"/>
                      <w14:textFill>
                        <w14:solidFill>
                          <w14:schemeClr w14:val="tx1"/>
                        </w14:solidFill>
                      </w14:textFill>
                    </w:rPr>
                    <w:t>Ⅰ</w:t>
                  </w:r>
                </w:p>
              </w:tc>
            </w:tr>
            <w:tr w14:paraId="16F1B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noWrap/>
                  <w:vAlign w:val="center"/>
                </w:tcPr>
                <w:p w14:paraId="0467AF23">
                  <w:pPr>
                    <w:pStyle w:val="15"/>
                    <w:pageBreakBefore w:val="0"/>
                    <w:wordWrap/>
                    <w:topLinePunct w:val="0"/>
                    <w:bidi w:val="0"/>
                    <w:adjustRightInd w:val="0"/>
                    <w:snapToGrid w:val="0"/>
                    <w:spacing w:line="240" w:lineRule="auto"/>
                    <w:jc w:val="left"/>
                    <w:rPr>
                      <w:rFonts w:ascii="Times New Roman" w:hAnsi="Times New Roman"/>
                      <w:color w:val="000000" w:themeColor="text1"/>
                      <w:sz w:val="21"/>
                      <w14:textFill>
                        <w14:solidFill>
                          <w14:schemeClr w14:val="tx1"/>
                        </w14:solidFill>
                      </w14:textFill>
                    </w:rPr>
                  </w:pPr>
                  <w:r>
                    <w:rPr>
                      <w:rFonts w:ascii="Times New Roman"/>
                      <w:color w:val="000000" w:themeColor="text1"/>
                      <w:sz w:val="21"/>
                      <w14:textFill>
                        <w14:solidFill>
                          <w14:schemeClr w14:val="tx1"/>
                        </w14:solidFill>
                      </w14:textFill>
                    </w:rPr>
                    <w:t>评价工作等级</w:t>
                  </w:r>
                </w:p>
              </w:tc>
              <w:tc>
                <w:tcPr>
                  <w:tcW w:w="1000" w:type="pct"/>
                  <w:noWrap/>
                  <w:vAlign w:val="center"/>
                </w:tcPr>
                <w:p w14:paraId="16D8544F">
                  <w:pPr>
                    <w:pStyle w:val="15"/>
                    <w:pageBreakBefore w:val="0"/>
                    <w:wordWrap/>
                    <w:topLinePunct w:val="0"/>
                    <w:bidi w:val="0"/>
                    <w:adjustRightInd w:val="0"/>
                    <w:snapToGrid w:val="0"/>
                    <w:spacing w:line="240" w:lineRule="auto"/>
                    <w:jc w:val="left"/>
                    <w:rPr>
                      <w:rFonts w:ascii="Times New Roman" w:hAnsi="Times New Roman"/>
                      <w:color w:val="000000" w:themeColor="text1"/>
                      <w:sz w:val="21"/>
                      <w14:textFill>
                        <w14:solidFill>
                          <w14:schemeClr w14:val="tx1"/>
                        </w14:solidFill>
                      </w14:textFill>
                    </w:rPr>
                  </w:pPr>
                  <w:r>
                    <w:rPr>
                      <w:rFonts w:ascii="Times New Roman"/>
                      <w:color w:val="000000" w:themeColor="text1"/>
                      <w:sz w:val="21"/>
                      <w14:textFill>
                        <w14:solidFill>
                          <w14:schemeClr w14:val="tx1"/>
                        </w14:solidFill>
                      </w14:textFill>
                    </w:rPr>
                    <w:t>一</w:t>
                  </w:r>
                </w:p>
              </w:tc>
              <w:tc>
                <w:tcPr>
                  <w:tcW w:w="999" w:type="pct"/>
                  <w:noWrap/>
                  <w:vAlign w:val="center"/>
                </w:tcPr>
                <w:p w14:paraId="45617414">
                  <w:pPr>
                    <w:pStyle w:val="15"/>
                    <w:pageBreakBefore w:val="0"/>
                    <w:wordWrap/>
                    <w:topLinePunct w:val="0"/>
                    <w:bidi w:val="0"/>
                    <w:adjustRightInd w:val="0"/>
                    <w:snapToGrid w:val="0"/>
                    <w:spacing w:line="240" w:lineRule="auto"/>
                    <w:jc w:val="left"/>
                    <w:rPr>
                      <w:rFonts w:ascii="Times New Roman" w:hAnsi="Times New Roman"/>
                      <w:color w:val="000000" w:themeColor="text1"/>
                      <w:sz w:val="21"/>
                      <w14:textFill>
                        <w14:solidFill>
                          <w14:schemeClr w14:val="tx1"/>
                        </w14:solidFill>
                      </w14:textFill>
                    </w:rPr>
                  </w:pPr>
                  <w:r>
                    <w:rPr>
                      <w:rFonts w:ascii="Times New Roman"/>
                      <w:color w:val="000000" w:themeColor="text1"/>
                      <w:sz w:val="21"/>
                      <w14:textFill>
                        <w14:solidFill>
                          <w14:schemeClr w14:val="tx1"/>
                        </w14:solidFill>
                      </w14:textFill>
                    </w:rPr>
                    <w:t>二</w:t>
                  </w:r>
                </w:p>
              </w:tc>
              <w:tc>
                <w:tcPr>
                  <w:tcW w:w="999" w:type="pct"/>
                  <w:noWrap/>
                  <w:vAlign w:val="center"/>
                </w:tcPr>
                <w:p w14:paraId="39BA6789">
                  <w:pPr>
                    <w:pStyle w:val="15"/>
                    <w:pageBreakBefore w:val="0"/>
                    <w:wordWrap/>
                    <w:topLinePunct w:val="0"/>
                    <w:bidi w:val="0"/>
                    <w:adjustRightInd w:val="0"/>
                    <w:snapToGrid w:val="0"/>
                    <w:spacing w:line="240" w:lineRule="auto"/>
                    <w:jc w:val="left"/>
                    <w:rPr>
                      <w:rFonts w:ascii="Times New Roman" w:hAnsi="Times New Roman"/>
                      <w:color w:val="000000" w:themeColor="text1"/>
                      <w:sz w:val="21"/>
                      <w14:textFill>
                        <w14:solidFill>
                          <w14:schemeClr w14:val="tx1"/>
                        </w14:solidFill>
                      </w14:textFill>
                    </w:rPr>
                  </w:pPr>
                  <w:r>
                    <w:rPr>
                      <w:rFonts w:ascii="Times New Roman"/>
                      <w:color w:val="000000" w:themeColor="text1"/>
                      <w:sz w:val="21"/>
                      <w14:textFill>
                        <w14:solidFill>
                          <w14:schemeClr w14:val="tx1"/>
                        </w14:solidFill>
                      </w14:textFill>
                    </w:rPr>
                    <w:t>三</w:t>
                  </w:r>
                </w:p>
              </w:tc>
              <w:tc>
                <w:tcPr>
                  <w:tcW w:w="999" w:type="pct"/>
                  <w:noWrap/>
                  <w:vAlign w:val="center"/>
                </w:tcPr>
                <w:p w14:paraId="467CC0A5">
                  <w:pPr>
                    <w:pStyle w:val="15"/>
                    <w:pageBreakBefore w:val="0"/>
                    <w:wordWrap/>
                    <w:topLinePunct w:val="0"/>
                    <w:bidi w:val="0"/>
                    <w:adjustRightInd w:val="0"/>
                    <w:snapToGrid w:val="0"/>
                    <w:spacing w:line="240" w:lineRule="auto"/>
                    <w:jc w:val="left"/>
                    <w:rPr>
                      <w:rFonts w:ascii="Times New Roman" w:hAnsi="Times New Roman"/>
                      <w:color w:val="000000" w:themeColor="text1"/>
                      <w:sz w:val="21"/>
                      <w14:textFill>
                        <w14:solidFill>
                          <w14:schemeClr w14:val="tx1"/>
                        </w14:solidFill>
                      </w14:textFill>
                    </w:rPr>
                  </w:pPr>
                  <w:r>
                    <w:rPr>
                      <w:rFonts w:ascii="Times New Roman"/>
                      <w:b/>
                      <w:bCs/>
                      <w:color w:val="000000" w:themeColor="text1"/>
                      <w:sz w:val="21"/>
                      <w14:textFill>
                        <w14:solidFill>
                          <w14:schemeClr w14:val="tx1"/>
                        </w14:solidFill>
                      </w14:textFill>
                    </w:rPr>
                    <w:t>简单分析</w:t>
                  </w:r>
                  <w:r>
                    <w:rPr>
                      <w:rFonts w:ascii="Times New Roman" w:hAnsi="Times New Roman"/>
                      <w:b/>
                      <w:bCs/>
                      <w:color w:val="000000" w:themeColor="text1"/>
                      <w:sz w:val="21"/>
                      <w:vertAlign w:val="superscript"/>
                      <w14:textFill>
                        <w14:solidFill>
                          <w14:schemeClr w14:val="tx1"/>
                        </w14:solidFill>
                      </w14:textFill>
                    </w:rPr>
                    <w:t>a</w:t>
                  </w:r>
                </w:p>
              </w:tc>
            </w:tr>
            <w:tr w14:paraId="48093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5"/>
                  <w:noWrap/>
                  <w:vAlign w:val="center"/>
                </w:tcPr>
                <w:p w14:paraId="6804EAC4">
                  <w:pPr>
                    <w:pageBreakBefore w:val="0"/>
                    <w:wordWrap/>
                    <w:topLinePunct w:val="0"/>
                    <w:autoSpaceDE w:val="0"/>
                    <w:autoSpaceDN w:val="0"/>
                    <w:bidi w:val="0"/>
                    <w:adjustRightInd w:val="0"/>
                    <w:snapToGrid w:val="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a </w:t>
                  </w:r>
                  <w:r>
                    <w:rPr>
                      <w:rFonts w:hAnsi="宋体"/>
                      <w:color w:val="000000" w:themeColor="text1"/>
                      <w:szCs w:val="21"/>
                      <w14:textFill>
                        <w14:solidFill>
                          <w14:schemeClr w14:val="tx1"/>
                        </w14:solidFill>
                      </w14:textFill>
                    </w:rPr>
                    <w:t>是相对于详细评价工作内容而言，在描述危险物质、环境影响途径、环境危害后果、风险防范措施等方面给出定性的说明。见附录</w:t>
                  </w:r>
                  <w:r>
                    <w:rPr>
                      <w:color w:val="000000" w:themeColor="text1"/>
                      <w:szCs w:val="21"/>
                      <w14:textFill>
                        <w14:solidFill>
                          <w14:schemeClr w14:val="tx1"/>
                        </w14:solidFill>
                      </w14:textFill>
                    </w:rPr>
                    <w:t>A</w:t>
                  </w:r>
                  <w:r>
                    <w:rPr>
                      <w:rFonts w:hAnsi="宋体"/>
                      <w:color w:val="000000" w:themeColor="text1"/>
                      <w:szCs w:val="21"/>
                      <w14:textFill>
                        <w14:solidFill>
                          <w14:schemeClr w14:val="tx1"/>
                        </w14:solidFill>
                      </w14:textFill>
                    </w:rPr>
                    <w:t>。</w:t>
                  </w:r>
                </w:p>
              </w:tc>
            </w:tr>
          </w:tbl>
          <w:p w14:paraId="2EC04B06">
            <w:pPr>
              <w:pStyle w:val="11"/>
              <w:pageBreakBefore w:val="0"/>
              <w:widowControl w:val="0"/>
              <w:wordWrap/>
              <w:topLinePunct w:val="0"/>
              <w:bidi w:val="0"/>
              <w:snapToGrid/>
              <w:spacing w:before="0" w:after="0" w:line="360" w:lineRule="auto"/>
              <w:ind w:firstLine="480" w:firstLineChars="200"/>
              <w:jc w:val="left"/>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由上表可知，项目环境风险进行简单分析，环境风险简单分析根据《建设项目环境风险评价技术导则》（HJ169-2018）附录A简单分析基本内容进行。</w:t>
            </w:r>
          </w:p>
          <w:p w14:paraId="4C1D92CA">
            <w:pPr>
              <w:pStyle w:val="69"/>
              <w:pageBreakBefore w:val="0"/>
              <w:wordWrap/>
              <w:topLinePunct w:val="0"/>
              <w:bidi w:val="0"/>
              <w:spacing w:line="360" w:lineRule="auto"/>
              <w:ind w:right="0" w:firstLine="482"/>
              <w:jc w:val="left"/>
              <w:rPr>
                <w:rFonts w:hAnsi="Times New Roman"/>
                <w:b/>
                <w:bCs/>
                <w:color w:val="000000" w:themeColor="text1"/>
                <w:sz w:val="24"/>
                <w14:textFill>
                  <w14:solidFill>
                    <w14:schemeClr w14:val="tx1"/>
                  </w14:solidFill>
                </w14:textFill>
              </w:rPr>
            </w:pPr>
            <w:r>
              <w:rPr>
                <w:rFonts w:hAnsi="Times New Roman"/>
                <w:b/>
                <w:bCs/>
                <w:color w:val="000000" w:themeColor="text1"/>
                <w:sz w:val="24"/>
                <w14:textFill>
                  <w14:solidFill>
                    <w14:schemeClr w14:val="tx1"/>
                  </w14:solidFill>
                </w14:textFill>
              </w:rPr>
              <w:t>2、</w:t>
            </w:r>
            <w:r>
              <w:rPr>
                <w:rFonts w:hint="eastAsia" w:hAnsi="Times New Roman"/>
                <w:b/>
                <w:bCs/>
                <w:color w:val="000000" w:themeColor="text1"/>
                <w:sz w:val="24"/>
                <w14:textFill>
                  <w14:solidFill>
                    <w14:schemeClr w14:val="tx1"/>
                  </w14:solidFill>
                </w14:textFill>
              </w:rPr>
              <w:t>环境敏感目标概况</w:t>
            </w:r>
          </w:p>
          <w:p w14:paraId="1C07B1D3">
            <w:pPr>
              <w:pStyle w:val="69"/>
              <w:pageBreakBefore w:val="0"/>
              <w:wordWrap/>
              <w:topLinePunct w:val="0"/>
              <w:bidi w:val="0"/>
              <w:spacing w:line="360" w:lineRule="auto"/>
              <w:ind w:right="0"/>
              <w:jc w:val="left"/>
              <w:rPr>
                <w:rFonts w:hAnsi="Times New Roman"/>
                <w:color w:val="000000" w:themeColor="text1"/>
                <w:sz w:val="24"/>
                <w14:textFill>
                  <w14:solidFill>
                    <w14:schemeClr w14:val="tx1"/>
                  </w14:solidFill>
                </w14:textFill>
              </w:rPr>
            </w:pPr>
            <w:r>
              <w:rPr>
                <w:rFonts w:hAnsi="Times New Roman"/>
                <w:color w:val="000000" w:themeColor="text1"/>
                <w:sz w:val="24"/>
                <w14:textFill>
                  <w14:solidFill>
                    <w14:schemeClr w14:val="tx1"/>
                  </w14:solidFill>
                </w14:textFill>
              </w:rPr>
              <w:t>建设项目主要环境风险为</w:t>
            </w:r>
            <w:r>
              <w:rPr>
                <w:rFonts w:hint="eastAsia" w:hAnsi="Times New Roman"/>
                <w:color w:val="000000" w:themeColor="text1"/>
                <w:sz w:val="24"/>
                <w:lang w:eastAsia="zh-CN"/>
                <w14:textFill>
                  <w14:solidFill>
                    <w14:schemeClr w14:val="tx1"/>
                  </w14:solidFill>
                </w14:textFill>
              </w:rPr>
              <w:t>泄漏</w:t>
            </w:r>
            <w:r>
              <w:rPr>
                <w:rFonts w:hint="eastAsia" w:hAnsi="Times New Roman"/>
                <w:color w:val="000000" w:themeColor="text1"/>
                <w:sz w:val="24"/>
                <w14:textFill>
                  <w14:solidFill>
                    <w14:schemeClr w14:val="tx1"/>
                  </w14:solidFill>
                </w14:textFill>
              </w:rPr>
              <w:t>，</w:t>
            </w:r>
            <w:r>
              <w:rPr>
                <w:rFonts w:hAnsi="Times New Roman"/>
                <w:color w:val="000000" w:themeColor="text1"/>
                <w:sz w:val="24"/>
                <w14:textFill>
                  <w14:solidFill>
                    <w14:schemeClr w14:val="tx1"/>
                  </w14:solidFill>
                </w14:textFill>
              </w:rPr>
              <w:t>火灾</w:t>
            </w:r>
            <w:r>
              <w:rPr>
                <w:rFonts w:hint="eastAsia" w:hAnsi="Times New Roman"/>
                <w:color w:val="000000" w:themeColor="text1"/>
                <w:sz w:val="24"/>
                <w14:textFill>
                  <w14:solidFill>
                    <w14:schemeClr w14:val="tx1"/>
                  </w14:solidFill>
                </w14:textFill>
              </w:rPr>
              <w:t>、</w:t>
            </w:r>
            <w:r>
              <w:rPr>
                <w:rFonts w:hAnsi="Times New Roman"/>
                <w:color w:val="000000" w:themeColor="text1"/>
                <w:sz w:val="24"/>
                <w14:textFill>
                  <w14:solidFill>
                    <w14:schemeClr w14:val="tx1"/>
                  </w14:solidFill>
                </w14:textFill>
              </w:rPr>
              <w:t>爆炸等突发</w:t>
            </w:r>
            <w:r>
              <w:rPr>
                <w:rFonts w:hint="eastAsia" w:hAnsi="Times New Roman"/>
                <w:color w:val="000000" w:themeColor="text1"/>
                <w:sz w:val="24"/>
                <w14:textFill>
                  <w14:solidFill>
                    <w14:schemeClr w14:val="tx1"/>
                  </w14:solidFill>
                </w14:textFill>
              </w:rPr>
              <w:t>性</w:t>
            </w:r>
            <w:r>
              <w:rPr>
                <w:rFonts w:hAnsi="Times New Roman"/>
                <w:color w:val="000000" w:themeColor="text1"/>
                <w:sz w:val="24"/>
                <w14:textFill>
                  <w14:solidFill>
                    <w14:schemeClr w14:val="tx1"/>
                  </w14:solidFill>
                </w14:textFill>
              </w:rPr>
              <w:t>事故引起的伴生</w:t>
            </w:r>
            <w:r>
              <w:rPr>
                <w:rFonts w:hint="eastAsia" w:hAnsi="Times New Roman"/>
                <w:color w:val="000000" w:themeColor="text1"/>
                <w:sz w:val="24"/>
                <w14:textFill>
                  <w14:solidFill>
                    <w14:schemeClr w14:val="tx1"/>
                  </w14:solidFill>
                </w14:textFill>
              </w:rPr>
              <w:t>/次</w:t>
            </w:r>
            <w:r>
              <w:rPr>
                <w:rFonts w:hAnsi="Times New Roman"/>
                <w:color w:val="000000" w:themeColor="text1"/>
                <w:sz w:val="24"/>
                <w14:textFill>
                  <w14:solidFill>
                    <w14:schemeClr w14:val="tx1"/>
                  </w14:solidFill>
                </w14:textFill>
              </w:rPr>
              <w:t>生污染物排放</w:t>
            </w:r>
            <w:r>
              <w:rPr>
                <w:rFonts w:hint="eastAsia" w:hAnsi="Times New Roman"/>
                <w:color w:val="000000" w:themeColor="text1"/>
                <w:sz w:val="24"/>
                <w14:textFill>
                  <w14:solidFill>
                    <w14:schemeClr w14:val="tx1"/>
                  </w14:solidFill>
                </w14:textFill>
              </w:rPr>
              <w:t>。</w:t>
            </w:r>
            <w:r>
              <w:rPr>
                <w:rFonts w:hAnsi="Times New Roman"/>
                <w:color w:val="000000" w:themeColor="text1"/>
                <w:sz w:val="24"/>
                <w14:textFill>
                  <w14:solidFill>
                    <w14:schemeClr w14:val="tx1"/>
                  </w14:solidFill>
                </w14:textFill>
              </w:rPr>
              <w:t>当发生环境风险事故后，各类污染物会通过大气扩散污染周边大气环境，或通过泄漏、渗透等途径污染地表水、地下水环境。根据现场调查，建设项目位于</w:t>
            </w:r>
            <w:r>
              <w:rPr>
                <w:rFonts w:hint="eastAsia" w:cs="Times New Roman"/>
                <w:color w:val="000000" w:themeColor="text1"/>
                <w:sz w:val="24"/>
                <w:lang w:val="en-US" w:eastAsia="zh-CN"/>
                <w14:textFill>
                  <w14:solidFill>
                    <w14:schemeClr w14:val="tx1"/>
                  </w14:solidFill>
                </w14:textFill>
              </w:rPr>
              <w:t>易门产业园区大椿树循环经济产业园区</w:t>
            </w:r>
            <w:r>
              <w:rPr>
                <w:rFonts w:hAnsi="Times New Roman"/>
                <w:color w:val="000000" w:themeColor="text1"/>
                <w:sz w:val="24"/>
                <w14:textFill>
                  <w14:solidFill>
                    <w14:schemeClr w14:val="tx1"/>
                  </w14:solidFill>
                </w14:textFill>
              </w:rPr>
              <w:t>，环境保护目标详见表3-</w:t>
            </w:r>
            <w:r>
              <w:rPr>
                <w:rFonts w:hint="eastAsia" w:hAnsi="Times New Roman"/>
                <w:color w:val="000000" w:themeColor="text1"/>
                <w:sz w:val="24"/>
                <w:lang w:val="en-US" w:eastAsia="zh-CN"/>
                <w14:textFill>
                  <w14:solidFill>
                    <w14:schemeClr w14:val="tx1"/>
                  </w14:solidFill>
                </w14:textFill>
              </w:rPr>
              <w:t>4</w:t>
            </w:r>
            <w:r>
              <w:rPr>
                <w:rFonts w:hAnsi="Times New Roman"/>
                <w:color w:val="000000" w:themeColor="text1"/>
                <w:sz w:val="24"/>
                <w14:textFill>
                  <w14:solidFill>
                    <w14:schemeClr w14:val="tx1"/>
                  </w14:solidFill>
                </w14:textFill>
              </w:rPr>
              <w:t>。</w:t>
            </w:r>
          </w:p>
          <w:p w14:paraId="704E581E">
            <w:pPr>
              <w:pStyle w:val="69"/>
              <w:pageBreakBefore w:val="0"/>
              <w:wordWrap/>
              <w:topLinePunct w:val="0"/>
              <w:bidi w:val="0"/>
              <w:spacing w:line="360" w:lineRule="auto"/>
              <w:ind w:right="0" w:firstLine="482"/>
              <w:jc w:val="left"/>
              <w:rPr>
                <w:rFonts w:hAnsi="Times New Roman"/>
                <w:b/>
                <w:bCs/>
                <w:color w:val="000000" w:themeColor="text1"/>
                <w:sz w:val="24"/>
                <w14:textFill>
                  <w14:solidFill>
                    <w14:schemeClr w14:val="tx1"/>
                  </w14:solidFill>
                </w14:textFill>
              </w:rPr>
            </w:pPr>
            <w:r>
              <w:rPr>
                <w:rFonts w:hint="eastAsia" w:hAnsi="Times New Roman"/>
                <w:b/>
                <w:bCs/>
                <w:color w:val="000000" w:themeColor="text1"/>
                <w:sz w:val="24"/>
                <w14:textFill>
                  <w14:solidFill>
                    <w14:schemeClr w14:val="tx1"/>
                  </w14:solidFill>
                </w14:textFill>
              </w:rPr>
              <w:t>3、环境风险识别</w:t>
            </w:r>
          </w:p>
          <w:p w14:paraId="29EBA1CF">
            <w:pPr>
              <w:pageBreakBefore w:val="0"/>
              <w:widowControl w:val="0"/>
              <w:wordWrap/>
              <w:topLinePunct w:val="0"/>
              <w:bidi w:val="0"/>
              <w:spacing w:line="360" w:lineRule="auto"/>
              <w:ind w:right="0" w:firstLine="482" w:firstLineChars="200"/>
              <w:jc w:val="left"/>
              <w:rPr>
                <w:rFonts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（1）危险物质识别</w:t>
            </w:r>
          </w:p>
          <w:p w14:paraId="2160A14A">
            <w:pPr>
              <w:pageBreakBefore w:val="0"/>
              <w:widowControl w:val="0"/>
              <w:wordWrap/>
              <w:topLinePunct w:val="0"/>
              <w:bidi w:val="0"/>
              <w:snapToGrid/>
              <w:spacing w:before="0" w:after="0" w:line="360" w:lineRule="auto"/>
              <w:ind w:right="0" w:firstLine="480" w:firstLineChars="200"/>
              <w:jc w:val="left"/>
              <w:rPr>
                <w:rFonts w:ascii="Times New Roman" w:hAnsi="Times New Roman" w:eastAsia="宋体" w:cs="Times New Roman"/>
                <w:color w:val="000000" w:themeColor="text1"/>
                <w:kern w:val="2"/>
                <w:sz w:val="24"/>
                <w:szCs w:val="28"/>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8"/>
                <w:lang w:val="en-US" w:eastAsia="zh-CN" w:bidi="ar-SA"/>
                <w14:textFill>
                  <w14:solidFill>
                    <w14:schemeClr w14:val="tx1"/>
                  </w14:solidFill>
                </w14:textFill>
              </w:rPr>
              <w:t>根据风险调查，其存在的危险物质识别情况如下：</w:t>
            </w:r>
          </w:p>
          <w:p w14:paraId="18491B75">
            <w:pPr>
              <w:pageBreakBefore w:val="0"/>
              <w:widowControl w:val="0"/>
              <w:wordWrap/>
              <w:topLinePunct w:val="0"/>
              <w:bidi w:val="0"/>
              <w:spacing w:line="360" w:lineRule="auto"/>
              <w:ind w:right="0" w:firstLine="480" w:firstLineChars="200"/>
              <w:jc w:val="left"/>
              <w:rPr>
                <w:rFonts w:ascii="Times New Roman" w:hAnsi="宋体" w:eastAsia="宋体" w:cs="Times New Roman"/>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项目运营过程</w: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t>涉及</w:t>
            </w:r>
            <w:r>
              <w:rPr>
                <w:rFonts w:hint="eastAsia" w:cs="Times New Roman"/>
                <w:color w:val="000000" w:themeColor="text1"/>
                <w:kern w:val="2"/>
                <w:sz w:val="24"/>
                <w:szCs w:val="24"/>
                <w:lang w:val="en-US" w:eastAsia="zh-CN" w:bidi="ar-SA"/>
                <w14:textFill>
                  <w14:solidFill>
                    <w14:schemeClr w14:val="tx1"/>
                  </w14:solidFill>
                </w14:textFill>
              </w:rPr>
              <w:t>甲醛排放，润滑油、液压油、</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废润滑油、废液压油</w: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t>，高温下可燃烧</w:t>
            </w:r>
            <w:r>
              <w:rPr>
                <w:rFonts w:hint="eastAsia" w:cs="Times New Roman"/>
                <w:color w:val="000000" w:themeColor="text1"/>
                <w:kern w:val="2"/>
                <w:sz w:val="24"/>
                <w:szCs w:val="24"/>
                <w:lang w:val="en-US" w:eastAsia="zh-CN" w:bidi="ar-SA"/>
                <w14:textFill>
                  <w14:solidFill>
                    <w14:schemeClr w14:val="tx1"/>
                  </w14:solidFill>
                </w14:textFill>
              </w:rPr>
              <w:t>，危险物质理化性质及危险特性表如下：</w:t>
            </w:r>
          </w:p>
          <w:p w14:paraId="19E0F09B">
            <w:pPr>
              <w:keepNext w:val="0"/>
              <w:keepLines w:val="0"/>
              <w:pageBreakBefore w:val="0"/>
              <w:widowControl w:val="0"/>
              <w:kinsoku/>
              <w:wordWrap/>
              <w:overflowPunct/>
              <w:topLinePunct w:val="0"/>
              <w:autoSpaceDE/>
              <w:autoSpaceDN/>
              <w:bidi w:val="0"/>
              <w:adjustRightInd/>
              <w:snapToGrid/>
              <w:spacing w:line="240" w:lineRule="auto"/>
              <w:ind w:right="0" w:firstLine="0" w:firstLineChars="0"/>
              <w:jc w:val="center"/>
              <w:textAlignment w:val="auto"/>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eastAsia" w:cs="Times New Roman"/>
                <w:b/>
                <w:bCs/>
                <w:color w:val="000000" w:themeColor="text1"/>
                <w:kern w:val="2"/>
                <w:sz w:val="21"/>
                <w:szCs w:val="21"/>
                <w:lang w:val="en-US" w:eastAsia="zh-CN" w:bidi="ar-SA"/>
                <w14:textFill>
                  <w14:solidFill>
                    <w14:schemeClr w14:val="tx1"/>
                  </w14:solidFill>
                </w14:textFill>
              </w:rPr>
              <w:t>表4-10 甲醛理化性质及危险特性表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4"/>
              <w:gridCol w:w="2588"/>
              <w:gridCol w:w="1095"/>
              <w:gridCol w:w="1245"/>
              <w:gridCol w:w="2932"/>
            </w:tblGrid>
            <w:tr w14:paraId="78957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 w:hRule="atLeast"/>
                <w:jc w:val="center"/>
              </w:trPr>
              <w:tc>
                <w:tcPr>
                  <w:tcW w:w="434" w:type="dxa"/>
                  <w:vMerge w:val="restart"/>
                  <w:tcBorders>
                    <w:top w:val="single" w:color="auto" w:sz="4" w:space="0"/>
                    <w:left w:val="single" w:color="auto" w:sz="4" w:space="0"/>
                    <w:bottom w:val="single" w:color="auto" w:sz="4" w:space="0"/>
                    <w:right w:val="single" w:color="auto" w:sz="4" w:space="0"/>
                  </w:tcBorders>
                  <w:noWrap w:val="0"/>
                  <w:vAlign w:val="center"/>
                </w:tcPr>
                <w:p w14:paraId="797596A6">
                  <w:pPr>
                    <w:spacing w:line="260" w:lineRule="exact"/>
                    <w:ind w:firstLine="0" w:firstLineChars="0"/>
                    <w:jc w:val="center"/>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标识</w:t>
                  </w:r>
                </w:p>
              </w:tc>
              <w:tc>
                <w:tcPr>
                  <w:tcW w:w="3683" w:type="dxa"/>
                  <w:gridSpan w:val="2"/>
                  <w:tcBorders>
                    <w:top w:val="single" w:color="auto" w:sz="4" w:space="0"/>
                    <w:left w:val="single" w:color="auto" w:sz="4" w:space="0"/>
                    <w:bottom w:val="single" w:color="auto" w:sz="4" w:space="0"/>
                    <w:right w:val="single" w:color="auto" w:sz="4" w:space="0"/>
                  </w:tcBorders>
                  <w:noWrap w:val="0"/>
                  <w:vAlign w:val="top"/>
                </w:tcPr>
                <w:p w14:paraId="14FC5BA1">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中文名：甲醛；福尔马林</w:t>
                  </w:r>
                </w:p>
              </w:tc>
              <w:tc>
                <w:tcPr>
                  <w:tcW w:w="4177" w:type="dxa"/>
                  <w:gridSpan w:val="2"/>
                  <w:tcBorders>
                    <w:top w:val="single" w:color="auto" w:sz="4" w:space="0"/>
                    <w:left w:val="single" w:color="auto" w:sz="4" w:space="0"/>
                    <w:bottom w:val="single" w:color="auto" w:sz="4" w:space="0"/>
                    <w:right w:val="single" w:color="auto" w:sz="4" w:space="0"/>
                  </w:tcBorders>
                  <w:noWrap w:val="0"/>
                  <w:vAlign w:val="top"/>
                </w:tcPr>
                <w:p w14:paraId="6B649A5C">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英文名：formaldehyde</w:t>
                  </w:r>
                </w:p>
              </w:tc>
            </w:tr>
            <w:tr w14:paraId="558BD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 w:hRule="atLeast"/>
                <w:jc w:val="center"/>
              </w:trPr>
              <w:tc>
                <w:tcPr>
                  <w:tcW w:w="434" w:type="dxa"/>
                  <w:vMerge w:val="continue"/>
                  <w:tcBorders>
                    <w:top w:val="single" w:color="auto" w:sz="4" w:space="0"/>
                    <w:left w:val="single" w:color="auto" w:sz="4" w:space="0"/>
                    <w:bottom w:val="single" w:color="auto" w:sz="4" w:space="0"/>
                    <w:right w:val="single" w:color="auto" w:sz="4" w:space="0"/>
                  </w:tcBorders>
                  <w:noWrap w:val="0"/>
                  <w:vAlign w:val="center"/>
                </w:tcPr>
                <w:p w14:paraId="09687E4B">
                  <w:pPr>
                    <w:widowControl/>
                    <w:spacing w:line="240" w:lineRule="auto"/>
                    <w:ind w:firstLine="0" w:firstLineChars="0"/>
                    <w:jc w:val="left"/>
                    <w:rPr>
                      <w:rFonts w:hint="default" w:ascii="Times New Roman" w:hAnsi="Times New Roman" w:eastAsia="宋体" w:cs="Times New Roman"/>
                      <w:color w:val="000000" w:themeColor="text1"/>
                      <w:sz w:val="21"/>
                      <w:szCs w:val="24"/>
                      <w14:textFill>
                        <w14:solidFill>
                          <w14:schemeClr w14:val="tx1"/>
                        </w14:solidFill>
                      </w14:textFill>
                    </w:rPr>
                  </w:pPr>
                </w:p>
              </w:tc>
              <w:tc>
                <w:tcPr>
                  <w:tcW w:w="2588" w:type="dxa"/>
                  <w:tcBorders>
                    <w:top w:val="single" w:color="auto" w:sz="4" w:space="0"/>
                    <w:left w:val="single" w:color="auto" w:sz="4" w:space="0"/>
                    <w:bottom w:val="single" w:color="auto" w:sz="4" w:space="0"/>
                    <w:right w:val="single" w:color="auto" w:sz="4" w:space="0"/>
                  </w:tcBorders>
                  <w:noWrap w:val="0"/>
                  <w:vAlign w:val="top"/>
                </w:tcPr>
                <w:p w14:paraId="01B973E0">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分子式：CH</w:t>
                  </w:r>
                  <w:r>
                    <w:rPr>
                      <w:rFonts w:hint="default" w:ascii="Times New Roman" w:hAnsi="Times New Roman" w:eastAsia="宋体" w:cs="Times New Roman"/>
                      <w:color w:val="000000" w:themeColor="text1"/>
                      <w:sz w:val="21"/>
                      <w:szCs w:val="24"/>
                      <w:vertAlign w:val="subscript"/>
                      <w14:textFill>
                        <w14:solidFill>
                          <w14:schemeClr w14:val="tx1"/>
                        </w14:solidFill>
                      </w14:textFill>
                    </w:rPr>
                    <w:t>2</w:t>
                  </w:r>
                  <w:r>
                    <w:rPr>
                      <w:rFonts w:hint="default" w:ascii="Times New Roman" w:hAnsi="Times New Roman" w:eastAsia="宋体" w:cs="Times New Roman"/>
                      <w:color w:val="000000" w:themeColor="text1"/>
                      <w:sz w:val="21"/>
                      <w:szCs w:val="24"/>
                      <w14:textFill>
                        <w14:solidFill>
                          <w14:schemeClr w14:val="tx1"/>
                        </w14:solidFill>
                      </w14:textFill>
                    </w:rPr>
                    <w:t>O</w:t>
                  </w:r>
                </w:p>
              </w:tc>
              <w:tc>
                <w:tcPr>
                  <w:tcW w:w="2340" w:type="dxa"/>
                  <w:gridSpan w:val="2"/>
                  <w:tcBorders>
                    <w:top w:val="single" w:color="auto" w:sz="4" w:space="0"/>
                    <w:left w:val="single" w:color="auto" w:sz="4" w:space="0"/>
                    <w:bottom w:val="single" w:color="auto" w:sz="4" w:space="0"/>
                    <w:right w:val="single" w:color="auto" w:sz="4" w:space="0"/>
                  </w:tcBorders>
                  <w:noWrap w:val="0"/>
                  <w:vAlign w:val="top"/>
                </w:tcPr>
                <w:p w14:paraId="17E2B3B0">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分子量：30.03</w:t>
                  </w:r>
                </w:p>
              </w:tc>
              <w:tc>
                <w:tcPr>
                  <w:tcW w:w="2932" w:type="dxa"/>
                  <w:tcBorders>
                    <w:top w:val="single" w:color="auto" w:sz="4" w:space="0"/>
                    <w:left w:val="single" w:color="auto" w:sz="4" w:space="0"/>
                    <w:bottom w:val="single" w:color="auto" w:sz="4" w:space="0"/>
                    <w:right w:val="single" w:color="auto" w:sz="4" w:space="0"/>
                  </w:tcBorders>
                  <w:noWrap w:val="0"/>
                  <w:vAlign w:val="top"/>
                </w:tcPr>
                <w:p w14:paraId="3D470E11">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CAS号：50－00－0</w:t>
                  </w:r>
                </w:p>
              </w:tc>
            </w:tr>
            <w:tr w14:paraId="480D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434" w:type="dxa"/>
                  <w:vMerge w:val="continue"/>
                  <w:tcBorders>
                    <w:top w:val="single" w:color="auto" w:sz="4" w:space="0"/>
                    <w:left w:val="single" w:color="auto" w:sz="4" w:space="0"/>
                    <w:bottom w:val="single" w:color="auto" w:sz="4" w:space="0"/>
                    <w:right w:val="single" w:color="auto" w:sz="4" w:space="0"/>
                  </w:tcBorders>
                  <w:noWrap w:val="0"/>
                  <w:vAlign w:val="center"/>
                </w:tcPr>
                <w:p w14:paraId="4C304F50">
                  <w:pPr>
                    <w:widowControl/>
                    <w:spacing w:line="240" w:lineRule="auto"/>
                    <w:ind w:firstLine="0" w:firstLineChars="0"/>
                    <w:jc w:val="left"/>
                    <w:rPr>
                      <w:rFonts w:hint="default" w:ascii="Times New Roman" w:hAnsi="Times New Roman" w:eastAsia="宋体" w:cs="Times New Roman"/>
                      <w:color w:val="000000" w:themeColor="text1"/>
                      <w:sz w:val="21"/>
                      <w:szCs w:val="24"/>
                      <w14:textFill>
                        <w14:solidFill>
                          <w14:schemeClr w14:val="tx1"/>
                        </w14:solidFill>
                      </w14:textFill>
                    </w:rPr>
                  </w:pPr>
                </w:p>
              </w:tc>
              <w:tc>
                <w:tcPr>
                  <w:tcW w:w="7860" w:type="dxa"/>
                  <w:gridSpan w:val="4"/>
                  <w:tcBorders>
                    <w:top w:val="single" w:color="auto" w:sz="4" w:space="0"/>
                    <w:left w:val="single" w:color="auto" w:sz="4" w:space="0"/>
                    <w:bottom w:val="single" w:color="auto" w:sz="4" w:space="0"/>
                    <w:right w:val="single" w:color="auto" w:sz="4" w:space="0"/>
                  </w:tcBorders>
                  <w:noWrap w:val="0"/>
                  <w:vAlign w:val="top"/>
                </w:tcPr>
                <w:p w14:paraId="184E75ED">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危规号：83012</w:t>
                  </w:r>
                </w:p>
              </w:tc>
            </w:tr>
            <w:tr w14:paraId="166C4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 w:hRule="atLeast"/>
                <w:jc w:val="center"/>
              </w:trPr>
              <w:tc>
                <w:tcPr>
                  <w:tcW w:w="434" w:type="dxa"/>
                  <w:vMerge w:val="restart"/>
                  <w:tcBorders>
                    <w:top w:val="single" w:color="auto" w:sz="4" w:space="0"/>
                    <w:left w:val="single" w:color="auto" w:sz="4" w:space="0"/>
                    <w:bottom w:val="single" w:color="auto" w:sz="4" w:space="0"/>
                    <w:right w:val="single" w:color="auto" w:sz="4" w:space="0"/>
                  </w:tcBorders>
                  <w:noWrap w:val="0"/>
                  <w:vAlign w:val="center"/>
                </w:tcPr>
                <w:p w14:paraId="78B92076">
                  <w:pPr>
                    <w:spacing w:line="260" w:lineRule="exact"/>
                    <w:ind w:firstLine="0" w:firstLineChars="0"/>
                    <w:jc w:val="center"/>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理化性质</w:t>
                  </w:r>
                </w:p>
              </w:tc>
              <w:tc>
                <w:tcPr>
                  <w:tcW w:w="7860" w:type="dxa"/>
                  <w:gridSpan w:val="4"/>
                  <w:tcBorders>
                    <w:top w:val="single" w:color="auto" w:sz="4" w:space="0"/>
                    <w:left w:val="single" w:color="auto" w:sz="4" w:space="0"/>
                    <w:bottom w:val="single" w:color="auto" w:sz="4" w:space="0"/>
                    <w:right w:val="single" w:color="auto" w:sz="4" w:space="0"/>
                  </w:tcBorders>
                  <w:noWrap w:val="0"/>
                  <w:vAlign w:val="top"/>
                </w:tcPr>
                <w:p w14:paraId="702FADCE">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性状：无色，具有刺激性和窒息性的气体，商品为其水溶液。</w:t>
                  </w:r>
                </w:p>
              </w:tc>
            </w:tr>
            <w:tr w14:paraId="32281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434" w:type="dxa"/>
                  <w:vMerge w:val="continue"/>
                  <w:tcBorders>
                    <w:top w:val="single" w:color="auto" w:sz="4" w:space="0"/>
                    <w:left w:val="single" w:color="auto" w:sz="4" w:space="0"/>
                    <w:bottom w:val="single" w:color="auto" w:sz="4" w:space="0"/>
                    <w:right w:val="single" w:color="auto" w:sz="4" w:space="0"/>
                  </w:tcBorders>
                  <w:noWrap w:val="0"/>
                  <w:vAlign w:val="center"/>
                </w:tcPr>
                <w:p w14:paraId="151C0BFC">
                  <w:pPr>
                    <w:widowControl/>
                    <w:spacing w:line="240" w:lineRule="auto"/>
                    <w:ind w:firstLine="0" w:firstLineChars="0"/>
                    <w:jc w:val="left"/>
                    <w:rPr>
                      <w:rFonts w:hint="default" w:ascii="Times New Roman" w:hAnsi="Times New Roman" w:eastAsia="宋体" w:cs="Times New Roman"/>
                      <w:color w:val="000000" w:themeColor="text1"/>
                      <w:sz w:val="21"/>
                      <w:szCs w:val="24"/>
                      <w14:textFill>
                        <w14:solidFill>
                          <w14:schemeClr w14:val="tx1"/>
                        </w14:solidFill>
                      </w14:textFill>
                    </w:rPr>
                  </w:pPr>
                </w:p>
              </w:tc>
              <w:tc>
                <w:tcPr>
                  <w:tcW w:w="7860" w:type="dxa"/>
                  <w:gridSpan w:val="4"/>
                  <w:tcBorders>
                    <w:top w:val="single" w:color="auto" w:sz="4" w:space="0"/>
                    <w:left w:val="single" w:color="auto" w:sz="4" w:space="0"/>
                    <w:bottom w:val="single" w:color="auto" w:sz="4" w:space="0"/>
                    <w:right w:val="single" w:color="auto" w:sz="4" w:space="0"/>
                  </w:tcBorders>
                  <w:noWrap w:val="0"/>
                  <w:vAlign w:val="top"/>
                </w:tcPr>
                <w:p w14:paraId="6A9F45BC">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溶解性：易溶于水，溶于乙醇等多数有机溶剂。</w:t>
                  </w:r>
                </w:p>
              </w:tc>
            </w:tr>
            <w:tr w14:paraId="544E0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434" w:type="dxa"/>
                  <w:vMerge w:val="continue"/>
                  <w:tcBorders>
                    <w:top w:val="single" w:color="auto" w:sz="4" w:space="0"/>
                    <w:left w:val="single" w:color="auto" w:sz="4" w:space="0"/>
                    <w:bottom w:val="single" w:color="auto" w:sz="4" w:space="0"/>
                    <w:right w:val="single" w:color="auto" w:sz="4" w:space="0"/>
                  </w:tcBorders>
                  <w:noWrap w:val="0"/>
                  <w:vAlign w:val="center"/>
                </w:tcPr>
                <w:p w14:paraId="373F94E4">
                  <w:pPr>
                    <w:widowControl/>
                    <w:spacing w:line="240" w:lineRule="auto"/>
                    <w:ind w:firstLine="0" w:firstLineChars="0"/>
                    <w:jc w:val="left"/>
                    <w:rPr>
                      <w:rFonts w:hint="default" w:ascii="Times New Roman" w:hAnsi="Times New Roman" w:eastAsia="宋体" w:cs="Times New Roman"/>
                      <w:color w:val="000000" w:themeColor="text1"/>
                      <w:sz w:val="21"/>
                      <w:szCs w:val="24"/>
                      <w14:textFill>
                        <w14:solidFill>
                          <w14:schemeClr w14:val="tx1"/>
                        </w14:solidFill>
                      </w14:textFill>
                    </w:rPr>
                  </w:pPr>
                </w:p>
              </w:tc>
              <w:tc>
                <w:tcPr>
                  <w:tcW w:w="2588" w:type="dxa"/>
                  <w:tcBorders>
                    <w:top w:val="single" w:color="auto" w:sz="4" w:space="0"/>
                    <w:left w:val="single" w:color="auto" w:sz="4" w:space="0"/>
                    <w:bottom w:val="single" w:color="auto" w:sz="4" w:space="0"/>
                    <w:right w:val="single" w:color="auto" w:sz="4" w:space="0"/>
                  </w:tcBorders>
                  <w:noWrap w:val="0"/>
                  <w:vAlign w:val="top"/>
                </w:tcPr>
                <w:p w14:paraId="32A823B9">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熔点（℃）：－92</w:t>
                  </w:r>
                </w:p>
              </w:tc>
              <w:tc>
                <w:tcPr>
                  <w:tcW w:w="2340" w:type="dxa"/>
                  <w:gridSpan w:val="2"/>
                  <w:tcBorders>
                    <w:top w:val="single" w:color="auto" w:sz="4" w:space="0"/>
                    <w:left w:val="single" w:color="auto" w:sz="4" w:space="0"/>
                    <w:bottom w:val="single" w:color="auto" w:sz="4" w:space="0"/>
                    <w:right w:val="single" w:color="auto" w:sz="4" w:space="0"/>
                  </w:tcBorders>
                  <w:noWrap w:val="0"/>
                  <w:vAlign w:val="top"/>
                </w:tcPr>
                <w:p w14:paraId="1F8475E0">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沸点（℃）：－19.4</w:t>
                  </w:r>
                </w:p>
              </w:tc>
              <w:tc>
                <w:tcPr>
                  <w:tcW w:w="2932" w:type="dxa"/>
                  <w:tcBorders>
                    <w:top w:val="single" w:color="auto" w:sz="4" w:space="0"/>
                    <w:left w:val="single" w:color="auto" w:sz="4" w:space="0"/>
                    <w:bottom w:val="single" w:color="auto" w:sz="4" w:space="0"/>
                    <w:right w:val="single" w:color="auto" w:sz="4" w:space="0"/>
                  </w:tcBorders>
                  <w:noWrap w:val="0"/>
                  <w:vAlign w:val="top"/>
                </w:tcPr>
                <w:p w14:paraId="77ADF072">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相对密度（水＝1）：0.82</w:t>
                  </w:r>
                </w:p>
              </w:tc>
            </w:tr>
            <w:tr w14:paraId="0C420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jc w:val="center"/>
              </w:trPr>
              <w:tc>
                <w:tcPr>
                  <w:tcW w:w="434" w:type="dxa"/>
                  <w:vMerge w:val="continue"/>
                  <w:tcBorders>
                    <w:top w:val="single" w:color="auto" w:sz="4" w:space="0"/>
                    <w:left w:val="single" w:color="auto" w:sz="4" w:space="0"/>
                    <w:bottom w:val="single" w:color="auto" w:sz="4" w:space="0"/>
                    <w:right w:val="single" w:color="auto" w:sz="4" w:space="0"/>
                  </w:tcBorders>
                  <w:noWrap w:val="0"/>
                  <w:vAlign w:val="center"/>
                </w:tcPr>
                <w:p w14:paraId="19E7268B">
                  <w:pPr>
                    <w:widowControl/>
                    <w:spacing w:line="240" w:lineRule="auto"/>
                    <w:ind w:firstLine="0" w:firstLineChars="0"/>
                    <w:jc w:val="left"/>
                    <w:rPr>
                      <w:rFonts w:hint="default" w:ascii="Times New Roman" w:hAnsi="Times New Roman" w:eastAsia="宋体" w:cs="Times New Roman"/>
                      <w:color w:val="000000" w:themeColor="text1"/>
                      <w:sz w:val="21"/>
                      <w:szCs w:val="24"/>
                      <w14:textFill>
                        <w14:solidFill>
                          <w14:schemeClr w14:val="tx1"/>
                        </w14:solidFill>
                      </w14:textFill>
                    </w:rPr>
                  </w:pPr>
                </w:p>
              </w:tc>
              <w:tc>
                <w:tcPr>
                  <w:tcW w:w="2588" w:type="dxa"/>
                  <w:tcBorders>
                    <w:top w:val="single" w:color="auto" w:sz="4" w:space="0"/>
                    <w:left w:val="single" w:color="auto" w:sz="4" w:space="0"/>
                    <w:bottom w:val="single" w:color="auto" w:sz="4" w:space="0"/>
                    <w:right w:val="single" w:color="auto" w:sz="4" w:space="0"/>
                  </w:tcBorders>
                  <w:noWrap w:val="0"/>
                  <w:vAlign w:val="top"/>
                </w:tcPr>
                <w:p w14:paraId="7075A0DF">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临界温度（℃）：137.2</w:t>
                  </w:r>
                </w:p>
              </w:tc>
              <w:tc>
                <w:tcPr>
                  <w:tcW w:w="2340" w:type="dxa"/>
                  <w:gridSpan w:val="2"/>
                  <w:tcBorders>
                    <w:top w:val="single" w:color="auto" w:sz="4" w:space="0"/>
                    <w:left w:val="single" w:color="auto" w:sz="4" w:space="0"/>
                    <w:bottom w:val="single" w:color="auto" w:sz="4" w:space="0"/>
                    <w:right w:val="single" w:color="auto" w:sz="4" w:space="0"/>
                  </w:tcBorders>
                  <w:noWrap w:val="0"/>
                  <w:vAlign w:val="top"/>
                </w:tcPr>
                <w:p w14:paraId="6B6C6125">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临界压力（MPa）：6.81</w:t>
                  </w:r>
                </w:p>
              </w:tc>
              <w:tc>
                <w:tcPr>
                  <w:tcW w:w="2932" w:type="dxa"/>
                  <w:tcBorders>
                    <w:top w:val="single" w:color="auto" w:sz="4" w:space="0"/>
                    <w:left w:val="single" w:color="auto" w:sz="4" w:space="0"/>
                    <w:bottom w:val="single" w:color="auto" w:sz="4" w:space="0"/>
                    <w:right w:val="single" w:color="auto" w:sz="4" w:space="0"/>
                  </w:tcBorders>
                  <w:noWrap w:val="0"/>
                  <w:vAlign w:val="top"/>
                </w:tcPr>
                <w:p w14:paraId="1A0017BF">
                  <w:pPr>
                    <w:spacing w:line="30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相对密度（空气＝1）：1.07</w:t>
                  </w:r>
                </w:p>
              </w:tc>
            </w:tr>
            <w:tr w14:paraId="25579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434" w:type="dxa"/>
                  <w:vMerge w:val="continue"/>
                  <w:tcBorders>
                    <w:top w:val="single" w:color="auto" w:sz="4" w:space="0"/>
                    <w:left w:val="single" w:color="auto" w:sz="4" w:space="0"/>
                    <w:bottom w:val="single" w:color="auto" w:sz="4" w:space="0"/>
                    <w:right w:val="single" w:color="auto" w:sz="4" w:space="0"/>
                  </w:tcBorders>
                  <w:noWrap w:val="0"/>
                  <w:vAlign w:val="center"/>
                </w:tcPr>
                <w:p w14:paraId="14939071">
                  <w:pPr>
                    <w:widowControl/>
                    <w:spacing w:line="240" w:lineRule="auto"/>
                    <w:ind w:firstLine="0" w:firstLineChars="0"/>
                    <w:jc w:val="left"/>
                    <w:rPr>
                      <w:rFonts w:hint="default" w:ascii="Times New Roman" w:hAnsi="Times New Roman" w:eastAsia="宋体" w:cs="Times New Roman"/>
                      <w:color w:val="000000" w:themeColor="text1"/>
                      <w:sz w:val="21"/>
                      <w:szCs w:val="24"/>
                      <w14:textFill>
                        <w14:solidFill>
                          <w14:schemeClr w14:val="tx1"/>
                        </w14:solidFill>
                      </w14:textFill>
                    </w:rPr>
                  </w:pPr>
                </w:p>
              </w:tc>
              <w:tc>
                <w:tcPr>
                  <w:tcW w:w="2588" w:type="dxa"/>
                  <w:tcBorders>
                    <w:top w:val="single" w:color="auto" w:sz="4" w:space="0"/>
                    <w:left w:val="single" w:color="auto" w:sz="4" w:space="0"/>
                    <w:bottom w:val="single" w:color="auto" w:sz="4" w:space="0"/>
                    <w:right w:val="single" w:color="auto" w:sz="4" w:space="0"/>
                  </w:tcBorders>
                  <w:noWrap w:val="0"/>
                  <w:vAlign w:val="top"/>
                </w:tcPr>
                <w:p w14:paraId="3A9ABE81">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燃烧热（KJ/mol）：2345.0</w:t>
                  </w:r>
                </w:p>
              </w:tc>
              <w:tc>
                <w:tcPr>
                  <w:tcW w:w="2340" w:type="dxa"/>
                  <w:gridSpan w:val="2"/>
                  <w:tcBorders>
                    <w:top w:val="single" w:color="auto" w:sz="4" w:space="0"/>
                    <w:left w:val="single" w:color="auto" w:sz="4" w:space="0"/>
                    <w:bottom w:val="single" w:color="auto" w:sz="4" w:space="0"/>
                    <w:right w:val="single" w:color="auto" w:sz="4" w:space="0"/>
                  </w:tcBorders>
                  <w:noWrap w:val="0"/>
                  <w:vAlign w:val="top"/>
                </w:tcPr>
                <w:p w14:paraId="35735462">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最小点火能（mJ）：</w:t>
                  </w:r>
                </w:p>
              </w:tc>
              <w:tc>
                <w:tcPr>
                  <w:tcW w:w="2932" w:type="dxa"/>
                  <w:tcBorders>
                    <w:top w:val="single" w:color="auto" w:sz="4" w:space="0"/>
                    <w:left w:val="single" w:color="auto" w:sz="4" w:space="0"/>
                    <w:bottom w:val="single" w:color="auto" w:sz="4" w:space="0"/>
                    <w:right w:val="single" w:color="auto" w:sz="4" w:space="0"/>
                  </w:tcBorders>
                  <w:noWrap w:val="0"/>
                  <w:vAlign w:val="top"/>
                </w:tcPr>
                <w:p w14:paraId="1F1B532F">
                  <w:pPr>
                    <w:spacing w:line="30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 xml:space="preserve">饱和蒸汽压（kPa）：13.33（-57.3℃） </w:t>
                  </w:r>
                </w:p>
              </w:tc>
            </w:tr>
            <w:tr w14:paraId="3E76A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 w:hRule="atLeast"/>
                <w:jc w:val="center"/>
              </w:trPr>
              <w:tc>
                <w:tcPr>
                  <w:tcW w:w="434" w:type="dxa"/>
                  <w:vMerge w:val="restart"/>
                  <w:tcBorders>
                    <w:top w:val="single" w:color="auto" w:sz="4" w:space="0"/>
                    <w:left w:val="single" w:color="auto" w:sz="4" w:space="0"/>
                    <w:bottom w:val="single" w:color="auto" w:sz="4" w:space="0"/>
                    <w:right w:val="single" w:color="auto" w:sz="4" w:space="0"/>
                  </w:tcBorders>
                  <w:noWrap w:val="0"/>
                  <w:vAlign w:val="center"/>
                </w:tcPr>
                <w:p w14:paraId="02E07D14">
                  <w:pPr>
                    <w:spacing w:line="240" w:lineRule="exact"/>
                    <w:ind w:firstLine="0" w:firstLineChars="0"/>
                    <w:jc w:val="center"/>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燃烧爆炸危险性</w:t>
                  </w:r>
                </w:p>
              </w:tc>
              <w:tc>
                <w:tcPr>
                  <w:tcW w:w="2588" w:type="dxa"/>
                  <w:tcBorders>
                    <w:top w:val="single" w:color="auto" w:sz="4" w:space="0"/>
                    <w:left w:val="single" w:color="auto" w:sz="4" w:space="0"/>
                    <w:bottom w:val="single" w:color="auto" w:sz="4" w:space="0"/>
                    <w:right w:val="single" w:color="auto" w:sz="4" w:space="0"/>
                  </w:tcBorders>
                  <w:noWrap w:val="0"/>
                  <w:vAlign w:val="top"/>
                </w:tcPr>
                <w:p w14:paraId="3414E20C">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燃烧性：易燃</w:t>
                  </w:r>
                </w:p>
              </w:tc>
              <w:tc>
                <w:tcPr>
                  <w:tcW w:w="5272" w:type="dxa"/>
                  <w:gridSpan w:val="3"/>
                  <w:tcBorders>
                    <w:top w:val="single" w:color="auto" w:sz="4" w:space="0"/>
                    <w:left w:val="single" w:color="auto" w:sz="4" w:space="0"/>
                    <w:bottom w:val="single" w:color="auto" w:sz="4" w:space="0"/>
                    <w:right w:val="single" w:color="auto" w:sz="4" w:space="0"/>
                  </w:tcBorders>
                  <w:noWrap w:val="0"/>
                  <w:vAlign w:val="top"/>
                </w:tcPr>
                <w:p w14:paraId="610A71B4">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 xml:space="preserve">燃烧分解产物：一氧化碳、二氧化碳。 </w:t>
                  </w:r>
                </w:p>
              </w:tc>
            </w:tr>
            <w:tr w14:paraId="7282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434" w:type="dxa"/>
                  <w:vMerge w:val="continue"/>
                  <w:tcBorders>
                    <w:top w:val="single" w:color="auto" w:sz="4" w:space="0"/>
                    <w:left w:val="single" w:color="auto" w:sz="4" w:space="0"/>
                    <w:bottom w:val="single" w:color="auto" w:sz="4" w:space="0"/>
                    <w:right w:val="single" w:color="auto" w:sz="4" w:space="0"/>
                  </w:tcBorders>
                  <w:noWrap w:val="0"/>
                  <w:vAlign w:val="center"/>
                </w:tcPr>
                <w:p w14:paraId="18605E1A">
                  <w:pPr>
                    <w:widowControl/>
                    <w:spacing w:line="240" w:lineRule="auto"/>
                    <w:ind w:firstLine="0" w:firstLineChars="0"/>
                    <w:jc w:val="left"/>
                    <w:rPr>
                      <w:rFonts w:hint="default" w:ascii="Times New Roman" w:hAnsi="Times New Roman" w:eastAsia="宋体" w:cs="Times New Roman"/>
                      <w:color w:val="000000" w:themeColor="text1"/>
                      <w:sz w:val="21"/>
                      <w:szCs w:val="24"/>
                      <w14:textFill>
                        <w14:solidFill>
                          <w14:schemeClr w14:val="tx1"/>
                        </w14:solidFill>
                      </w14:textFill>
                    </w:rPr>
                  </w:pPr>
                </w:p>
              </w:tc>
              <w:tc>
                <w:tcPr>
                  <w:tcW w:w="2588" w:type="dxa"/>
                  <w:tcBorders>
                    <w:top w:val="single" w:color="auto" w:sz="4" w:space="0"/>
                    <w:left w:val="single" w:color="auto" w:sz="4" w:space="0"/>
                    <w:bottom w:val="single" w:color="auto" w:sz="4" w:space="0"/>
                    <w:right w:val="single" w:color="auto" w:sz="4" w:space="0"/>
                  </w:tcBorders>
                  <w:noWrap w:val="0"/>
                  <w:vAlign w:val="top"/>
                </w:tcPr>
                <w:p w14:paraId="2617D2E6">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闪点（℃）：50（37％）</w:t>
                  </w:r>
                </w:p>
              </w:tc>
              <w:tc>
                <w:tcPr>
                  <w:tcW w:w="5272" w:type="dxa"/>
                  <w:gridSpan w:val="3"/>
                  <w:tcBorders>
                    <w:top w:val="single" w:color="auto" w:sz="4" w:space="0"/>
                    <w:left w:val="single" w:color="auto" w:sz="4" w:space="0"/>
                    <w:bottom w:val="single" w:color="auto" w:sz="4" w:space="0"/>
                    <w:right w:val="single" w:color="auto" w:sz="4" w:space="0"/>
                  </w:tcBorders>
                  <w:noWrap w:val="0"/>
                  <w:vAlign w:val="top"/>
                </w:tcPr>
                <w:p w14:paraId="38792B33">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聚合危害：聚合</w:t>
                  </w:r>
                </w:p>
              </w:tc>
            </w:tr>
            <w:tr w14:paraId="11286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 w:hRule="atLeast"/>
                <w:jc w:val="center"/>
              </w:trPr>
              <w:tc>
                <w:tcPr>
                  <w:tcW w:w="434" w:type="dxa"/>
                  <w:vMerge w:val="continue"/>
                  <w:tcBorders>
                    <w:top w:val="single" w:color="auto" w:sz="4" w:space="0"/>
                    <w:left w:val="single" w:color="auto" w:sz="4" w:space="0"/>
                    <w:bottom w:val="single" w:color="auto" w:sz="4" w:space="0"/>
                    <w:right w:val="single" w:color="auto" w:sz="4" w:space="0"/>
                  </w:tcBorders>
                  <w:noWrap w:val="0"/>
                  <w:vAlign w:val="center"/>
                </w:tcPr>
                <w:p w14:paraId="44772788">
                  <w:pPr>
                    <w:widowControl/>
                    <w:spacing w:line="240" w:lineRule="auto"/>
                    <w:ind w:firstLine="0" w:firstLineChars="0"/>
                    <w:jc w:val="left"/>
                    <w:rPr>
                      <w:rFonts w:hint="default" w:ascii="Times New Roman" w:hAnsi="Times New Roman" w:eastAsia="宋体" w:cs="Times New Roman"/>
                      <w:color w:val="000000" w:themeColor="text1"/>
                      <w:sz w:val="21"/>
                      <w:szCs w:val="24"/>
                      <w14:textFill>
                        <w14:solidFill>
                          <w14:schemeClr w14:val="tx1"/>
                        </w14:solidFill>
                      </w14:textFill>
                    </w:rPr>
                  </w:pPr>
                </w:p>
              </w:tc>
              <w:tc>
                <w:tcPr>
                  <w:tcW w:w="2588" w:type="dxa"/>
                  <w:tcBorders>
                    <w:top w:val="single" w:color="auto" w:sz="4" w:space="0"/>
                    <w:left w:val="single" w:color="auto" w:sz="4" w:space="0"/>
                    <w:bottom w:val="single" w:color="auto" w:sz="4" w:space="0"/>
                    <w:right w:val="single" w:color="auto" w:sz="4" w:space="0"/>
                  </w:tcBorders>
                  <w:noWrap w:val="0"/>
                  <w:vAlign w:val="top"/>
                </w:tcPr>
                <w:p w14:paraId="0A113D44">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爆炸下限（％）：7.0</w:t>
                  </w:r>
                </w:p>
              </w:tc>
              <w:tc>
                <w:tcPr>
                  <w:tcW w:w="5272" w:type="dxa"/>
                  <w:gridSpan w:val="3"/>
                  <w:tcBorders>
                    <w:top w:val="single" w:color="auto" w:sz="4" w:space="0"/>
                    <w:left w:val="single" w:color="auto" w:sz="4" w:space="0"/>
                    <w:bottom w:val="single" w:color="auto" w:sz="4" w:space="0"/>
                    <w:right w:val="single" w:color="auto" w:sz="4" w:space="0"/>
                  </w:tcBorders>
                  <w:noWrap w:val="0"/>
                  <w:vAlign w:val="top"/>
                </w:tcPr>
                <w:p w14:paraId="69BDF47E">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稳定性：稳定</w:t>
                  </w:r>
                </w:p>
              </w:tc>
            </w:tr>
            <w:tr w14:paraId="00601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 w:hRule="atLeast"/>
                <w:jc w:val="center"/>
              </w:trPr>
              <w:tc>
                <w:tcPr>
                  <w:tcW w:w="434" w:type="dxa"/>
                  <w:vMerge w:val="continue"/>
                  <w:tcBorders>
                    <w:top w:val="single" w:color="auto" w:sz="4" w:space="0"/>
                    <w:left w:val="single" w:color="auto" w:sz="4" w:space="0"/>
                    <w:bottom w:val="single" w:color="auto" w:sz="4" w:space="0"/>
                    <w:right w:val="single" w:color="auto" w:sz="4" w:space="0"/>
                  </w:tcBorders>
                  <w:noWrap w:val="0"/>
                  <w:vAlign w:val="center"/>
                </w:tcPr>
                <w:p w14:paraId="416F8645">
                  <w:pPr>
                    <w:widowControl/>
                    <w:spacing w:line="240" w:lineRule="auto"/>
                    <w:ind w:firstLine="0" w:firstLineChars="0"/>
                    <w:jc w:val="left"/>
                    <w:rPr>
                      <w:rFonts w:hint="default" w:ascii="Times New Roman" w:hAnsi="Times New Roman" w:eastAsia="宋体" w:cs="Times New Roman"/>
                      <w:color w:val="000000" w:themeColor="text1"/>
                      <w:sz w:val="21"/>
                      <w:szCs w:val="24"/>
                      <w14:textFill>
                        <w14:solidFill>
                          <w14:schemeClr w14:val="tx1"/>
                        </w14:solidFill>
                      </w14:textFill>
                    </w:rPr>
                  </w:pPr>
                </w:p>
              </w:tc>
              <w:tc>
                <w:tcPr>
                  <w:tcW w:w="2588" w:type="dxa"/>
                  <w:tcBorders>
                    <w:top w:val="single" w:color="auto" w:sz="4" w:space="0"/>
                    <w:left w:val="single" w:color="auto" w:sz="4" w:space="0"/>
                    <w:bottom w:val="single" w:color="auto" w:sz="4" w:space="0"/>
                    <w:right w:val="single" w:color="auto" w:sz="4" w:space="0"/>
                  </w:tcBorders>
                  <w:noWrap w:val="0"/>
                  <w:vAlign w:val="top"/>
                </w:tcPr>
                <w:p w14:paraId="7CA6E1FD">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爆炸上限（％）：73.0</w:t>
                  </w:r>
                </w:p>
              </w:tc>
              <w:tc>
                <w:tcPr>
                  <w:tcW w:w="5272" w:type="dxa"/>
                  <w:gridSpan w:val="3"/>
                  <w:tcBorders>
                    <w:top w:val="single" w:color="auto" w:sz="4" w:space="0"/>
                    <w:left w:val="single" w:color="auto" w:sz="4" w:space="0"/>
                    <w:bottom w:val="single" w:color="auto" w:sz="4" w:space="0"/>
                    <w:right w:val="single" w:color="auto" w:sz="4" w:space="0"/>
                  </w:tcBorders>
                  <w:noWrap w:val="0"/>
                  <w:vAlign w:val="top"/>
                </w:tcPr>
                <w:p w14:paraId="792833EA">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最大爆炸压力（MPa）：</w:t>
                  </w:r>
                </w:p>
              </w:tc>
            </w:tr>
            <w:tr w14:paraId="147C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jc w:val="center"/>
              </w:trPr>
              <w:tc>
                <w:tcPr>
                  <w:tcW w:w="434" w:type="dxa"/>
                  <w:vMerge w:val="continue"/>
                  <w:tcBorders>
                    <w:top w:val="single" w:color="auto" w:sz="4" w:space="0"/>
                    <w:left w:val="single" w:color="auto" w:sz="4" w:space="0"/>
                    <w:bottom w:val="single" w:color="auto" w:sz="4" w:space="0"/>
                    <w:right w:val="single" w:color="auto" w:sz="4" w:space="0"/>
                  </w:tcBorders>
                  <w:noWrap w:val="0"/>
                  <w:vAlign w:val="center"/>
                </w:tcPr>
                <w:p w14:paraId="595405B5">
                  <w:pPr>
                    <w:widowControl/>
                    <w:spacing w:line="240" w:lineRule="auto"/>
                    <w:ind w:firstLine="0" w:firstLineChars="0"/>
                    <w:jc w:val="left"/>
                    <w:rPr>
                      <w:rFonts w:hint="default" w:ascii="Times New Roman" w:hAnsi="Times New Roman" w:eastAsia="宋体" w:cs="Times New Roman"/>
                      <w:color w:val="000000" w:themeColor="text1"/>
                      <w:sz w:val="21"/>
                      <w:szCs w:val="24"/>
                      <w14:textFill>
                        <w14:solidFill>
                          <w14:schemeClr w14:val="tx1"/>
                        </w14:solidFill>
                      </w14:textFill>
                    </w:rPr>
                  </w:pPr>
                </w:p>
              </w:tc>
              <w:tc>
                <w:tcPr>
                  <w:tcW w:w="2588" w:type="dxa"/>
                  <w:tcBorders>
                    <w:top w:val="single" w:color="auto" w:sz="4" w:space="0"/>
                    <w:left w:val="single" w:color="auto" w:sz="4" w:space="0"/>
                    <w:bottom w:val="single" w:color="auto" w:sz="4" w:space="0"/>
                    <w:right w:val="single" w:color="auto" w:sz="4" w:space="0"/>
                  </w:tcBorders>
                  <w:noWrap w:val="0"/>
                  <w:vAlign w:val="top"/>
                </w:tcPr>
                <w:p w14:paraId="6F1C4FD5">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引燃温度（℃）：430</w:t>
                  </w:r>
                </w:p>
              </w:tc>
              <w:tc>
                <w:tcPr>
                  <w:tcW w:w="5272" w:type="dxa"/>
                  <w:gridSpan w:val="3"/>
                  <w:tcBorders>
                    <w:top w:val="single" w:color="auto" w:sz="4" w:space="0"/>
                    <w:left w:val="single" w:color="auto" w:sz="4" w:space="0"/>
                    <w:bottom w:val="single" w:color="auto" w:sz="4" w:space="0"/>
                    <w:right w:val="single" w:color="auto" w:sz="4" w:space="0"/>
                  </w:tcBorders>
                  <w:noWrap w:val="0"/>
                  <w:vAlign w:val="top"/>
                </w:tcPr>
                <w:p w14:paraId="393A5F91">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禁忌物：强氧化剂、强酸、强碱。</w:t>
                  </w:r>
                </w:p>
              </w:tc>
            </w:tr>
            <w:tr w14:paraId="5A6B3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 w:hRule="atLeast"/>
                <w:jc w:val="center"/>
              </w:trPr>
              <w:tc>
                <w:tcPr>
                  <w:tcW w:w="434" w:type="dxa"/>
                  <w:vMerge w:val="continue"/>
                  <w:tcBorders>
                    <w:top w:val="single" w:color="auto" w:sz="4" w:space="0"/>
                    <w:left w:val="single" w:color="auto" w:sz="4" w:space="0"/>
                    <w:bottom w:val="single" w:color="auto" w:sz="4" w:space="0"/>
                    <w:right w:val="single" w:color="auto" w:sz="4" w:space="0"/>
                  </w:tcBorders>
                  <w:noWrap w:val="0"/>
                  <w:vAlign w:val="center"/>
                </w:tcPr>
                <w:p w14:paraId="7077B713">
                  <w:pPr>
                    <w:widowControl/>
                    <w:spacing w:line="240" w:lineRule="auto"/>
                    <w:ind w:firstLine="0" w:firstLineChars="0"/>
                    <w:jc w:val="left"/>
                    <w:rPr>
                      <w:rFonts w:hint="default" w:ascii="Times New Roman" w:hAnsi="Times New Roman" w:eastAsia="宋体" w:cs="Times New Roman"/>
                      <w:color w:val="000000" w:themeColor="text1"/>
                      <w:sz w:val="21"/>
                      <w:szCs w:val="24"/>
                      <w14:textFill>
                        <w14:solidFill>
                          <w14:schemeClr w14:val="tx1"/>
                        </w14:solidFill>
                      </w14:textFill>
                    </w:rPr>
                  </w:pPr>
                </w:p>
              </w:tc>
              <w:tc>
                <w:tcPr>
                  <w:tcW w:w="7860" w:type="dxa"/>
                  <w:gridSpan w:val="4"/>
                  <w:tcBorders>
                    <w:top w:val="single" w:color="auto" w:sz="4" w:space="0"/>
                    <w:left w:val="single" w:color="auto" w:sz="4" w:space="0"/>
                    <w:bottom w:val="single" w:color="auto" w:sz="4" w:space="0"/>
                    <w:right w:val="single" w:color="auto" w:sz="4" w:space="0"/>
                  </w:tcBorders>
                  <w:noWrap w:val="0"/>
                  <w:vAlign w:val="top"/>
                </w:tcPr>
                <w:p w14:paraId="6F409058">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危险特性：其蒸气与空气可形成爆炸性混合物。遇明火、高热能引起燃烧爆炸。与氧化剂接触会猛烈反应。</w:t>
                  </w:r>
                </w:p>
              </w:tc>
            </w:tr>
            <w:tr w14:paraId="311F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2" w:hRule="atLeast"/>
                <w:jc w:val="center"/>
              </w:trPr>
              <w:tc>
                <w:tcPr>
                  <w:tcW w:w="434" w:type="dxa"/>
                  <w:vMerge w:val="continue"/>
                  <w:tcBorders>
                    <w:top w:val="single" w:color="auto" w:sz="4" w:space="0"/>
                    <w:left w:val="single" w:color="auto" w:sz="4" w:space="0"/>
                    <w:bottom w:val="single" w:color="auto" w:sz="4" w:space="0"/>
                    <w:right w:val="single" w:color="auto" w:sz="4" w:space="0"/>
                  </w:tcBorders>
                  <w:noWrap w:val="0"/>
                  <w:vAlign w:val="center"/>
                </w:tcPr>
                <w:p w14:paraId="6A31BBFF">
                  <w:pPr>
                    <w:widowControl/>
                    <w:spacing w:line="240" w:lineRule="auto"/>
                    <w:ind w:firstLine="0" w:firstLineChars="0"/>
                    <w:jc w:val="left"/>
                    <w:rPr>
                      <w:rFonts w:hint="default" w:ascii="Times New Roman" w:hAnsi="Times New Roman" w:eastAsia="宋体" w:cs="Times New Roman"/>
                      <w:color w:val="000000" w:themeColor="text1"/>
                      <w:sz w:val="21"/>
                      <w:szCs w:val="24"/>
                      <w14:textFill>
                        <w14:solidFill>
                          <w14:schemeClr w14:val="tx1"/>
                        </w14:solidFill>
                      </w14:textFill>
                    </w:rPr>
                  </w:pPr>
                </w:p>
              </w:tc>
              <w:tc>
                <w:tcPr>
                  <w:tcW w:w="7860" w:type="dxa"/>
                  <w:gridSpan w:val="4"/>
                  <w:tcBorders>
                    <w:top w:val="single" w:color="auto" w:sz="4" w:space="0"/>
                    <w:left w:val="single" w:color="auto" w:sz="4" w:space="0"/>
                    <w:bottom w:val="single" w:color="auto" w:sz="4" w:space="0"/>
                    <w:right w:val="single" w:color="auto" w:sz="4" w:space="0"/>
                  </w:tcBorders>
                  <w:noWrap w:val="0"/>
                  <w:vAlign w:val="top"/>
                </w:tcPr>
                <w:p w14:paraId="7EFA2C3B">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灭火方法：用雾状水保持火场容器冷却，用水喷射逸出液体，使其稀释成不燃性混合物，并用雾状水保护消防人员。灭火剂：雾状水、抗溶性泡沫、干粉、二氧化碳、砂土。</w:t>
                  </w:r>
                </w:p>
              </w:tc>
            </w:tr>
            <w:tr w14:paraId="4145F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dxa"/>
                  <w:tcBorders>
                    <w:top w:val="single" w:color="auto" w:sz="4" w:space="0"/>
                    <w:left w:val="single" w:color="auto" w:sz="4" w:space="0"/>
                    <w:bottom w:val="single" w:color="auto" w:sz="4" w:space="0"/>
                    <w:right w:val="single" w:color="auto" w:sz="4" w:space="0"/>
                  </w:tcBorders>
                  <w:noWrap w:val="0"/>
                  <w:vAlign w:val="center"/>
                </w:tcPr>
                <w:p w14:paraId="664B3F07">
                  <w:pPr>
                    <w:spacing w:line="240" w:lineRule="exact"/>
                    <w:ind w:firstLine="0" w:firstLineChars="0"/>
                    <w:jc w:val="center"/>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毒性</w:t>
                  </w:r>
                </w:p>
              </w:tc>
              <w:tc>
                <w:tcPr>
                  <w:tcW w:w="7860" w:type="dxa"/>
                  <w:gridSpan w:val="4"/>
                  <w:tcBorders>
                    <w:top w:val="single" w:color="auto" w:sz="4" w:space="0"/>
                    <w:left w:val="single" w:color="auto" w:sz="4" w:space="0"/>
                    <w:bottom w:val="single" w:color="auto" w:sz="4" w:space="0"/>
                    <w:right w:val="single" w:color="auto" w:sz="4" w:space="0"/>
                  </w:tcBorders>
                  <w:noWrap w:val="0"/>
                  <w:vAlign w:val="top"/>
                </w:tcPr>
                <w:p w14:paraId="6102784B">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急性毒性  LD</w:t>
                  </w:r>
                  <w:r>
                    <w:rPr>
                      <w:rFonts w:hint="default" w:ascii="Times New Roman" w:hAnsi="Times New Roman" w:eastAsia="宋体" w:cs="Times New Roman"/>
                      <w:color w:val="000000" w:themeColor="text1"/>
                      <w:sz w:val="21"/>
                      <w:szCs w:val="24"/>
                      <w:vertAlign w:val="subscript"/>
                      <w14:textFill>
                        <w14:solidFill>
                          <w14:schemeClr w14:val="tx1"/>
                        </w14:solidFill>
                      </w14:textFill>
                    </w:rPr>
                    <w:t>50</w:t>
                  </w:r>
                  <w:r>
                    <w:rPr>
                      <w:rFonts w:hint="default" w:ascii="Times New Roman" w:hAnsi="Times New Roman" w:eastAsia="宋体" w:cs="Times New Roman"/>
                      <w:color w:val="000000" w:themeColor="text1"/>
                      <w:sz w:val="21"/>
                      <w:szCs w:val="24"/>
                      <w14:textFill>
                        <w14:solidFill>
                          <w14:schemeClr w14:val="tx1"/>
                        </w14:solidFill>
                      </w14:textFill>
                    </w:rPr>
                    <w:t xml:space="preserve">  800mg/kg（大鼠经口）        270mg/kg（兔经皮）</w:t>
                  </w:r>
                </w:p>
                <w:p w14:paraId="3C607DB2">
                  <w:pPr>
                    <w:spacing w:line="260" w:lineRule="exact"/>
                    <w:ind w:firstLine="1050" w:firstLineChars="50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LC</w:t>
                  </w:r>
                  <w:r>
                    <w:rPr>
                      <w:rFonts w:hint="default" w:ascii="Times New Roman" w:hAnsi="Times New Roman" w:eastAsia="宋体" w:cs="Times New Roman"/>
                      <w:color w:val="000000" w:themeColor="text1"/>
                      <w:sz w:val="21"/>
                      <w:szCs w:val="24"/>
                      <w:vertAlign w:val="subscript"/>
                      <w14:textFill>
                        <w14:solidFill>
                          <w14:schemeClr w14:val="tx1"/>
                        </w14:solidFill>
                      </w14:textFill>
                    </w:rPr>
                    <w:t>50</w:t>
                  </w:r>
                  <w:r>
                    <w:rPr>
                      <w:rFonts w:hint="default" w:ascii="Times New Roman" w:hAnsi="Times New Roman" w:eastAsia="宋体" w:cs="Times New Roman"/>
                      <w:color w:val="000000" w:themeColor="text1"/>
                      <w:sz w:val="21"/>
                      <w:szCs w:val="24"/>
                      <w14:textFill>
                        <w14:solidFill>
                          <w14:schemeClr w14:val="tx1"/>
                        </w14:solidFill>
                      </w14:textFill>
                    </w:rPr>
                    <w:t xml:space="preserve">  590mg/kg（大鼠吸入）</w:t>
                  </w:r>
                </w:p>
              </w:tc>
            </w:tr>
            <w:tr w14:paraId="7EA10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434" w:type="dxa"/>
                  <w:tcBorders>
                    <w:top w:val="single" w:color="auto" w:sz="4" w:space="0"/>
                    <w:left w:val="single" w:color="auto" w:sz="4" w:space="0"/>
                    <w:bottom w:val="single" w:color="auto" w:sz="4" w:space="0"/>
                    <w:right w:val="single" w:color="auto" w:sz="4" w:space="0"/>
                  </w:tcBorders>
                  <w:noWrap w:val="0"/>
                  <w:vAlign w:val="center"/>
                </w:tcPr>
                <w:p w14:paraId="4C876F9F">
                  <w:pPr>
                    <w:spacing w:line="240" w:lineRule="exact"/>
                    <w:ind w:firstLine="0" w:firstLineChars="0"/>
                    <w:jc w:val="center"/>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对人体危害</w:t>
                  </w:r>
                </w:p>
              </w:tc>
              <w:tc>
                <w:tcPr>
                  <w:tcW w:w="7860" w:type="dxa"/>
                  <w:gridSpan w:val="4"/>
                  <w:tcBorders>
                    <w:top w:val="single" w:color="auto" w:sz="4" w:space="0"/>
                    <w:left w:val="single" w:color="auto" w:sz="4" w:space="0"/>
                    <w:bottom w:val="single" w:color="auto" w:sz="4" w:space="0"/>
                    <w:right w:val="single" w:color="auto" w:sz="4" w:space="0"/>
                  </w:tcBorders>
                  <w:noWrap w:val="0"/>
                  <w:vAlign w:val="top"/>
                </w:tcPr>
                <w:p w14:paraId="156DFAA5">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侵入途径：吸入、食入、经皮肤吸收。</w:t>
                  </w:r>
                </w:p>
                <w:p w14:paraId="64BCF3EF">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健康危害：本品对粘膜、上呼吸道、眼睛和皮肤有强烈刺激性。接触其蒸气，引起结膜炎、角膜炎、鼻炎、支气管炎；重者发生喉痉挛、声门水肿和肺炎等。肺水肿较少见。对皮肤有原发性刺激和致敏作用，可致皮炎；浓溶液可引起皮肤凝固性坏死。口服灼伤口腔和消化道，可发生胃肠道穿孔、休克，肾和肝脏损害。慢性影响：长期接触低浓度甲醛可有轻度眼、鼻、咽喉刺激症状，皮肤干燥、皲裂、甲软化等。</w:t>
                  </w:r>
                </w:p>
              </w:tc>
            </w:tr>
            <w:tr w14:paraId="3E510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434" w:type="dxa"/>
                  <w:tcBorders>
                    <w:top w:val="single" w:color="auto" w:sz="4" w:space="0"/>
                    <w:left w:val="single" w:color="auto" w:sz="4" w:space="0"/>
                    <w:bottom w:val="single" w:color="auto" w:sz="4" w:space="0"/>
                    <w:right w:val="single" w:color="auto" w:sz="4" w:space="0"/>
                  </w:tcBorders>
                  <w:noWrap w:val="0"/>
                  <w:vAlign w:val="center"/>
                </w:tcPr>
                <w:p w14:paraId="249022A8">
                  <w:pPr>
                    <w:spacing w:line="240" w:lineRule="exact"/>
                    <w:ind w:firstLine="0" w:firstLineChars="0"/>
                    <w:jc w:val="center"/>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急救</w:t>
                  </w:r>
                </w:p>
              </w:tc>
              <w:tc>
                <w:tcPr>
                  <w:tcW w:w="7860" w:type="dxa"/>
                  <w:gridSpan w:val="4"/>
                  <w:tcBorders>
                    <w:top w:val="single" w:color="auto" w:sz="4" w:space="0"/>
                    <w:left w:val="single" w:color="auto" w:sz="4" w:space="0"/>
                    <w:bottom w:val="single" w:color="auto" w:sz="4" w:space="0"/>
                    <w:right w:val="single" w:color="auto" w:sz="4" w:space="0"/>
                  </w:tcBorders>
                  <w:noWrap w:val="0"/>
                  <w:vAlign w:val="top"/>
                </w:tcPr>
                <w:p w14:paraId="732D4579">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皮肤接触：脱去被污染的衣着，用大量流动清水冲洗。至少15分钟。就医。</w:t>
                  </w:r>
                </w:p>
                <w:p w14:paraId="02B21233">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眼睛接触：立即提起眼睑，用大量流动清水或生理盐水彻底冲洗至少15分钟。就医。</w:t>
                  </w:r>
                </w:p>
                <w:p w14:paraId="3046CE5F">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吸入：迅速脱离现场至空气新鲜处，保持呼吸道通畅。如呼吸困难，给输氧。如呼吸停止，立即进行人工呼吸。就医。</w:t>
                  </w:r>
                </w:p>
                <w:p w14:paraId="130ACE92">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食入：用1％碘化钾60mL灌胃。常规洗胃。就医。</w:t>
                  </w:r>
                </w:p>
              </w:tc>
            </w:tr>
            <w:tr w14:paraId="5FA9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4" w:type="dxa"/>
                  <w:tcBorders>
                    <w:top w:val="single" w:color="auto" w:sz="4" w:space="0"/>
                    <w:left w:val="single" w:color="auto" w:sz="4" w:space="0"/>
                    <w:bottom w:val="single" w:color="auto" w:sz="4" w:space="0"/>
                    <w:right w:val="single" w:color="auto" w:sz="4" w:space="0"/>
                  </w:tcBorders>
                  <w:noWrap w:val="0"/>
                  <w:vAlign w:val="center"/>
                </w:tcPr>
                <w:p w14:paraId="1EB6ECD8">
                  <w:pPr>
                    <w:spacing w:line="240" w:lineRule="exact"/>
                    <w:ind w:firstLine="0" w:firstLineChars="0"/>
                    <w:jc w:val="center"/>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防护</w:t>
                  </w:r>
                </w:p>
              </w:tc>
              <w:tc>
                <w:tcPr>
                  <w:tcW w:w="7860" w:type="dxa"/>
                  <w:gridSpan w:val="4"/>
                  <w:tcBorders>
                    <w:top w:val="single" w:color="auto" w:sz="4" w:space="0"/>
                    <w:left w:val="single" w:color="auto" w:sz="4" w:space="0"/>
                    <w:bottom w:val="single" w:color="auto" w:sz="4" w:space="0"/>
                    <w:right w:val="single" w:color="auto" w:sz="4" w:space="0"/>
                  </w:tcBorders>
                  <w:noWrap w:val="0"/>
                  <w:vAlign w:val="top"/>
                </w:tcPr>
                <w:p w14:paraId="601D5EAE">
                  <w:pPr>
                    <w:spacing w:line="260" w:lineRule="exact"/>
                    <w:ind w:firstLine="0" w:firstLineChars="0"/>
                    <w:rPr>
                      <w:rFonts w:hint="default" w:ascii="Times New Roman" w:hAnsi="Times New Roman" w:eastAsia="宋体" w:cs="Times New Roman"/>
                      <w:color w:val="000000" w:themeColor="text1"/>
                      <w:spacing w:val="-4"/>
                      <w:sz w:val="21"/>
                      <w:szCs w:val="24"/>
                      <w14:textFill>
                        <w14:solidFill>
                          <w14:schemeClr w14:val="tx1"/>
                        </w14:solidFill>
                      </w14:textFill>
                    </w:rPr>
                  </w:pPr>
                  <w:r>
                    <w:rPr>
                      <w:rFonts w:hint="default" w:ascii="Times New Roman" w:hAnsi="Times New Roman" w:eastAsia="宋体" w:cs="Times New Roman"/>
                      <w:color w:val="000000" w:themeColor="text1"/>
                      <w:spacing w:val="-4"/>
                      <w:sz w:val="21"/>
                      <w:szCs w:val="24"/>
                      <w14:textFill>
                        <w14:solidFill>
                          <w14:schemeClr w14:val="tx1"/>
                        </w14:solidFill>
                      </w14:textFill>
                    </w:rPr>
                    <w:t xml:space="preserve">工程控制：严加密闭，提供充分的局部排风。提供安全淋浴和洗眼设备。 </w:t>
                  </w:r>
                </w:p>
                <w:p w14:paraId="4876E128">
                  <w:pPr>
                    <w:spacing w:line="260" w:lineRule="exact"/>
                    <w:ind w:firstLine="0" w:firstLineChars="0"/>
                    <w:rPr>
                      <w:rFonts w:hint="default" w:ascii="Times New Roman" w:hAnsi="Times New Roman" w:eastAsia="宋体" w:cs="Times New Roman"/>
                      <w:color w:val="000000" w:themeColor="text1"/>
                      <w:spacing w:val="-4"/>
                      <w:sz w:val="21"/>
                      <w:szCs w:val="24"/>
                      <w14:textFill>
                        <w14:solidFill>
                          <w14:schemeClr w14:val="tx1"/>
                        </w14:solidFill>
                      </w14:textFill>
                    </w:rPr>
                  </w:pPr>
                  <w:r>
                    <w:rPr>
                      <w:rFonts w:hint="default" w:ascii="Times New Roman" w:hAnsi="Times New Roman" w:eastAsia="宋体" w:cs="Times New Roman"/>
                      <w:color w:val="000000" w:themeColor="text1"/>
                      <w:spacing w:val="-4"/>
                      <w:sz w:val="21"/>
                      <w:szCs w:val="24"/>
                      <w14:textFill>
                        <w14:solidFill>
                          <w14:schemeClr w14:val="tx1"/>
                        </w14:solidFill>
                      </w14:textFill>
                    </w:rPr>
                    <w:t>呼吸系统防护：可能接触其蒸气时，建议佩戴自吸过滤式防毒面具（全面罩）。紧急事态抢救或撤离时，佩戴隔离式呼吸器。</w:t>
                  </w:r>
                </w:p>
                <w:p w14:paraId="3D0BF26E">
                  <w:pPr>
                    <w:spacing w:line="260" w:lineRule="exact"/>
                    <w:ind w:firstLine="0" w:firstLineChars="0"/>
                    <w:rPr>
                      <w:rFonts w:hint="default" w:ascii="Times New Roman" w:hAnsi="Times New Roman" w:eastAsia="宋体" w:cs="Times New Roman"/>
                      <w:color w:val="000000" w:themeColor="text1"/>
                      <w:spacing w:val="-4"/>
                      <w:sz w:val="21"/>
                      <w:szCs w:val="24"/>
                      <w14:textFill>
                        <w14:solidFill>
                          <w14:schemeClr w14:val="tx1"/>
                        </w14:solidFill>
                      </w14:textFill>
                    </w:rPr>
                  </w:pPr>
                  <w:r>
                    <w:rPr>
                      <w:rFonts w:hint="default" w:ascii="Times New Roman" w:hAnsi="Times New Roman" w:eastAsia="宋体" w:cs="Times New Roman"/>
                      <w:color w:val="000000" w:themeColor="text1"/>
                      <w:spacing w:val="-4"/>
                      <w:sz w:val="21"/>
                      <w:szCs w:val="24"/>
                      <w14:textFill>
                        <w14:solidFill>
                          <w14:schemeClr w14:val="tx1"/>
                        </w14:solidFill>
                      </w14:textFill>
                    </w:rPr>
                    <w:t>眼睛防护：呼吸系统防护中已作防护。      身体防护：穿橡胶耐酸碱服。</w:t>
                  </w:r>
                </w:p>
                <w:p w14:paraId="3A487610">
                  <w:pPr>
                    <w:spacing w:line="260" w:lineRule="exact"/>
                    <w:ind w:firstLine="0" w:firstLineChars="0"/>
                    <w:rPr>
                      <w:rFonts w:hint="default" w:ascii="Times New Roman" w:hAnsi="Times New Roman" w:eastAsia="宋体" w:cs="Times New Roman"/>
                      <w:color w:val="000000" w:themeColor="text1"/>
                      <w:spacing w:val="-4"/>
                      <w:sz w:val="21"/>
                      <w:szCs w:val="24"/>
                      <w14:textFill>
                        <w14:solidFill>
                          <w14:schemeClr w14:val="tx1"/>
                        </w14:solidFill>
                      </w14:textFill>
                    </w:rPr>
                  </w:pPr>
                  <w:r>
                    <w:rPr>
                      <w:rFonts w:hint="default" w:ascii="Times New Roman" w:hAnsi="Times New Roman" w:eastAsia="宋体" w:cs="Times New Roman"/>
                      <w:color w:val="000000" w:themeColor="text1"/>
                      <w:spacing w:val="-4"/>
                      <w:sz w:val="21"/>
                      <w:szCs w:val="24"/>
                      <w14:textFill>
                        <w14:solidFill>
                          <w14:schemeClr w14:val="tx1"/>
                        </w14:solidFill>
                      </w14:textFill>
                    </w:rPr>
                    <w:t>手防护：戴橡胶手套。</w:t>
                  </w:r>
                </w:p>
                <w:p w14:paraId="3DE31C95">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pacing w:val="-4"/>
                      <w:sz w:val="21"/>
                      <w:szCs w:val="24"/>
                      <w14:textFill>
                        <w14:solidFill>
                          <w14:schemeClr w14:val="tx1"/>
                        </w14:solidFill>
                      </w14:textFill>
                    </w:rPr>
                    <w:t>其他防护：工作场所禁止吸烟、进食和饮水。工作</w:t>
                  </w:r>
                  <w:r>
                    <w:rPr>
                      <w:rFonts w:hint="eastAsia" w:cs="Times New Roman"/>
                      <w:color w:val="000000" w:themeColor="text1"/>
                      <w:spacing w:val="-4"/>
                      <w:sz w:val="21"/>
                      <w:szCs w:val="24"/>
                      <w:lang w:val="en-US" w:eastAsia="zh-CN"/>
                      <w14:textFill>
                        <w14:solidFill>
                          <w14:schemeClr w14:val="tx1"/>
                        </w14:solidFill>
                      </w14:textFill>
                    </w:rPr>
                    <w:t>完</w:t>
                  </w:r>
                  <w:r>
                    <w:rPr>
                      <w:rFonts w:hint="default" w:ascii="Times New Roman" w:hAnsi="Times New Roman" w:eastAsia="宋体" w:cs="Times New Roman"/>
                      <w:color w:val="000000" w:themeColor="text1"/>
                      <w:spacing w:val="-4"/>
                      <w:sz w:val="21"/>
                      <w:szCs w:val="24"/>
                      <w14:textFill>
                        <w14:solidFill>
                          <w14:schemeClr w14:val="tx1"/>
                        </w14:solidFill>
                      </w14:textFill>
                    </w:rPr>
                    <w:t>毕</w:t>
                  </w:r>
                  <w:r>
                    <w:rPr>
                      <w:rFonts w:hint="eastAsia" w:cs="Times New Roman"/>
                      <w:color w:val="000000" w:themeColor="text1"/>
                      <w:spacing w:val="-4"/>
                      <w:sz w:val="21"/>
                      <w:szCs w:val="24"/>
                      <w:lang w:val="en-US" w:eastAsia="zh-CN"/>
                      <w14:textFill>
                        <w14:solidFill>
                          <w14:schemeClr w14:val="tx1"/>
                        </w14:solidFill>
                      </w14:textFill>
                    </w:rPr>
                    <w:t>后</w:t>
                  </w:r>
                  <w:r>
                    <w:rPr>
                      <w:rFonts w:hint="default" w:ascii="Times New Roman" w:hAnsi="Times New Roman" w:eastAsia="宋体" w:cs="Times New Roman"/>
                      <w:color w:val="000000" w:themeColor="text1"/>
                      <w:spacing w:val="-4"/>
                      <w:sz w:val="21"/>
                      <w:szCs w:val="24"/>
                      <w14:textFill>
                        <w14:solidFill>
                          <w14:schemeClr w14:val="tx1"/>
                        </w14:solidFill>
                      </w14:textFill>
                    </w:rPr>
                    <w:t>，彻底清洗。注意个人清洁卫生。实行就业前和定期的体检。进入罐、限制性空间或其它高浓度区作业，须有人监护。</w:t>
                  </w:r>
                </w:p>
              </w:tc>
            </w:tr>
            <w:tr w14:paraId="03533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jc w:val="center"/>
              </w:trPr>
              <w:tc>
                <w:tcPr>
                  <w:tcW w:w="434" w:type="dxa"/>
                  <w:tcBorders>
                    <w:top w:val="single" w:color="auto" w:sz="4" w:space="0"/>
                    <w:left w:val="single" w:color="auto" w:sz="4" w:space="0"/>
                    <w:bottom w:val="single" w:color="auto" w:sz="4" w:space="0"/>
                    <w:right w:val="single" w:color="auto" w:sz="4" w:space="0"/>
                  </w:tcBorders>
                  <w:noWrap w:val="0"/>
                  <w:vAlign w:val="center"/>
                </w:tcPr>
                <w:p w14:paraId="1104EC06">
                  <w:pPr>
                    <w:spacing w:line="240" w:lineRule="exact"/>
                    <w:ind w:firstLine="0" w:firstLineChars="0"/>
                    <w:jc w:val="center"/>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泄漏处理</w:t>
                  </w:r>
                </w:p>
              </w:tc>
              <w:tc>
                <w:tcPr>
                  <w:tcW w:w="7860" w:type="dxa"/>
                  <w:gridSpan w:val="4"/>
                  <w:tcBorders>
                    <w:top w:val="single" w:color="auto" w:sz="4" w:space="0"/>
                    <w:left w:val="single" w:color="auto" w:sz="4" w:space="0"/>
                    <w:bottom w:val="single" w:color="auto" w:sz="4" w:space="0"/>
                    <w:right w:val="single" w:color="auto" w:sz="4" w:space="0"/>
                  </w:tcBorders>
                  <w:noWrap w:val="0"/>
                  <w:vAlign w:val="top"/>
                </w:tcPr>
                <w:p w14:paraId="3975D528">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迅速撤离泄漏污染区人员至安全区，并进行隔离，严格限制出入。切断火源。建议应急处理人员戴自给正压式呼吸器，穿防毒服。从上风处进入现场。尽可能切断泄漏源。防止进入下水道、排洪沟等限制性空间。小量泄漏：用砂土或其它不燃材料吸附或吸收。也可以用大量水冲洗，洗水稀释后放入废水系统。大量泄漏：构筑围堤或挖坑收容。用泡沫覆盖，降低蒸气灾害。喷雾状水冷却和稀释蒸气、保护现场人员、把泄漏物稀释成不燃物。用泵转移至槽车或专用收集器内，回收或运至废物处理场所处置。</w:t>
                  </w:r>
                </w:p>
              </w:tc>
            </w:tr>
            <w:tr w14:paraId="2040D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434" w:type="dxa"/>
                  <w:tcBorders>
                    <w:top w:val="single" w:color="auto" w:sz="4" w:space="0"/>
                    <w:left w:val="single" w:color="auto" w:sz="4" w:space="0"/>
                    <w:bottom w:val="single" w:color="auto" w:sz="4" w:space="0"/>
                    <w:right w:val="single" w:color="auto" w:sz="4" w:space="0"/>
                  </w:tcBorders>
                  <w:noWrap w:val="0"/>
                  <w:vAlign w:val="center"/>
                </w:tcPr>
                <w:p w14:paraId="0FC26E22">
                  <w:pPr>
                    <w:spacing w:line="24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贮运</w:t>
                  </w:r>
                </w:p>
              </w:tc>
              <w:tc>
                <w:tcPr>
                  <w:tcW w:w="7860" w:type="dxa"/>
                  <w:gridSpan w:val="4"/>
                  <w:tcBorders>
                    <w:top w:val="single" w:color="auto" w:sz="4" w:space="0"/>
                    <w:left w:val="single" w:color="auto" w:sz="4" w:space="0"/>
                    <w:bottom w:val="single" w:color="auto" w:sz="4" w:space="0"/>
                    <w:right w:val="single" w:color="auto" w:sz="4" w:space="0"/>
                  </w:tcBorders>
                  <w:noWrap w:val="0"/>
                  <w:vAlign w:val="top"/>
                </w:tcPr>
                <w:p w14:paraId="6D15AD55">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包装标志：20       UN编号：1198      包装分类：Ⅲ</w:t>
                  </w:r>
                </w:p>
                <w:p w14:paraId="4519611A">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包装方法：小开口钢桶；小开口塑料桶；螺纹口玻璃瓶、铁盖压口玻璃瓶、塑料瓶或金属桶（罐）外木板箱；安瓿瓶外木板箱；塑料瓶、镀锡薄钢板桶外满花格箱。</w:t>
                  </w:r>
                </w:p>
                <w:p w14:paraId="7487B807">
                  <w:pPr>
                    <w:spacing w:line="260" w:lineRule="exact"/>
                    <w:ind w:firstLine="0" w:firstLineChars="0"/>
                    <w:rPr>
                      <w:rFonts w:hint="default" w:ascii="Times New Roman" w:hAnsi="Times New Roman" w:eastAsia="宋体" w:cs="Times New Roman"/>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储运条件：储存于阴凉、通风仓间内。远离火种、热源，防止阳光直射。保持容器密封。应与氧化剂、酸类、碱类分开存放。储存间内的照明、通风等设施应采用防爆型，开关设在仓外。配备相应品种和数量的消防器材。禁止使用易产生火花的机械设备和工具。搬运时要轻装轻卸，防止包装及容器损坏。</w:t>
                  </w:r>
                </w:p>
              </w:tc>
            </w:tr>
          </w:tbl>
          <w:p w14:paraId="673FCEC7">
            <w:pPr>
              <w:keepNext w:val="0"/>
              <w:keepLines w:val="0"/>
              <w:pageBreakBefore w:val="0"/>
              <w:widowControl w:val="0"/>
              <w:kinsoku/>
              <w:wordWrap/>
              <w:overflowPunct/>
              <w:topLinePunct w:val="0"/>
              <w:autoSpaceDE/>
              <w:autoSpaceDN/>
              <w:bidi w:val="0"/>
              <w:adjustRightInd/>
              <w:snapToGrid/>
              <w:spacing w:line="240" w:lineRule="auto"/>
              <w:ind w:right="0" w:firstLine="0" w:firstLineChars="0"/>
              <w:jc w:val="center"/>
              <w:textAlignment w:val="auto"/>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表4</w:t>
            </w:r>
            <w:r>
              <w:rPr>
                <w:rFonts w:hint="eastAsia" w:cs="Times New Roman"/>
                <w:b/>
                <w:bCs/>
                <w:color w:val="000000" w:themeColor="text1"/>
                <w:kern w:val="2"/>
                <w:sz w:val="21"/>
                <w:szCs w:val="21"/>
                <w:lang w:val="en-US" w:eastAsia="zh-CN" w:bidi="ar-SA"/>
                <w14:textFill>
                  <w14:solidFill>
                    <w14:schemeClr w14:val="tx1"/>
                  </w14:solidFill>
                </w14:textFill>
              </w:rPr>
              <w:t>-11</w:t>
            </w: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 xml:space="preserve"> 废油类物质（废</w:t>
            </w:r>
            <w:r>
              <w:rPr>
                <w:rFonts w:hint="eastAsia" w:cs="Times New Roman"/>
                <w:b/>
                <w:bCs/>
                <w:color w:val="000000" w:themeColor="text1"/>
                <w:kern w:val="2"/>
                <w:sz w:val="21"/>
                <w:szCs w:val="21"/>
                <w:lang w:val="en-US" w:eastAsia="zh-CN" w:bidi="ar-SA"/>
                <w14:textFill>
                  <w14:solidFill>
                    <w14:schemeClr w14:val="tx1"/>
                  </w14:solidFill>
                </w14:textFill>
              </w:rPr>
              <w:t>液压油、废润滑油</w:t>
            </w: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）理化性质及危险特性表</w:t>
            </w:r>
          </w:p>
          <w:tbl>
            <w:tblPr>
              <w:tblStyle w:val="31"/>
              <w:tblW w:w="49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
              <w:gridCol w:w="1264"/>
              <w:gridCol w:w="3823"/>
              <w:gridCol w:w="2834"/>
            </w:tblGrid>
            <w:tr w14:paraId="582D3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restart"/>
                  <w:tcBorders>
                    <w:tl2br w:val="nil"/>
                    <w:tr2bl w:val="nil"/>
                  </w:tcBorders>
                  <w:noWrap w:val="0"/>
                  <w:vAlign w:val="center"/>
                </w:tcPr>
                <w:p w14:paraId="08DF968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标识</w:t>
                  </w:r>
                </w:p>
              </w:tc>
              <w:tc>
                <w:tcPr>
                  <w:tcW w:w="4745" w:type="pct"/>
                  <w:gridSpan w:val="3"/>
                  <w:tcBorders>
                    <w:tl2br w:val="nil"/>
                    <w:tr2bl w:val="nil"/>
                  </w:tcBorders>
                  <w:noWrap w:val="0"/>
                  <w:vAlign w:val="center"/>
                </w:tcPr>
                <w:p w14:paraId="4636F92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中文名：</w:t>
                  </w:r>
                  <w:r>
                    <w:rPr>
                      <w:rFonts w:hint="default" w:ascii="Times New Roman" w:hAnsi="Times New Roman" w:eastAsia="宋体" w:cs="Times New Roman"/>
                      <w:color w:val="000000" w:themeColor="text1"/>
                      <w:sz w:val="21"/>
                      <w:szCs w:val="21"/>
                      <w:lang w:eastAsia="zh-CN"/>
                      <w14:textFill>
                        <w14:solidFill>
                          <w14:schemeClr w14:val="tx1"/>
                        </w14:solidFill>
                      </w14:textFill>
                    </w:rPr>
                    <w:t>废</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油类物质</w:t>
                  </w:r>
                </w:p>
              </w:tc>
            </w:tr>
            <w:tr w14:paraId="7B0D7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continue"/>
                  <w:tcBorders>
                    <w:tl2br w:val="nil"/>
                    <w:tr2bl w:val="nil"/>
                  </w:tcBorders>
                  <w:noWrap w:val="0"/>
                  <w:vAlign w:val="center"/>
                </w:tcPr>
                <w:p w14:paraId="71A67D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4745" w:type="pct"/>
                  <w:gridSpan w:val="3"/>
                  <w:tcBorders>
                    <w:tl2br w:val="nil"/>
                    <w:tr2bl w:val="nil"/>
                  </w:tcBorders>
                  <w:noWrap w:val="0"/>
                  <w:vAlign w:val="center"/>
                </w:tcPr>
                <w:p w14:paraId="2AC7C77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危险性类别： 第3.2类中闪点易燃液体</w:t>
                  </w:r>
                </w:p>
              </w:tc>
            </w:tr>
            <w:tr w14:paraId="5A9CD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restart"/>
                  <w:tcBorders>
                    <w:tl2br w:val="nil"/>
                    <w:tr2bl w:val="nil"/>
                  </w:tcBorders>
                  <w:noWrap w:val="0"/>
                  <w:vAlign w:val="center"/>
                </w:tcPr>
                <w:p w14:paraId="57F0D23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理化性质</w:t>
                  </w:r>
                </w:p>
              </w:tc>
              <w:tc>
                <w:tcPr>
                  <w:tcW w:w="4745" w:type="pct"/>
                  <w:gridSpan w:val="3"/>
                  <w:tcBorders>
                    <w:tl2br w:val="nil"/>
                    <w:tr2bl w:val="nil"/>
                  </w:tcBorders>
                  <w:noWrap w:val="0"/>
                  <w:vAlign w:val="center"/>
                </w:tcPr>
                <w:p w14:paraId="42B0FB1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外观与性状：为黄色油状液体</w:t>
                  </w:r>
                </w:p>
              </w:tc>
            </w:tr>
            <w:tr w14:paraId="4206D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continue"/>
                  <w:tcBorders>
                    <w:tl2br w:val="nil"/>
                    <w:tr2bl w:val="nil"/>
                  </w:tcBorders>
                  <w:noWrap w:val="0"/>
                  <w:vAlign w:val="center"/>
                </w:tcPr>
                <w:p w14:paraId="64A23BB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047" w:type="pct"/>
                  <w:gridSpan w:val="2"/>
                  <w:tcBorders>
                    <w:tl2br w:val="nil"/>
                    <w:tr2bl w:val="nil"/>
                  </w:tcBorders>
                  <w:noWrap w:val="0"/>
                  <w:vAlign w:val="center"/>
                </w:tcPr>
                <w:p w14:paraId="19B0DFC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闪点（℃）：135</w:t>
                  </w:r>
                </w:p>
              </w:tc>
              <w:tc>
                <w:tcPr>
                  <w:tcW w:w="1698" w:type="pct"/>
                  <w:tcBorders>
                    <w:tl2br w:val="nil"/>
                    <w:tr2bl w:val="nil"/>
                  </w:tcBorders>
                  <w:noWrap w:val="0"/>
                  <w:vAlign w:val="center"/>
                </w:tcPr>
                <w:p w14:paraId="3FD8DDB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沸点（℃）:179-210</w:t>
                  </w:r>
                </w:p>
              </w:tc>
            </w:tr>
            <w:tr w14:paraId="657B3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54" w:type="pct"/>
                  <w:vMerge w:val="continue"/>
                  <w:tcBorders>
                    <w:tl2br w:val="nil"/>
                    <w:tr2bl w:val="nil"/>
                  </w:tcBorders>
                  <w:noWrap w:val="0"/>
                  <w:vAlign w:val="center"/>
                </w:tcPr>
                <w:p w14:paraId="58A10F4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4745" w:type="pct"/>
                  <w:gridSpan w:val="3"/>
                  <w:tcBorders>
                    <w:tl2br w:val="nil"/>
                    <w:tr2bl w:val="nil"/>
                  </w:tcBorders>
                  <w:noWrap w:val="0"/>
                  <w:vAlign w:val="center"/>
                </w:tcPr>
                <w:p w14:paraId="20648E7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溶解性：不溶于水，溶于有机溶剂</w:t>
                  </w:r>
                </w:p>
              </w:tc>
            </w:tr>
            <w:tr w14:paraId="688D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continue"/>
                  <w:tcBorders>
                    <w:tl2br w:val="nil"/>
                    <w:tr2bl w:val="nil"/>
                  </w:tcBorders>
                  <w:noWrap w:val="0"/>
                  <w:vAlign w:val="center"/>
                </w:tcPr>
                <w:p w14:paraId="5C8DA3A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4745" w:type="pct"/>
                  <w:gridSpan w:val="3"/>
                  <w:tcBorders>
                    <w:tl2br w:val="nil"/>
                    <w:tr2bl w:val="nil"/>
                  </w:tcBorders>
                  <w:noWrap w:val="0"/>
                  <w:vAlign w:val="center"/>
                </w:tcPr>
                <w:p w14:paraId="7B665B2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相对密度：0.85</w:t>
                  </w:r>
                </w:p>
              </w:tc>
            </w:tr>
            <w:tr w14:paraId="42207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tcBorders>
                    <w:tl2br w:val="nil"/>
                    <w:tr2bl w:val="nil"/>
                  </w:tcBorders>
                  <w:noWrap w:val="0"/>
                  <w:vAlign w:val="center"/>
                </w:tcPr>
                <w:p w14:paraId="175516D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健康危害</w:t>
                  </w:r>
                </w:p>
              </w:tc>
              <w:tc>
                <w:tcPr>
                  <w:tcW w:w="4745" w:type="pct"/>
                  <w:gridSpan w:val="3"/>
                  <w:tcBorders>
                    <w:tl2br w:val="nil"/>
                    <w:tr2bl w:val="nil"/>
                  </w:tcBorders>
                  <w:noWrap w:val="0"/>
                  <w:vAlign w:val="center"/>
                </w:tcPr>
                <w:p w14:paraId="01A412B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急性吸入，可出现乏力、头晕、头痛、恶心，严重者可引起油脂性肺炎。慢接触者，暴露部位可发生油性痤疮和接触性皮炎。可引起神经衰弱综合征，呼吸道和眼刺激症状及慢性油脂性肺炎。有资料报道，接触石油润滑油类的工人，有致癌的病例报告。</w:t>
                  </w:r>
                </w:p>
                <w:p w14:paraId="1736D95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侵入途径：吸入、食入。</w:t>
                  </w:r>
                </w:p>
              </w:tc>
            </w:tr>
            <w:tr w14:paraId="5FA8E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restart"/>
                  <w:tcBorders>
                    <w:tl2br w:val="nil"/>
                    <w:tr2bl w:val="nil"/>
                  </w:tcBorders>
                  <w:noWrap w:val="0"/>
                  <w:vAlign w:val="center"/>
                </w:tcPr>
                <w:p w14:paraId="56131BB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燃烧爆炸危险性</w:t>
                  </w:r>
                </w:p>
              </w:tc>
              <w:tc>
                <w:tcPr>
                  <w:tcW w:w="4745" w:type="pct"/>
                  <w:gridSpan w:val="3"/>
                  <w:tcBorders>
                    <w:tl2br w:val="nil"/>
                    <w:tr2bl w:val="nil"/>
                  </w:tcBorders>
                  <w:noWrap w:val="0"/>
                  <w:vAlign w:val="center"/>
                </w:tcPr>
                <w:p w14:paraId="35D2EA0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燃烧性：易燃</w:t>
                  </w:r>
                </w:p>
              </w:tc>
            </w:tr>
            <w:tr w14:paraId="2D269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continue"/>
                  <w:tcBorders>
                    <w:tl2br w:val="nil"/>
                    <w:tr2bl w:val="nil"/>
                  </w:tcBorders>
                  <w:noWrap w:val="0"/>
                  <w:vAlign w:val="center"/>
                </w:tcPr>
                <w:p w14:paraId="7402313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047" w:type="pct"/>
                  <w:gridSpan w:val="2"/>
                  <w:tcBorders>
                    <w:tl2br w:val="nil"/>
                    <w:tr2bl w:val="nil"/>
                  </w:tcBorders>
                  <w:noWrap w:val="0"/>
                  <w:vAlign w:val="center"/>
                </w:tcPr>
                <w:p w14:paraId="5A82051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爆炸下限（%）：3.8</w:t>
                  </w:r>
                </w:p>
              </w:tc>
              <w:tc>
                <w:tcPr>
                  <w:tcW w:w="1698" w:type="pct"/>
                  <w:tcBorders>
                    <w:tl2br w:val="nil"/>
                    <w:tr2bl w:val="nil"/>
                  </w:tcBorders>
                  <w:noWrap w:val="0"/>
                  <w:vAlign w:val="center"/>
                </w:tcPr>
                <w:p w14:paraId="5D244AC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爆炸上限（%）：10.2</w:t>
                  </w:r>
                </w:p>
              </w:tc>
            </w:tr>
            <w:tr w14:paraId="44821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continue"/>
                  <w:tcBorders>
                    <w:tl2br w:val="nil"/>
                    <w:tr2bl w:val="nil"/>
                  </w:tcBorders>
                  <w:noWrap w:val="0"/>
                  <w:vAlign w:val="center"/>
                </w:tcPr>
                <w:p w14:paraId="5B06E9A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757" w:type="pct"/>
                  <w:tcBorders>
                    <w:tl2br w:val="nil"/>
                    <w:tr2bl w:val="nil"/>
                  </w:tcBorders>
                  <w:noWrap w:val="0"/>
                  <w:vAlign w:val="center"/>
                </w:tcPr>
                <w:p w14:paraId="12AAE46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危险特性</w:t>
                  </w:r>
                </w:p>
              </w:tc>
              <w:tc>
                <w:tcPr>
                  <w:tcW w:w="3988" w:type="pct"/>
                  <w:gridSpan w:val="2"/>
                  <w:tcBorders>
                    <w:tl2br w:val="nil"/>
                    <w:tr2bl w:val="nil"/>
                  </w:tcBorders>
                  <w:noWrap w:val="0"/>
                  <w:vAlign w:val="center"/>
                </w:tcPr>
                <w:p w14:paraId="256C59C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废机油</w:t>
                  </w:r>
                  <w:r>
                    <w:rPr>
                      <w:rFonts w:hint="default" w:ascii="Times New Roman" w:hAnsi="Times New Roman" w:eastAsia="宋体" w:cs="Times New Roman"/>
                      <w:color w:val="000000" w:themeColor="text1"/>
                      <w:sz w:val="21"/>
                      <w:szCs w:val="21"/>
                      <w14:textFill>
                        <w14:solidFill>
                          <w14:schemeClr w14:val="tx1"/>
                        </w14:solidFill>
                      </w14:textFill>
                    </w:rPr>
                    <w:t>与含</w:t>
                  </w:r>
                  <w:r>
                    <w:rPr>
                      <w:rFonts w:hint="default" w:ascii="Times New Roman" w:hAnsi="Times New Roman" w:eastAsia="宋体" w:cs="Times New Roman"/>
                      <w:color w:val="000000" w:themeColor="text1"/>
                      <w:sz w:val="21"/>
                      <w:szCs w:val="21"/>
                      <w:lang w:eastAsia="zh-CN"/>
                      <w14:textFill>
                        <w14:solidFill>
                          <w14:schemeClr w14:val="tx1"/>
                        </w14:solidFill>
                      </w14:textFill>
                    </w:rPr>
                    <w:t>油类物质</w:t>
                  </w:r>
                  <w:r>
                    <w:rPr>
                      <w:rFonts w:hint="default" w:ascii="Times New Roman" w:hAnsi="Times New Roman" w:eastAsia="宋体" w:cs="Times New Roman"/>
                      <w:color w:val="000000" w:themeColor="text1"/>
                      <w:sz w:val="21"/>
                      <w:szCs w:val="21"/>
                      <w14:textFill>
                        <w14:solidFill>
                          <w14:schemeClr w14:val="tx1"/>
                        </w14:solidFill>
                      </w14:textFill>
                    </w:rPr>
                    <w:t>废物含有多环芳烃（PAHs）、苯系物、重金属等多种有毒性物质，如随意倾倒不仅会对水体和土壤造成严重污染，也会对人体健康造成严重危害。如果把</w:t>
                  </w:r>
                  <w:r>
                    <w:rPr>
                      <w:rFonts w:hint="default" w:ascii="Times New Roman" w:hAnsi="Times New Roman" w:eastAsia="宋体" w:cs="Times New Roman"/>
                      <w:color w:val="000000" w:themeColor="text1"/>
                      <w:sz w:val="21"/>
                      <w:szCs w:val="21"/>
                      <w:lang w:eastAsia="zh-CN"/>
                      <w14:textFill>
                        <w14:solidFill>
                          <w14:schemeClr w14:val="tx1"/>
                        </w14:solidFill>
                      </w14:textFill>
                    </w:rPr>
                    <w:t>废机油</w:t>
                  </w:r>
                  <w:r>
                    <w:rPr>
                      <w:rFonts w:hint="default" w:ascii="Times New Roman" w:hAnsi="Times New Roman" w:eastAsia="宋体" w:cs="Times New Roman"/>
                      <w:color w:val="000000" w:themeColor="text1"/>
                      <w:sz w:val="21"/>
                      <w:szCs w:val="21"/>
                      <w14:textFill>
                        <w14:solidFill>
                          <w14:schemeClr w14:val="tx1"/>
                        </w14:solidFill>
                      </w14:textFill>
                    </w:rPr>
                    <w:t>倒入土壤，可导致植物死亡，被污染土壤内微生物灭绝。</w:t>
                  </w:r>
                  <w:r>
                    <w:rPr>
                      <w:rFonts w:hint="default" w:ascii="Times New Roman" w:hAnsi="Times New Roman" w:eastAsia="宋体" w:cs="Times New Roman"/>
                      <w:color w:val="000000" w:themeColor="text1"/>
                      <w:sz w:val="21"/>
                      <w:szCs w:val="21"/>
                      <w:lang w:eastAsia="zh-CN"/>
                      <w14:textFill>
                        <w14:solidFill>
                          <w14:schemeClr w14:val="tx1"/>
                        </w14:solidFill>
                      </w14:textFill>
                    </w:rPr>
                    <w:t>废机油</w:t>
                  </w:r>
                  <w:r>
                    <w:rPr>
                      <w:rFonts w:hint="default" w:ascii="Times New Roman" w:hAnsi="Times New Roman" w:eastAsia="宋体" w:cs="Times New Roman"/>
                      <w:color w:val="000000" w:themeColor="text1"/>
                      <w:sz w:val="21"/>
                      <w:szCs w:val="21"/>
                      <w14:textFill>
                        <w14:solidFill>
                          <w14:schemeClr w14:val="tx1"/>
                        </w14:solidFill>
                      </w14:textFill>
                    </w:rPr>
                    <w:t>内的有毒物质可通过人体和动物的表皮渗透到血液中，并在体内积累，会导致各种细胞丧失正常功能，是公认的致癌和致突变化合物。</w:t>
                  </w:r>
                </w:p>
              </w:tc>
            </w:tr>
            <w:tr w14:paraId="11E91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vMerge w:val="continue"/>
                  <w:tcBorders>
                    <w:tl2br w:val="nil"/>
                    <w:tr2bl w:val="nil"/>
                  </w:tcBorders>
                  <w:noWrap w:val="0"/>
                  <w:vAlign w:val="center"/>
                </w:tcPr>
                <w:p w14:paraId="672FA00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757" w:type="pct"/>
                  <w:tcBorders>
                    <w:tl2br w:val="nil"/>
                    <w:tr2bl w:val="nil"/>
                  </w:tcBorders>
                  <w:noWrap w:val="0"/>
                  <w:vAlign w:val="center"/>
                </w:tcPr>
                <w:p w14:paraId="1F5E575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消防措施</w:t>
                  </w:r>
                </w:p>
              </w:tc>
              <w:tc>
                <w:tcPr>
                  <w:tcW w:w="3988" w:type="pct"/>
                  <w:gridSpan w:val="2"/>
                  <w:tcBorders>
                    <w:tl2br w:val="nil"/>
                    <w:tr2bl w:val="nil"/>
                  </w:tcBorders>
                  <w:noWrap w:val="0"/>
                  <w:vAlign w:val="center"/>
                </w:tcPr>
                <w:p w14:paraId="778A826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1、及时封堵住桶口，使油液与空气隔离；</w:t>
                  </w:r>
                  <w:r>
                    <w:rPr>
                      <w:rFonts w:hint="default" w:ascii="Times New Roman" w:hAnsi="Times New Roman" w:eastAsia="宋体" w:cs="Times New Roman"/>
                      <w:color w:val="000000" w:themeColor="text1"/>
                      <w:sz w:val="21"/>
                      <w:szCs w:val="21"/>
                      <w14:textFill>
                        <w14:solidFill>
                          <w14:schemeClr w14:val="tx1"/>
                        </w14:solidFill>
                      </w14:textFill>
                    </w:rPr>
                    <w:br w:type="textWrapping"/>
                  </w:r>
                  <w:r>
                    <w:rPr>
                      <w:rFonts w:hint="default" w:ascii="Times New Roman" w:hAnsi="Times New Roman" w:eastAsia="宋体" w:cs="Times New Roman"/>
                      <w:color w:val="000000" w:themeColor="text1"/>
                      <w:sz w:val="21"/>
                      <w:szCs w:val="21"/>
                      <w14:textFill>
                        <w14:solidFill>
                          <w14:schemeClr w14:val="tx1"/>
                        </w14:solidFill>
                      </w14:textFill>
                    </w:rPr>
                    <w:t>2、小面积起火使用沙土、灭火器对火源进行扑救；</w:t>
                  </w:r>
                  <w:r>
                    <w:rPr>
                      <w:rFonts w:hint="default" w:ascii="Times New Roman" w:hAnsi="Times New Roman" w:eastAsia="宋体" w:cs="Times New Roman"/>
                      <w:color w:val="000000" w:themeColor="text1"/>
                      <w:sz w:val="21"/>
                      <w:szCs w:val="21"/>
                      <w14:textFill>
                        <w14:solidFill>
                          <w14:schemeClr w14:val="tx1"/>
                        </w14:solidFill>
                      </w14:textFill>
                    </w:rPr>
                    <w:br w:type="textWrapping"/>
                  </w:r>
                  <w:r>
                    <w:rPr>
                      <w:rFonts w:hint="default" w:ascii="Times New Roman" w:hAnsi="Times New Roman" w:eastAsia="宋体" w:cs="Times New Roman"/>
                      <w:color w:val="000000" w:themeColor="text1"/>
                      <w:sz w:val="21"/>
                      <w:szCs w:val="21"/>
                      <w14:textFill>
                        <w14:solidFill>
                          <w14:schemeClr w14:val="tx1"/>
                        </w14:solidFill>
                      </w14:textFill>
                    </w:rPr>
                    <w:t>3、严禁用水灭火；</w:t>
                  </w:r>
                  <w:r>
                    <w:rPr>
                      <w:rFonts w:hint="default" w:ascii="Times New Roman" w:hAnsi="Times New Roman" w:eastAsia="宋体" w:cs="Times New Roman"/>
                      <w:color w:val="000000" w:themeColor="text1"/>
                      <w:sz w:val="21"/>
                      <w:szCs w:val="21"/>
                      <w14:textFill>
                        <w14:solidFill>
                          <w14:schemeClr w14:val="tx1"/>
                        </w14:solidFill>
                      </w14:textFill>
                    </w:rPr>
                    <w:br w:type="textWrapping"/>
                  </w:r>
                  <w:r>
                    <w:rPr>
                      <w:rFonts w:hint="default" w:ascii="Times New Roman" w:hAnsi="Times New Roman" w:eastAsia="宋体" w:cs="Times New Roman"/>
                      <w:color w:val="000000" w:themeColor="text1"/>
                      <w:sz w:val="21"/>
                      <w:szCs w:val="21"/>
                      <w14:textFill>
                        <w14:solidFill>
                          <w14:schemeClr w14:val="tx1"/>
                        </w14:solidFill>
                      </w14:textFill>
                    </w:rPr>
                    <w:t>4、转移火源周围物品；</w:t>
                  </w:r>
                  <w:r>
                    <w:rPr>
                      <w:rFonts w:hint="default" w:ascii="Times New Roman" w:hAnsi="Times New Roman" w:eastAsia="宋体" w:cs="Times New Roman"/>
                      <w:color w:val="000000" w:themeColor="text1"/>
                      <w:sz w:val="21"/>
                      <w:szCs w:val="21"/>
                      <w14:textFill>
                        <w14:solidFill>
                          <w14:schemeClr w14:val="tx1"/>
                        </w14:solidFill>
                      </w14:textFill>
                    </w:rPr>
                    <w:br w:type="textWrapping"/>
                  </w:r>
                  <w:r>
                    <w:rPr>
                      <w:rFonts w:hint="default" w:ascii="Times New Roman" w:hAnsi="Times New Roman" w:eastAsia="宋体" w:cs="Times New Roman"/>
                      <w:color w:val="000000" w:themeColor="text1"/>
                      <w:sz w:val="21"/>
                      <w:szCs w:val="21"/>
                      <w14:textFill>
                        <w14:solidFill>
                          <w14:schemeClr w14:val="tx1"/>
                        </w14:solidFill>
                      </w14:textFill>
                    </w:rPr>
                    <w:t>5、通知</w:t>
                  </w:r>
                  <w:r>
                    <w:rPr>
                      <w:rFonts w:hint="default" w:ascii="Times New Roman" w:hAnsi="Times New Roman" w:eastAsia="宋体" w:cs="Times New Roman"/>
                      <w:color w:val="000000" w:themeColor="text1"/>
                      <w:sz w:val="21"/>
                      <w:szCs w:val="21"/>
                      <w:lang w:eastAsia="zh-CN"/>
                      <w14:textFill>
                        <w14:solidFill>
                          <w14:schemeClr w14:val="tx1"/>
                        </w14:solidFill>
                      </w14:textFill>
                    </w:rPr>
                    <w:t>其他员工</w:t>
                  </w:r>
                  <w:r>
                    <w:rPr>
                      <w:rFonts w:hint="default" w:ascii="Times New Roman" w:hAnsi="Times New Roman" w:eastAsia="宋体" w:cs="Times New Roman"/>
                      <w:color w:val="000000" w:themeColor="text1"/>
                      <w:sz w:val="21"/>
                      <w:szCs w:val="21"/>
                      <w14:textFill>
                        <w14:solidFill>
                          <w14:schemeClr w14:val="tx1"/>
                        </w14:solidFill>
                      </w14:textFill>
                    </w:rPr>
                    <w:t>协助扑灭，启动车间消防应急预案并报告上级领导；</w:t>
                  </w:r>
                  <w:r>
                    <w:rPr>
                      <w:rFonts w:hint="default" w:ascii="Times New Roman" w:hAnsi="Times New Roman" w:eastAsia="宋体" w:cs="Times New Roman"/>
                      <w:color w:val="000000" w:themeColor="text1"/>
                      <w:sz w:val="21"/>
                      <w:szCs w:val="21"/>
                      <w14:textFill>
                        <w14:solidFill>
                          <w14:schemeClr w14:val="tx1"/>
                        </w14:solidFill>
                      </w14:textFill>
                    </w:rPr>
                    <w:br w:type="textWrapping"/>
                  </w:r>
                  <w:r>
                    <w:rPr>
                      <w:rFonts w:hint="default" w:ascii="Times New Roman" w:hAnsi="Times New Roman" w:eastAsia="宋体" w:cs="Times New Roman"/>
                      <w:color w:val="000000" w:themeColor="text1"/>
                      <w:sz w:val="21"/>
                      <w:szCs w:val="21"/>
                      <w14:textFill>
                        <w14:solidFill>
                          <w14:schemeClr w14:val="tx1"/>
                        </w14:solidFill>
                      </w14:textFill>
                    </w:rPr>
                    <w:t>6、火势</w:t>
                  </w:r>
                  <w:r>
                    <w:rPr>
                      <w:rFonts w:hint="default" w:ascii="Times New Roman" w:hAnsi="Times New Roman" w:eastAsia="宋体" w:cs="Times New Roman"/>
                      <w:color w:val="000000" w:themeColor="text1"/>
                      <w:sz w:val="21"/>
                      <w:szCs w:val="21"/>
                      <w:lang w:eastAsia="zh-CN"/>
                      <w14:textFill>
                        <w14:solidFill>
                          <w14:schemeClr w14:val="tx1"/>
                        </w14:solidFill>
                      </w14:textFill>
                    </w:rPr>
                    <w:t>难以控制</w:t>
                  </w:r>
                  <w:r>
                    <w:rPr>
                      <w:rFonts w:hint="default" w:ascii="Times New Roman" w:hAnsi="Times New Roman" w:eastAsia="宋体" w:cs="Times New Roman"/>
                      <w:color w:val="000000" w:themeColor="text1"/>
                      <w:sz w:val="21"/>
                      <w:szCs w:val="21"/>
                      <w14:textFill>
                        <w14:solidFill>
                          <w14:schemeClr w14:val="tx1"/>
                        </w14:solidFill>
                      </w14:textFill>
                    </w:rPr>
                    <w:t>时报警并紧急疏散撤离。</w:t>
                  </w:r>
                </w:p>
              </w:tc>
            </w:tr>
            <w:tr w14:paraId="6FAB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tcBorders>
                    <w:tl2br w:val="nil"/>
                    <w:tr2bl w:val="nil"/>
                  </w:tcBorders>
                  <w:noWrap w:val="0"/>
                  <w:vAlign w:val="center"/>
                </w:tcPr>
                <w:p w14:paraId="58060C5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泄漏应急处理</w:t>
                  </w:r>
                </w:p>
              </w:tc>
              <w:tc>
                <w:tcPr>
                  <w:tcW w:w="4745" w:type="pct"/>
                  <w:gridSpan w:val="3"/>
                  <w:tcBorders>
                    <w:tl2br w:val="nil"/>
                    <w:tr2bl w:val="nil"/>
                  </w:tcBorders>
                  <w:noWrap w:val="0"/>
                  <w:vAlign w:val="center"/>
                </w:tcPr>
                <w:p w14:paraId="36E554B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迅速撤离泄漏污染区人员至安全区，并进行隔离，严格限制出入。切断火源。建议应急处理人员戴自给正压式呼吸器，穿防毒服。尽可能切断泄漏源。防止进入下水道、排洪沟等限制性空间。小量泄漏：用砂土或</w:t>
                  </w:r>
                  <w:r>
                    <w:rPr>
                      <w:rFonts w:hint="default" w:ascii="Times New Roman" w:hAnsi="Times New Roman" w:eastAsia="宋体" w:cs="Times New Roman"/>
                      <w:color w:val="000000" w:themeColor="text1"/>
                      <w:sz w:val="21"/>
                      <w:szCs w:val="21"/>
                      <w:lang w:eastAsia="zh-CN"/>
                      <w14:textFill>
                        <w14:solidFill>
                          <w14:schemeClr w14:val="tx1"/>
                        </w14:solidFill>
                      </w14:textFill>
                    </w:rPr>
                    <w:t>其他不</w:t>
                  </w:r>
                  <w:r>
                    <w:rPr>
                      <w:rFonts w:hint="default" w:ascii="Times New Roman" w:hAnsi="Times New Roman" w:eastAsia="宋体" w:cs="Times New Roman"/>
                      <w:color w:val="000000" w:themeColor="text1"/>
                      <w:sz w:val="21"/>
                      <w:szCs w:val="21"/>
                      <w14:textFill>
                        <w14:solidFill>
                          <w14:schemeClr w14:val="tx1"/>
                        </w14:solidFill>
                      </w14:textFill>
                    </w:rPr>
                    <w:t>燃材料吸附或吸收。大量泄漏：构筑围堤或挖坑收容。用泵转移至槽车或专用收集器内，回收或运至废物处理场所处置。</w:t>
                  </w:r>
                </w:p>
              </w:tc>
            </w:tr>
            <w:tr w14:paraId="29B59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4" w:type="pct"/>
                  <w:tcBorders>
                    <w:tl2br w:val="nil"/>
                    <w:tr2bl w:val="nil"/>
                  </w:tcBorders>
                  <w:noWrap w:val="0"/>
                  <w:vAlign w:val="center"/>
                </w:tcPr>
                <w:p w14:paraId="07BDDC9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急救措施</w:t>
                  </w:r>
                </w:p>
              </w:tc>
              <w:tc>
                <w:tcPr>
                  <w:tcW w:w="4745" w:type="pct"/>
                  <w:gridSpan w:val="3"/>
                  <w:tcBorders>
                    <w:tl2br w:val="nil"/>
                    <w:tr2bl w:val="nil"/>
                  </w:tcBorders>
                  <w:noWrap w:val="0"/>
                  <w:vAlign w:val="center"/>
                </w:tcPr>
                <w:p w14:paraId="379C77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皮肤接触：脱去污染的衣着，用大量流动清水冲洗。就医。</w:t>
                  </w:r>
                </w:p>
                <w:p w14:paraId="0E4A3B9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眼睛接触：提起眼睑，用流动清水或生理盐水冲洗。就医。</w:t>
                  </w:r>
                </w:p>
                <w:p w14:paraId="4194D3F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吸入：迅速脱离现场至空气新鲜处。保持呼吸道通畅。如呼吸困难，给输氧。如呼吸停止，立即进行人工呼吸。就医。</w:t>
                  </w:r>
                </w:p>
                <w:p w14:paraId="44A4A52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食入：饮足量温水，催吐。就医。</w:t>
                  </w:r>
                </w:p>
              </w:tc>
            </w:tr>
          </w:tbl>
          <w:p w14:paraId="5BA9AB53">
            <w:pPr>
              <w:pageBreakBefore w:val="0"/>
              <w:widowControl w:val="0"/>
              <w:wordWrap/>
              <w:topLinePunct w:val="0"/>
              <w:bidi w:val="0"/>
              <w:spacing w:line="360" w:lineRule="auto"/>
              <w:ind w:right="0" w:firstLine="482" w:firstLineChars="200"/>
              <w:jc w:val="left"/>
              <w:rPr>
                <w:rFonts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（2）可能影响环境的途径</w:t>
            </w:r>
          </w:p>
          <w:p w14:paraId="49C04857">
            <w:pPr>
              <w:pageBreakBefore w:val="0"/>
              <w:widowControl w:val="0"/>
              <w:wordWrap/>
              <w:topLinePunct w:val="0"/>
              <w:autoSpaceDE w:val="0"/>
              <w:autoSpaceDN w:val="0"/>
              <w:bidi w:val="0"/>
              <w:adjustRightInd/>
              <w:spacing w:line="360" w:lineRule="auto"/>
              <w:ind w:firstLine="480" w:firstLineChars="200"/>
              <w:jc w:val="left"/>
              <w:rPr>
                <w:rFonts w:hint="default"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①废润滑油、废液压油发生泄漏时，排放到室外环境中，可能会进入土壤、流入地表水，以及渗入地下水体，对所在区域环境造成污染。</w:t>
            </w:r>
          </w:p>
          <w:p w14:paraId="79F97F43">
            <w:pPr>
              <w:pageBreakBefore w:val="0"/>
              <w:widowControl w:val="0"/>
              <w:wordWrap/>
              <w:topLinePunct w:val="0"/>
              <w:autoSpaceDE w:val="0"/>
              <w:autoSpaceDN w:val="0"/>
              <w:bidi w:val="0"/>
              <w:adjustRightInd/>
              <w:spacing w:line="360" w:lineRule="auto"/>
              <w:ind w:firstLine="480" w:firstLineChars="200"/>
              <w:jc w:val="left"/>
              <w:rPr>
                <w:rFonts w:hAnsi="Times New Roman"/>
                <w:color w:val="000000" w:themeColor="text1"/>
                <w:sz w:val="24"/>
                <w:szCs w:val="28"/>
                <w14:textFill>
                  <w14:solidFill>
                    <w14:schemeClr w14:val="tx1"/>
                  </w14:solidFill>
                </w14:textFill>
              </w:rPr>
            </w:pPr>
            <w:r>
              <w:rPr>
                <w:rFonts w:hint="default"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②生产车间发生火灾事故，燃烧产生的废气次生污染以及次生污染以及消防过程产生的消防废水也可能对区域空气、地表水、土壤、地下水等环境因素造成污染。</w:t>
            </w:r>
          </w:p>
          <w:p w14:paraId="59DF8515">
            <w:pPr>
              <w:pStyle w:val="69"/>
              <w:pageBreakBefore w:val="0"/>
              <w:wordWrap/>
              <w:topLinePunct w:val="0"/>
              <w:bidi w:val="0"/>
              <w:spacing w:line="360" w:lineRule="auto"/>
              <w:ind w:right="0" w:firstLine="482"/>
              <w:jc w:val="left"/>
              <w:rPr>
                <w:rFonts w:hAnsi="Times New Roman"/>
                <w:color w:val="000000" w:themeColor="text1"/>
                <w:sz w:val="24"/>
                <w:szCs w:val="28"/>
                <w:highlight w:val="none"/>
                <w14:textFill>
                  <w14:solidFill>
                    <w14:schemeClr w14:val="tx1"/>
                  </w14:solidFill>
                </w14:textFill>
              </w:rPr>
            </w:pPr>
            <w:r>
              <w:rPr>
                <w:rFonts w:hint="eastAsia" w:hAnsi="Times New Roman"/>
                <w:b/>
                <w:bCs/>
                <w:color w:val="000000" w:themeColor="text1"/>
                <w:sz w:val="24"/>
                <w:lang w:val="en-US" w:eastAsia="zh-CN"/>
                <w14:textFill>
                  <w14:solidFill>
                    <w14:schemeClr w14:val="tx1"/>
                  </w14:solidFill>
                </w14:textFill>
              </w:rPr>
              <w:t>4</w:t>
            </w:r>
            <w:r>
              <w:rPr>
                <w:rFonts w:hint="eastAsia" w:hAnsi="Times New Roman"/>
                <w:b/>
                <w:bCs/>
                <w:color w:val="000000" w:themeColor="text1"/>
                <w:sz w:val="24"/>
                <w14:textFill>
                  <w14:solidFill>
                    <w14:schemeClr w14:val="tx1"/>
                  </w14:solidFill>
                </w14:textFill>
              </w:rPr>
              <w:t>、环境风险防范措施</w:t>
            </w:r>
          </w:p>
          <w:p w14:paraId="43D972B8">
            <w:pPr>
              <w:widowControl w:val="0"/>
              <w:snapToGrid w:val="0"/>
              <w:spacing w:line="360" w:lineRule="auto"/>
              <w:ind w:firstLine="510"/>
              <w:jc w:val="left"/>
              <w:rPr>
                <w:rFonts w:hint="eastAsia" w:ascii="Times New Roman" w:hAnsi="Times New Roman" w:eastAsia="宋体" w:cs="Times New Roman"/>
                <w:b/>
                <w:bCs/>
                <w:color w:val="000000" w:themeColor="text1"/>
                <w:spacing w:val="4"/>
                <w:kern w:val="24"/>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spacing w:val="4"/>
                <w:kern w:val="24"/>
                <w:sz w:val="24"/>
                <w:szCs w:val="24"/>
                <w:lang w:val="en-US" w:eastAsia="zh-CN" w:bidi="ar-SA"/>
                <w14:textFill>
                  <w14:solidFill>
                    <w14:schemeClr w14:val="tx1"/>
                  </w14:solidFill>
                </w14:textFill>
              </w:rPr>
              <w:t>油</w:t>
            </w:r>
            <w:r>
              <w:rPr>
                <w:rFonts w:hint="eastAsia" w:cs="Times New Roman"/>
                <w:b/>
                <w:bCs/>
                <w:color w:val="000000" w:themeColor="text1"/>
                <w:spacing w:val="4"/>
                <w:kern w:val="24"/>
                <w:sz w:val="24"/>
                <w:szCs w:val="24"/>
                <w:lang w:val="en-US" w:eastAsia="zh-CN" w:bidi="ar-SA"/>
                <w14:textFill>
                  <w14:solidFill>
                    <w14:schemeClr w14:val="tx1"/>
                  </w14:solidFill>
                </w14:textFill>
              </w:rPr>
              <w:t>类物质</w:t>
            </w:r>
            <w:r>
              <w:rPr>
                <w:rFonts w:hint="eastAsia" w:ascii="Times New Roman" w:hAnsi="Times New Roman" w:eastAsia="宋体" w:cs="Times New Roman"/>
                <w:b/>
                <w:bCs/>
                <w:color w:val="000000" w:themeColor="text1"/>
                <w:spacing w:val="4"/>
                <w:kern w:val="24"/>
                <w:sz w:val="24"/>
                <w:szCs w:val="24"/>
                <w:lang w:val="en-US" w:eastAsia="zh-CN" w:bidi="ar-SA"/>
                <w14:textFill>
                  <w14:solidFill>
                    <w14:schemeClr w14:val="tx1"/>
                  </w14:solidFill>
                </w14:textFill>
              </w:rPr>
              <w:t>泄漏风险防范措施</w:t>
            </w:r>
          </w:p>
          <w:p w14:paraId="7636BB77">
            <w:pPr>
              <w:widowControl w:val="0"/>
              <w:snapToGrid w:val="0"/>
              <w:spacing w:line="360" w:lineRule="auto"/>
              <w:ind w:firstLine="510"/>
              <w:jc w:val="left"/>
              <w:rPr>
                <w:rFonts w:hint="eastAsia" w:ascii="Times New Roman" w:hAnsi="Times New Roman" w:eastAsia="宋体" w:cs="Times New Roman"/>
                <w:b w:val="0"/>
                <w:bCs w:val="0"/>
                <w:color w:val="000000" w:themeColor="text1"/>
                <w:spacing w:val="4"/>
                <w:kern w:val="24"/>
                <w:sz w:val="24"/>
                <w:szCs w:val="24"/>
                <w:lang w:val="en-US" w:eastAsia="zh-CN" w:bidi="ar-SA"/>
                <w14:textFill>
                  <w14:solidFill>
                    <w14:schemeClr w14:val="tx1"/>
                  </w14:solidFill>
                </w14:textFill>
              </w:rPr>
            </w:pPr>
            <w:r>
              <w:rPr>
                <w:rFonts w:hint="eastAsia" w:cs="Times New Roman"/>
                <w:b w:val="0"/>
                <w:bCs w:val="0"/>
                <w:color w:val="000000" w:themeColor="text1"/>
                <w:spacing w:val="4"/>
                <w:kern w:val="24"/>
                <w:sz w:val="24"/>
                <w:szCs w:val="24"/>
                <w:lang w:val="en-US" w:eastAsia="zh-CN" w:bidi="ar-SA"/>
                <w14:textFill>
                  <w14:solidFill>
                    <w14:schemeClr w14:val="tx1"/>
                  </w14:solidFill>
                </w14:textFill>
              </w:rPr>
              <w:t>①</w:t>
            </w:r>
            <w:r>
              <w:rPr>
                <w:rFonts w:hint="eastAsia" w:ascii="Times New Roman" w:hAnsi="Times New Roman" w:eastAsia="宋体" w:cs="Times New Roman"/>
                <w:b w:val="0"/>
                <w:bCs w:val="0"/>
                <w:color w:val="000000" w:themeColor="text1"/>
                <w:spacing w:val="4"/>
                <w:kern w:val="24"/>
                <w:sz w:val="24"/>
                <w:szCs w:val="24"/>
                <w:lang w:val="en-US" w:eastAsia="zh-CN" w:bidi="ar-SA"/>
                <w14:textFill>
                  <w14:solidFill>
                    <w14:schemeClr w14:val="tx1"/>
                  </w14:solidFill>
                </w14:textFill>
              </w:rPr>
              <w:t>使用符合国家标准的耐腐蚀、不易破损、变形和老化的容器贮存，并按规定在贮存废润滑油容器上贴上标签，详细注明名称、类别、代码、废物形态、主要成分、有害成分、注意事项、数字识别码、产生/收集单位、联系人和联系方式、产生日期及重量等信息；</w:t>
            </w:r>
          </w:p>
          <w:p w14:paraId="1936FCD3">
            <w:pPr>
              <w:widowControl w:val="0"/>
              <w:snapToGrid w:val="0"/>
              <w:spacing w:line="360" w:lineRule="auto"/>
              <w:ind w:firstLine="510"/>
              <w:jc w:val="left"/>
              <w:rPr>
                <w:rFonts w:hint="eastAsia" w:ascii="Times New Roman" w:hAnsi="Times New Roman" w:eastAsia="宋体" w:cs="Times New Roman"/>
                <w:b w:val="0"/>
                <w:bCs w:val="0"/>
                <w:color w:val="000000" w:themeColor="text1"/>
                <w:spacing w:val="4"/>
                <w:kern w:val="24"/>
                <w:sz w:val="24"/>
                <w:szCs w:val="24"/>
                <w:lang w:val="en-US" w:eastAsia="zh-CN" w:bidi="ar-SA"/>
                <w14:textFill>
                  <w14:solidFill>
                    <w14:schemeClr w14:val="tx1"/>
                  </w14:solidFill>
                </w14:textFill>
              </w:rPr>
            </w:pPr>
            <w:r>
              <w:rPr>
                <w:rFonts w:hint="eastAsia" w:cs="Times New Roman"/>
                <w:b w:val="0"/>
                <w:bCs w:val="0"/>
                <w:color w:val="000000" w:themeColor="text1"/>
                <w:spacing w:val="4"/>
                <w:kern w:val="24"/>
                <w:sz w:val="24"/>
                <w:szCs w:val="24"/>
                <w:lang w:val="en-US" w:eastAsia="zh-CN" w:bidi="ar-SA"/>
                <w14:textFill>
                  <w14:solidFill>
                    <w14:schemeClr w14:val="tx1"/>
                  </w14:solidFill>
                </w14:textFill>
              </w:rPr>
              <w:t>②</w:t>
            </w:r>
            <w:r>
              <w:rPr>
                <w:rFonts w:hint="eastAsia" w:ascii="Times New Roman" w:hAnsi="Times New Roman" w:eastAsia="宋体" w:cs="Times New Roman"/>
                <w:b w:val="0"/>
                <w:bCs w:val="0"/>
                <w:color w:val="000000" w:themeColor="text1"/>
                <w:spacing w:val="4"/>
                <w:kern w:val="24"/>
                <w:sz w:val="24"/>
                <w:szCs w:val="24"/>
                <w:lang w:val="en-US" w:eastAsia="zh-CN" w:bidi="ar-SA"/>
                <w14:textFill>
                  <w14:solidFill>
                    <w14:schemeClr w14:val="tx1"/>
                  </w14:solidFill>
                </w14:textFill>
              </w:rPr>
              <w:t>危废间采取四防（防风、防雨、防晒、防渗）措施，在地面围堰、导流沟，并设置标识牌等：</w:t>
            </w:r>
          </w:p>
          <w:p w14:paraId="7EFBBD45">
            <w:pPr>
              <w:widowControl w:val="0"/>
              <w:snapToGrid w:val="0"/>
              <w:spacing w:line="360" w:lineRule="auto"/>
              <w:ind w:firstLine="510"/>
              <w:jc w:val="left"/>
              <w:rPr>
                <w:rFonts w:hint="eastAsia" w:ascii="Times New Roman" w:hAnsi="Times New Roman" w:eastAsia="宋体" w:cs="Times New Roman"/>
                <w:b w:val="0"/>
                <w:bCs w:val="0"/>
                <w:color w:val="000000" w:themeColor="text1"/>
                <w:spacing w:val="4"/>
                <w:kern w:val="24"/>
                <w:sz w:val="24"/>
                <w:szCs w:val="24"/>
                <w:lang w:val="en-US" w:eastAsia="zh-CN" w:bidi="ar-SA"/>
                <w14:textFill>
                  <w14:solidFill>
                    <w14:schemeClr w14:val="tx1"/>
                  </w14:solidFill>
                </w14:textFill>
              </w:rPr>
            </w:pPr>
            <w:r>
              <w:rPr>
                <w:rFonts w:hint="eastAsia" w:cs="Times New Roman"/>
                <w:b w:val="0"/>
                <w:bCs w:val="0"/>
                <w:color w:val="000000" w:themeColor="text1"/>
                <w:spacing w:val="4"/>
                <w:kern w:val="24"/>
                <w:sz w:val="24"/>
                <w:szCs w:val="24"/>
                <w:lang w:val="en-US" w:eastAsia="zh-CN" w:bidi="ar-SA"/>
                <w14:textFill>
                  <w14:solidFill>
                    <w14:schemeClr w14:val="tx1"/>
                  </w14:solidFill>
                </w14:textFill>
              </w:rPr>
              <w:t>③</w:t>
            </w:r>
            <w:r>
              <w:rPr>
                <w:rFonts w:hint="eastAsia" w:ascii="Times New Roman" w:hAnsi="Times New Roman" w:eastAsia="宋体" w:cs="Times New Roman"/>
                <w:b w:val="0"/>
                <w:bCs w:val="0"/>
                <w:color w:val="000000" w:themeColor="text1"/>
                <w:spacing w:val="4"/>
                <w:kern w:val="24"/>
                <w:sz w:val="24"/>
                <w:szCs w:val="24"/>
                <w:lang w:val="en-US" w:eastAsia="zh-CN" w:bidi="ar-SA"/>
                <w14:textFill>
                  <w14:solidFill>
                    <w14:schemeClr w14:val="tx1"/>
                  </w14:solidFill>
                </w14:textFill>
              </w:rPr>
              <w:t>加强对</w:t>
            </w:r>
            <w:r>
              <w:rPr>
                <w:rFonts w:hint="eastAsia" w:cs="Times New Roman"/>
                <w:b w:val="0"/>
                <w:bCs w:val="0"/>
                <w:color w:val="000000" w:themeColor="text1"/>
                <w:spacing w:val="4"/>
                <w:kern w:val="24"/>
                <w:sz w:val="24"/>
                <w:szCs w:val="24"/>
                <w:lang w:val="en-US" w:eastAsia="zh-CN" w:bidi="ar-SA"/>
                <w14:textFill>
                  <w14:solidFill>
                    <w14:schemeClr w14:val="tx1"/>
                  </w14:solidFill>
                </w14:textFill>
              </w:rPr>
              <w:t>油类物质</w:t>
            </w:r>
            <w:r>
              <w:rPr>
                <w:rFonts w:hint="eastAsia" w:ascii="Times New Roman" w:hAnsi="Times New Roman" w:eastAsia="宋体" w:cs="Times New Roman"/>
                <w:b w:val="0"/>
                <w:bCs w:val="0"/>
                <w:color w:val="000000" w:themeColor="text1"/>
                <w:spacing w:val="4"/>
                <w:kern w:val="24"/>
                <w:sz w:val="24"/>
                <w:szCs w:val="24"/>
                <w:lang w:val="en-US" w:eastAsia="zh-CN" w:bidi="ar-SA"/>
                <w14:textFill>
                  <w14:solidFill>
                    <w14:schemeClr w14:val="tx1"/>
                  </w14:solidFill>
                </w14:textFill>
              </w:rPr>
              <w:t>管理，定期检查收纳容器，与有资质单位签订协议，确保废润滑油能得到妥善处置，建立台账制度。</w:t>
            </w:r>
          </w:p>
          <w:p w14:paraId="039FA3D1">
            <w:pPr>
              <w:widowControl w:val="0"/>
              <w:snapToGrid w:val="0"/>
              <w:spacing w:line="360" w:lineRule="auto"/>
              <w:ind w:firstLine="510"/>
              <w:jc w:val="left"/>
              <w:rPr>
                <w:rFonts w:hint="eastAsia" w:ascii="Times New Roman" w:hAnsi="Times New Roman" w:eastAsia="宋体" w:cs="Times New Roman"/>
                <w:b/>
                <w:bCs/>
                <w:color w:val="000000" w:themeColor="text1"/>
                <w:spacing w:val="4"/>
                <w:kern w:val="24"/>
                <w:sz w:val="24"/>
                <w:szCs w:val="24"/>
                <w:lang w:val="zh-CN" w:eastAsia="zh-CN" w:bidi="ar-SA"/>
                <w14:textFill>
                  <w14:solidFill>
                    <w14:schemeClr w14:val="tx1"/>
                  </w14:solidFill>
                </w14:textFill>
              </w:rPr>
            </w:pPr>
            <w:r>
              <w:rPr>
                <w:rFonts w:hint="eastAsia" w:ascii="Times New Roman" w:hAnsi="Times New Roman" w:eastAsia="宋体" w:cs="Times New Roman"/>
                <w:b/>
                <w:bCs/>
                <w:color w:val="000000" w:themeColor="text1"/>
                <w:spacing w:val="4"/>
                <w:kern w:val="24"/>
                <w:sz w:val="24"/>
                <w:szCs w:val="24"/>
                <w:lang w:val="en-US" w:eastAsia="zh-CN" w:bidi="ar-SA"/>
                <w14:textFill>
                  <w14:solidFill>
                    <w14:schemeClr w14:val="tx1"/>
                  </w14:solidFill>
                </w14:textFill>
              </w:rPr>
              <w:t>采取</w:t>
            </w:r>
            <w:r>
              <w:rPr>
                <w:rFonts w:hint="eastAsia" w:ascii="Times New Roman" w:hAnsi="Times New Roman" w:eastAsia="宋体" w:cs="Times New Roman"/>
                <w:b/>
                <w:bCs/>
                <w:color w:val="000000" w:themeColor="text1"/>
                <w:spacing w:val="4"/>
                <w:kern w:val="24"/>
                <w:sz w:val="24"/>
                <w:szCs w:val="24"/>
                <w:lang w:val="zh-CN" w:eastAsia="zh-CN" w:bidi="ar-SA"/>
                <w14:textFill>
                  <w14:solidFill>
                    <w14:schemeClr w14:val="tx1"/>
                  </w14:solidFill>
                </w14:textFill>
              </w:rPr>
              <w:t>的安全防范措施：</w:t>
            </w:r>
          </w:p>
          <w:p w14:paraId="1A89120F">
            <w:pPr>
              <w:widowControl w:val="0"/>
              <w:snapToGrid w:val="0"/>
              <w:spacing w:line="360" w:lineRule="auto"/>
              <w:ind w:firstLine="510"/>
              <w:jc w:val="left"/>
              <w:rPr>
                <w:rFonts w:hint="eastAsia" w:ascii="Times New Roman" w:hAnsi="Times New Roman" w:eastAsia="宋体" w:cs="Times New Roman"/>
                <w:color w:val="000000" w:themeColor="text1"/>
                <w:spacing w:val="4"/>
                <w:kern w:val="24"/>
                <w:sz w:val="24"/>
                <w:szCs w:val="24"/>
                <w:lang w:val="zh-CN" w:eastAsia="zh-CN" w:bidi="ar-SA"/>
                <w14:textFill>
                  <w14:solidFill>
                    <w14:schemeClr w14:val="tx1"/>
                  </w14:solidFill>
                </w14:textFill>
              </w:rPr>
            </w:pPr>
            <w:r>
              <w:rPr>
                <w:rFonts w:hint="eastAsia" w:ascii="Times New Roman" w:hAnsi="Times New Roman" w:eastAsia="宋体" w:cs="Times New Roman"/>
                <w:color w:val="000000" w:themeColor="text1"/>
                <w:spacing w:val="4"/>
                <w:kern w:val="24"/>
                <w:sz w:val="24"/>
                <w:szCs w:val="24"/>
                <w:lang w:val="zh-CN" w:eastAsia="zh-CN" w:bidi="ar-SA"/>
                <w14:textFill>
                  <w14:solidFill>
                    <w14:schemeClr w14:val="tx1"/>
                  </w14:solidFill>
                </w14:textFill>
              </w:rPr>
              <w:t>①严格落实</w:t>
            </w:r>
            <w:r>
              <w:rPr>
                <w:rFonts w:hint="eastAsia" w:ascii="Times New Roman" w:hAnsi="Times New Roman" w:cs="Times New Roman"/>
                <w:color w:val="000000" w:themeColor="text1"/>
                <w:spacing w:val="4"/>
                <w:kern w:val="24"/>
                <w:sz w:val="24"/>
                <w:szCs w:val="24"/>
                <w:lang w:val="zh-CN" w:eastAsia="zh-CN" w:bidi="ar-SA"/>
                <w14:textFill>
                  <w14:solidFill>
                    <w14:schemeClr w14:val="tx1"/>
                  </w14:solidFill>
                </w14:textFill>
              </w:rPr>
              <w:t>危险废物贮存间</w:t>
            </w:r>
            <w:r>
              <w:rPr>
                <w:rFonts w:hint="eastAsia" w:cs="Times New Roman"/>
                <w:color w:val="000000" w:themeColor="text1"/>
                <w:spacing w:val="4"/>
                <w:kern w:val="24"/>
                <w:sz w:val="24"/>
                <w:szCs w:val="24"/>
                <w:lang w:val="en-US" w:eastAsia="zh-CN" w:bidi="ar-SA"/>
                <w14:textFill>
                  <w14:solidFill>
                    <w14:schemeClr w14:val="tx1"/>
                  </w14:solidFill>
                </w14:textFill>
              </w:rPr>
              <w:t>与原料库防渗</w:t>
            </w:r>
            <w:r>
              <w:rPr>
                <w:rFonts w:hint="eastAsia" w:ascii="Times New Roman" w:hAnsi="Times New Roman" w:eastAsia="宋体" w:cs="Times New Roman"/>
                <w:color w:val="000000" w:themeColor="text1"/>
                <w:spacing w:val="4"/>
                <w:kern w:val="24"/>
                <w:sz w:val="24"/>
                <w:szCs w:val="24"/>
                <w:lang w:val="zh-CN" w:eastAsia="zh-CN" w:bidi="ar-SA"/>
                <w14:textFill>
                  <w14:solidFill>
                    <w14:schemeClr w14:val="tx1"/>
                  </w14:solidFill>
                </w14:textFill>
              </w:rPr>
              <w:t>的建设，并按照相关规范分类收集暂存，</w:t>
            </w:r>
            <w:r>
              <w:rPr>
                <w:rFonts w:hint="eastAsia" w:ascii="Times New Roman" w:hAnsi="Times New Roman" w:cs="Times New Roman"/>
                <w:color w:val="000000" w:themeColor="text1"/>
                <w:spacing w:val="4"/>
                <w:kern w:val="24"/>
                <w:sz w:val="24"/>
                <w:szCs w:val="24"/>
                <w:lang w:val="zh-CN" w:eastAsia="zh-CN" w:bidi="ar-SA"/>
                <w14:textFill>
                  <w14:solidFill>
                    <w14:schemeClr w14:val="tx1"/>
                  </w14:solidFill>
                </w14:textFill>
              </w:rPr>
              <w:t>危险废物贮存间</w:t>
            </w:r>
            <w:r>
              <w:rPr>
                <w:rFonts w:hint="eastAsia" w:ascii="Times New Roman" w:hAnsi="Times New Roman" w:eastAsia="宋体" w:cs="Times New Roman"/>
                <w:color w:val="000000" w:themeColor="text1"/>
                <w:spacing w:val="4"/>
                <w:kern w:val="24"/>
                <w:sz w:val="24"/>
                <w:szCs w:val="24"/>
                <w:lang w:val="zh-CN" w:eastAsia="zh-CN" w:bidi="ar-SA"/>
                <w14:textFill>
                  <w14:solidFill>
                    <w14:schemeClr w14:val="tx1"/>
                  </w14:solidFill>
                </w14:textFill>
              </w:rPr>
              <w:t>按照相关规范设置围堰及防渗措施。</w:t>
            </w:r>
          </w:p>
          <w:p w14:paraId="18F326CE">
            <w:pPr>
              <w:widowControl w:val="0"/>
              <w:snapToGrid w:val="0"/>
              <w:spacing w:line="360" w:lineRule="auto"/>
              <w:ind w:firstLine="510"/>
              <w:jc w:val="left"/>
              <w:rPr>
                <w:rFonts w:hint="eastAsia" w:ascii="Times New Roman" w:hAnsi="Times New Roman" w:eastAsia="宋体" w:cs="Times New Roman"/>
                <w:color w:val="000000" w:themeColor="text1"/>
                <w:spacing w:val="4"/>
                <w:kern w:val="24"/>
                <w:sz w:val="24"/>
                <w:szCs w:val="24"/>
                <w:lang w:val="zh-CN" w:eastAsia="zh-CN" w:bidi="ar-SA"/>
                <w14:textFill>
                  <w14:solidFill>
                    <w14:schemeClr w14:val="tx1"/>
                  </w14:solidFill>
                </w14:textFill>
              </w:rPr>
            </w:pPr>
            <w:r>
              <w:rPr>
                <w:rFonts w:hint="eastAsia" w:ascii="Times New Roman" w:hAnsi="Times New Roman" w:eastAsia="宋体" w:cs="Times New Roman"/>
                <w:color w:val="000000" w:themeColor="text1"/>
                <w:spacing w:val="4"/>
                <w:kern w:val="24"/>
                <w:sz w:val="24"/>
                <w:szCs w:val="24"/>
                <w:lang w:val="zh-CN" w:eastAsia="zh-CN" w:bidi="ar-SA"/>
                <w14:textFill>
                  <w14:solidFill>
                    <w14:schemeClr w14:val="tx1"/>
                  </w14:solidFill>
                </w14:textFill>
              </w:rPr>
              <w:t>②定期对化粪池</w:t>
            </w:r>
            <w:r>
              <w:rPr>
                <w:rFonts w:hint="eastAsia" w:ascii="Times New Roman" w:hAnsi="Times New Roman" w:eastAsia="宋体" w:cs="Times New Roman"/>
                <w:color w:val="000000" w:themeColor="text1"/>
                <w:spacing w:val="4"/>
                <w:kern w:val="24"/>
                <w:sz w:val="24"/>
                <w:szCs w:val="24"/>
                <w:lang w:val="en-US" w:eastAsia="zh-CN" w:bidi="ar-SA"/>
                <w14:textFill>
                  <w14:solidFill>
                    <w14:schemeClr w14:val="tx1"/>
                  </w14:solidFill>
                </w14:textFill>
              </w:rPr>
              <w:t>以及污水处理站</w:t>
            </w:r>
            <w:r>
              <w:rPr>
                <w:rFonts w:hint="eastAsia" w:ascii="Times New Roman" w:hAnsi="Times New Roman" w:eastAsia="宋体" w:cs="Times New Roman"/>
                <w:color w:val="000000" w:themeColor="text1"/>
                <w:spacing w:val="4"/>
                <w:kern w:val="24"/>
                <w:sz w:val="24"/>
                <w:szCs w:val="24"/>
                <w:lang w:val="zh-CN" w:eastAsia="zh-CN" w:bidi="ar-SA"/>
                <w14:textFill>
                  <w14:solidFill>
                    <w14:schemeClr w14:val="tx1"/>
                  </w14:solidFill>
                </w14:textFill>
              </w:rPr>
              <w:t>进行检查，杜绝生活污水外排。</w:t>
            </w:r>
          </w:p>
          <w:p w14:paraId="57D87971">
            <w:pPr>
              <w:widowControl w:val="0"/>
              <w:snapToGrid w:val="0"/>
              <w:spacing w:line="360" w:lineRule="auto"/>
              <w:ind w:firstLine="510"/>
              <w:jc w:val="left"/>
              <w:rPr>
                <w:rFonts w:hint="eastAsia" w:ascii="Times New Roman" w:hAnsi="Times New Roman" w:eastAsia="宋体" w:cs="Times New Roman"/>
                <w:color w:val="000000" w:themeColor="text1"/>
                <w:spacing w:val="4"/>
                <w:kern w:val="24"/>
                <w:sz w:val="24"/>
                <w:szCs w:val="24"/>
                <w:lang w:val="zh-CN" w:eastAsia="zh-CN" w:bidi="ar-SA"/>
                <w14:textFill>
                  <w14:solidFill>
                    <w14:schemeClr w14:val="tx1"/>
                  </w14:solidFill>
                </w14:textFill>
              </w:rPr>
            </w:pPr>
            <w:r>
              <w:rPr>
                <w:rFonts w:hint="eastAsia" w:ascii="Times New Roman" w:hAnsi="Times New Roman" w:eastAsia="宋体" w:cs="Times New Roman"/>
                <w:color w:val="000000" w:themeColor="text1"/>
                <w:spacing w:val="4"/>
                <w:kern w:val="24"/>
                <w:sz w:val="24"/>
                <w:szCs w:val="24"/>
                <w:lang w:val="zh-CN" w:eastAsia="zh-CN" w:bidi="ar-SA"/>
                <w14:textFill>
                  <w14:solidFill>
                    <w14:schemeClr w14:val="tx1"/>
                  </w14:solidFill>
                </w14:textFill>
              </w:rPr>
              <w:t>③加强安全管理。厂区建立健全健康、安全的环境管理制度，并严格予以执行；严格执行我国有关的劳动安全、环境保护、工业卫生的规范和标准，最大限度地清除事故隐患，一旦发生事故应采取有效措施，降低因事故引起的损失和对环境的污染；加强车间的安全环保管理，制定出供正常、异常或紧急状态下的操作手册和维修手册，并对操作、维修人员进行培训，持证上岗，应定期进行安全活动，提高职工的安全意识。</w:t>
            </w:r>
          </w:p>
          <w:p w14:paraId="28BBFF24">
            <w:pPr>
              <w:widowControl w:val="0"/>
              <w:snapToGrid w:val="0"/>
              <w:spacing w:line="360" w:lineRule="auto"/>
              <w:ind w:firstLine="510"/>
              <w:jc w:val="left"/>
              <w:rPr>
                <w:rFonts w:hint="eastAsia" w:ascii="Times New Roman" w:hAnsi="Times New Roman" w:eastAsia="宋体" w:cs="Times New Roman"/>
                <w:color w:val="000000" w:themeColor="text1"/>
                <w:spacing w:val="4"/>
                <w:kern w:val="24"/>
                <w:sz w:val="24"/>
                <w:szCs w:val="24"/>
                <w:lang w:val="zh-CN" w:eastAsia="zh-CN" w:bidi="ar-SA"/>
                <w14:textFill>
                  <w14:solidFill>
                    <w14:schemeClr w14:val="tx1"/>
                  </w14:solidFill>
                </w14:textFill>
              </w:rPr>
            </w:pPr>
            <w:r>
              <w:rPr>
                <w:rFonts w:hint="eastAsia" w:ascii="Times New Roman" w:hAnsi="Times New Roman" w:eastAsia="宋体" w:cs="Times New Roman"/>
                <w:color w:val="000000" w:themeColor="text1"/>
                <w:spacing w:val="4"/>
                <w:kern w:val="24"/>
                <w:sz w:val="24"/>
                <w:szCs w:val="24"/>
                <w:lang w:val="zh-CN" w:eastAsia="zh-CN" w:bidi="ar-SA"/>
                <w14:textFill>
                  <w14:solidFill>
                    <w14:schemeClr w14:val="tx1"/>
                  </w14:solidFill>
                </w14:textFill>
              </w:rPr>
              <w:t>④制定应急操作规程，如在规程中应说明发生事故时应采取的操作步骤，规定抢修进度，规定限制事故影响的措施，另外还应说明与操作人员有关的安全问题。</w:t>
            </w:r>
          </w:p>
          <w:p w14:paraId="431268C6">
            <w:pPr>
              <w:widowControl w:val="0"/>
              <w:snapToGrid w:val="0"/>
              <w:spacing w:line="360" w:lineRule="auto"/>
              <w:ind w:firstLine="510"/>
              <w:jc w:val="left"/>
              <w:rPr>
                <w:rFonts w:hint="eastAsia" w:ascii="Times New Roman" w:hAnsi="Times New Roman" w:eastAsia="宋体" w:cs="Times New Roman"/>
                <w:color w:val="000000" w:themeColor="text1"/>
                <w:spacing w:val="4"/>
                <w:kern w:val="24"/>
                <w:sz w:val="24"/>
                <w:szCs w:val="24"/>
                <w:lang w:val="zh-CN" w:eastAsia="zh-CN" w:bidi="ar-SA"/>
                <w14:textFill>
                  <w14:solidFill>
                    <w14:schemeClr w14:val="tx1"/>
                  </w14:solidFill>
                </w14:textFill>
              </w:rPr>
            </w:pPr>
            <w:r>
              <w:rPr>
                <w:rFonts w:hint="eastAsia" w:ascii="Times New Roman" w:hAnsi="Times New Roman" w:eastAsia="宋体" w:cs="Times New Roman"/>
                <w:color w:val="000000" w:themeColor="text1"/>
                <w:spacing w:val="4"/>
                <w:kern w:val="24"/>
                <w:sz w:val="24"/>
                <w:szCs w:val="24"/>
                <w:lang w:val="zh-CN" w:eastAsia="zh-CN" w:bidi="ar-SA"/>
                <w14:textFill>
                  <w14:solidFill>
                    <w14:schemeClr w14:val="tx1"/>
                  </w14:solidFill>
                </w14:textFill>
              </w:rPr>
              <w:t>⑤建立应急预案工作计划，设立公司应急指挥领导小组和事故处理抢险队，与当地政府有关的应急预案衔接并建立正常的定期联络制度。</w:t>
            </w:r>
          </w:p>
          <w:p w14:paraId="1C05AF0C">
            <w:pPr>
              <w:widowControl w:val="0"/>
              <w:snapToGrid w:val="0"/>
              <w:spacing w:line="360" w:lineRule="auto"/>
              <w:ind w:firstLine="510"/>
              <w:jc w:val="left"/>
              <w:rPr>
                <w:rFonts w:hint="eastAsia" w:ascii="Times New Roman" w:hAnsi="Times New Roman" w:eastAsia="宋体" w:cs="Times New Roman"/>
                <w:b/>
                <w:bCs/>
                <w:color w:val="000000" w:themeColor="text1"/>
                <w:spacing w:val="4"/>
                <w:kern w:val="24"/>
                <w:sz w:val="24"/>
                <w:szCs w:val="24"/>
                <w:lang w:val="zh-CN" w:eastAsia="zh-CN" w:bidi="ar-SA"/>
                <w14:textFill>
                  <w14:solidFill>
                    <w14:schemeClr w14:val="tx1"/>
                  </w14:solidFill>
                </w14:textFill>
              </w:rPr>
            </w:pPr>
            <w:r>
              <w:rPr>
                <w:rFonts w:hint="eastAsia" w:ascii="Times New Roman" w:hAnsi="Times New Roman" w:eastAsia="宋体" w:cs="Times New Roman"/>
                <w:b/>
                <w:bCs/>
                <w:color w:val="000000" w:themeColor="text1"/>
                <w:spacing w:val="4"/>
                <w:kern w:val="24"/>
                <w:sz w:val="24"/>
                <w:szCs w:val="24"/>
                <w:lang w:val="en-US" w:eastAsia="zh-CN" w:bidi="ar-SA"/>
                <w14:textFill>
                  <w14:solidFill>
                    <w14:schemeClr w14:val="tx1"/>
                  </w14:solidFill>
                </w14:textFill>
              </w:rPr>
              <w:t>防</w:t>
            </w:r>
            <w:r>
              <w:rPr>
                <w:rFonts w:hint="eastAsia" w:ascii="Times New Roman" w:hAnsi="Times New Roman" w:eastAsia="宋体" w:cs="Times New Roman"/>
                <w:b/>
                <w:bCs/>
                <w:color w:val="000000" w:themeColor="text1"/>
                <w:spacing w:val="4"/>
                <w:kern w:val="24"/>
                <w:sz w:val="24"/>
                <w:szCs w:val="24"/>
                <w:lang w:val="zh-CN" w:eastAsia="zh-CN" w:bidi="ar-SA"/>
                <w14:textFill>
                  <w14:solidFill>
                    <w14:schemeClr w14:val="tx1"/>
                  </w14:solidFill>
                </w14:textFill>
              </w:rPr>
              <w:t>火措施：</w:t>
            </w:r>
          </w:p>
          <w:p w14:paraId="3501A0AC">
            <w:pPr>
              <w:widowControl w:val="0"/>
              <w:snapToGrid w:val="0"/>
              <w:spacing w:line="360" w:lineRule="auto"/>
              <w:ind w:firstLine="510"/>
              <w:jc w:val="left"/>
              <w:rPr>
                <w:rFonts w:hint="eastAsia" w:ascii="Times New Roman" w:hAnsi="Times New Roman" w:eastAsia="宋体" w:cs="Times New Roman"/>
                <w:color w:val="000000" w:themeColor="text1"/>
                <w:spacing w:val="4"/>
                <w:kern w:val="24"/>
                <w:sz w:val="24"/>
                <w:szCs w:val="24"/>
                <w:lang w:val="zh-CN" w:eastAsia="zh-CN" w:bidi="ar-SA"/>
                <w14:textFill>
                  <w14:solidFill>
                    <w14:schemeClr w14:val="tx1"/>
                  </w14:solidFill>
                </w14:textFill>
              </w:rPr>
            </w:pPr>
            <w:r>
              <w:rPr>
                <w:rFonts w:hint="eastAsia" w:ascii="Times New Roman" w:hAnsi="Times New Roman" w:eastAsia="宋体" w:cs="Times New Roman"/>
                <w:color w:val="000000" w:themeColor="text1"/>
                <w:spacing w:val="4"/>
                <w:kern w:val="24"/>
                <w:sz w:val="24"/>
                <w:szCs w:val="24"/>
                <w:lang w:val="zh-CN" w:eastAsia="zh-CN" w:bidi="ar-SA"/>
                <w14:textFill>
                  <w14:solidFill>
                    <w14:schemeClr w14:val="tx1"/>
                  </w14:solidFill>
                </w14:textFill>
              </w:rPr>
              <w:t>根据生产装置的特性，储存物品的火灾危险性，为便于生产管理，在保证有足够的安全距离，满足防火要求的前提下，本工程总平面布置上，按功能分区集中布置。区与区之间的距离按防火间距要求确定。</w:t>
            </w:r>
          </w:p>
          <w:p w14:paraId="58C4D625">
            <w:pPr>
              <w:widowControl w:val="0"/>
              <w:snapToGrid w:val="0"/>
              <w:spacing w:line="360" w:lineRule="auto"/>
              <w:ind w:firstLine="510"/>
              <w:jc w:val="left"/>
              <w:rPr>
                <w:rFonts w:hint="eastAsia" w:ascii="Times New Roman" w:hAnsi="Times New Roman" w:eastAsia="宋体" w:cs="Times New Roman"/>
                <w:color w:val="000000" w:themeColor="text1"/>
                <w:spacing w:val="4"/>
                <w:kern w:val="24"/>
                <w:sz w:val="24"/>
                <w:szCs w:val="24"/>
                <w:lang w:val="zh-CN" w:eastAsia="zh-CN" w:bidi="ar-SA"/>
                <w14:textFill>
                  <w14:solidFill>
                    <w14:schemeClr w14:val="tx1"/>
                  </w14:solidFill>
                </w14:textFill>
              </w:rPr>
            </w:pPr>
            <w:r>
              <w:rPr>
                <w:rFonts w:hint="eastAsia" w:ascii="Times New Roman" w:hAnsi="Times New Roman" w:eastAsia="宋体" w:cs="Times New Roman"/>
                <w:color w:val="000000" w:themeColor="text1"/>
                <w:spacing w:val="4"/>
                <w:kern w:val="24"/>
                <w:sz w:val="24"/>
                <w:szCs w:val="24"/>
                <w:lang w:val="zh-CN" w:eastAsia="zh-CN" w:bidi="ar-SA"/>
                <w14:textFill>
                  <w14:solidFill>
                    <w14:schemeClr w14:val="tx1"/>
                  </w14:solidFill>
                </w14:textFill>
              </w:rPr>
              <w:t>本工程范围内的建筑物，其耐火等级、防火间距、安全疏散均按《建筑设计防火规范》的有关规定设计。</w:t>
            </w:r>
          </w:p>
          <w:p w14:paraId="01E1D7A1">
            <w:pPr>
              <w:widowControl w:val="0"/>
              <w:snapToGrid w:val="0"/>
              <w:spacing w:line="360" w:lineRule="auto"/>
              <w:ind w:firstLine="510"/>
              <w:jc w:val="left"/>
              <w:rPr>
                <w:rFonts w:hint="eastAsia" w:ascii="Times New Roman" w:hAnsi="Times New Roman" w:eastAsia="宋体" w:cs="Times New Roman"/>
                <w:b/>
                <w:bCs/>
                <w:color w:val="000000" w:themeColor="text1"/>
                <w:spacing w:val="4"/>
                <w:kern w:val="24"/>
                <w:sz w:val="24"/>
                <w:szCs w:val="24"/>
                <w:lang w:val="zh-CN" w:eastAsia="zh-CN" w:bidi="ar-SA"/>
                <w14:textFill>
                  <w14:solidFill>
                    <w14:schemeClr w14:val="tx1"/>
                  </w14:solidFill>
                </w14:textFill>
              </w:rPr>
            </w:pPr>
            <w:r>
              <w:rPr>
                <w:rFonts w:hint="eastAsia" w:ascii="Times New Roman" w:hAnsi="Times New Roman" w:eastAsia="宋体" w:cs="Times New Roman"/>
                <w:b/>
                <w:bCs/>
                <w:color w:val="000000" w:themeColor="text1"/>
                <w:spacing w:val="4"/>
                <w:kern w:val="24"/>
                <w:sz w:val="24"/>
                <w:szCs w:val="24"/>
                <w:lang w:val="en-US" w:eastAsia="zh-CN" w:bidi="ar-SA"/>
                <w14:textFill>
                  <w14:solidFill>
                    <w14:schemeClr w14:val="tx1"/>
                  </w14:solidFill>
                </w14:textFill>
              </w:rPr>
              <w:t>消</w:t>
            </w:r>
            <w:r>
              <w:rPr>
                <w:rFonts w:hint="eastAsia" w:ascii="Times New Roman" w:hAnsi="Times New Roman" w:eastAsia="宋体" w:cs="Times New Roman"/>
                <w:b/>
                <w:bCs/>
                <w:color w:val="000000" w:themeColor="text1"/>
                <w:spacing w:val="4"/>
                <w:kern w:val="24"/>
                <w:sz w:val="24"/>
                <w:szCs w:val="24"/>
                <w:lang w:val="zh-CN" w:eastAsia="zh-CN" w:bidi="ar-SA"/>
                <w14:textFill>
                  <w14:solidFill>
                    <w14:schemeClr w14:val="tx1"/>
                  </w14:solidFill>
                </w14:textFill>
              </w:rPr>
              <w:t>防措施：</w:t>
            </w:r>
          </w:p>
          <w:p w14:paraId="6950F6C5">
            <w:pPr>
              <w:pageBreakBefore w:val="0"/>
              <w:wordWrap/>
              <w:topLinePunct w:val="0"/>
              <w:bidi w:val="0"/>
              <w:spacing w:line="360" w:lineRule="auto"/>
              <w:ind w:firstLine="496" w:firstLineChars="200"/>
              <w:jc w:val="left"/>
              <w:rPr>
                <w:rFonts w:hint="default" w:ascii="Times New Roman" w:hAnsi="Times New Roman" w:cs="Times New Roman"/>
                <w:color w:val="000000" w:themeColor="text1"/>
                <w:kern w:val="0"/>
                <w:sz w:val="24"/>
                <w14:textFill>
                  <w14:solidFill>
                    <w14:schemeClr w14:val="tx1"/>
                  </w14:solidFill>
                </w14:textFill>
              </w:rPr>
            </w:pPr>
            <w:r>
              <w:rPr>
                <w:rFonts w:hint="eastAsia" w:ascii="Times New Roman" w:hAnsi="Times New Roman" w:eastAsia="宋体" w:cs="Times New Roman"/>
                <w:color w:val="000000" w:themeColor="text1"/>
                <w:spacing w:val="4"/>
                <w:kern w:val="24"/>
                <w:sz w:val="24"/>
                <w:szCs w:val="24"/>
                <w:lang w:val="zh-CN" w:eastAsia="zh-CN" w:bidi="ar-SA"/>
                <w14:textFill>
                  <w14:solidFill>
                    <w14:schemeClr w14:val="tx1"/>
                  </w14:solidFill>
                </w14:textFill>
              </w:rPr>
              <w:t>严格按照消防安全的相关规定，在厂区相应位置设置灭火器材。不得在车间内使用明火，必须使用时，采取防火措施，将动火部位及周围的可燃物彻底清除，并准备好灭火器材，动火后应有专人检查，防止留下余火。</w:t>
            </w:r>
          </w:p>
          <w:p w14:paraId="3DFAA909">
            <w:pPr>
              <w:pStyle w:val="69"/>
              <w:pageBreakBefore w:val="0"/>
              <w:wordWrap/>
              <w:topLinePunct w:val="0"/>
              <w:bidi w:val="0"/>
              <w:spacing w:line="360" w:lineRule="auto"/>
              <w:ind w:right="0" w:firstLine="482"/>
              <w:jc w:val="left"/>
              <w:rPr>
                <w:rFonts w:hAnsi="Times New Roman"/>
                <w:b/>
                <w:bCs/>
                <w:color w:val="000000" w:themeColor="text1"/>
                <w:sz w:val="24"/>
                <w14:textFill>
                  <w14:solidFill>
                    <w14:schemeClr w14:val="tx1"/>
                  </w14:solidFill>
                </w14:textFill>
              </w:rPr>
            </w:pPr>
            <w:r>
              <w:rPr>
                <w:rFonts w:hint="eastAsia" w:hAnsi="Times New Roman"/>
                <w:b/>
                <w:bCs/>
                <w:color w:val="000000" w:themeColor="text1"/>
                <w:sz w:val="24"/>
                <w:lang w:val="en-US" w:eastAsia="zh-CN"/>
                <w14:textFill>
                  <w14:solidFill>
                    <w14:schemeClr w14:val="tx1"/>
                  </w14:solidFill>
                </w14:textFill>
              </w:rPr>
              <w:t>5</w:t>
            </w:r>
            <w:r>
              <w:rPr>
                <w:rFonts w:hint="eastAsia" w:hAnsi="Times New Roman"/>
                <w:b/>
                <w:bCs/>
                <w:color w:val="000000" w:themeColor="text1"/>
                <w:sz w:val="24"/>
                <w14:textFill>
                  <w14:solidFill>
                    <w14:schemeClr w14:val="tx1"/>
                  </w14:solidFill>
                </w14:textFill>
              </w:rPr>
              <w:t>、分析结论</w:t>
            </w:r>
          </w:p>
          <w:p w14:paraId="2644F825">
            <w:pPr>
              <w:pageBreakBefore w:val="0"/>
              <w:widowControl/>
              <w:wordWrap/>
              <w:topLinePunct w:val="0"/>
              <w:bidi w:val="0"/>
              <w:spacing w:line="360" w:lineRule="auto"/>
              <w:ind w:firstLine="480" w:firstLineChars="200"/>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综上</w:t>
            </w:r>
            <w:r>
              <w:rPr>
                <w:color w:val="000000" w:themeColor="text1"/>
                <w:kern w:val="0"/>
                <w:sz w:val="24"/>
                <w14:textFill>
                  <w14:solidFill>
                    <w14:schemeClr w14:val="tx1"/>
                  </w14:solidFill>
                </w14:textFill>
              </w:rPr>
              <w:t>，</w:t>
            </w:r>
            <w:r>
              <w:rPr>
                <w:rFonts w:hint="eastAsia"/>
                <w:color w:val="000000" w:themeColor="text1"/>
                <w:kern w:val="0"/>
                <w:sz w:val="24"/>
                <w14:textFill>
                  <w14:solidFill>
                    <w14:schemeClr w14:val="tx1"/>
                  </w14:solidFill>
                </w14:textFill>
              </w:rPr>
              <w:t>项目在</w:t>
            </w:r>
            <w:r>
              <w:rPr>
                <w:color w:val="000000" w:themeColor="text1"/>
                <w:kern w:val="0"/>
                <w:sz w:val="24"/>
                <w14:textFill>
                  <w14:solidFill>
                    <w14:schemeClr w14:val="tx1"/>
                  </w14:solidFill>
                </w14:textFill>
              </w:rPr>
              <w:t>采取</w:t>
            </w:r>
            <w:r>
              <w:rPr>
                <w:rFonts w:hint="eastAsia"/>
                <w:color w:val="000000" w:themeColor="text1"/>
                <w:kern w:val="0"/>
                <w:sz w:val="24"/>
                <w14:textFill>
                  <w14:solidFill>
                    <w14:schemeClr w14:val="tx1"/>
                  </w14:solidFill>
                </w14:textFill>
              </w:rPr>
              <w:t>了</w:t>
            </w:r>
            <w:r>
              <w:rPr>
                <w:color w:val="000000" w:themeColor="text1"/>
                <w:kern w:val="0"/>
                <w:sz w:val="24"/>
                <w14:textFill>
                  <w14:solidFill>
                    <w14:schemeClr w14:val="tx1"/>
                  </w14:solidFill>
                </w14:textFill>
              </w:rPr>
              <w:t>相应的环境风险</w:t>
            </w:r>
            <w:r>
              <w:rPr>
                <w:rFonts w:hint="eastAsia"/>
                <w:color w:val="000000" w:themeColor="text1"/>
                <w:kern w:val="0"/>
                <w:sz w:val="24"/>
                <w14:textFill>
                  <w14:solidFill>
                    <w14:schemeClr w14:val="tx1"/>
                  </w14:solidFill>
                </w14:textFill>
              </w:rPr>
              <w:t>防范</w:t>
            </w:r>
            <w:r>
              <w:rPr>
                <w:color w:val="000000" w:themeColor="text1"/>
                <w:kern w:val="0"/>
                <w:sz w:val="24"/>
                <w14:textFill>
                  <w14:solidFill>
                    <w14:schemeClr w14:val="tx1"/>
                  </w14:solidFill>
                </w14:textFill>
              </w:rPr>
              <w:t>措施，</w:t>
            </w:r>
            <w:r>
              <w:rPr>
                <w:rFonts w:hint="eastAsia"/>
                <w:color w:val="000000" w:themeColor="text1"/>
                <w:kern w:val="0"/>
                <w:sz w:val="24"/>
                <w14:textFill>
                  <w14:solidFill>
                    <w14:schemeClr w14:val="tx1"/>
                  </w14:solidFill>
                </w14:textFill>
              </w:rPr>
              <w:t>当发生突发环境事件时，立即启动应急预案并按应急预案要求采取应急措施后</w:t>
            </w:r>
            <w:r>
              <w:rPr>
                <w:color w:val="000000" w:themeColor="text1"/>
                <w:kern w:val="0"/>
                <w:sz w:val="24"/>
                <w14:textFill>
                  <w14:solidFill>
                    <w14:schemeClr w14:val="tx1"/>
                  </w14:solidFill>
                </w14:textFill>
              </w:rPr>
              <w:t>，</w:t>
            </w:r>
            <w:r>
              <w:rPr>
                <w:rFonts w:hint="eastAsia"/>
                <w:color w:val="000000" w:themeColor="text1"/>
                <w:kern w:val="0"/>
                <w:sz w:val="24"/>
                <w14:textFill>
                  <w14:solidFill>
                    <w14:schemeClr w14:val="tx1"/>
                  </w14:solidFill>
                </w14:textFill>
              </w:rPr>
              <w:t>项目</w:t>
            </w:r>
            <w:r>
              <w:rPr>
                <w:color w:val="000000" w:themeColor="text1"/>
                <w:kern w:val="0"/>
                <w:sz w:val="24"/>
                <w14:textFill>
                  <w14:solidFill>
                    <w14:schemeClr w14:val="tx1"/>
                  </w14:solidFill>
                </w14:textFill>
              </w:rPr>
              <w:t>环境风险</w:t>
            </w:r>
            <w:r>
              <w:rPr>
                <w:rFonts w:hint="eastAsia"/>
                <w:color w:val="000000" w:themeColor="text1"/>
                <w:kern w:val="0"/>
                <w:sz w:val="24"/>
                <w14:textFill>
                  <w14:solidFill>
                    <w14:schemeClr w14:val="tx1"/>
                  </w14:solidFill>
                </w14:textFill>
              </w:rPr>
              <w:t>可控</w:t>
            </w:r>
            <w:r>
              <w:rPr>
                <w:color w:val="000000" w:themeColor="text1"/>
                <w:kern w:val="0"/>
                <w:sz w:val="24"/>
                <w14:textFill>
                  <w14:solidFill>
                    <w14:schemeClr w14:val="tx1"/>
                  </w14:solidFill>
                </w14:textFill>
              </w:rPr>
              <w:t>。</w:t>
            </w:r>
          </w:p>
          <w:p w14:paraId="27BB4B2A">
            <w:pPr>
              <w:pStyle w:val="70"/>
              <w:pageBreakBefore w:val="0"/>
              <w:wordWrap/>
              <w:topLinePunct w:val="0"/>
              <w:bidi w:val="0"/>
              <w:jc w:val="center"/>
              <w:rPr>
                <w:rFonts w:ascii="Times New Roman" w:hAnsi="Times New Roman"/>
                <w:bCs/>
                <w:color w:val="000000" w:themeColor="text1"/>
                <w:kern w:val="2"/>
                <w:sz w:val="21"/>
                <w:szCs w:val="16"/>
                <w:highlight w:val="none"/>
                <w14:textFill>
                  <w14:solidFill>
                    <w14:schemeClr w14:val="tx1"/>
                  </w14:solidFill>
                </w14:textFill>
              </w:rPr>
            </w:pPr>
            <w:r>
              <w:rPr>
                <w:rFonts w:ascii="Times New Roman" w:hAnsi="Times New Roman"/>
                <w:bCs/>
                <w:color w:val="000000" w:themeColor="text1"/>
                <w:kern w:val="2"/>
                <w:sz w:val="21"/>
                <w:szCs w:val="16"/>
                <w:highlight w:val="none"/>
                <w14:textFill>
                  <w14:solidFill>
                    <w14:schemeClr w14:val="tx1"/>
                  </w14:solidFill>
                </w14:textFill>
              </w:rPr>
              <w:t>表4-</w:t>
            </w:r>
            <w:r>
              <w:rPr>
                <w:rFonts w:hint="eastAsia" w:ascii="Times New Roman" w:hAnsi="Times New Roman"/>
                <w:bCs/>
                <w:color w:val="000000" w:themeColor="text1"/>
                <w:kern w:val="2"/>
                <w:sz w:val="21"/>
                <w:szCs w:val="16"/>
                <w:highlight w:val="none"/>
                <w:lang w:val="en-US" w:eastAsia="zh-CN"/>
                <w14:textFill>
                  <w14:solidFill>
                    <w14:schemeClr w14:val="tx1"/>
                  </w14:solidFill>
                </w14:textFill>
              </w:rPr>
              <w:t>11</w:t>
            </w:r>
            <w:r>
              <w:rPr>
                <w:rFonts w:ascii="Times New Roman" w:hAnsi="Times New Roman"/>
                <w:bCs/>
                <w:color w:val="000000" w:themeColor="text1"/>
                <w:kern w:val="2"/>
                <w:sz w:val="21"/>
                <w:szCs w:val="16"/>
                <w:highlight w:val="none"/>
                <w14:textFill>
                  <w14:solidFill>
                    <w14:schemeClr w14:val="tx1"/>
                  </w14:solidFill>
                </w14:textFill>
              </w:rPr>
              <w:t xml:space="preserve">  建设项目环境风险简单分析内容表</w:t>
            </w:r>
          </w:p>
          <w:tbl>
            <w:tblPr>
              <w:tblStyle w:val="3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3"/>
              <w:gridCol w:w="1442"/>
              <w:gridCol w:w="1988"/>
              <w:gridCol w:w="1182"/>
              <w:gridCol w:w="1792"/>
            </w:tblGrid>
            <w:tr w14:paraId="55D42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18" w:type="pct"/>
                  <w:tcBorders>
                    <w:tl2br w:val="nil"/>
                    <w:tr2bl w:val="nil"/>
                  </w:tcBorders>
                  <w:vAlign w:val="center"/>
                </w:tcPr>
                <w:p w14:paraId="0FCF80C2">
                  <w:pPr>
                    <w:pStyle w:val="60"/>
                    <w:pageBreakBefore w:val="0"/>
                    <w:kinsoku w:val="0"/>
                    <w:wordWrap/>
                    <w:overflowPunct w:val="0"/>
                    <w:topLinePunct w:val="0"/>
                    <w:autoSpaceDE w:val="0"/>
                    <w:autoSpaceDN w:val="0"/>
                    <w:bidi w:val="0"/>
                    <w:adjustRightInd w:val="0"/>
                    <w:snapToGrid w:val="0"/>
                    <w:spacing w:before="0"/>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建设项目名称</w:t>
                  </w:r>
                </w:p>
              </w:tc>
              <w:tc>
                <w:tcPr>
                  <w:tcW w:w="3781" w:type="pct"/>
                  <w:gridSpan w:val="4"/>
                  <w:tcBorders>
                    <w:tl2br w:val="nil"/>
                    <w:tr2bl w:val="nil"/>
                  </w:tcBorders>
                  <w:vAlign w:val="center"/>
                </w:tcPr>
                <w:p w14:paraId="4E6D282B">
                  <w:pPr>
                    <w:pStyle w:val="60"/>
                    <w:pageBreakBefore w:val="0"/>
                    <w:kinsoku w:val="0"/>
                    <w:wordWrap/>
                    <w:overflowPunct w:val="0"/>
                    <w:topLinePunct w:val="0"/>
                    <w:autoSpaceDE w:val="0"/>
                    <w:autoSpaceDN w:val="0"/>
                    <w:bidi w:val="0"/>
                    <w:adjustRightInd w:val="0"/>
                    <w:snapToGrid w:val="0"/>
                    <w:spacing w:before="0"/>
                    <w:jc w:val="center"/>
                    <w:rPr>
                      <w:rFonts w:ascii="Times New Roman" w:hAnsi="Times New Roman" w:cs="Times New Roman"/>
                      <w:color w:val="000000" w:themeColor="text1"/>
                      <w:sz w:val="21"/>
                      <w:szCs w:val="21"/>
                      <w:lang w:val="en-US"/>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密胺餐具智能化生产基地建设项目</w:t>
                  </w:r>
                </w:p>
              </w:tc>
            </w:tr>
            <w:tr w14:paraId="7BD6D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18" w:type="pct"/>
                  <w:tcBorders>
                    <w:tl2br w:val="nil"/>
                    <w:tr2bl w:val="nil"/>
                  </w:tcBorders>
                  <w:vAlign w:val="center"/>
                </w:tcPr>
                <w:p w14:paraId="33E798B9">
                  <w:pPr>
                    <w:pStyle w:val="60"/>
                    <w:pageBreakBefore w:val="0"/>
                    <w:kinsoku w:val="0"/>
                    <w:wordWrap/>
                    <w:overflowPunct w:val="0"/>
                    <w:topLinePunct w:val="0"/>
                    <w:autoSpaceDE w:val="0"/>
                    <w:autoSpaceDN w:val="0"/>
                    <w:bidi w:val="0"/>
                    <w:adjustRightInd w:val="0"/>
                    <w:snapToGrid w:val="0"/>
                    <w:spacing w:before="0"/>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建设地点</w:t>
                  </w:r>
                </w:p>
              </w:tc>
              <w:tc>
                <w:tcPr>
                  <w:tcW w:w="3781" w:type="pct"/>
                  <w:gridSpan w:val="4"/>
                  <w:tcBorders>
                    <w:tl2br w:val="nil"/>
                    <w:tr2bl w:val="nil"/>
                  </w:tcBorders>
                  <w:vAlign w:val="center"/>
                </w:tcPr>
                <w:p w14:paraId="1C27CCB7">
                  <w:pPr>
                    <w:pStyle w:val="60"/>
                    <w:pageBreakBefore w:val="0"/>
                    <w:kinsoku w:val="0"/>
                    <w:wordWrap/>
                    <w:overflowPunct w:val="0"/>
                    <w:topLinePunct w:val="0"/>
                    <w:autoSpaceDE w:val="0"/>
                    <w:autoSpaceDN w:val="0"/>
                    <w:bidi w:val="0"/>
                    <w:adjustRightInd w:val="0"/>
                    <w:snapToGrid w:val="0"/>
                    <w:spacing w:before="0"/>
                    <w:jc w:val="center"/>
                    <w:rPr>
                      <w:rFonts w:hint="default" w:ascii="Times New Roman" w:hAnsi="Times New Roman" w:cs="Times New Roman"/>
                      <w:color w:val="000000" w:themeColor="text1"/>
                      <w:sz w:val="21"/>
                      <w:szCs w:val="21"/>
                      <w:lang w:val="en-US"/>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易门工业园区麦子田片区云南联帆建材科技有限公司厂房</w:t>
                  </w:r>
                </w:p>
              </w:tc>
            </w:tr>
            <w:tr w14:paraId="2C67E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18" w:type="pct"/>
                  <w:tcBorders>
                    <w:tl2br w:val="nil"/>
                    <w:tr2bl w:val="nil"/>
                  </w:tcBorders>
                  <w:vAlign w:val="center"/>
                </w:tcPr>
                <w:p w14:paraId="026D2C22">
                  <w:pPr>
                    <w:pStyle w:val="60"/>
                    <w:pageBreakBefore w:val="0"/>
                    <w:kinsoku w:val="0"/>
                    <w:wordWrap/>
                    <w:overflowPunct w:val="0"/>
                    <w:topLinePunct w:val="0"/>
                    <w:autoSpaceDE w:val="0"/>
                    <w:autoSpaceDN w:val="0"/>
                    <w:bidi w:val="0"/>
                    <w:adjustRightInd w:val="0"/>
                    <w:snapToGrid w:val="0"/>
                    <w:spacing w:before="0"/>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地理坐标</w:t>
                  </w:r>
                </w:p>
              </w:tc>
              <w:tc>
                <w:tcPr>
                  <w:tcW w:w="851" w:type="pct"/>
                  <w:tcBorders>
                    <w:tl2br w:val="nil"/>
                    <w:tr2bl w:val="nil"/>
                  </w:tcBorders>
                  <w:vAlign w:val="center"/>
                </w:tcPr>
                <w:p w14:paraId="50EF8E49">
                  <w:pPr>
                    <w:pStyle w:val="60"/>
                    <w:pageBreakBefore w:val="0"/>
                    <w:kinsoku w:val="0"/>
                    <w:wordWrap/>
                    <w:overflowPunct w:val="0"/>
                    <w:topLinePunct w:val="0"/>
                    <w:autoSpaceDE w:val="0"/>
                    <w:autoSpaceDN w:val="0"/>
                    <w:bidi w:val="0"/>
                    <w:adjustRightInd w:val="0"/>
                    <w:snapToGrid w:val="0"/>
                    <w:spacing w:before="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经度</w:t>
                  </w:r>
                </w:p>
              </w:tc>
              <w:tc>
                <w:tcPr>
                  <w:tcW w:w="1173" w:type="pct"/>
                  <w:tcBorders>
                    <w:tl2br w:val="nil"/>
                    <w:tr2bl w:val="nil"/>
                  </w:tcBorders>
                  <w:vAlign w:val="center"/>
                </w:tcPr>
                <w:p w14:paraId="0D40591F">
                  <w:pPr>
                    <w:pStyle w:val="60"/>
                    <w:pageBreakBefore w:val="0"/>
                    <w:kinsoku w:val="0"/>
                    <w:wordWrap/>
                    <w:overflowPunct w:val="0"/>
                    <w:topLinePunct w:val="0"/>
                    <w:autoSpaceDE w:val="0"/>
                    <w:autoSpaceDN w:val="0"/>
                    <w:bidi w:val="0"/>
                    <w:adjustRightInd w:val="0"/>
                    <w:snapToGrid w:val="0"/>
                    <w:spacing w:before="0"/>
                    <w:jc w:val="center"/>
                    <w:rPr>
                      <w:rFonts w:ascii="Times New Roman" w:hAnsi="Times New Roman" w:cs="Times New Roman"/>
                      <w:color w:val="000000" w:themeColor="text1"/>
                      <w:sz w:val="21"/>
                      <w:szCs w:val="21"/>
                      <w:lang w:val="en-US"/>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102</w:t>
                  </w:r>
                  <w:r>
                    <w:rPr>
                      <w:rFonts w:ascii="Times New Roman" w:hAnsi="Times New Roman" w:cs="Times New Roman"/>
                      <w:color w:val="000000" w:themeColor="text1"/>
                      <w:sz w:val="21"/>
                      <w:szCs w:val="21"/>
                      <w:lang w:val="en-US"/>
                      <w14:textFill>
                        <w14:solidFill>
                          <w14:schemeClr w14:val="tx1"/>
                        </w14:solidFill>
                      </w14:textFill>
                    </w:rPr>
                    <w:t>°</w:t>
                  </w:r>
                  <w:r>
                    <w:rPr>
                      <w:rFonts w:hint="eastAsia" w:ascii="Times New Roman" w:hAnsi="Times New Roman" w:cs="Times New Roman"/>
                      <w:color w:val="000000" w:themeColor="text1"/>
                      <w:sz w:val="21"/>
                      <w:szCs w:val="21"/>
                      <w:lang w:val="en-US" w:eastAsia="zh-CN"/>
                      <w14:textFill>
                        <w14:solidFill>
                          <w14:schemeClr w14:val="tx1"/>
                        </w14:solidFill>
                      </w14:textFill>
                    </w:rPr>
                    <w:t>13</w:t>
                  </w:r>
                  <w:r>
                    <w:rPr>
                      <w:rFonts w:ascii="Times New Roman" w:hAnsi="Times New Roman" w:cs="Times New Roman"/>
                      <w:color w:val="000000" w:themeColor="text1"/>
                      <w:sz w:val="21"/>
                      <w:szCs w:val="21"/>
                      <w14:textFill>
                        <w14:solidFill>
                          <w14:schemeClr w14:val="tx1"/>
                        </w14:solidFill>
                      </w14:textFill>
                    </w:rPr>
                    <w:t>′</w:t>
                  </w:r>
                  <w:r>
                    <w:rPr>
                      <w:rFonts w:hint="eastAsia" w:ascii="Times New Roman" w:hAnsi="Times New Roman" w:cs="Times New Roman"/>
                      <w:color w:val="000000" w:themeColor="text1"/>
                      <w:sz w:val="21"/>
                      <w:szCs w:val="21"/>
                      <w:lang w:val="en-US" w:eastAsia="zh-CN"/>
                      <w14:textFill>
                        <w14:solidFill>
                          <w14:schemeClr w14:val="tx1"/>
                        </w14:solidFill>
                      </w14:textFill>
                    </w:rPr>
                    <w:t>01.081</w:t>
                  </w:r>
                  <w:r>
                    <w:rPr>
                      <w:rFonts w:ascii="Times New Roman" w:hAnsi="Times New Roman" w:cs="Times New Roman"/>
                      <w:color w:val="000000" w:themeColor="text1"/>
                      <w:sz w:val="21"/>
                      <w:szCs w:val="21"/>
                      <w14:textFill>
                        <w14:solidFill>
                          <w14:schemeClr w14:val="tx1"/>
                        </w14:solidFill>
                      </w14:textFill>
                    </w:rPr>
                    <w:t>″</w:t>
                  </w:r>
                </w:p>
              </w:tc>
              <w:tc>
                <w:tcPr>
                  <w:tcW w:w="698" w:type="pct"/>
                  <w:tcBorders>
                    <w:tl2br w:val="nil"/>
                    <w:tr2bl w:val="nil"/>
                  </w:tcBorders>
                  <w:vAlign w:val="center"/>
                </w:tcPr>
                <w:p w14:paraId="756F4A48">
                  <w:pPr>
                    <w:pStyle w:val="60"/>
                    <w:pageBreakBefore w:val="0"/>
                    <w:kinsoku w:val="0"/>
                    <w:wordWrap/>
                    <w:overflowPunct w:val="0"/>
                    <w:topLinePunct w:val="0"/>
                    <w:autoSpaceDE w:val="0"/>
                    <w:autoSpaceDN w:val="0"/>
                    <w:bidi w:val="0"/>
                    <w:adjustRightInd w:val="0"/>
                    <w:snapToGrid w:val="0"/>
                    <w:spacing w:before="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纬度</w:t>
                  </w:r>
                </w:p>
              </w:tc>
              <w:tc>
                <w:tcPr>
                  <w:tcW w:w="1058" w:type="pct"/>
                  <w:tcBorders>
                    <w:tl2br w:val="nil"/>
                    <w:tr2bl w:val="nil"/>
                  </w:tcBorders>
                  <w:vAlign w:val="center"/>
                </w:tcPr>
                <w:p w14:paraId="519EF832">
                  <w:pPr>
                    <w:pStyle w:val="60"/>
                    <w:pageBreakBefore w:val="0"/>
                    <w:kinsoku w:val="0"/>
                    <w:wordWrap/>
                    <w:overflowPunct w:val="0"/>
                    <w:topLinePunct w:val="0"/>
                    <w:autoSpaceDE w:val="0"/>
                    <w:autoSpaceDN w:val="0"/>
                    <w:bidi w:val="0"/>
                    <w:adjustRightInd w:val="0"/>
                    <w:snapToGrid w:val="0"/>
                    <w:spacing w:before="0"/>
                    <w:jc w:val="center"/>
                    <w:rPr>
                      <w:rFonts w:ascii="Times New Roman" w:hAnsi="Times New Roman" w:cs="Times New Roman"/>
                      <w:color w:val="000000" w:themeColor="text1"/>
                      <w:sz w:val="21"/>
                      <w:szCs w:val="21"/>
                      <w:lang w:val="en-US"/>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2</w:t>
                  </w:r>
                  <w:r>
                    <w:rPr>
                      <w:rFonts w:hint="eastAsia" w:ascii="Times New Roman" w:hAnsi="Times New Roman" w:cs="Times New Roman"/>
                      <w:color w:val="000000" w:themeColor="text1"/>
                      <w:sz w:val="21"/>
                      <w:szCs w:val="21"/>
                      <w:lang w:val="en-US" w:eastAsia="zh-CN"/>
                      <w14:textFill>
                        <w14:solidFill>
                          <w14:schemeClr w14:val="tx1"/>
                        </w14:solidFill>
                      </w14:textFill>
                    </w:rPr>
                    <w:t>4</w:t>
                  </w:r>
                  <w:r>
                    <w:rPr>
                      <w:rFonts w:ascii="Times New Roman" w:hAnsi="Times New Roman" w:cs="Times New Roman"/>
                      <w:color w:val="000000" w:themeColor="text1"/>
                      <w:sz w:val="21"/>
                      <w:szCs w:val="21"/>
                      <w:lang w:val="en-US"/>
                      <w14:textFill>
                        <w14:solidFill>
                          <w14:schemeClr w14:val="tx1"/>
                        </w14:solidFill>
                      </w14:textFill>
                    </w:rPr>
                    <w:t>°</w:t>
                  </w:r>
                  <w:r>
                    <w:rPr>
                      <w:rFonts w:hint="eastAsia" w:ascii="Times New Roman" w:hAnsi="Times New Roman" w:cs="Times New Roman"/>
                      <w:color w:val="000000" w:themeColor="text1"/>
                      <w:sz w:val="21"/>
                      <w:szCs w:val="21"/>
                      <w:lang w:val="en-US" w:eastAsia="zh-CN"/>
                      <w14:textFill>
                        <w14:solidFill>
                          <w14:schemeClr w14:val="tx1"/>
                        </w14:solidFill>
                      </w14:textFill>
                    </w:rPr>
                    <w:t>47</w:t>
                  </w:r>
                  <w:r>
                    <w:rPr>
                      <w:rFonts w:ascii="Times New Roman" w:hAnsi="Times New Roman" w:cs="Times New Roman"/>
                      <w:color w:val="000000" w:themeColor="text1"/>
                      <w:sz w:val="21"/>
                      <w:szCs w:val="21"/>
                      <w14:textFill>
                        <w14:solidFill>
                          <w14:schemeClr w14:val="tx1"/>
                        </w14:solidFill>
                      </w14:textFill>
                    </w:rPr>
                    <w:t>′</w:t>
                  </w:r>
                  <w:r>
                    <w:rPr>
                      <w:rFonts w:hint="eastAsia" w:ascii="Times New Roman" w:hAnsi="Times New Roman" w:cs="Times New Roman"/>
                      <w:color w:val="000000" w:themeColor="text1"/>
                      <w:sz w:val="21"/>
                      <w:szCs w:val="21"/>
                      <w:lang w:val="en-US" w:eastAsia="zh-CN"/>
                      <w14:textFill>
                        <w14:solidFill>
                          <w14:schemeClr w14:val="tx1"/>
                        </w14:solidFill>
                      </w14:textFill>
                    </w:rPr>
                    <w:t>14.921</w:t>
                  </w:r>
                  <w:r>
                    <w:rPr>
                      <w:rFonts w:ascii="Times New Roman" w:hAnsi="Times New Roman" w:cs="Times New Roman"/>
                      <w:color w:val="000000" w:themeColor="text1"/>
                      <w:sz w:val="21"/>
                      <w:szCs w:val="21"/>
                      <w14:textFill>
                        <w14:solidFill>
                          <w14:schemeClr w14:val="tx1"/>
                        </w14:solidFill>
                      </w14:textFill>
                    </w:rPr>
                    <w:t>″</w:t>
                  </w:r>
                </w:p>
              </w:tc>
            </w:tr>
            <w:tr w14:paraId="75D9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18" w:type="pct"/>
                  <w:tcBorders>
                    <w:tl2br w:val="nil"/>
                    <w:tr2bl w:val="nil"/>
                  </w:tcBorders>
                  <w:vAlign w:val="center"/>
                </w:tcPr>
                <w:p w14:paraId="7E771270">
                  <w:pPr>
                    <w:pStyle w:val="60"/>
                    <w:pageBreakBefore w:val="0"/>
                    <w:kinsoku w:val="0"/>
                    <w:wordWrap/>
                    <w:overflowPunct w:val="0"/>
                    <w:topLinePunct w:val="0"/>
                    <w:autoSpaceDE w:val="0"/>
                    <w:autoSpaceDN w:val="0"/>
                    <w:bidi w:val="0"/>
                    <w:adjustRightInd w:val="0"/>
                    <w:snapToGrid w:val="0"/>
                    <w:spacing w:before="0"/>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主要危险物质</w:t>
                  </w:r>
                </w:p>
                <w:p w14:paraId="36B588BA">
                  <w:pPr>
                    <w:pStyle w:val="60"/>
                    <w:pageBreakBefore w:val="0"/>
                    <w:kinsoku w:val="0"/>
                    <w:wordWrap/>
                    <w:overflowPunct w:val="0"/>
                    <w:topLinePunct w:val="0"/>
                    <w:autoSpaceDE w:val="0"/>
                    <w:autoSpaceDN w:val="0"/>
                    <w:bidi w:val="0"/>
                    <w:adjustRightInd w:val="0"/>
                    <w:snapToGrid w:val="0"/>
                    <w:spacing w:before="0"/>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及分布</w:t>
                  </w:r>
                </w:p>
              </w:tc>
              <w:tc>
                <w:tcPr>
                  <w:tcW w:w="3781" w:type="pct"/>
                  <w:gridSpan w:val="4"/>
                  <w:tcBorders>
                    <w:tl2br w:val="nil"/>
                    <w:tr2bl w:val="nil"/>
                  </w:tcBorders>
                  <w:vAlign w:val="center"/>
                </w:tcPr>
                <w:p w14:paraId="556BB7C2">
                  <w:pPr>
                    <w:pStyle w:val="60"/>
                    <w:pageBreakBefore w:val="0"/>
                    <w:kinsoku w:val="0"/>
                    <w:wordWrap/>
                    <w:overflowPunct w:val="0"/>
                    <w:topLinePunct w:val="0"/>
                    <w:autoSpaceDE w:val="0"/>
                    <w:autoSpaceDN w:val="0"/>
                    <w:bidi w:val="0"/>
                    <w:adjustRightInd w:val="0"/>
                    <w:snapToGrid w:val="0"/>
                    <w:spacing w:before="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润滑油与液压油暂存于原料库内，废润滑油与废液压油暂存于危险废物贮存间内</w:t>
                  </w:r>
                </w:p>
              </w:tc>
            </w:tr>
            <w:tr w14:paraId="54A66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18" w:type="pct"/>
                  <w:tcBorders>
                    <w:tl2br w:val="nil"/>
                    <w:tr2bl w:val="nil"/>
                  </w:tcBorders>
                  <w:vAlign w:val="center"/>
                </w:tcPr>
                <w:p w14:paraId="70530674">
                  <w:pPr>
                    <w:pStyle w:val="60"/>
                    <w:pageBreakBefore w:val="0"/>
                    <w:kinsoku w:val="0"/>
                    <w:wordWrap/>
                    <w:overflowPunct w:val="0"/>
                    <w:topLinePunct w:val="0"/>
                    <w:autoSpaceDE w:val="0"/>
                    <w:autoSpaceDN w:val="0"/>
                    <w:bidi w:val="0"/>
                    <w:adjustRightInd w:val="0"/>
                    <w:snapToGrid w:val="0"/>
                    <w:spacing w:before="0"/>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环境影响途径及</w:t>
                  </w:r>
                </w:p>
                <w:p w14:paraId="3E67D390">
                  <w:pPr>
                    <w:pStyle w:val="60"/>
                    <w:pageBreakBefore w:val="0"/>
                    <w:kinsoku w:val="0"/>
                    <w:wordWrap/>
                    <w:overflowPunct w:val="0"/>
                    <w:topLinePunct w:val="0"/>
                    <w:autoSpaceDE w:val="0"/>
                    <w:autoSpaceDN w:val="0"/>
                    <w:bidi w:val="0"/>
                    <w:adjustRightInd w:val="0"/>
                    <w:snapToGrid w:val="0"/>
                    <w:spacing w:before="0"/>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危害后果</w:t>
                  </w:r>
                  <w:r>
                    <w:rPr>
                      <w:rFonts w:hint="eastAsia" w:ascii="Times New Roman" w:hAnsi="Times New Roman" w:cs="Times New Roman"/>
                      <w:b/>
                      <w:bCs/>
                      <w:color w:val="000000" w:themeColor="text1"/>
                      <w:sz w:val="21"/>
                      <w:szCs w:val="21"/>
                      <w14:textFill>
                        <w14:solidFill>
                          <w14:schemeClr w14:val="tx1"/>
                        </w14:solidFill>
                      </w14:textFill>
                    </w:rPr>
                    <w:t>（大气</w:t>
                  </w:r>
                  <w:r>
                    <w:rPr>
                      <w:rFonts w:ascii="Times New Roman" w:hAnsi="Times New Roman" w:cs="Times New Roman"/>
                      <w:b/>
                      <w:bCs/>
                      <w:color w:val="000000" w:themeColor="text1"/>
                      <w:sz w:val="21"/>
                      <w:szCs w:val="21"/>
                      <w14:textFill>
                        <w14:solidFill>
                          <w14:schemeClr w14:val="tx1"/>
                        </w14:solidFill>
                      </w14:textFill>
                    </w:rPr>
                    <w:t>、</w:t>
                  </w:r>
                  <w:r>
                    <w:rPr>
                      <w:rFonts w:hint="eastAsia" w:ascii="Times New Roman" w:hAnsi="Times New Roman" w:cs="Times New Roman"/>
                      <w:b/>
                      <w:bCs/>
                      <w:color w:val="000000" w:themeColor="text1"/>
                      <w:sz w:val="21"/>
                      <w:szCs w:val="21"/>
                      <w14:textFill>
                        <w14:solidFill>
                          <w14:schemeClr w14:val="tx1"/>
                        </w14:solidFill>
                      </w14:textFill>
                    </w:rPr>
                    <w:t>地表</w:t>
                  </w:r>
                  <w:r>
                    <w:rPr>
                      <w:rFonts w:ascii="Times New Roman" w:hAnsi="Times New Roman" w:cs="Times New Roman"/>
                      <w:b/>
                      <w:bCs/>
                      <w:color w:val="000000" w:themeColor="text1"/>
                      <w:sz w:val="21"/>
                      <w:szCs w:val="21"/>
                      <w14:textFill>
                        <w14:solidFill>
                          <w14:schemeClr w14:val="tx1"/>
                        </w14:solidFill>
                      </w14:textFill>
                    </w:rPr>
                    <w:t>水、</w:t>
                  </w:r>
                  <w:r>
                    <w:rPr>
                      <w:rFonts w:hint="eastAsia" w:ascii="Times New Roman" w:hAnsi="Times New Roman" w:cs="Times New Roman"/>
                      <w:b/>
                      <w:bCs/>
                      <w:color w:val="000000" w:themeColor="text1"/>
                      <w:sz w:val="21"/>
                      <w:szCs w:val="21"/>
                      <w14:textFill>
                        <w14:solidFill>
                          <w14:schemeClr w14:val="tx1"/>
                        </w14:solidFill>
                      </w14:textFill>
                    </w:rPr>
                    <w:t>地下</w:t>
                  </w:r>
                  <w:r>
                    <w:rPr>
                      <w:rFonts w:ascii="Times New Roman" w:hAnsi="Times New Roman" w:cs="Times New Roman"/>
                      <w:b/>
                      <w:bCs/>
                      <w:color w:val="000000" w:themeColor="text1"/>
                      <w:sz w:val="21"/>
                      <w:szCs w:val="21"/>
                      <w14:textFill>
                        <w14:solidFill>
                          <w14:schemeClr w14:val="tx1"/>
                        </w14:solidFill>
                      </w14:textFill>
                    </w:rPr>
                    <w:t>水等</w:t>
                  </w:r>
                  <w:r>
                    <w:rPr>
                      <w:rFonts w:hint="eastAsia" w:ascii="Times New Roman" w:hAnsi="Times New Roman" w:cs="Times New Roman"/>
                      <w:b/>
                      <w:bCs/>
                      <w:color w:val="000000" w:themeColor="text1"/>
                      <w:sz w:val="21"/>
                      <w:szCs w:val="21"/>
                      <w14:textFill>
                        <w14:solidFill>
                          <w14:schemeClr w14:val="tx1"/>
                        </w14:solidFill>
                      </w14:textFill>
                    </w:rPr>
                    <w:t>）</w:t>
                  </w:r>
                </w:p>
              </w:tc>
              <w:tc>
                <w:tcPr>
                  <w:tcW w:w="3781" w:type="pct"/>
                  <w:gridSpan w:val="4"/>
                  <w:tcBorders>
                    <w:tl2br w:val="nil"/>
                    <w:tr2bl w:val="nil"/>
                  </w:tcBorders>
                  <w:vAlign w:val="center"/>
                </w:tcPr>
                <w:p w14:paraId="0B1FE572">
                  <w:pPr>
                    <w:pageBreakBefore w:val="0"/>
                    <w:widowControl w:val="0"/>
                    <w:wordWrap/>
                    <w:topLinePunct w:val="0"/>
                    <w:bidi w:val="0"/>
                    <w:adjustRightInd w:val="0"/>
                    <w:snapToGrid w:val="0"/>
                    <w:ind w:right="0" w:firstLine="0" w:firstLineChars="0"/>
                    <w:jc w:val="left"/>
                    <w:rPr>
                      <w:rFonts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b/>
                      <w:bCs/>
                      <w:color w:val="000000" w:themeColor="text1"/>
                      <w:kern w:val="2"/>
                      <w:sz w:val="21"/>
                      <w:szCs w:val="21"/>
                      <w:lang w:val="en-US" w:eastAsia="zh-CN" w:bidi="ar-SA"/>
                      <w14:textFill>
                        <w14:solidFill>
                          <w14:schemeClr w14:val="tx1"/>
                        </w14:solidFill>
                      </w14:textFill>
                    </w:rPr>
                    <w:t>（1）大气</w:t>
                  </w:r>
                </w:p>
                <w:p w14:paraId="4DF12134">
                  <w:pPr>
                    <w:pageBreakBefore w:val="0"/>
                    <w:widowControl w:val="0"/>
                    <w:wordWrap/>
                    <w:topLinePunct w:val="0"/>
                    <w:bidi w:val="0"/>
                    <w:adjustRightInd w:val="0"/>
                    <w:snapToGrid w:val="0"/>
                    <w:ind w:right="0" w:firstLine="0" w:firstLineChars="0"/>
                    <w:jc w:val="left"/>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发生火灾时，将污染大气环境</w:t>
                  </w: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p w14:paraId="575432A3">
                  <w:pPr>
                    <w:pageBreakBefore w:val="0"/>
                    <w:widowControl w:val="0"/>
                    <w:wordWrap/>
                    <w:topLinePunct w:val="0"/>
                    <w:bidi w:val="0"/>
                    <w:adjustRightInd w:val="0"/>
                    <w:snapToGrid w:val="0"/>
                    <w:ind w:right="0" w:firstLine="0" w:firstLineChars="0"/>
                    <w:jc w:val="left"/>
                    <w:rPr>
                      <w:rFonts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b/>
                      <w:bCs/>
                      <w:color w:val="000000" w:themeColor="text1"/>
                      <w:kern w:val="2"/>
                      <w:sz w:val="21"/>
                      <w:szCs w:val="21"/>
                      <w:lang w:val="en-US" w:eastAsia="zh-CN" w:bidi="ar-SA"/>
                      <w14:textFill>
                        <w14:solidFill>
                          <w14:schemeClr w14:val="tx1"/>
                        </w14:solidFill>
                      </w14:textFill>
                    </w:rPr>
                    <w:t>（2）地表水</w:t>
                  </w:r>
                </w:p>
                <w:p w14:paraId="2D33979E">
                  <w:pPr>
                    <w:pageBreakBefore w:val="0"/>
                    <w:widowControl w:val="0"/>
                    <w:wordWrap/>
                    <w:topLinePunct w:val="0"/>
                    <w:bidi w:val="0"/>
                    <w:adjustRightInd w:val="0"/>
                    <w:snapToGrid w:val="0"/>
                    <w:ind w:right="0" w:firstLine="0" w:firstLineChars="0"/>
                    <w:jc w:val="left"/>
                    <w:rPr>
                      <w:rFonts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火灾灭火产生消防废水处置不当进入地表水后</w:t>
                  </w: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将对地表水环境产生污染。</w:t>
                  </w:r>
                </w:p>
                <w:p w14:paraId="552EDC19">
                  <w:pPr>
                    <w:pStyle w:val="69"/>
                    <w:pageBreakBefore w:val="0"/>
                    <w:wordWrap/>
                    <w:topLinePunct w:val="0"/>
                    <w:bidi w:val="0"/>
                    <w:adjustRightInd w:val="0"/>
                    <w:snapToGrid w:val="0"/>
                    <w:ind w:right="0" w:firstLine="0" w:firstLineChars="0"/>
                    <w:jc w:val="left"/>
                    <w:rPr>
                      <w:rFonts w:hint="eastAsia" w:hAnsi="Times New Roman"/>
                      <w:b/>
                      <w:bCs/>
                      <w:color w:val="000000" w:themeColor="text1"/>
                      <w:sz w:val="21"/>
                      <w:szCs w:val="21"/>
                      <w:lang w:eastAsia="zh-CN"/>
                      <w14:textFill>
                        <w14:solidFill>
                          <w14:schemeClr w14:val="tx1"/>
                        </w14:solidFill>
                      </w14:textFill>
                    </w:rPr>
                  </w:pPr>
                  <w:r>
                    <w:rPr>
                      <w:rFonts w:hint="eastAsia" w:hAnsi="Times New Roman"/>
                      <w:b/>
                      <w:bCs/>
                      <w:color w:val="000000" w:themeColor="text1"/>
                      <w:sz w:val="21"/>
                      <w:szCs w:val="21"/>
                      <w:lang w:eastAsia="zh-CN"/>
                      <w14:textFill>
                        <w14:solidFill>
                          <w14:schemeClr w14:val="tx1"/>
                        </w14:solidFill>
                      </w14:textFill>
                    </w:rPr>
                    <w:t>（</w:t>
                  </w:r>
                  <w:r>
                    <w:rPr>
                      <w:rFonts w:hint="eastAsia" w:hAnsi="Times New Roman"/>
                      <w:b/>
                      <w:bCs/>
                      <w:color w:val="000000" w:themeColor="text1"/>
                      <w:sz w:val="21"/>
                      <w:szCs w:val="21"/>
                      <w:lang w:val="en-US" w:eastAsia="zh-CN"/>
                      <w14:textFill>
                        <w14:solidFill>
                          <w14:schemeClr w14:val="tx1"/>
                        </w14:solidFill>
                      </w14:textFill>
                    </w:rPr>
                    <w:t>3</w:t>
                  </w:r>
                  <w:r>
                    <w:rPr>
                      <w:rFonts w:hint="eastAsia" w:hAnsi="Times New Roman"/>
                      <w:b/>
                      <w:bCs/>
                      <w:color w:val="000000" w:themeColor="text1"/>
                      <w:sz w:val="21"/>
                      <w:szCs w:val="21"/>
                      <w:lang w:eastAsia="zh-CN"/>
                      <w14:textFill>
                        <w14:solidFill>
                          <w14:schemeClr w14:val="tx1"/>
                        </w14:solidFill>
                      </w14:textFill>
                    </w:rPr>
                    <w:t>）</w:t>
                  </w:r>
                  <w:r>
                    <w:rPr>
                      <w:rFonts w:hint="eastAsia" w:hAnsi="Times New Roman"/>
                      <w:b/>
                      <w:bCs/>
                      <w:color w:val="000000" w:themeColor="text1"/>
                      <w:sz w:val="21"/>
                      <w:szCs w:val="21"/>
                      <w:lang w:val="en-US" w:eastAsia="zh-CN"/>
                      <w14:textFill>
                        <w14:solidFill>
                          <w14:schemeClr w14:val="tx1"/>
                        </w14:solidFill>
                      </w14:textFill>
                    </w:rPr>
                    <w:t>地下水</w:t>
                  </w:r>
                </w:p>
                <w:p w14:paraId="048542DB">
                  <w:pPr>
                    <w:pStyle w:val="69"/>
                    <w:pageBreakBefore w:val="0"/>
                    <w:wordWrap/>
                    <w:topLinePunct w:val="0"/>
                    <w:bidi w:val="0"/>
                    <w:adjustRightInd w:val="0"/>
                    <w:snapToGrid w:val="0"/>
                    <w:ind w:right="0" w:firstLine="0" w:firstLineChars="0"/>
                    <w:jc w:val="left"/>
                    <w:rPr>
                      <w:rFonts w:hint="default" w:hAnsi="Times New Roman" w:eastAsia="宋体"/>
                      <w:color w:val="000000" w:themeColor="text1"/>
                      <w:sz w:val="21"/>
                      <w:szCs w:val="21"/>
                      <w:lang w:val="en-US" w:eastAsia="zh-CN"/>
                      <w14:textFill>
                        <w14:solidFill>
                          <w14:schemeClr w14:val="tx1"/>
                        </w14:solidFill>
                      </w14:textFill>
                    </w:rPr>
                  </w:pPr>
                  <w:r>
                    <w:rPr>
                      <w:rFonts w:hint="eastAsia" w:hAnsi="Times New Roman"/>
                      <w:color w:val="000000" w:themeColor="text1"/>
                      <w:sz w:val="21"/>
                      <w:szCs w:val="21"/>
                      <w:lang w:val="en-US" w:eastAsia="zh-CN"/>
                      <w14:textFill>
                        <w14:solidFill>
                          <w14:schemeClr w14:val="tx1"/>
                        </w14:solidFill>
                      </w14:textFill>
                    </w:rPr>
                    <w:t>油类物质</w:t>
                  </w:r>
                  <w:r>
                    <w:rPr>
                      <w:rFonts w:hint="default" w:hAnsi="Times New Roman" w:eastAsia="宋体"/>
                      <w:color w:val="000000" w:themeColor="text1"/>
                      <w:sz w:val="21"/>
                      <w:szCs w:val="21"/>
                      <w:lang w:val="en-US" w:eastAsia="zh-CN"/>
                      <w14:textFill>
                        <w14:solidFill>
                          <w14:schemeClr w14:val="tx1"/>
                        </w14:solidFill>
                      </w14:textFill>
                    </w:rPr>
                    <w:t>发生泄漏，通过下渗影响地下水水质。</w:t>
                  </w:r>
                </w:p>
              </w:tc>
            </w:tr>
            <w:tr w14:paraId="62372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18" w:type="pct"/>
                  <w:tcBorders>
                    <w:tl2br w:val="nil"/>
                    <w:tr2bl w:val="nil"/>
                  </w:tcBorders>
                  <w:vAlign w:val="center"/>
                </w:tcPr>
                <w:p w14:paraId="1D1650B1">
                  <w:pPr>
                    <w:pStyle w:val="60"/>
                    <w:pageBreakBefore w:val="0"/>
                    <w:kinsoku w:val="0"/>
                    <w:wordWrap/>
                    <w:overflowPunct w:val="0"/>
                    <w:topLinePunct w:val="0"/>
                    <w:autoSpaceDE w:val="0"/>
                    <w:autoSpaceDN w:val="0"/>
                    <w:bidi w:val="0"/>
                    <w:adjustRightInd w:val="0"/>
                    <w:snapToGrid w:val="0"/>
                    <w:spacing w:before="0"/>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风险防范措施</w:t>
                  </w:r>
                </w:p>
              </w:tc>
              <w:tc>
                <w:tcPr>
                  <w:tcW w:w="3781" w:type="pct"/>
                  <w:gridSpan w:val="4"/>
                  <w:tcBorders>
                    <w:tl2br w:val="nil"/>
                    <w:tr2bl w:val="nil"/>
                  </w:tcBorders>
                  <w:vAlign w:val="center"/>
                </w:tcPr>
                <w:p w14:paraId="4FDB4E6E">
                  <w:pPr>
                    <w:pStyle w:val="69"/>
                    <w:pageBreakBefore w:val="0"/>
                    <w:wordWrap/>
                    <w:topLinePunct w:val="0"/>
                    <w:bidi w:val="0"/>
                    <w:adjustRightInd w:val="0"/>
                    <w:snapToGrid w:val="0"/>
                    <w:ind w:right="0" w:firstLine="0" w:firstLineChars="0"/>
                    <w:jc w:val="left"/>
                    <w:rPr>
                      <w:rFonts w:hint="eastAsia" w:hAnsi="Times New Roman"/>
                      <w:b/>
                      <w:bCs/>
                      <w:color w:val="000000" w:themeColor="text1"/>
                      <w:sz w:val="21"/>
                      <w:szCs w:val="21"/>
                      <w:lang w:val="en-US" w:eastAsia="zh-CN"/>
                      <w14:textFill>
                        <w14:solidFill>
                          <w14:schemeClr w14:val="tx1"/>
                        </w14:solidFill>
                      </w14:textFill>
                    </w:rPr>
                  </w:pPr>
                  <w:r>
                    <w:rPr>
                      <w:rFonts w:hint="eastAsia" w:hAnsi="Times New Roman"/>
                      <w:b/>
                      <w:bCs/>
                      <w:color w:val="000000" w:themeColor="text1"/>
                      <w:sz w:val="21"/>
                      <w:szCs w:val="21"/>
                      <w:lang w:val="en-US" w:eastAsia="zh-CN"/>
                      <w14:textFill>
                        <w14:solidFill>
                          <w14:schemeClr w14:val="tx1"/>
                        </w14:solidFill>
                      </w14:textFill>
                    </w:rPr>
                    <w:t>油类物质泄漏风险防范措施</w:t>
                  </w:r>
                </w:p>
                <w:p w14:paraId="768999A5">
                  <w:pPr>
                    <w:pStyle w:val="69"/>
                    <w:pageBreakBefore w:val="0"/>
                    <w:wordWrap/>
                    <w:topLinePunct w:val="0"/>
                    <w:bidi w:val="0"/>
                    <w:adjustRightInd w:val="0"/>
                    <w:snapToGrid w:val="0"/>
                    <w:ind w:right="0" w:firstLine="0" w:firstLineChars="0"/>
                    <w:jc w:val="left"/>
                    <w:rPr>
                      <w:rFonts w:hint="eastAsia" w:hAnsi="Times New Roman"/>
                      <w:b w:val="0"/>
                      <w:bCs w:val="0"/>
                      <w:color w:val="000000" w:themeColor="text1"/>
                      <w:sz w:val="21"/>
                      <w:szCs w:val="21"/>
                      <w:lang w:val="en-US" w:eastAsia="zh-CN"/>
                      <w14:textFill>
                        <w14:solidFill>
                          <w14:schemeClr w14:val="tx1"/>
                        </w14:solidFill>
                      </w14:textFill>
                    </w:rPr>
                  </w:pPr>
                  <w:r>
                    <w:rPr>
                      <w:rFonts w:hint="eastAsia" w:hAnsi="Times New Roman"/>
                      <w:b w:val="0"/>
                      <w:bCs w:val="0"/>
                      <w:color w:val="000000" w:themeColor="text1"/>
                      <w:sz w:val="21"/>
                      <w:szCs w:val="21"/>
                      <w:lang w:val="en-US" w:eastAsia="zh-CN"/>
                      <w14:textFill>
                        <w14:solidFill>
                          <w14:schemeClr w14:val="tx1"/>
                        </w14:solidFill>
                      </w14:textFill>
                    </w:rPr>
                    <w:t>①使用符合国家标准的耐腐蚀、不易破损、变形和老化的容器贮存，并按规定在贮存废润滑油容器上贴上标签，详细注明名称、类别、代码、废物形态、主要成分、有害成分、注意事项、数字识别码、产生/收集单位、联系人和联系方式、产生日期及重量等信息；</w:t>
                  </w:r>
                </w:p>
                <w:p w14:paraId="4A0D8C88">
                  <w:pPr>
                    <w:pStyle w:val="69"/>
                    <w:pageBreakBefore w:val="0"/>
                    <w:wordWrap/>
                    <w:topLinePunct w:val="0"/>
                    <w:bidi w:val="0"/>
                    <w:adjustRightInd w:val="0"/>
                    <w:snapToGrid w:val="0"/>
                    <w:ind w:right="0" w:firstLine="0" w:firstLineChars="0"/>
                    <w:jc w:val="left"/>
                    <w:rPr>
                      <w:rFonts w:hint="eastAsia" w:hAnsi="Times New Roman"/>
                      <w:b w:val="0"/>
                      <w:bCs w:val="0"/>
                      <w:color w:val="000000" w:themeColor="text1"/>
                      <w:sz w:val="21"/>
                      <w:szCs w:val="21"/>
                      <w:lang w:val="en-US" w:eastAsia="zh-CN"/>
                      <w14:textFill>
                        <w14:solidFill>
                          <w14:schemeClr w14:val="tx1"/>
                        </w14:solidFill>
                      </w14:textFill>
                    </w:rPr>
                  </w:pPr>
                  <w:r>
                    <w:rPr>
                      <w:rFonts w:hint="eastAsia" w:hAnsi="Times New Roman"/>
                      <w:b w:val="0"/>
                      <w:bCs w:val="0"/>
                      <w:color w:val="000000" w:themeColor="text1"/>
                      <w:sz w:val="21"/>
                      <w:szCs w:val="21"/>
                      <w:lang w:val="en-US" w:eastAsia="zh-CN"/>
                      <w14:textFill>
                        <w14:solidFill>
                          <w14:schemeClr w14:val="tx1"/>
                        </w14:solidFill>
                      </w14:textFill>
                    </w:rPr>
                    <w:t>②危废间采取四防（防风、防雨、防晒、防渗）措施，在地面围堰、导流沟，并设置标识牌等：</w:t>
                  </w:r>
                </w:p>
                <w:p w14:paraId="42FDE710">
                  <w:pPr>
                    <w:pStyle w:val="69"/>
                    <w:pageBreakBefore w:val="0"/>
                    <w:wordWrap/>
                    <w:topLinePunct w:val="0"/>
                    <w:bidi w:val="0"/>
                    <w:adjustRightInd w:val="0"/>
                    <w:snapToGrid w:val="0"/>
                    <w:ind w:right="0" w:firstLine="0" w:firstLineChars="0"/>
                    <w:jc w:val="left"/>
                    <w:rPr>
                      <w:rFonts w:hint="eastAsia" w:hAnsi="Times New Roman"/>
                      <w:b w:val="0"/>
                      <w:bCs w:val="0"/>
                      <w:color w:val="000000" w:themeColor="text1"/>
                      <w:sz w:val="21"/>
                      <w:szCs w:val="21"/>
                      <w:lang w:val="en-US" w:eastAsia="zh-CN"/>
                      <w14:textFill>
                        <w14:solidFill>
                          <w14:schemeClr w14:val="tx1"/>
                        </w14:solidFill>
                      </w14:textFill>
                    </w:rPr>
                  </w:pPr>
                  <w:r>
                    <w:rPr>
                      <w:rFonts w:hint="eastAsia" w:hAnsi="Times New Roman"/>
                      <w:b w:val="0"/>
                      <w:bCs w:val="0"/>
                      <w:color w:val="000000" w:themeColor="text1"/>
                      <w:sz w:val="21"/>
                      <w:szCs w:val="21"/>
                      <w:lang w:val="en-US" w:eastAsia="zh-CN"/>
                      <w14:textFill>
                        <w14:solidFill>
                          <w14:schemeClr w14:val="tx1"/>
                        </w14:solidFill>
                      </w14:textFill>
                    </w:rPr>
                    <w:t>③加强对油类物质管理，定期检查收纳容器，与有资质单位签订协议，确保废润滑油能得到妥善处置，建立台账制度。</w:t>
                  </w:r>
                </w:p>
                <w:p w14:paraId="02194E3D">
                  <w:pPr>
                    <w:pStyle w:val="69"/>
                    <w:pageBreakBefore w:val="0"/>
                    <w:wordWrap/>
                    <w:topLinePunct w:val="0"/>
                    <w:bidi w:val="0"/>
                    <w:adjustRightInd w:val="0"/>
                    <w:snapToGrid w:val="0"/>
                    <w:ind w:right="0" w:firstLine="0" w:firstLineChars="0"/>
                    <w:jc w:val="left"/>
                    <w:rPr>
                      <w:rFonts w:hint="eastAsia" w:hAnsi="Times New Roman"/>
                      <w:b/>
                      <w:bCs/>
                      <w:color w:val="000000" w:themeColor="text1"/>
                      <w:sz w:val="21"/>
                      <w:szCs w:val="21"/>
                      <w:lang w:val="en-US" w:eastAsia="zh-CN"/>
                      <w14:textFill>
                        <w14:solidFill>
                          <w14:schemeClr w14:val="tx1"/>
                        </w14:solidFill>
                      </w14:textFill>
                    </w:rPr>
                  </w:pPr>
                  <w:r>
                    <w:rPr>
                      <w:rFonts w:hint="eastAsia" w:hAnsi="Times New Roman"/>
                      <w:b/>
                      <w:bCs/>
                      <w:color w:val="000000" w:themeColor="text1"/>
                      <w:sz w:val="21"/>
                      <w:szCs w:val="21"/>
                      <w:lang w:val="en-US" w:eastAsia="zh-CN"/>
                      <w14:textFill>
                        <w14:solidFill>
                          <w14:schemeClr w14:val="tx1"/>
                        </w14:solidFill>
                      </w14:textFill>
                    </w:rPr>
                    <w:t>采取的安全防范措施：</w:t>
                  </w:r>
                </w:p>
                <w:p w14:paraId="09D5DB86">
                  <w:pPr>
                    <w:pStyle w:val="69"/>
                    <w:pageBreakBefore w:val="0"/>
                    <w:wordWrap/>
                    <w:topLinePunct w:val="0"/>
                    <w:bidi w:val="0"/>
                    <w:adjustRightInd w:val="0"/>
                    <w:snapToGrid w:val="0"/>
                    <w:ind w:right="0" w:firstLine="0" w:firstLineChars="0"/>
                    <w:jc w:val="left"/>
                    <w:rPr>
                      <w:rFonts w:hint="eastAsia" w:hAnsi="Times New Roman"/>
                      <w:color w:val="000000" w:themeColor="text1"/>
                      <w:sz w:val="21"/>
                      <w:szCs w:val="21"/>
                      <w:lang w:val="en-US" w:eastAsia="zh-CN"/>
                      <w14:textFill>
                        <w14:solidFill>
                          <w14:schemeClr w14:val="tx1"/>
                        </w14:solidFill>
                      </w14:textFill>
                    </w:rPr>
                  </w:pPr>
                  <w:r>
                    <w:rPr>
                      <w:rFonts w:hint="eastAsia" w:hAnsi="Times New Roman"/>
                      <w:color w:val="000000" w:themeColor="text1"/>
                      <w:sz w:val="21"/>
                      <w:szCs w:val="21"/>
                      <w:lang w:val="en-US" w:eastAsia="zh-CN"/>
                      <w14:textFill>
                        <w14:solidFill>
                          <w14:schemeClr w14:val="tx1"/>
                        </w14:solidFill>
                      </w14:textFill>
                    </w:rPr>
                    <w:t>①严格落实危险废物贮存间与原料库防渗措施的建设，并按照相关规范分类收集暂存，危险废物贮存间按照相关规范设置围堰及防渗措施。</w:t>
                  </w:r>
                </w:p>
                <w:p w14:paraId="3D7AACE2">
                  <w:pPr>
                    <w:pStyle w:val="69"/>
                    <w:pageBreakBefore w:val="0"/>
                    <w:wordWrap/>
                    <w:topLinePunct w:val="0"/>
                    <w:bidi w:val="0"/>
                    <w:adjustRightInd w:val="0"/>
                    <w:snapToGrid w:val="0"/>
                    <w:ind w:right="0" w:firstLine="0" w:firstLineChars="0"/>
                    <w:jc w:val="left"/>
                    <w:rPr>
                      <w:rFonts w:hint="eastAsia" w:hAnsi="Times New Roman"/>
                      <w:color w:val="000000" w:themeColor="text1"/>
                      <w:sz w:val="21"/>
                      <w:szCs w:val="21"/>
                      <w:lang w:val="en-US" w:eastAsia="zh-CN"/>
                      <w14:textFill>
                        <w14:solidFill>
                          <w14:schemeClr w14:val="tx1"/>
                        </w14:solidFill>
                      </w14:textFill>
                    </w:rPr>
                  </w:pPr>
                  <w:r>
                    <w:rPr>
                      <w:rFonts w:hint="eastAsia" w:hAnsi="Times New Roman"/>
                      <w:color w:val="000000" w:themeColor="text1"/>
                      <w:sz w:val="21"/>
                      <w:szCs w:val="21"/>
                      <w:lang w:val="en-US" w:eastAsia="zh-CN"/>
                      <w14:textFill>
                        <w14:solidFill>
                          <w14:schemeClr w14:val="tx1"/>
                        </w14:solidFill>
                      </w14:textFill>
                    </w:rPr>
                    <w:t>②定期对生活污水处理设施进行检查，杜绝生活污水外排。</w:t>
                  </w:r>
                </w:p>
                <w:p w14:paraId="5DA9F10F">
                  <w:pPr>
                    <w:pStyle w:val="69"/>
                    <w:pageBreakBefore w:val="0"/>
                    <w:wordWrap/>
                    <w:topLinePunct w:val="0"/>
                    <w:bidi w:val="0"/>
                    <w:adjustRightInd w:val="0"/>
                    <w:snapToGrid w:val="0"/>
                    <w:ind w:right="0" w:firstLine="0" w:firstLineChars="0"/>
                    <w:jc w:val="left"/>
                    <w:rPr>
                      <w:rFonts w:hint="eastAsia" w:hAnsi="Times New Roman"/>
                      <w:color w:val="000000" w:themeColor="text1"/>
                      <w:sz w:val="21"/>
                      <w:szCs w:val="21"/>
                      <w:lang w:val="en-US" w:eastAsia="zh-CN"/>
                      <w14:textFill>
                        <w14:solidFill>
                          <w14:schemeClr w14:val="tx1"/>
                        </w14:solidFill>
                      </w14:textFill>
                    </w:rPr>
                  </w:pPr>
                  <w:r>
                    <w:rPr>
                      <w:rFonts w:hint="eastAsia" w:hAnsi="Times New Roman"/>
                      <w:color w:val="000000" w:themeColor="text1"/>
                      <w:sz w:val="21"/>
                      <w:szCs w:val="21"/>
                      <w:lang w:val="en-US" w:eastAsia="zh-CN"/>
                      <w14:textFill>
                        <w14:solidFill>
                          <w14:schemeClr w14:val="tx1"/>
                        </w14:solidFill>
                      </w14:textFill>
                    </w:rPr>
                    <w:t>③加强安全管理。厂区建立健全健康、安全的环境管理制度，并严格予以执行；严格执行我国有关的劳动安全、环境保护、工业卫生的规范和标准，最大限度地清除事故隐患，一旦发生事故应采取有效措施，降低因事故引起的损失和对环境的污染；加强车间的安全环保管理，制定出供正常、异常或紧急状态下的操作手册和维修手册，并对操作、维修人员进行培训，持证上岗，应定期进行安全活动，提高职工的安全意识。</w:t>
                  </w:r>
                </w:p>
                <w:p w14:paraId="13A46F70">
                  <w:pPr>
                    <w:pStyle w:val="69"/>
                    <w:pageBreakBefore w:val="0"/>
                    <w:wordWrap/>
                    <w:topLinePunct w:val="0"/>
                    <w:bidi w:val="0"/>
                    <w:adjustRightInd w:val="0"/>
                    <w:snapToGrid w:val="0"/>
                    <w:ind w:right="0" w:firstLine="0" w:firstLineChars="0"/>
                    <w:jc w:val="left"/>
                    <w:rPr>
                      <w:rFonts w:hint="eastAsia" w:hAnsi="Times New Roman"/>
                      <w:color w:val="000000" w:themeColor="text1"/>
                      <w:sz w:val="21"/>
                      <w:szCs w:val="21"/>
                      <w:lang w:val="en-US" w:eastAsia="zh-CN"/>
                      <w14:textFill>
                        <w14:solidFill>
                          <w14:schemeClr w14:val="tx1"/>
                        </w14:solidFill>
                      </w14:textFill>
                    </w:rPr>
                  </w:pPr>
                  <w:r>
                    <w:rPr>
                      <w:rFonts w:hint="eastAsia" w:hAnsi="Times New Roman"/>
                      <w:color w:val="000000" w:themeColor="text1"/>
                      <w:sz w:val="21"/>
                      <w:szCs w:val="21"/>
                      <w:lang w:val="en-US" w:eastAsia="zh-CN"/>
                      <w14:textFill>
                        <w14:solidFill>
                          <w14:schemeClr w14:val="tx1"/>
                        </w14:solidFill>
                      </w14:textFill>
                    </w:rPr>
                    <w:t>④制定应急操作规程，如在规程中应说明发生事故时应采取的操作步骤，规定抢修进度，规定限制事故影响的措施，另外还应说明与操作人员有关的安全问题。</w:t>
                  </w:r>
                </w:p>
                <w:p w14:paraId="73086403">
                  <w:pPr>
                    <w:pStyle w:val="69"/>
                    <w:pageBreakBefore w:val="0"/>
                    <w:wordWrap/>
                    <w:topLinePunct w:val="0"/>
                    <w:bidi w:val="0"/>
                    <w:adjustRightInd w:val="0"/>
                    <w:snapToGrid w:val="0"/>
                    <w:ind w:right="0" w:firstLine="0" w:firstLineChars="0"/>
                    <w:jc w:val="left"/>
                    <w:rPr>
                      <w:rFonts w:hint="eastAsia" w:hAnsi="Times New Roman"/>
                      <w:color w:val="000000" w:themeColor="text1"/>
                      <w:sz w:val="21"/>
                      <w:szCs w:val="21"/>
                      <w:lang w:val="en-US" w:eastAsia="zh-CN"/>
                      <w14:textFill>
                        <w14:solidFill>
                          <w14:schemeClr w14:val="tx1"/>
                        </w14:solidFill>
                      </w14:textFill>
                    </w:rPr>
                  </w:pPr>
                  <w:r>
                    <w:rPr>
                      <w:rFonts w:hint="eastAsia" w:hAnsi="Times New Roman"/>
                      <w:color w:val="000000" w:themeColor="text1"/>
                      <w:sz w:val="21"/>
                      <w:szCs w:val="21"/>
                      <w:lang w:val="en-US" w:eastAsia="zh-CN"/>
                      <w14:textFill>
                        <w14:solidFill>
                          <w14:schemeClr w14:val="tx1"/>
                        </w14:solidFill>
                      </w14:textFill>
                    </w:rPr>
                    <w:t>⑤建立应急预案工作计划，设立公司应急指挥领导小组和事故处理抢险队，与当地政府有关的应急预案衔接并建立正常的定期联络制度。</w:t>
                  </w:r>
                </w:p>
                <w:p w14:paraId="7F2E767F">
                  <w:pPr>
                    <w:pStyle w:val="69"/>
                    <w:pageBreakBefore w:val="0"/>
                    <w:wordWrap/>
                    <w:topLinePunct w:val="0"/>
                    <w:bidi w:val="0"/>
                    <w:adjustRightInd w:val="0"/>
                    <w:snapToGrid w:val="0"/>
                    <w:ind w:right="0" w:firstLine="0" w:firstLineChars="0"/>
                    <w:jc w:val="left"/>
                    <w:rPr>
                      <w:rFonts w:hint="eastAsia" w:hAnsi="Times New Roman"/>
                      <w:b/>
                      <w:bCs/>
                      <w:color w:val="000000" w:themeColor="text1"/>
                      <w:sz w:val="21"/>
                      <w:szCs w:val="21"/>
                      <w:lang w:val="en-US" w:eastAsia="zh-CN"/>
                      <w14:textFill>
                        <w14:solidFill>
                          <w14:schemeClr w14:val="tx1"/>
                        </w14:solidFill>
                      </w14:textFill>
                    </w:rPr>
                  </w:pPr>
                  <w:r>
                    <w:rPr>
                      <w:rFonts w:hint="eastAsia" w:hAnsi="Times New Roman"/>
                      <w:b/>
                      <w:bCs/>
                      <w:color w:val="000000" w:themeColor="text1"/>
                      <w:sz w:val="21"/>
                      <w:szCs w:val="21"/>
                      <w:lang w:val="en-US" w:eastAsia="zh-CN"/>
                      <w14:textFill>
                        <w14:solidFill>
                          <w14:schemeClr w14:val="tx1"/>
                        </w14:solidFill>
                      </w14:textFill>
                    </w:rPr>
                    <w:t>防火措施：</w:t>
                  </w:r>
                </w:p>
                <w:p w14:paraId="2D807EF2">
                  <w:pPr>
                    <w:pStyle w:val="69"/>
                    <w:pageBreakBefore w:val="0"/>
                    <w:wordWrap/>
                    <w:topLinePunct w:val="0"/>
                    <w:bidi w:val="0"/>
                    <w:adjustRightInd w:val="0"/>
                    <w:snapToGrid w:val="0"/>
                    <w:ind w:right="0" w:firstLine="0" w:firstLineChars="0"/>
                    <w:jc w:val="left"/>
                    <w:rPr>
                      <w:rFonts w:hint="eastAsia" w:hAnsi="Times New Roman"/>
                      <w:color w:val="000000" w:themeColor="text1"/>
                      <w:sz w:val="21"/>
                      <w:szCs w:val="21"/>
                      <w:lang w:val="en-US" w:eastAsia="zh-CN"/>
                      <w14:textFill>
                        <w14:solidFill>
                          <w14:schemeClr w14:val="tx1"/>
                        </w14:solidFill>
                      </w14:textFill>
                    </w:rPr>
                  </w:pPr>
                  <w:r>
                    <w:rPr>
                      <w:rFonts w:hint="eastAsia" w:hAnsi="Times New Roman"/>
                      <w:color w:val="000000" w:themeColor="text1"/>
                      <w:sz w:val="21"/>
                      <w:szCs w:val="21"/>
                      <w:lang w:val="en-US" w:eastAsia="zh-CN"/>
                      <w14:textFill>
                        <w14:solidFill>
                          <w14:schemeClr w14:val="tx1"/>
                        </w14:solidFill>
                      </w14:textFill>
                    </w:rPr>
                    <w:t>根据生产装置的特性，储存物品的火灾危险性，为便于生产管理，在保证有足够的安全距离，满足防火要求的前提下，本工程总平面布置上，按功能分区集中布置。区与区之间的距离按防火间距要求确定。</w:t>
                  </w:r>
                </w:p>
                <w:p w14:paraId="6ACE7874">
                  <w:pPr>
                    <w:pStyle w:val="69"/>
                    <w:pageBreakBefore w:val="0"/>
                    <w:wordWrap/>
                    <w:topLinePunct w:val="0"/>
                    <w:bidi w:val="0"/>
                    <w:adjustRightInd w:val="0"/>
                    <w:snapToGrid w:val="0"/>
                    <w:ind w:right="0" w:firstLine="0" w:firstLineChars="0"/>
                    <w:jc w:val="left"/>
                    <w:rPr>
                      <w:rFonts w:hint="eastAsia" w:hAnsi="Times New Roman"/>
                      <w:color w:val="000000" w:themeColor="text1"/>
                      <w:sz w:val="21"/>
                      <w:szCs w:val="21"/>
                      <w:lang w:val="en-US" w:eastAsia="zh-CN"/>
                      <w14:textFill>
                        <w14:solidFill>
                          <w14:schemeClr w14:val="tx1"/>
                        </w14:solidFill>
                      </w14:textFill>
                    </w:rPr>
                  </w:pPr>
                  <w:r>
                    <w:rPr>
                      <w:rFonts w:hint="eastAsia" w:hAnsi="Times New Roman"/>
                      <w:color w:val="000000" w:themeColor="text1"/>
                      <w:sz w:val="21"/>
                      <w:szCs w:val="21"/>
                      <w:lang w:val="en-US" w:eastAsia="zh-CN"/>
                      <w14:textFill>
                        <w14:solidFill>
                          <w14:schemeClr w14:val="tx1"/>
                        </w14:solidFill>
                      </w14:textFill>
                    </w:rPr>
                    <w:t>本工程范围内的建筑物，其耐火等级、防火间距、安全疏散均按《建筑设计防火规范》的有关规定设计。</w:t>
                  </w:r>
                </w:p>
                <w:p w14:paraId="7B0CE06D">
                  <w:pPr>
                    <w:pStyle w:val="69"/>
                    <w:pageBreakBefore w:val="0"/>
                    <w:wordWrap/>
                    <w:topLinePunct w:val="0"/>
                    <w:bidi w:val="0"/>
                    <w:adjustRightInd w:val="0"/>
                    <w:snapToGrid w:val="0"/>
                    <w:ind w:right="0" w:firstLine="0" w:firstLineChars="0"/>
                    <w:jc w:val="left"/>
                    <w:rPr>
                      <w:rFonts w:hint="eastAsia" w:hAnsi="Times New Roman"/>
                      <w:b/>
                      <w:bCs/>
                      <w:color w:val="000000" w:themeColor="text1"/>
                      <w:sz w:val="21"/>
                      <w:szCs w:val="21"/>
                      <w:lang w:val="en-US" w:eastAsia="zh-CN"/>
                      <w14:textFill>
                        <w14:solidFill>
                          <w14:schemeClr w14:val="tx1"/>
                        </w14:solidFill>
                      </w14:textFill>
                    </w:rPr>
                  </w:pPr>
                  <w:r>
                    <w:rPr>
                      <w:rFonts w:hint="eastAsia" w:hAnsi="Times New Roman"/>
                      <w:b/>
                      <w:bCs/>
                      <w:color w:val="000000" w:themeColor="text1"/>
                      <w:sz w:val="21"/>
                      <w:szCs w:val="21"/>
                      <w:lang w:val="en-US" w:eastAsia="zh-CN"/>
                      <w14:textFill>
                        <w14:solidFill>
                          <w14:schemeClr w14:val="tx1"/>
                        </w14:solidFill>
                      </w14:textFill>
                    </w:rPr>
                    <w:t>消防措施：</w:t>
                  </w:r>
                </w:p>
                <w:p w14:paraId="58C801A6">
                  <w:pPr>
                    <w:pStyle w:val="69"/>
                    <w:pageBreakBefore w:val="0"/>
                    <w:wordWrap/>
                    <w:topLinePunct w:val="0"/>
                    <w:bidi w:val="0"/>
                    <w:adjustRightInd w:val="0"/>
                    <w:snapToGrid w:val="0"/>
                    <w:ind w:right="0" w:firstLine="0" w:firstLineChars="0"/>
                    <w:jc w:val="left"/>
                    <w:rPr>
                      <w:rFonts w:hAnsi="Times New Roman"/>
                      <w:color w:val="000000" w:themeColor="text1"/>
                      <w:sz w:val="21"/>
                      <w:szCs w:val="21"/>
                      <w14:textFill>
                        <w14:solidFill>
                          <w14:schemeClr w14:val="tx1"/>
                        </w14:solidFill>
                      </w14:textFill>
                    </w:rPr>
                  </w:pPr>
                  <w:r>
                    <w:rPr>
                      <w:rFonts w:hint="eastAsia" w:hAnsi="Times New Roman"/>
                      <w:color w:val="000000" w:themeColor="text1"/>
                      <w:sz w:val="21"/>
                      <w:szCs w:val="21"/>
                      <w:lang w:val="en-US" w:eastAsia="zh-CN"/>
                      <w14:textFill>
                        <w14:solidFill>
                          <w14:schemeClr w14:val="tx1"/>
                        </w14:solidFill>
                      </w14:textFill>
                    </w:rPr>
                    <w:t>严格按照消防安全的相关规定，在厂区相应位置设置灭火器材。不得在车间内使用明火，必须使用时，采取防火措施，将动火部位及周围的可燃物彻底清除，并准备好灭火器材，动火后应有专人检查，防止留下余火。</w:t>
                  </w:r>
                </w:p>
              </w:tc>
            </w:tr>
            <w:tr w14:paraId="3BE69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tcBorders>
                    <w:tl2br w:val="nil"/>
                    <w:tr2bl w:val="nil"/>
                  </w:tcBorders>
                  <w:vAlign w:val="center"/>
                </w:tcPr>
                <w:p w14:paraId="61C54A52">
                  <w:pPr>
                    <w:pStyle w:val="60"/>
                    <w:pageBreakBefore w:val="0"/>
                    <w:kinsoku w:val="0"/>
                    <w:wordWrap/>
                    <w:overflowPunct w:val="0"/>
                    <w:topLinePunct w:val="0"/>
                    <w:autoSpaceDE w:val="0"/>
                    <w:autoSpaceDN w:val="0"/>
                    <w:bidi w:val="0"/>
                    <w:adjustRightInd w:val="0"/>
                    <w:snapToGrid w:val="0"/>
                    <w:spacing w:before="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填表说明：无</w:t>
                  </w:r>
                </w:p>
              </w:tc>
            </w:tr>
          </w:tbl>
          <w:p w14:paraId="5E9B0ED4">
            <w:pPr>
              <w:pStyle w:val="15"/>
              <w:pageBreakBefore w:val="0"/>
              <w:wordWrap/>
              <w:topLinePunct w:val="0"/>
              <w:bidi w:val="0"/>
              <w:spacing w:line="360" w:lineRule="auto"/>
              <w:ind w:firstLine="482" w:firstLineChars="200"/>
              <w:rPr>
                <w:rFonts w:hint="default"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lang w:val="en-US" w:eastAsia="zh-CN"/>
                <w14:textFill>
                  <w14:solidFill>
                    <w14:schemeClr w14:val="tx1"/>
                  </w14:solidFill>
                </w14:textFill>
              </w:rPr>
              <w:t>七</w:t>
            </w:r>
            <w:r>
              <w:rPr>
                <w:rFonts w:hint="default" w:ascii="Times New Roman" w:hAnsi="Times New Roman" w:cs="Times New Roman"/>
                <w:b/>
                <w:bCs/>
                <w:color w:val="000000" w:themeColor="text1"/>
                <w:sz w:val="24"/>
                <w:szCs w:val="24"/>
                <w14:textFill>
                  <w14:solidFill>
                    <w14:schemeClr w14:val="tx1"/>
                  </w14:solidFill>
                </w14:textFill>
              </w:rPr>
              <w:t>、环保投资</w:t>
            </w:r>
          </w:p>
          <w:p w14:paraId="636D99BC">
            <w:pPr>
              <w:pageBreakBefore w:val="0"/>
              <w:widowControl/>
              <w:wordWrap/>
              <w:topLinePunct w:val="0"/>
              <w:bidi w:val="0"/>
              <w:spacing w:line="360" w:lineRule="auto"/>
              <w:ind w:firstLine="480" w:firstLineChars="200"/>
              <w:jc w:val="left"/>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项目总投资</w:t>
            </w:r>
            <w:r>
              <w:rPr>
                <w:rFonts w:hint="eastAsia" w:cs="Times New Roman"/>
                <w:color w:val="000000" w:themeColor="text1"/>
                <w:kern w:val="0"/>
                <w:sz w:val="24"/>
                <w:lang w:val="en-US" w:eastAsia="zh-CN"/>
                <w14:textFill>
                  <w14:solidFill>
                    <w14:schemeClr w14:val="tx1"/>
                  </w14:solidFill>
                </w14:textFill>
              </w:rPr>
              <w:t>800.00</w:t>
            </w:r>
            <w:r>
              <w:rPr>
                <w:rFonts w:hint="default" w:ascii="Times New Roman" w:hAnsi="Times New Roman" w:cs="Times New Roman"/>
                <w:color w:val="000000" w:themeColor="text1"/>
                <w:kern w:val="0"/>
                <w:sz w:val="24"/>
                <w14:textFill>
                  <w14:solidFill>
                    <w14:schemeClr w14:val="tx1"/>
                  </w14:solidFill>
                </w14:textFill>
              </w:rPr>
              <w:t>万元，环保投资</w:t>
            </w:r>
            <w:r>
              <w:rPr>
                <w:rFonts w:hint="eastAsia" w:cs="Times New Roman"/>
                <w:color w:val="000000" w:themeColor="text1"/>
                <w:kern w:val="0"/>
                <w:sz w:val="24"/>
                <w:lang w:val="en-US" w:eastAsia="zh-CN"/>
                <w14:textFill>
                  <w14:solidFill>
                    <w14:schemeClr w14:val="tx1"/>
                  </w14:solidFill>
                </w14:textFill>
              </w:rPr>
              <w:t>74.00</w:t>
            </w:r>
            <w:r>
              <w:rPr>
                <w:rFonts w:hint="default" w:ascii="Times New Roman" w:hAnsi="Times New Roman" w:cs="Times New Roman"/>
                <w:color w:val="000000" w:themeColor="text1"/>
                <w:kern w:val="0"/>
                <w:sz w:val="24"/>
                <w14:textFill>
                  <w14:solidFill>
                    <w14:schemeClr w14:val="tx1"/>
                  </w14:solidFill>
                </w14:textFill>
              </w:rPr>
              <w:t>万元，占总投资的</w:t>
            </w:r>
            <w:r>
              <w:rPr>
                <w:rFonts w:hint="eastAsia" w:cs="Times New Roman"/>
                <w:color w:val="000000" w:themeColor="text1"/>
                <w:kern w:val="0"/>
                <w:sz w:val="24"/>
                <w:lang w:val="en-US" w:eastAsia="zh-CN"/>
                <w14:textFill>
                  <w14:solidFill>
                    <w14:schemeClr w14:val="tx1"/>
                  </w14:solidFill>
                </w14:textFill>
              </w:rPr>
              <w:t>9.25</w:t>
            </w:r>
            <w:r>
              <w:rPr>
                <w:rFonts w:hint="default" w:ascii="Times New Roman" w:hAnsi="Times New Roman" w:cs="Times New Roman"/>
                <w:color w:val="000000" w:themeColor="text1"/>
                <w:kern w:val="0"/>
                <w:sz w:val="24"/>
                <w14:textFill>
                  <w14:solidFill>
                    <w14:schemeClr w14:val="tx1"/>
                  </w14:solidFill>
                </w14:textFill>
              </w:rPr>
              <w:t>%，各项投资列于表4-</w:t>
            </w:r>
            <w:r>
              <w:rPr>
                <w:rFonts w:hint="eastAsia" w:cs="Times New Roman"/>
                <w:color w:val="000000" w:themeColor="text1"/>
                <w:kern w:val="0"/>
                <w:sz w:val="24"/>
                <w:lang w:val="en-US" w:eastAsia="zh-CN"/>
                <w14:textFill>
                  <w14:solidFill>
                    <w14:schemeClr w14:val="tx1"/>
                  </w14:solidFill>
                </w14:textFill>
              </w:rPr>
              <w:t>11</w:t>
            </w:r>
            <w:r>
              <w:rPr>
                <w:rFonts w:hint="default" w:ascii="Times New Roman" w:hAnsi="Times New Roman" w:cs="Times New Roman"/>
                <w:color w:val="000000" w:themeColor="text1"/>
                <w:kern w:val="0"/>
                <w:sz w:val="24"/>
                <w14:textFill>
                  <w14:solidFill>
                    <w14:schemeClr w14:val="tx1"/>
                  </w14:solidFill>
                </w14:textFill>
              </w:rPr>
              <w:t>。</w:t>
            </w:r>
          </w:p>
          <w:p w14:paraId="46ACD9C1">
            <w:pPr>
              <w:pageBreakBefore w:val="0"/>
              <w:wordWrap/>
              <w:topLinePunct w:val="0"/>
              <w:bidi w:val="0"/>
              <w:jc w:val="center"/>
              <w:rPr>
                <w:rFonts w:hint="default" w:ascii="Times New Roman" w:hAnsi="Times New Roman" w:cs="Times New Roman"/>
                <w:b/>
                <w:color w:val="000000" w:themeColor="text1"/>
                <w:sz w:val="24"/>
                <w:highlight w:val="none"/>
                <w14:textFill>
                  <w14:solidFill>
                    <w14:schemeClr w14:val="tx1"/>
                  </w14:solidFill>
                </w14:textFill>
              </w:rPr>
            </w:pPr>
            <w:r>
              <w:rPr>
                <w:rFonts w:hint="default" w:ascii="Times New Roman" w:hAnsi="Times New Roman" w:cs="Times New Roman"/>
                <w:b/>
                <w:color w:val="000000" w:themeColor="text1"/>
                <w:szCs w:val="21"/>
                <w:highlight w:val="none"/>
                <w14:textFill>
                  <w14:solidFill>
                    <w14:schemeClr w14:val="tx1"/>
                  </w14:solidFill>
                </w14:textFill>
              </w:rPr>
              <w:t>表4-</w:t>
            </w:r>
            <w:r>
              <w:rPr>
                <w:rFonts w:hint="eastAsia" w:cs="Times New Roman"/>
                <w:b/>
                <w:color w:val="000000" w:themeColor="text1"/>
                <w:szCs w:val="21"/>
                <w:highlight w:val="none"/>
                <w:lang w:val="en-US" w:eastAsia="zh-CN"/>
                <w14:textFill>
                  <w14:solidFill>
                    <w14:schemeClr w14:val="tx1"/>
                  </w14:solidFill>
                </w14:textFill>
              </w:rPr>
              <w:t>11</w:t>
            </w:r>
            <w:r>
              <w:rPr>
                <w:rFonts w:hint="default" w:ascii="Times New Roman" w:hAnsi="Times New Roman" w:cs="Times New Roman"/>
                <w:b/>
                <w:color w:val="000000" w:themeColor="text1"/>
                <w:szCs w:val="21"/>
                <w:highlight w:val="none"/>
                <w14:textFill>
                  <w14:solidFill>
                    <w14:schemeClr w14:val="tx1"/>
                  </w14:solidFill>
                </w14:textFill>
              </w:rPr>
              <w:t xml:space="preserve">   环保投资一览表</w:t>
            </w:r>
          </w:p>
          <w:tbl>
            <w:tblPr>
              <w:tblStyle w:val="31"/>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2"/>
              <w:gridCol w:w="1104"/>
              <w:gridCol w:w="1743"/>
              <w:gridCol w:w="3410"/>
              <w:gridCol w:w="991"/>
            </w:tblGrid>
            <w:tr w14:paraId="2E0EF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16" w:type="pct"/>
                  <w:vAlign w:val="center"/>
                </w:tcPr>
                <w:p w14:paraId="5195C723">
                  <w:pPr>
                    <w:bidi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时段</w:t>
                  </w:r>
                </w:p>
              </w:tc>
              <w:tc>
                <w:tcPr>
                  <w:tcW w:w="1682" w:type="pct"/>
                  <w:gridSpan w:val="2"/>
                  <w:vAlign w:val="center"/>
                </w:tcPr>
                <w:p w14:paraId="6B3EE578">
                  <w:pPr>
                    <w:bidi w:val="0"/>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类别</w:t>
                  </w:r>
                </w:p>
              </w:tc>
              <w:tc>
                <w:tcPr>
                  <w:tcW w:w="2015" w:type="pct"/>
                  <w:vAlign w:val="center"/>
                </w:tcPr>
                <w:p w14:paraId="3286DFF4">
                  <w:pPr>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治理措施</w:t>
                  </w:r>
                </w:p>
              </w:tc>
              <w:tc>
                <w:tcPr>
                  <w:tcW w:w="585" w:type="pct"/>
                  <w:vAlign w:val="center"/>
                </w:tcPr>
                <w:p w14:paraId="40339E88">
                  <w:pPr>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投资</w:t>
                  </w:r>
                </w:p>
                <w:p w14:paraId="523E56A3">
                  <w:pPr>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（万元）</w:t>
                  </w:r>
                </w:p>
              </w:tc>
            </w:tr>
            <w:tr w14:paraId="0D86C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6" w:type="pct"/>
                  <w:vMerge w:val="restart"/>
                  <w:vAlign w:val="center"/>
                </w:tcPr>
                <w:p w14:paraId="718DDCE8">
                  <w:pPr>
                    <w:jc w:val="center"/>
                    <w:rPr>
                      <w:rFonts w:hint="eastAsia"/>
                      <w:color w:val="000000" w:themeColor="text1"/>
                      <w:highlight w:val="none"/>
                      <w14:textFill>
                        <w14:solidFill>
                          <w14:schemeClr w14:val="tx1"/>
                        </w14:solidFill>
                      </w14:textFill>
                    </w:rPr>
                  </w:pPr>
                  <w:r>
                    <w:rPr>
                      <w:bCs/>
                      <w:color w:val="000000" w:themeColor="text1"/>
                      <w14:textFill>
                        <w14:solidFill>
                          <w14:schemeClr w14:val="tx1"/>
                        </w14:solidFill>
                      </w14:textFill>
                    </w:rPr>
                    <w:t>施工期</w:t>
                  </w:r>
                </w:p>
              </w:tc>
              <w:tc>
                <w:tcPr>
                  <w:tcW w:w="652" w:type="pct"/>
                  <w:vAlign w:val="center"/>
                </w:tcPr>
                <w:p w14:paraId="27828B25">
                  <w:pPr>
                    <w:jc w:val="center"/>
                    <w:rPr>
                      <w:rFonts w:hint="eastAsia"/>
                      <w:color w:val="000000" w:themeColor="text1"/>
                      <w:highlight w:val="none"/>
                      <w:lang w:val="en-US" w:eastAsia="zh-CN"/>
                      <w14:textFill>
                        <w14:solidFill>
                          <w14:schemeClr w14:val="tx1"/>
                        </w14:solidFill>
                      </w14:textFill>
                    </w:rPr>
                  </w:pPr>
                  <w:r>
                    <w:rPr>
                      <w:bCs/>
                      <w:color w:val="000000" w:themeColor="text1"/>
                      <w14:textFill>
                        <w14:solidFill>
                          <w14:schemeClr w14:val="tx1"/>
                        </w14:solidFill>
                      </w14:textFill>
                    </w:rPr>
                    <w:t>废气处理</w:t>
                  </w:r>
                </w:p>
              </w:tc>
              <w:tc>
                <w:tcPr>
                  <w:tcW w:w="1030" w:type="pct"/>
                  <w:vAlign w:val="center"/>
                </w:tcPr>
                <w:p w14:paraId="0FBE9B64">
                  <w:pPr>
                    <w:jc w:val="center"/>
                    <w:rPr>
                      <w:rFonts w:hint="eastAsia"/>
                      <w:color w:val="000000" w:themeColor="text1"/>
                      <w:highlight w:val="none"/>
                      <w:lang w:val="en-US" w:eastAsia="zh-CN"/>
                      <w14:textFill>
                        <w14:solidFill>
                          <w14:schemeClr w14:val="tx1"/>
                        </w14:solidFill>
                      </w14:textFill>
                    </w:rPr>
                  </w:pPr>
                  <w:r>
                    <w:rPr>
                      <w:bCs/>
                      <w:color w:val="000000" w:themeColor="text1"/>
                      <w14:textFill>
                        <w14:solidFill>
                          <w14:schemeClr w14:val="tx1"/>
                        </w14:solidFill>
                      </w14:textFill>
                    </w:rPr>
                    <w:t>施工场地扬尘</w:t>
                  </w:r>
                </w:p>
              </w:tc>
              <w:tc>
                <w:tcPr>
                  <w:tcW w:w="2015" w:type="pct"/>
                  <w:vAlign w:val="center"/>
                </w:tcPr>
                <w:p w14:paraId="24E94A52">
                  <w:pPr>
                    <w:jc w:val="center"/>
                    <w:rPr>
                      <w:color w:val="000000" w:themeColor="text1"/>
                      <w:highlight w:val="none"/>
                      <w14:textFill>
                        <w14:solidFill>
                          <w14:schemeClr w14:val="tx1"/>
                        </w14:solidFill>
                      </w14:textFill>
                    </w:rPr>
                  </w:pPr>
                  <w:r>
                    <w:rPr>
                      <w:bCs/>
                      <w:snapToGrid w:val="0"/>
                      <w:color w:val="000000" w:themeColor="text1"/>
                      <w:kern w:val="0"/>
                      <w14:textFill>
                        <w14:solidFill>
                          <w14:schemeClr w14:val="tx1"/>
                        </w14:solidFill>
                      </w14:textFill>
                    </w:rPr>
                    <w:t>施工材料蓬布遮盖</w:t>
                  </w:r>
                </w:p>
              </w:tc>
              <w:tc>
                <w:tcPr>
                  <w:tcW w:w="585" w:type="pct"/>
                  <w:vAlign w:val="center"/>
                </w:tcPr>
                <w:p w14:paraId="4E0843F0">
                  <w:pPr>
                    <w:autoSpaceDE w:val="0"/>
                    <w:autoSpaceDN w:val="0"/>
                    <w:jc w:val="center"/>
                    <w:outlineLvl w:val="1"/>
                    <w:rPr>
                      <w:rFonts w:hint="eastAsia" w:eastAsia="宋体"/>
                      <w:color w:val="000000" w:themeColor="text1"/>
                      <w:highlight w:val="none"/>
                      <w:lang w:val="en-US" w:eastAsia="zh-CN"/>
                      <w14:textFill>
                        <w14:solidFill>
                          <w14:schemeClr w14:val="tx1"/>
                        </w14:solidFill>
                      </w14:textFill>
                    </w:rPr>
                  </w:pPr>
                  <w:bookmarkStart w:id="214" w:name="_Toc13516"/>
                  <w:bookmarkStart w:id="215" w:name="_Toc7359"/>
                  <w:bookmarkStart w:id="216" w:name="_Toc23808"/>
                  <w:r>
                    <w:rPr>
                      <w:rFonts w:hint="eastAsia"/>
                      <w:bCs/>
                      <w:color w:val="000000" w:themeColor="text1"/>
                      <w14:textFill>
                        <w14:solidFill>
                          <w14:schemeClr w14:val="tx1"/>
                        </w14:solidFill>
                      </w14:textFill>
                    </w:rPr>
                    <w:t>1</w:t>
                  </w:r>
                  <w:r>
                    <w:rPr>
                      <w:bCs/>
                      <w:color w:val="000000" w:themeColor="text1"/>
                      <w14:textFill>
                        <w14:solidFill>
                          <w14:schemeClr w14:val="tx1"/>
                        </w14:solidFill>
                      </w14:textFill>
                    </w:rPr>
                    <w:t>.0</w:t>
                  </w:r>
                  <w:r>
                    <w:rPr>
                      <w:rFonts w:hint="eastAsia"/>
                      <w:bCs/>
                      <w:color w:val="000000" w:themeColor="text1"/>
                      <w:lang w:val="en-US" w:eastAsia="zh-CN"/>
                      <w14:textFill>
                        <w14:solidFill>
                          <w14:schemeClr w14:val="tx1"/>
                        </w14:solidFill>
                      </w14:textFill>
                    </w:rPr>
                    <w:t>0</w:t>
                  </w:r>
                  <w:bookmarkEnd w:id="214"/>
                  <w:bookmarkEnd w:id="215"/>
                  <w:bookmarkEnd w:id="216"/>
                </w:p>
              </w:tc>
            </w:tr>
            <w:tr w14:paraId="14EAD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6" w:type="pct"/>
                  <w:vMerge w:val="continue"/>
                  <w:vAlign w:val="center"/>
                </w:tcPr>
                <w:p w14:paraId="6EC266AE">
                  <w:pPr>
                    <w:jc w:val="center"/>
                    <w:rPr>
                      <w:rFonts w:hint="eastAsia"/>
                      <w:color w:val="000000" w:themeColor="text1"/>
                      <w:highlight w:val="none"/>
                      <w14:textFill>
                        <w14:solidFill>
                          <w14:schemeClr w14:val="tx1"/>
                        </w14:solidFill>
                      </w14:textFill>
                    </w:rPr>
                  </w:pPr>
                </w:p>
              </w:tc>
              <w:tc>
                <w:tcPr>
                  <w:tcW w:w="652" w:type="pct"/>
                  <w:vMerge w:val="restart"/>
                  <w:vAlign w:val="center"/>
                </w:tcPr>
                <w:p w14:paraId="2ED6204A">
                  <w:pPr>
                    <w:jc w:val="center"/>
                    <w:rPr>
                      <w:rFonts w:hint="eastAsia"/>
                      <w:color w:val="000000" w:themeColor="text1"/>
                      <w:highlight w:val="none"/>
                      <w:lang w:val="en-US" w:eastAsia="zh-CN"/>
                      <w14:textFill>
                        <w14:solidFill>
                          <w14:schemeClr w14:val="tx1"/>
                        </w14:solidFill>
                      </w14:textFill>
                    </w:rPr>
                  </w:pPr>
                  <w:r>
                    <w:rPr>
                      <w:bCs/>
                      <w:color w:val="000000" w:themeColor="text1"/>
                      <w14:textFill>
                        <w14:solidFill>
                          <w14:schemeClr w14:val="tx1"/>
                        </w14:solidFill>
                      </w14:textFill>
                    </w:rPr>
                    <w:t>固废处理</w:t>
                  </w:r>
                </w:p>
              </w:tc>
              <w:tc>
                <w:tcPr>
                  <w:tcW w:w="1030" w:type="pct"/>
                  <w:vAlign w:val="center"/>
                </w:tcPr>
                <w:p w14:paraId="4E0EA286">
                  <w:pPr>
                    <w:autoSpaceDE w:val="0"/>
                    <w:autoSpaceDN w:val="0"/>
                    <w:jc w:val="center"/>
                    <w:outlineLvl w:val="1"/>
                    <w:rPr>
                      <w:rFonts w:hint="eastAsia"/>
                      <w:color w:val="000000" w:themeColor="text1"/>
                      <w:highlight w:val="none"/>
                      <w:lang w:val="en-US" w:eastAsia="zh-CN"/>
                      <w14:textFill>
                        <w14:solidFill>
                          <w14:schemeClr w14:val="tx1"/>
                        </w14:solidFill>
                      </w14:textFill>
                    </w:rPr>
                  </w:pPr>
                  <w:bookmarkStart w:id="217" w:name="_Toc17204"/>
                  <w:bookmarkStart w:id="218" w:name="_Toc13052"/>
                  <w:bookmarkStart w:id="219" w:name="_Toc10804"/>
                  <w:r>
                    <w:rPr>
                      <w:bCs/>
                      <w:color w:val="000000" w:themeColor="text1"/>
                      <w14:textFill>
                        <w14:solidFill>
                          <w14:schemeClr w14:val="tx1"/>
                        </w14:solidFill>
                      </w14:textFill>
                    </w:rPr>
                    <w:t>施工期生活垃圾</w:t>
                  </w:r>
                  <w:bookmarkEnd w:id="217"/>
                  <w:bookmarkEnd w:id="218"/>
                  <w:bookmarkEnd w:id="219"/>
                </w:p>
              </w:tc>
              <w:tc>
                <w:tcPr>
                  <w:tcW w:w="2015" w:type="pct"/>
                  <w:vAlign w:val="center"/>
                </w:tcPr>
                <w:p w14:paraId="54AA9C17">
                  <w:pPr>
                    <w:autoSpaceDE w:val="0"/>
                    <w:autoSpaceDN w:val="0"/>
                    <w:jc w:val="center"/>
                    <w:outlineLvl w:val="1"/>
                    <w:rPr>
                      <w:color w:val="000000" w:themeColor="text1"/>
                      <w:highlight w:val="none"/>
                      <w14:textFill>
                        <w14:solidFill>
                          <w14:schemeClr w14:val="tx1"/>
                        </w14:solidFill>
                      </w14:textFill>
                    </w:rPr>
                  </w:pPr>
                  <w:bookmarkStart w:id="220" w:name="_Toc818"/>
                  <w:bookmarkStart w:id="221" w:name="_Toc16323"/>
                  <w:bookmarkStart w:id="222" w:name="_Toc4715"/>
                  <w:r>
                    <w:rPr>
                      <w:bCs/>
                      <w:snapToGrid w:val="0"/>
                      <w:color w:val="000000" w:themeColor="text1"/>
                      <w:kern w:val="0"/>
                      <w14:textFill>
                        <w14:solidFill>
                          <w14:schemeClr w14:val="tx1"/>
                        </w14:solidFill>
                      </w14:textFill>
                    </w:rPr>
                    <w:t>垃圾收集桶不低于2个</w:t>
                  </w:r>
                  <w:bookmarkEnd w:id="220"/>
                  <w:bookmarkEnd w:id="221"/>
                  <w:bookmarkEnd w:id="222"/>
                </w:p>
              </w:tc>
              <w:tc>
                <w:tcPr>
                  <w:tcW w:w="585" w:type="pct"/>
                  <w:vAlign w:val="center"/>
                </w:tcPr>
                <w:p w14:paraId="527A7371">
                  <w:pPr>
                    <w:autoSpaceDE w:val="0"/>
                    <w:autoSpaceDN w:val="0"/>
                    <w:jc w:val="center"/>
                    <w:outlineLvl w:val="1"/>
                    <w:rPr>
                      <w:rFonts w:hint="eastAsia" w:eastAsia="宋体"/>
                      <w:color w:val="000000" w:themeColor="text1"/>
                      <w:highlight w:val="none"/>
                      <w:lang w:val="en-US" w:eastAsia="zh-CN"/>
                      <w14:textFill>
                        <w14:solidFill>
                          <w14:schemeClr w14:val="tx1"/>
                        </w14:solidFill>
                      </w14:textFill>
                    </w:rPr>
                  </w:pPr>
                  <w:bookmarkStart w:id="223" w:name="_Toc16295"/>
                  <w:bookmarkStart w:id="224" w:name="_Toc32259"/>
                  <w:bookmarkStart w:id="225" w:name="_Toc24964"/>
                  <w:r>
                    <w:rPr>
                      <w:bCs/>
                      <w:color w:val="000000" w:themeColor="text1"/>
                      <w14:textFill>
                        <w14:solidFill>
                          <w14:schemeClr w14:val="tx1"/>
                        </w14:solidFill>
                      </w14:textFill>
                    </w:rPr>
                    <w:t>0.</w:t>
                  </w:r>
                  <w:r>
                    <w:rPr>
                      <w:rFonts w:hint="eastAsia"/>
                      <w:bCs/>
                      <w:color w:val="000000" w:themeColor="text1"/>
                      <w14:textFill>
                        <w14:solidFill>
                          <w14:schemeClr w14:val="tx1"/>
                        </w14:solidFill>
                      </w14:textFill>
                    </w:rPr>
                    <w:t>5</w:t>
                  </w:r>
                  <w:r>
                    <w:rPr>
                      <w:rFonts w:hint="eastAsia"/>
                      <w:bCs/>
                      <w:color w:val="000000" w:themeColor="text1"/>
                      <w:lang w:val="en-US" w:eastAsia="zh-CN"/>
                      <w14:textFill>
                        <w14:solidFill>
                          <w14:schemeClr w14:val="tx1"/>
                        </w14:solidFill>
                      </w14:textFill>
                    </w:rPr>
                    <w:t>0</w:t>
                  </w:r>
                  <w:bookmarkEnd w:id="223"/>
                  <w:bookmarkEnd w:id="224"/>
                  <w:bookmarkEnd w:id="225"/>
                </w:p>
              </w:tc>
            </w:tr>
            <w:tr w14:paraId="1B68C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6" w:type="pct"/>
                  <w:vMerge w:val="continue"/>
                  <w:vAlign w:val="center"/>
                </w:tcPr>
                <w:p w14:paraId="0607374D">
                  <w:pPr>
                    <w:jc w:val="center"/>
                    <w:rPr>
                      <w:rFonts w:hint="eastAsia"/>
                      <w:color w:val="000000" w:themeColor="text1"/>
                      <w:highlight w:val="none"/>
                      <w14:textFill>
                        <w14:solidFill>
                          <w14:schemeClr w14:val="tx1"/>
                        </w14:solidFill>
                      </w14:textFill>
                    </w:rPr>
                  </w:pPr>
                </w:p>
              </w:tc>
              <w:tc>
                <w:tcPr>
                  <w:tcW w:w="652" w:type="pct"/>
                  <w:vMerge w:val="continue"/>
                  <w:vAlign w:val="center"/>
                </w:tcPr>
                <w:p w14:paraId="6B2E7252">
                  <w:pPr>
                    <w:jc w:val="center"/>
                    <w:rPr>
                      <w:bCs/>
                      <w:color w:val="000000" w:themeColor="text1"/>
                      <w14:textFill>
                        <w14:solidFill>
                          <w14:schemeClr w14:val="tx1"/>
                        </w14:solidFill>
                      </w14:textFill>
                    </w:rPr>
                  </w:pPr>
                </w:p>
              </w:tc>
              <w:tc>
                <w:tcPr>
                  <w:tcW w:w="1030" w:type="pct"/>
                  <w:vAlign w:val="center"/>
                </w:tcPr>
                <w:p w14:paraId="4FC27159">
                  <w:pPr>
                    <w:autoSpaceDE w:val="0"/>
                    <w:autoSpaceDN w:val="0"/>
                    <w:jc w:val="center"/>
                    <w:outlineLvl w:val="1"/>
                    <w:rPr>
                      <w:rFonts w:hint="default" w:eastAsia="宋体"/>
                      <w:bCs/>
                      <w:color w:val="000000" w:themeColor="text1"/>
                      <w:lang w:val="en-US" w:eastAsia="zh-CN"/>
                      <w14:textFill>
                        <w14:solidFill>
                          <w14:schemeClr w14:val="tx1"/>
                        </w14:solidFill>
                      </w14:textFill>
                    </w:rPr>
                  </w:pPr>
                  <w:r>
                    <w:rPr>
                      <w:rFonts w:hint="eastAsia"/>
                      <w:bCs/>
                      <w:color w:val="000000" w:themeColor="text1"/>
                      <w:lang w:val="en-US" w:eastAsia="zh-CN"/>
                      <w14:textFill>
                        <w14:solidFill>
                          <w14:schemeClr w14:val="tx1"/>
                        </w14:solidFill>
                      </w14:textFill>
                    </w:rPr>
                    <w:t>施工期建筑垃圾</w:t>
                  </w:r>
                </w:p>
              </w:tc>
              <w:tc>
                <w:tcPr>
                  <w:tcW w:w="2015" w:type="pct"/>
                  <w:vAlign w:val="center"/>
                </w:tcPr>
                <w:p w14:paraId="12FBA90D">
                  <w:pPr>
                    <w:autoSpaceDE w:val="0"/>
                    <w:autoSpaceDN w:val="0"/>
                    <w:jc w:val="center"/>
                    <w:outlineLvl w:val="1"/>
                    <w:rPr>
                      <w:rFonts w:hint="default" w:eastAsia="宋体"/>
                      <w:bCs/>
                      <w:snapToGrid w:val="0"/>
                      <w:color w:val="000000" w:themeColor="text1"/>
                      <w:kern w:val="0"/>
                      <w:lang w:val="en-US" w:eastAsia="zh-CN"/>
                      <w14:textFill>
                        <w14:solidFill>
                          <w14:schemeClr w14:val="tx1"/>
                        </w14:solidFill>
                      </w14:textFill>
                    </w:rPr>
                  </w:pPr>
                  <w:r>
                    <w:rPr>
                      <w:rFonts w:hint="eastAsia"/>
                      <w:bCs/>
                      <w:snapToGrid w:val="0"/>
                      <w:color w:val="000000" w:themeColor="text1"/>
                      <w:kern w:val="0"/>
                      <w:lang w:val="en-US" w:eastAsia="zh-CN"/>
                      <w14:textFill>
                        <w14:solidFill>
                          <w14:schemeClr w14:val="tx1"/>
                        </w14:solidFill>
                      </w14:textFill>
                    </w:rPr>
                    <w:t>建筑垃圾存放点，及时清运</w:t>
                  </w:r>
                </w:p>
              </w:tc>
              <w:tc>
                <w:tcPr>
                  <w:tcW w:w="585" w:type="pct"/>
                  <w:vAlign w:val="center"/>
                </w:tcPr>
                <w:p w14:paraId="7EC52508">
                  <w:pPr>
                    <w:autoSpaceDE w:val="0"/>
                    <w:autoSpaceDN w:val="0"/>
                    <w:jc w:val="center"/>
                    <w:outlineLvl w:val="1"/>
                    <w:rPr>
                      <w:rFonts w:hint="default" w:eastAsia="宋体"/>
                      <w:bCs/>
                      <w:color w:val="000000" w:themeColor="text1"/>
                      <w:lang w:val="en-US" w:eastAsia="zh-CN"/>
                      <w14:textFill>
                        <w14:solidFill>
                          <w14:schemeClr w14:val="tx1"/>
                        </w14:solidFill>
                      </w14:textFill>
                    </w:rPr>
                  </w:pPr>
                  <w:r>
                    <w:rPr>
                      <w:rFonts w:hint="eastAsia"/>
                      <w:bCs/>
                      <w:color w:val="000000" w:themeColor="text1"/>
                      <w:lang w:val="en-US" w:eastAsia="zh-CN"/>
                      <w14:textFill>
                        <w14:solidFill>
                          <w14:schemeClr w14:val="tx1"/>
                        </w14:solidFill>
                      </w14:textFill>
                    </w:rPr>
                    <w:t>2.00</w:t>
                  </w:r>
                </w:p>
              </w:tc>
            </w:tr>
            <w:tr w14:paraId="58A94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6" w:type="pct"/>
                  <w:vMerge w:val="continue"/>
                  <w:vAlign w:val="center"/>
                </w:tcPr>
                <w:p w14:paraId="0C692A92">
                  <w:pPr>
                    <w:jc w:val="center"/>
                    <w:rPr>
                      <w:rFonts w:hint="eastAsia"/>
                      <w:color w:val="000000" w:themeColor="text1"/>
                      <w:highlight w:val="none"/>
                      <w14:textFill>
                        <w14:solidFill>
                          <w14:schemeClr w14:val="tx1"/>
                        </w14:solidFill>
                      </w14:textFill>
                    </w:rPr>
                  </w:pPr>
                </w:p>
              </w:tc>
              <w:tc>
                <w:tcPr>
                  <w:tcW w:w="652" w:type="pct"/>
                  <w:vAlign w:val="center"/>
                </w:tcPr>
                <w:p w14:paraId="054E9EA6">
                  <w:pPr>
                    <w:jc w:val="center"/>
                    <w:rPr>
                      <w:rFonts w:hint="eastAsia"/>
                      <w:color w:val="000000" w:themeColor="text1"/>
                      <w:highlight w:val="none"/>
                      <w:lang w:val="en-US" w:eastAsia="zh-CN"/>
                      <w14:textFill>
                        <w14:solidFill>
                          <w14:schemeClr w14:val="tx1"/>
                        </w14:solidFill>
                      </w14:textFill>
                    </w:rPr>
                  </w:pPr>
                  <w:r>
                    <w:rPr>
                      <w:bCs/>
                      <w:color w:val="000000" w:themeColor="text1"/>
                      <w14:textFill>
                        <w14:solidFill>
                          <w14:schemeClr w14:val="tx1"/>
                        </w14:solidFill>
                      </w14:textFill>
                    </w:rPr>
                    <w:t>噪声处理</w:t>
                  </w:r>
                </w:p>
              </w:tc>
              <w:tc>
                <w:tcPr>
                  <w:tcW w:w="3045" w:type="pct"/>
                  <w:gridSpan w:val="2"/>
                  <w:vAlign w:val="center"/>
                </w:tcPr>
                <w:p w14:paraId="4EC2AC9B">
                  <w:pPr>
                    <w:autoSpaceDE w:val="0"/>
                    <w:autoSpaceDN w:val="0"/>
                    <w:jc w:val="center"/>
                    <w:outlineLvl w:val="1"/>
                    <w:rPr>
                      <w:color w:val="000000" w:themeColor="text1"/>
                      <w:highlight w:val="none"/>
                      <w14:textFill>
                        <w14:solidFill>
                          <w14:schemeClr w14:val="tx1"/>
                        </w14:solidFill>
                      </w14:textFill>
                    </w:rPr>
                  </w:pPr>
                  <w:bookmarkStart w:id="226" w:name="_Toc20290"/>
                  <w:bookmarkStart w:id="227" w:name="_Toc3040"/>
                  <w:bookmarkStart w:id="228" w:name="_Toc21363"/>
                  <w:r>
                    <w:rPr>
                      <w:bCs/>
                      <w:color w:val="000000" w:themeColor="text1"/>
                      <w14:textFill>
                        <w14:solidFill>
                          <w14:schemeClr w14:val="tx1"/>
                        </w14:solidFill>
                      </w14:textFill>
                    </w:rPr>
                    <w:t>选用低噪声设备，施工车辆限速、禁鸣</w:t>
                  </w:r>
                  <w:bookmarkEnd w:id="226"/>
                  <w:bookmarkEnd w:id="227"/>
                  <w:bookmarkEnd w:id="228"/>
                </w:p>
              </w:tc>
              <w:tc>
                <w:tcPr>
                  <w:tcW w:w="585" w:type="pct"/>
                  <w:vAlign w:val="center"/>
                </w:tcPr>
                <w:p w14:paraId="145A2C6E">
                  <w:pPr>
                    <w:autoSpaceDE w:val="0"/>
                    <w:autoSpaceDN w:val="0"/>
                    <w:jc w:val="center"/>
                    <w:outlineLvl w:val="1"/>
                    <w:rPr>
                      <w:rFonts w:hint="default" w:eastAsia="宋体"/>
                      <w:color w:val="000000" w:themeColor="text1"/>
                      <w:highlight w:val="none"/>
                      <w:lang w:val="en-US" w:eastAsia="zh-CN"/>
                      <w14:textFill>
                        <w14:solidFill>
                          <w14:schemeClr w14:val="tx1"/>
                        </w14:solidFill>
                      </w14:textFill>
                    </w:rPr>
                  </w:pPr>
                  <w:bookmarkStart w:id="229" w:name="_Toc15268"/>
                  <w:bookmarkStart w:id="230" w:name="_Toc11464"/>
                  <w:bookmarkStart w:id="231" w:name="_Toc24140"/>
                  <w:r>
                    <w:rPr>
                      <w:rFonts w:hint="eastAsia"/>
                      <w:bCs/>
                      <w:color w:val="000000" w:themeColor="text1"/>
                      <w14:textFill>
                        <w14:solidFill>
                          <w14:schemeClr w14:val="tx1"/>
                        </w14:solidFill>
                      </w14:textFill>
                    </w:rPr>
                    <w:t>1</w:t>
                  </w:r>
                  <w:r>
                    <w:rPr>
                      <w:rFonts w:hint="eastAsia"/>
                      <w:bCs/>
                      <w:color w:val="000000" w:themeColor="text1"/>
                      <w:lang w:val="en-US" w:eastAsia="zh-CN"/>
                      <w14:textFill>
                        <w14:solidFill>
                          <w14:schemeClr w14:val="tx1"/>
                        </w14:solidFill>
                      </w14:textFill>
                    </w:rPr>
                    <w:t>.00</w:t>
                  </w:r>
                  <w:bookmarkEnd w:id="229"/>
                  <w:bookmarkEnd w:id="230"/>
                  <w:bookmarkEnd w:id="231"/>
                </w:p>
              </w:tc>
            </w:tr>
            <w:tr w14:paraId="4014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6" w:type="pct"/>
                  <w:vMerge w:val="restart"/>
                  <w:vAlign w:val="center"/>
                </w:tcPr>
                <w:p w14:paraId="39E7454A">
                  <w:pPr>
                    <w:bidi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运营期</w:t>
                  </w:r>
                </w:p>
              </w:tc>
              <w:tc>
                <w:tcPr>
                  <w:tcW w:w="652" w:type="pct"/>
                  <w:vMerge w:val="restart"/>
                  <w:vAlign w:val="center"/>
                </w:tcPr>
                <w:p w14:paraId="3929F874">
                  <w:pPr>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废气</w:t>
                  </w:r>
                </w:p>
              </w:tc>
              <w:tc>
                <w:tcPr>
                  <w:tcW w:w="1030" w:type="pct"/>
                  <w:vAlign w:val="center"/>
                </w:tcPr>
                <w:p w14:paraId="3260BCCC">
                  <w:pPr>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电预热、模压成型、罩光废气</w:t>
                  </w:r>
                </w:p>
              </w:tc>
              <w:tc>
                <w:tcPr>
                  <w:tcW w:w="2015" w:type="pct"/>
                  <w:vAlign w:val="center"/>
                </w:tcPr>
                <w:p w14:paraId="7F6A3BD3">
                  <w:pPr>
                    <w:pageBreakBefore w:val="0"/>
                    <w:wordWrap/>
                    <w:topLinePunct w:val="0"/>
                    <w:autoSpaceDE w:val="0"/>
                    <w:autoSpaceDN w:val="0"/>
                    <w:bidi w:val="0"/>
                    <w:adjustRightInd w:val="0"/>
                    <w:jc w:val="both"/>
                    <w:rPr>
                      <w:rFonts w:hint="default"/>
                      <w:color w:val="000000" w:themeColor="text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引风机（风机风量20000m</w:t>
                  </w:r>
                  <w:r>
                    <w:rPr>
                      <w:rFonts w:hint="eastAsia" w:cs="Times New Roman"/>
                      <w:color w:val="000000" w:themeColor="text1"/>
                      <w:szCs w:val="21"/>
                      <w:highlight w:val="none"/>
                      <w:vertAlign w:val="superscript"/>
                      <w:lang w:val="en-US" w:eastAsia="zh-CN"/>
                      <w14:textFill>
                        <w14:solidFill>
                          <w14:schemeClr w14:val="tx1"/>
                        </w14:solidFill>
                      </w14:textFill>
                    </w:rPr>
                    <w:t>3</w:t>
                  </w:r>
                  <w:r>
                    <w:rPr>
                      <w:rFonts w:hint="eastAsia" w:cs="Times New Roman"/>
                      <w:color w:val="000000" w:themeColor="text1"/>
                      <w:szCs w:val="21"/>
                      <w:highlight w:val="none"/>
                      <w:lang w:val="en-US" w:eastAsia="zh-CN"/>
                      <w14:textFill>
                        <w14:solidFill>
                          <w14:schemeClr w14:val="tx1"/>
                        </w14:solidFill>
                      </w14:textFill>
                    </w:rPr>
                    <w:t>/h）+集气罩（收集效率90%）+活性炭吸附/脱附+催化燃烧处理后通过15m高排气筒</w:t>
                  </w:r>
                </w:p>
              </w:tc>
              <w:tc>
                <w:tcPr>
                  <w:tcW w:w="585" w:type="pct"/>
                  <w:vAlign w:val="center"/>
                </w:tcPr>
                <w:p w14:paraId="3F17BE84">
                  <w:pPr>
                    <w:pageBreakBefore w:val="0"/>
                    <w:wordWrap/>
                    <w:topLinePunct w:val="0"/>
                    <w:autoSpaceDE w:val="0"/>
                    <w:autoSpaceDN w:val="0"/>
                    <w:bidi w:val="0"/>
                    <w:jc w:val="center"/>
                    <w:outlineLvl w:val="1"/>
                    <w:rPr>
                      <w:rFonts w:hint="default"/>
                      <w:color w:val="000000" w:themeColor="text1"/>
                      <w:highlight w:val="none"/>
                      <w:lang w:val="en-US" w:eastAsia="zh-CN"/>
                      <w14:textFill>
                        <w14:solidFill>
                          <w14:schemeClr w14:val="tx1"/>
                        </w14:solidFill>
                      </w14:textFill>
                    </w:rPr>
                  </w:pPr>
                  <w:bookmarkStart w:id="232" w:name="_Toc6528"/>
                  <w:bookmarkStart w:id="233" w:name="_Toc165"/>
                  <w:bookmarkStart w:id="234" w:name="_Toc30210"/>
                  <w:r>
                    <w:rPr>
                      <w:rFonts w:hint="eastAsia" w:cs="Times New Roman"/>
                      <w:color w:val="000000" w:themeColor="text1"/>
                      <w:highlight w:val="none"/>
                      <w:lang w:val="en-US" w:eastAsia="zh-CN"/>
                      <w14:textFill>
                        <w14:solidFill>
                          <w14:schemeClr w14:val="tx1"/>
                        </w14:solidFill>
                      </w14:textFill>
                    </w:rPr>
                    <w:t>50.00</w:t>
                  </w:r>
                  <w:bookmarkEnd w:id="232"/>
                  <w:bookmarkEnd w:id="233"/>
                  <w:bookmarkEnd w:id="234"/>
                </w:p>
              </w:tc>
            </w:tr>
            <w:tr w14:paraId="1E412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716" w:type="pct"/>
                  <w:vMerge w:val="continue"/>
                  <w:vAlign w:val="center"/>
                </w:tcPr>
                <w:p w14:paraId="550247A9">
                  <w:pPr>
                    <w:bidi w:val="0"/>
                    <w:jc w:val="center"/>
                    <w:rPr>
                      <w:rFonts w:hint="eastAsia"/>
                      <w:color w:val="000000" w:themeColor="text1"/>
                      <w:highlight w:val="none"/>
                      <w14:textFill>
                        <w14:solidFill>
                          <w14:schemeClr w14:val="tx1"/>
                        </w14:solidFill>
                      </w14:textFill>
                    </w:rPr>
                  </w:pPr>
                </w:p>
              </w:tc>
              <w:tc>
                <w:tcPr>
                  <w:tcW w:w="652" w:type="pct"/>
                  <w:vMerge w:val="continue"/>
                  <w:vAlign w:val="center"/>
                </w:tcPr>
                <w:p w14:paraId="402A6B4B">
                  <w:pPr>
                    <w:bidi w:val="0"/>
                    <w:jc w:val="center"/>
                    <w:rPr>
                      <w:rFonts w:hint="eastAsia"/>
                      <w:color w:val="000000" w:themeColor="text1"/>
                      <w:highlight w:val="none"/>
                      <w:lang w:val="en-US" w:eastAsia="zh-CN"/>
                      <w14:textFill>
                        <w14:solidFill>
                          <w14:schemeClr w14:val="tx1"/>
                        </w14:solidFill>
                      </w14:textFill>
                    </w:rPr>
                  </w:pPr>
                </w:p>
              </w:tc>
              <w:tc>
                <w:tcPr>
                  <w:tcW w:w="1030" w:type="pct"/>
                  <w:vAlign w:val="center"/>
                </w:tcPr>
                <w:p w14:paraId="5DC373F5">
                  <w:pPr>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称量打磨废气</w:t>
                  </w:r>
                </w:p>
              </w:tc>
              <w:tc>
                <w:tcPr>
                  <w:tcW w:w="2015" w:type="pct"/>
                  <w:vAlign w:val="center"/>
                </w:tcPr>
                <w:p w14:paraId="12BCE491">
                  <w:pPr>
                    <w:pageBreakBefore w:val="0"/>
                    <w:wordWrap/>
                    <w:topLinePunct w:val="0"/>
                    <w:autoSpaceDE w:val="0"/>
                    <w:autoSpaceDN w:val="0"/>
                    <w:bidi w:val="0"/>
                    <w:adjustRightInd w:val="0"/>
                    <w:jc w:val="both"/>
                    <w:rPr>
                      <w:rFonts w:hint="eastAsia"/>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引风机（风机风量</w:t>
                  </w:r>
                  <w:r>
                    <w:rPr>
                      <w:rFonts w:hint="eastAsia" w:cs="Times New Roman"/>
                      <w:color w:val="000000" w:themeColor="text1"/>
                      <w:sz w:val="21"/>
                      <w:szCs w:val="21"/>
                      <w:lang w:val="en-US" w:eastAsia="zh-CN"/>
                      <w14:textFill>
                        <w14:solidFill>
                          <w14:schemeClr w14:val="tx1"/>
                        </w14:solidFill>
                      </w14:textFill>
                    </w:rPr>
                    <w:t>7</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/h）+集气罩（收集效率85%）+布袋除尘器处理后通过15m高排气筒（DA002）</w:t>
                  </w:r>
                </w:p>
              </w:tc>
              <w:tc>
                <w:tcPr>
                  <w:tcW w:w="585" w:type="pct"/>
                  <w:vAlign w:val="center"/>
                </w:tcPr>
                <w:p w14:paraId="6D422107">
                  <w:pPr>
                    <w:pageBreakBefore w:val="0"/>
                    <w:wordWrap/>
                    <w:topLinePunct w:val="0"/>
                    <w:autoSpaceDE w:val="0"/>
                    <w:autoSpaceDN w:val="0"/>
                    <w:bidi w:val="0"/>
                    <w:jc w:val="center"/>
                    <w:outlineLvl w:val="1"/>
                    <w:rPr>
                      <w:rFonts w:hint="default"/>
                      <w:color w:val="000000" w:themeColor="text1"/>
                      <w:highlight w:val="none"/>
                      <w:lang w:val="en-US" w:eastAsia="zh-CN"/>
                      <w14:textFill>
                        <w14:solidFill>
                          <w14:schemeClr w14:val="tx1"/>
                        </w14:solidFill>
                      </w14:textFill>
                    </w:rPr>
                  </w:pPr>
                  <w:bookmarkStart w:id="235" w:name="_Toc4940"/>
                  <w:bookmarkStart w:id="236" w:name="_Toc19313"/>
                  <w:bookmarkStart w:id="237" w:name="_Toc10442"/>
                  <w:r>
                    <w:rPr>
                      <w:rFonts w:hint="eastAsia" w:cs="Times New Roman"/>
                      <w:color w:val="000000" w:themeColor="text1"/>
                      <w:highlight w:val="none"/>
                      <w:lang w:val="en-US" w:eastAsia="zh-CN"/>
                      <w14:textFill>
                        <w14:solidFill>
                          <w14:schemeClr w14:val="tx1"/>
                        </w14:solidFill>
                      </w14:textFill>
                    </w:rPr>
                    <w:t>8.00</w:t>
                  </w:r>
                  <w:bookmarkEnd w:id="235"/>
                  <w:bookmarkEnd w:id="236"/>
                  <w:bookmarkEnd w:id="237"/>
                </w:p>
              </w:tc>
            </w:tr>
            <w:tr w14:paraId="0435A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716" w:type="pct"/>
                  <w:vMerge w:val="continue"/>
                  <w:vAlign w:val="center"/>
                </w:tcPr>
                <w:p w14:paraId="5C089AFF">
                  <w:pPr>
                    <w:bidi w:val="0"/>
                    <w:jc w:val="center"/>
                    <w:rPr>
                      <w:color w:val="000000" w:themeColor="text1"/>
                      <w:highlight w:val="none"/>
                      <w14:textFill>
                        <w14:solidFill>
                          <w14:schemeClr w14:val="tx1"/>
                        </w14:solidFill>
                      </w14:textFill>
                    </w:rPr>
                  </w:pPr>
                </w:p>
              </w:tc>
              <w:tc>
                <w:tcPr>
                  <w:tcW w:w="652" w:type="pct"/>
                  <w:vMerge w:val="restart"/>
                  <w:vAlign w:val="center"/>
                </w:tcPr>
                <w:p w14:paraId="7E7D435E">
                  <w:pPr>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固废</w:t>
                  </w:r>
                </w:p>
              </w:tc>
              <w:tc>
                <w:tcPr>
                  <w:tcW w:w="1030" w:type="pct"/>
                  <w:vAlign w:val="center"/>
                </w:tcPr>
                <w:p w14:paraId="7F4981B4">
                  <w:pPr>
                    <w:pageBreakBefore w:val="0"/>
                    <w:wordWrap/>
                    <w:topLinePunct w:val="0"/>
                    <w:autoSpaceDE w:val="0"/>
                    <w:autoSpaceDN w:val="0"/>
                    <w:bidi w:val="0"/>
                    <w:adjustRightInd w:val="0"/>
                    <w:jc w:val="center"/>
                    <w:rPr>
                      <w:rFonts w:hint="default" w:eastAsia="宋体"/>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垃圾桶</w:t>
                  </w:r>
                </w:p>
              </w:tc>
              <w:tc>
                <w:tcPr>
                  <w:tcW w:w="2015" w:type="pct"/>
                  <w:vAlign w:val="center"/>
                </w:tcPr>
                <w:p w14:paraId="5975E5E9">
                  <w:pPr>
                    <w:pageBreakBefore w:val="0"/>
                    <w:wordWrap/>
                    <w:topLinePunct w:val="0"/>
                    <w:autoSpaceDE w:val="0"/>
                    <w:autoSpaceDN w:val="0"/>
                    <w:bidi w:val="0"/>
                    <w:jc w:val="center"/>
                    <w:outlineLvl w:val="1"/>
                    <w:rPr>
                      <w:color w:val="000000" w:themeColor="text1"/>
                      <w:highlight w:val="none"/>
                      <w14:textFill>
                        <w14:solidFill>
                          <w14:schemeClr w14:val="tx1"/>
                        </w14:solidFill>
                      </w14:textFill>
                    </w:rPr>
                  </w:pPr>
                  <w:bookmarkStart w:id="238" w:name="_Toc22043"/>
                  <w:bookmarkStart w:id="239" w:name="_Toc31415"/>
                  <w:bookmarkStart w:id="240" w:name="_Toc13526"/>
                  <w:r>
                    <w:rPr>
                      <w:rFonts w:hint="default" w:ascii="Times New Roman" w:hAnsi="Times New Roman" w:cs="Times New Roman"/>
                      <w:snapToGrid w:val="0"/>
                      <w:color w:val="000000" w:themeColor="text1"/>
                      <w:kern w:val="0"/>
                      <w:highlight w:val="none"/>
                      <w14:textFill>
                        <w14:solidFill>
                          <w14:schemeClr w14:val="tx1"/>
                        </w14:solidFill>
                      </w14:textFill>
                    </w:rPr>
                    <w:t>垃圾收集桶不</w:t>
                  </w:r>
                  <w:r>
                    <w:rPr>
                      <w:rFonts w:hint="default" w:ascii="Times New Roman" w:hAnsi="Times New Roman" w:cs="Times New Roman"/>
                      <w:snapToGrid w:val="0"/>
                      <w:color w:val="000000" w:themeColor="text1"/>
                      <w:kern w:val="0"/>
                      <w:highlight w:val="none"/>
                      <w:lang w:eastAsia="zh-CN"/>
                      <w14:textFill>
                        <w14:solidFill>
                          <w14:schemeClr w14:val="tx1"/>
                        </w14:solidFill>
                      </w14:textFill>
                    </w:rPr>
                    <w:t>少</w:t>
                  </w:r>
                  <w:r>
                    <w:rPr>
                      <w:rFonts w:hint="default" w:ascii="Times New Roman" w:hAnsi="Times New Roman" w:cs="Times New Roman"/>
                      <w:snapToGrid w:val="0"/>
                      <w:color w:val="000000" w:themeColor="text1"/>
                      <w:kern w:val="0"/>
                      <w:highlight w:val="none"/>
                      <w14:textFill>
                        <w14:solidFill>
                          <w14:schemeClr w14:val="tx1"/>
                        </w14:solidFill>
                      </w14:textFill>
                    </w:rPr>
                    <w:t>于</w:t>
                  </w:r>
                  <w:r>
                    <w:rPr>
                      <w:rFonts w:hint="eastAsia" w:cs="Times New Roman"/>
                      <w:snapToGrid w:val="0"/>
                      <w:color w:val="000000" w:themeColor="text1"/>
                      <w:kern w:val="0"/>
                      <w:highlight w:val="none"/>
                      <w:lang w:val="en-US" w:eastAsia="zh-CN"/>
                      <w14:textFill>
                        <w14:solidFill>
                          <w14:schemeClr w14:val="tx1"/>
                        </w14:solidFill>
                      </w14:textFill>
                    </w:rPr>
                    <w:t>5</w:t>
                  </w:r>
                  <w:r>
                    <w:rPr>
                      <w:rFonts w:hint="default" w:ascii="Times New Roman" w:hAnsi="Times New Roman" w:cs="Times New Roman"/>
                      <w:snapToGrid w:val="0"/>
                      <w:color w:val="000000" w:themeColor="text1"/>
                      <w:kern w:val="0"/>
                      <w:highlight w:val="none"/>
                      <w14:textFill>
                        <w14:solidFill>
                          <w14:schemeClr w14:val="tx1"/>
                        </w14:solidFill>
                      </w14:textFill>
                    </w:rPr>
                    <w:t>个</w:t>
                  </w:r>
                  <w:bookmarkEnd w:id="238"/>
                  <w:bookmarkEnd w:id="239"/>
                  <w:bookmarkEnd w:id="240"/>
                </w:p>
              </w:tc>
              <w:tc>
                <w:tcPr>
                  <w:tcW w:w="585" w:type="pct"/>
                  <w:vAlign w:val="center"/>
                </w:tcPr>
                <w:p w14:paraId="1AC0AC04">
                  <w:pPr>
                    <w:pageBreakBefore w:val="0"/>
                    <w:wordWrap/>
                    <w:topLinePunct w:val="0"/>
                    <w:autoSpaceDE w:val="0"/>
                    <w:autoSpaceDN w:val="0"/>
                    <w:bidi w:val="0"/>
                    <w:jc w:val="center"/>
                    <w:outlineLvl w:val="1"/>
                    <w:rPr>
                      <w:rFonts w:hint="default" w:eastAsia="宋体"/>
                      <w:color w:val="000000" w:themeColor="text1"/>
                      <w:highlight w:val="none"/>
                      <w:lang w:val="en-US" w:eastAsia="zh-CN"/>
                      <w14:textFill>
                        <w14:solidFill>
                          <w14:schemeClr w14:val="tx1"/>
                        </w14:solidFill>
                      </w14:textFill>
                    </w:rPr>
                  </w:pPr>
                  <w:bookmarkStart w:id="241" w:name="_Toc1149"/>
                  <w:bookmarkStart w:id="242" w:name="_Toc9670"/>
                  <w:bookmarkStart w:id="243" w:name="_Toc22093"/>
                  <w:r>
                    <w:rPr>
                      <w:rFonts w:hint="eastAsia" w:cs="Times New Roman"/>
                      <w:color w:val="000000" w:themeColor="text1"/>
                      <w:highlight w:val="none"/>
                      <w:lang w:val="en-US" w:eastAsia="zh-CN"/>
                      <w14:textFill>
                        <w14:solidFill>
                          <w14:schemeClr w14:val="tx1"/>
                        </w14:solidFill>
                      </w14:textFill>
                    </w:rPr>
                    <w:t>0.50</w:t>
                  </w:r>
                  <w:bookmarkEnd w:id="241"/>
                  <w:bookmarkEnd w:id="242"/>
                  <w:bookmarkEnd w:id="243"/>
                </w:p>
              </w:tc>
            </w:tr>
            <w:tr w14:paraId="6F688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716" w:type="pct"/>
                  <w:vMerge w:val="continue"/>
                  <w:vAlign w:val="center"/>
                </w:tcPr>
                <w:p w14:paraId="14520113">
                  <w:pPr>
                    <w:bidi w:val="0"/>
                    <w:jc w:val="center"/>
                    <w:rPr>
                      <w:color w:val="000000" w:themeColor="text1"/>
                      <w:highlight w:val="none"/>
                      <w14:textFill>
                        <w14:solidFill>
                          <w14:schemeClr w14:val="tx1"/>
                        </w14:solidFill>
                      </w14:textFill>
                    </w:rPr>
                  </w:pPr>
                </w:p>
              </w:tc>
              <w:tc>
                <w:tcPr>
                  <w:tcW w:w="652" w:type="pct"/>
                  <w:vMerge w:val="continue"/>
                  <w:vAlign w:val="center"/>
                </w:tcPr>
                <w:p w14:paraId="19A452BC">
                  <w:pPr>
                    <w:bidi w:val="0"/>
                    <w:jc w:val="center"/>
                    <w:rPr>
                      <w:color w:val="000000" w:themeColor="text1"/>
                      <w:highlight w:val="none"/>
                      <w14:textFill>
                        <w14:solidFill>
                          <w14:schemeClr w14:val="tx1"/>
                        </w14:solidFill>
                      </w14:textFill>
                    </w:rPr>
                  </w:pPr>
                </w:p>
              </w:tc>
              <w:tc>
                <w:tcPr>
                  <w:tcW w:w="1030" w:type="pct"/>
                  <w:vAlign w:val="center"/>
                </w:tcPr>
                <w:p w14:paraId="204020B5">
                  <w:pPr>
                    <w:pageBreakBefore w:val="0"/>
                    <w:wordWrap/>
                    <w:topLinePunct w:val="0"/>
                    <w:autoSpaceDE w:val="0"/>
                    <w:autoSpaceDN w:val="0"/>
                    <w:bidi w:val="0"/>
                    <w:adjustRightInd w:val="0"/>
                    <w:jc w:val="center"/>
                    <w:rPr>
                      <w:rFonts w:hint="eastAsia" w:eastAsia="宋体"/>
                      <w:color w:val="000000" w:themeColor="text1"/>
                      <w:highlight w:val="none"/>
                      <w:lang w:val="en-US" w:eastAsia="zh-CN"/>
                      <w14:textFill>
                        <w14:solidFill>
                          <w14:schemeClr w14:val="tx1"/>
                        </w14:solidFill>
                      </w14:textFill>
                    </w:rPr>
                  </w:pPr>
                  <w:r>
                    <w:rPr>
                      <w:rFonts w:hint="eastAsia" w:cs="Times New Roman"/>
                      <w:color w:val="000000" w:themeColor="text1"/>
                      <w:highlight w:val="none"/>
                      <w:lang w:eastAsia="zh-CN"/>
                      <w14:textFill>
                        <w14:solidFill>
                          <w14:schemeClr w14:val="tx1"/>
                        </w14:solidFill>
                      </w14:textFill>
                    </w:rPr>
                    <w:t>危险废物贮存间</w:t>
                  </w:r>
                </w:p>
              </w:tc>
              <w:tc>
                <w:tcPr>
                  <w:tcW w:w="2015" w:type="pct"/>
                  <w:vAlign w:val="center"/>
                </w:tcPr>
                <w:p w14:paraId="771B900E">
                  <w:pPr>
                    <w:pageBreakBefore w:val="0"/>
                    <w:wordWrap/>
                    <w:topLinePunct w:val="0"/>
                    <w:autoSpaceDE w:val="0"/>
                    <w:autoSpaceDN w:val="0"/>
                    <w:bidi w:val="0"/>
                    <w:jc w:val="center"/>
                    <w:outlineLvl w:val="1"/>
                    <w:rPr>
                      <w:rFonts w:hint="default" w:eastAsia="宋体"/>
                      <w:color w:val="000000" w:themeColor="text1"/>
                      <w:highlight w:val="none"/>
                      <w:lang w:val="en-US" w:eastAsia="zh-CN"/>
                      <w14:textFill>
                        <w14:solidFill>
                          <w14:schemeClr w14:val="tx1"/>
                        </w14:solidFill>
                      </w14:textFill>
                    </w:rPr>
                  </w:pPr>
                  <w:bookmarkStart w:id="244" w:name="_Toc13420"/>
                  <w:bookmarkStart w:id="245" w:name="_Toc24293"/>
                  <w:bookmarkStart w:id="246" w:name="_Toc30323"/>
                  <w:r>
                    <w:rPr>
                      <w:rFonts w:hint="default" w:ascii="Times New Roman" w:hAnsi="Times New Roman" w:cs="Times New Roman"/>
                      <w:color w:val="000000" w:themeColor="text1"/>
                      <w:highlight w:val="none"/>
                      <w14:textFill>
                        <w14:solidFill>
                          <w14:schemeClr w14:val="tx1"/>
                        </w14:solidFill>
                      </w14:textFill>
                    </w:rPr>
                    <w:t>1间，建筑面积</w:t>
                  </w:r>
                  <w:r>
                    <w:rPr>
                      <w:rFonts w:hint="eastAsia"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2</w:t>
                  </w:r>
                  <w:bookmarkEnd w:id="244"/>
                  <w:bookmarkEnd w:id="245"/>
                  <w:bookmarkEnd w:id="246"/>
                </w:p>
              </w:tc>
              <w:tc>
                <w:tcPr>
                  <w:tcW w:w="585" w:type="pct"/>
                  <w:vAlign w:val="center"/>
                </w:tcPr>
                <w:p w14:paraId="3A1C61C2">
                  <w:pPr>
                    <w:pageBreakBefore w:val="0"/>
                    <w:wordWrap/>
                    <w:topLinePunct w:val="0"/>
                    <w:autoSpaceDE w:val="0"/>
                    <w:autoSpaceDN w:val="0"/>
                    <w:bidi w:val="0"/>
                    <w:jc w:val="center"/>
                    <w:outlineLvl w:val="1"/>
                    <w:rPr>
                      <w:rFonts w:hint="default" w:eastAsia="宋体"/>
                      <w:color w:val="000000" w:themeColor="text1"/>
                      <w:highlight w:val="none"/>
                      <w:lang w:val="en-US" w:eastAsia="zh-CN"/>
                      <w14:textFill>
                        <w14:solidFill>
                          <w14:schemeClr w14:val="tx1"/>
                        </w14:solidFill>
                      </w14:textFill>
                    </w:rPr>
                  </w:pPr>
                  <w:bookmarkStart w:id="247" w:name="_Toc1221"/>
                  <w:bookmarkStart w:id="248" w:name="_Toc32185"/>
                  <w:bookmarkStart w:id="249" w:name="_Toc12410"/>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eastAsia" w:cs="Times New Roman"/>
                      <w:color w:val="000000" w:themeColor="text1"/>
                      <w:highlight w:val="none"/>
                      <w:lang w:val="en-US" w:eastAsia="zh-CN"/>
                      <w14:textFill>
                        <w14:solidFill>
                          <w14:schemeClr w14:val="tx1"/>
                        </w14:solidFill>
                      </w14:textFill>
                    </w:rPr>
                    <w:t>.00</w:t>
                  </w:r>
                  <w:bookmarkEnd w:id="247"/>
                  <w:bookmarkEnd w:id="248"/>
                  <w:bookmarkEnd w:id="249"/>
                </w:p>
              </w:tc>
            </w:tr>
            <w:tr w14:paraId="57761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16" w:type="pct"/>
                  <w:vMerge w:val="continue"/>
                  <w:vAlign w:val="center"/>
                </w:tcPr>
                <w:p w14:paraId="597CB5DE">
                  <w:pPr>
                    <w:bidi w:val="0"/>
                    <w:jc w:val="center"/>
                    <w:rPr>
                      <w:color w:val="000000" w:themeColor="text1"/>
                      <w:highlight w:val="none"/>
                      <w14:textFill>
                        <w14:solidFill>
                          <w14:schemeClr w14:val="tx1"/>
                        </w14:solidFill>
                      </w14:textFill>
                    </w:rPr>
                  </w:pPr>
                </w:p>
              </w:tc>
              <w:tc>
                <w:tcPr>
                  <w:tcW w:w="652" w:type="pct"/>
                  <w:vMerge w:val="continue"/>
                  <w:vAlign w:val="center"/>
                </w:tcPr>
                <w:p w14:paraId="403C270D">
                  <w:pPr>
                    <w:bidi w:val="0"/>
                    <w:jc w:val="center"/>
                    <w:rPr>
                      <w:color w:val="000000" w:themeColor="text1"/>
                      <w:highlight w:val="none"/>
                      <w14:textFill>
                        <w14:solidFill>
                          <w14:schemeClr w14:val="tx1"/>
                        </w14:solidFill>
                      </w14:textFill>
                    </w:rPr>
                  </w:pPr>
                </w:p>
              </w:tc>
              <w:tc>
                <w:tcPr>
                  <w:tcW w:w="1030" w:type="pct"/>
                  <w:vAlign w:val="center"/>
                </w:tcPr>
                <w:p w14:paraId="70B35768">
                  <w:pPr>
                    <w:pageBreakBefore w:val="0"/>
                    <w:wordWrap/>
                    <w:topLinePunct w:val="0"/>
                    <w:autoSpaceDE w:val="0"/>
                    <w:autoSpaceDN w:val="0"/>
                    <w:bidi w:val="0"/>
                    <w:adjustRightInd w:val="0"/>
                    <w:jc w:val="center"/>
                    <w:rPr>
                      <w:rFonts w:hint="default" w:eastAsia="宋体"/>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固废处置</w:t>
                  </w:r>
                </w:p>
              </w:tc>
              <w:tc>
                <w:tcPr>
                  <w:tcW w:w="2015" w:type="pct"/>
                  <w:vAlign w:val="center"/>
                </w:tcPr>
                <w:p w14:paraId="7C94FE69">
                  <w:pPr>
                    <w:pageBreakBefore w:val="0"/>
                    <w:wordWrap/>
                    <w:topLinePunct w:val="0"/>
                    <w:autoSpaceDE w:val="0"/>
                    <w:autoSpaceDN w:val="0"/>
                    <w:bidi w:val="0"/>
                    <w:jc w:val="center"/>
                    <w:outlineLvl w:val="1"/>
                    <w:rPr>
                      <w:rFonts w:hint="default" w:eastAsia="宋体"/>
                      <w:color w:val="000000" w:themeColor="text1"/>
                      <w:highlight w:val="none"/>
                      <w:lang w:val="en-US" w:eastAsia="zh-CN"/>
                      <w14:textFill>
                        <w14:solidFill>
                          <w14:schemeClr w14:val="tx1"/>
                        </w14:solidFill>
                      </w14:textFill>
                    </w:rPr>
                  </w:pPr>
                  <w:bookmarkStart w:id="250" w:name="_Toc24355"/>
                  <w:bookmarkStart w:id="251" w:name="_Toc31386"/>
                  <w:bookmarkStart w:id="252" w:name="_Toc14213"/>
                  <w:r>
                    <w:rPr>
                      <w:rFonts w:hint="default" w:ascii="Times New Roman" w:hAnsi="Times New Roman" w:cs="Times New Roman"/>
                      <w:color w:val="000000" w:themeColor="text1"/>
                      <w:highlight w:val="none"/>
                      <w14:textFill>
                        <w14:solidFill>
                          <w14:schemeClr w14:val="tx1"/>
                        </w14:solidFill>
                      </w14:textFill>
                    </w:rPr>
                    <w:t>固体废物清运、处置</w:t>
                  </w:r>
                  <w:bookmarkEnd w:id="250"/>
                  <w:bookmarkEnd w:id="251"/>
                  <w:bookmarkEnd w:id="252"/>
                </w:p>
              </w:tc>
              <w:tc>
                <w:tcPr>
                  <w:tcW w:w="585" w:type="pct"/>
                  <w:vAlign w:val="center"/>
                </w:tcPr>
                <w:p w14:paraId="5EEFD15E">
                  <w:pPr>
                    <w:pageBreakBefore w:val="0"/>
                    <w:wordWrap/>
                    <w:topLinePunct w:val="0"/>
                    <w:autoSpaceDE w:val="0"/>
                    <w:autoSpaceDN w:val="0"/>
                    <w:bidi w:val="0"/>
                    <w:jc w:val="center"/>
                    <w:outlineLvl w:val="1"/>
                    <w:rPr>
                      <w:rFonts w:hint="default" w:eastAsia="宋体"/>
                      <w:color w:val="000000" w:themeColor="text1"/>
                      <w:highlight w:val="none"/>
                      <w:lang w:val="en-US" w:eastAsia="zh-CN"/>
                      <w14:textFill>
                        <w14:solidFill>
                          <w14:schemeClr w14:val="tx1"/>
                        </w14:solidFill>
                      </w14:textFill>
                    </w:rPr>
                  </w:pPr>
                  <w:bookmarkStart w:id="253" w:name="_Toc10422"/>
                  <w:bookmarkStart w:id="254" w:name="_Toc31695"/>
                  <w:bookmarkStart w:id="255" w:name="_Toc2878"/>
                  <w:r>
                    <w:rPr>
                      <w:rFonts w:hint="default" w:ascii="Times New Roman" w:hAnsi="Times New Roman" w:cs="Times New Roman"/>
                      <w:color w:val="000000" w:themeColor="text1"/>
                      <w:highlight w:val="none"/>
                      <w:lang w:val="en-US" w:eastAsia="zh-CN"/>
                      <w14:textFill>
                        <w14:solidFill>
                          <w14:schemeClr w14:val="tx1"/>
                        </w14:solidFill>
                      </w14:textFill>
                    </w:rPr>
                    <w:t>2.0</w:t>
                  </w:r>
                  <w:r>
                    <w:rPr>
                      <w:rFonts w:hint="eastAsia" w:cs="Times New Roman"/>
                      <w:color w:val="000000" w:themeColor="text1"/>
                      <w:highlight w:val="none"/>
                      <w:lang w:val="en-US" w:eastAsia="zh-CN"/>
                      <w14:textFill>
                        <w14:solidFill>
                          <w14:schemeClr w14:val="tx1"/>
                        </w14:solidFill>
                      </w14:textFill>
                    </w:rPr>
                    <w:t>0</w:t>
                  </w:r>
                  <w:bookmarkEnd w:id="253"/>
                  <w:bookmarkEnd w:id="254"/>
                  <w:bookmarkEnd w:id="255"/>
                </w:p>
              </w:tc>
            </w:tr>
            <w:tr w14:paraId="3FF82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8" w:type="pct"/>
                  <w:gridSpan w:val="2"/>
                  <w:vAlign w:val="center"/>
                </w:tcPr>
                <w:p w14:paraId="3DF0F7CD">
                  <w:pPr>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噪声处理</w:t>
                  </w:r>
                </w:p>
              </w:tc>
              <w:tc>
                <w:tcPr>
                  <w:tcW w:w="3045" w:type="pct"/>
                  <w:gridSpan w:val="2"/>
                  <w:vAlign w:val="center"/>
                </w:tcPr>
                <w:p w14:paraId="205E559E">
                  <w:pPr>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设备基础减振、厂房隔声等</w:t>
                  </w:r>
                </w:p>
              </w:tc>
              <w:tc>
                <w:tcPr>
                  <w:tcW w:w="585" w:type="pct"/>
                  <w:vAlign w:val="center"/>
                </w:tcPr>
                <w:p w14:paraId="04E9F34C">
                  <w:pPr>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5.00</w:t>
                  </w:r>
                </w:p>
              </w:tc>
            </w:tr>
            <w:tr w14:paraId="4657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4414" w:type="pct"/>
                  <w:gridSpan w:val="4"/>
                  <w:vAlign w:val="center"/>
                </w:tcPr>
                <w:p w14:paraId="050D0D75">
                  <w:pPr>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合计</w:t>
                  </w:r>
                </w:p>
              </w:tc>
              <w:tc>
                <w:tcPr>
                  <w:tcW w:w="585" w:type="pct"/>
                  <w:vAlign w:val="center"/>
                </w:tcPr>
                <w:p w14:paraId="054F02FE">
                  <w:pPr>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74.00</w:t>
                  </w:r>
                </w:p>
              </w:tc>
            </w:tr>
          </w:tbl>
          <w:p w14:paraId="2F075530">
            <w:pPr>
              <w:pageBreakBefore w:val="0"/>
              <w:wordWrap/>
              <w:topLinePunct w:val="0"/>
              <w:bidi w:val="0"/>
              <w:rPr>
                <w:rFonts w:hint="default"/>
                <w:color w:val="000000" w:themeColor="text1"/>
                <w:vertAlign w:val="baseline"/>
                <w14:textFill>
                  <w14:solidFill>
                    <w14:schemeClr w14:val="tx1"/>
                  </w14:solidFill>
                </w14:textFill>
              </w:rPr>
            </w:pPr>
          </w:p>
        </w:tc>
      </w:tr>
    </w:tbl>
    <w:p w14:paraId="31A2EBD6">
      <w:pPr>
        <w:rPr>
          <w:rFonts w:hint="default"/>
          <w:color w:val="000000" w:themeColor="text1"/>
          <w14:textFill>
            <w14:solidFill>
              <w14:schemeClr w14:val="tx1"/>
            </w14:solidFill>
          </w14:textFill>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40103C11">
      <w:pPr>
        <w:pStyle w:val="26"/>
        <w:keepNext w:val="0"/>
        <w:keepLines w:val="0"/>
        <w:pageBreakBefore w:val="0"/>
        <w:widowControl/>
        <w:numPr>
          <w:ilvl w:val="0"/>
          <w:numId w:val="4"/>
        </w:numPr>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cs="Times New Roman"/>
          <w:snapToGrid w:val="0"/>
          <w:color w:val="000000" w:themeColor="text1"/>
          <w:szCs w:val="24"/>
          <w:highlight w:val="none"/>
          <w14:textFill>
            <w14:solidFill>
              <w14:schemeClr w14:val="tx1"/>
            </w14:solidFill>
          </w14:textFill>
        </w:rPr>
      </w:pPr>
      <w:bookmarkStart w:id="256" w:name="_Toc6743"/>
      <w:bookmarkStart w:id="257" w:name="_Hlk54167917"/>
      <w:bookmarkStart w:id="258" w:name="_Toc16613"/>
      <w:r>
        <w:rPr>
          <w:rFonts w:hint="default" w:ascii="Times New Roman" w:hAnsi="Times New Roman" w:cs="Times New Roman"/>
          <w:snapToGrid w:val="0"/>
          <w:color w:val="000000" w:themeColor="text1"/>
          <w:szCs w:val="24"/>
          <w:highlight w:val="none"/>
          <w14:textFill>
            <w14:solidFill>
              <w14:schemeClr w14:val="tx1"/>
            </w14:solidFill>
          </w14:textFill>
        </w:rPr>
        <w:t>环境保护措施监督检查清单</w:t>
      </w:r>
      <w:bookmarkEnd w:id="256"/>
      <w:bookmarkEnd w:id="257"/>
      <w:bookmarkEnd w:id="258"/>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07"/>
        <w:gridCol w:w="1634"/>
        <w:gridCol w:w="1366"/>
        <w:gridCol w:w="2303"/>
        <w:gridCol w:w="1990"/>
      </w:tblGrid>
      <w:tr w14:paraId="3658F5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07" w:type="dxa"/>
            <w:tcBorders>
              <w:tl2br w:val="single" w:color="auto" w:sz="4" w:space="0"/>
            </w:tcBorders>
          </w:tcPr>
          <w:p w14:paraId="79499278">
            <w:pPr>
              <w:adjustRightInd w:val="0"/>
              <w:snapToGrid w:val="0"/>
              <w:ind w:firstLine="84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内容</w:t>
            </w:r>
          </w:p>
          <w:p w14:paraId="58F2C2C3">
            <w:pPr>
              <w:adjustRightInd w:val="0"/>
              <w:snapToGrid w:val="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要素</w:t>
            </w:r>
          </w:p>
        </w:tc>
        <w:tc>
          <w:tcPr>
            <w:tcW w:w="1634" w:type="dxa"/>
            <w:vAlign w:val="center"/>
          </w:tcPr>
          <w:p w14:paraId="668E6357">
            <w:pPr>
              <w:adjustRightInd w:val="0"/>
              <w:snapToGrid w:val="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排放口</w:t>
            </w:r>
            <w:r>
              <w:rPr>
                <w:rFonts w:hint="eastAsia" w:cs="Times New Roman"/>
                <w:b/>
                <w:color w:val="000000" w:themeColor="text1"/>
                <w:szCs w:val="21"/>
                <w:lang w:eastAsia="zh-CN"/>
                <w14:textFill>
                  <w14:solidFill>
                    <w14:schemeClr w14:val="tx1"/>
                  </w14:solidFill>
                </w14:textFill>
              </w:rPr>
              <w:t>（</w:t>
            </w:r>
            <w:r>
              <w:rPr>
                <w:rFonts w:hint="default" w:ascii="Times New Roman" w:hAnsi="Times New Roman" w:cs="Times New Roman"/>
                <w:b/>
                <w:color w:val="000000" w:themeColor="text1"/>
                <w:szCs w:val="21"/>
                <w14:textFill>
                  <w14:solidFill>
                    <w14:schemeClr w14:val="tx1"/>
                  </w14:solidFill>
                </w14:textFill>
              </w:rPr>
              <w:t>编号、</w:t>
            </w:r>
          </w:p>
          <w:p w14:paraId="0B6CE617">
            <w:pPr>
              <w:adjustRightInd w:val="0"/>
              <w:snapToGrid w:val="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名称</w:t>
            </w:r>
            <w:r>
              <w:rPr>
                <w:rFonts w:hint="eastAsia" w:cs="Times New Roman"/>
                <w:b/>
                <w:color w:val="000000" w:themeColor="text1"/>
                <w:szCs w:val="21"/>
                <w:lang w:eastAsia="zh-CN"/>
                <w14:textFill>
                  <w14:solidFill>
                    <w14:schemeClr w14:val="tx1"/>
                  </w14:solidFill>
                </w14:textFill>
              </w:rPr>
              <w:t>）</w:t>
            </w:r>
            <w:r>
              <w:rPr>
                <w:rFonts w:hint="default" w:ascii="Times New Roman" w:hAnsi="Times New Roman" w:cs="Times New Roman"/>
                <w:b/>
                <w:color w:val="000000" w:themeColor="text1"/>
                <w:szCs w:val="21"/>
                <w14:textFill>
                  <w14:solidFill>
                    <w14:schemeClr w14:val="tx1"/>
                  </w14:solidFill>
                </w14:textFill>
              </w:rPr>
              <w:t>/污染源</w:t>
            </w:r>
          </w:p>
        </w:tc>
        <w:tc>
          <w:tcPr>
            <w:tcW w:w="1366" w:type="dxa"/>
            <w:vAlign w:val="center"/>
          </w:tcPr>
          <w:p w14:paraId="23E69EEE">
            <w:pPr>
              <w:adjustRightInd w:val="0"/>
              <w:snapToGrid w:val="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污染物项目</w:t>
            </w:r>
          </w:p>
        </w:tc>
        <w:tc>
          <w:tcPr>
            <w:tcW w:w="2303" w:type="dxa"/>
            <w:vAlign w:val="center"/>
          </w:tcPr>
          <w:p w14:paraId="717A27DF">
            <w:pPr>
              <w:adjustRightInd w:val="0"/>
              <w:snapToGrid w:val="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环境保护措施</w:t>
            </w:r>
          </w:p>
        </w:tc>
        <w:tc>
          <w:tcPr>
            <w:tcW w:w="1990" w:type="dxa"/>
            <w:vAlign w:val="center"/>
          </w:tcPr>
          <w:p w14:paraId="385A8F6C">
            <w:pPr>
              <w:adjustRightInd w:val="0"/>
              <w:snapToGrid w:val="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执行标准</w:t>
            </w:r>
          </w:p>
        </w:tc>
      </w:tr>
      <w:tr w14:paraId="7FD5CC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507" w:type="dxa"/>
            <w:vMerge w:val="restart"/>
            <w:vAlign w:val="center"/>
          </w:tcPr>
          <w:p w14:paraId="28C210C5">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大气环境</w:t>
            </w:r>
          </w:p>
        </w:tc>
        <w:tc>
          <w:tcPr>
            <w:tcW w:w="1634" w:type="dxa"/>
            <w:vMerge w:val="restart"/>
            <w:vAlign w:val="center"/>
          </w:tcPr>
          <w:p w14:paraId="77939248">
            <w:pPr>
              <w:adjustRightInd w:val="0"/>
              <w:snapToGrid w:val="0"/>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电预热、模压成型、罩光废气（DA001）</w:t>
            </w:r>
          </w:p>
        </w:tc>
        <w:tc>
          <w:tcPr>
            <w:tcW w:w="1366" w:type="dxa"/>
            <w:vAlign w:val="center"/>
          </w:tcPr>
          <w:p w14:paraId="52DCB96C">
            <w:pPr>
              <w:adjustRightInd w:val="0"/>
              <w:snapToGrid w:val="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非甲烷总烃</w:t>
            </w:r>
          </w:p>
        </w:tc>
        <w:tc>
          <w:tcPr>
            <w:tcW w:w="2303" w:type="dxa"/>
            <w:vMerge w:val="restart"/>
            <w:vAlign w:val="center"/>
          </w:tcPr>
          <w:p w14:paraId="36950214">
            <w:pPr>
              <w:adjustRightInd w:val="0"/>
              <w:snapToGrid w:val="0"/>
              <w:jc w:val="both"/>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引风机（风机风量20000m</w:t>
            </w:r>
            <w:r>
              <w:rPr>
                <w:rFonts w:hint="eastAsia" w:cs="Times New Roman"/>
                <w:bCs/>
                <w:color w:val="000000" w:themeColor="text1"/>
                <w:sz w:val="21"/>
                <w:szCs w:val="21"/>
                <w:vertAlign w:val="superscript"/>
                <w:lang w:val="en-US" w:eastAsia="zh-CN"/>
                <w14:textFill>
                  <w14:solidFill>
                    <w14:schemeClr w14:val="tx1"/>
                  </w14:solidFill>
                </w14:textFill>
              </w:rPr>
              <w:t>3</w:t>
            </w:r>
            <w:r>
              <w:rPr>
                <w:rFonts w:hint="eastAsia" w:cs="Times New Roman"/>
                <w:bCs/>
                <w:color w:val="000000" w:themeColor="text1"/>
                <w:sz w:val="21"/>
                <w:szCs w:val="21"/>
                <w:lang w:val="en-US" w:eastAsia="zh-CN"/>
                <w14:textFill>
                  <w14:solidFill>
                    <w14:schemeClr w14:val="tx1"/>
                  </w14:solidFill>
                </w14:textFill>
              </w:rPr>
              <w:t>/h）+集气罩（收集效率90%）+活性炭吸附/脱附+催化燃烧（处理效率85%）处理后通过15m高排气筒（DA001）外排</w:t>
            </w:r>
          </w:p>
        </w:tc>
        <w:tc>
          <w:tcPr>
            <w:tcW w:w="1990" w:type="dxa"/>
            <w:vMerge w:val="restart"/>
            <w:vAlign w:val="center"/>
          </w:tcPr>
          <w:p w14:paraId="3925FAA3">
            <w:pPr>
              <w:adjustRightInd w:val="0"/>
              <w:snapToGrid w:val="0"/>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《合成树脂工业污染物排放标准》（</w:t>
            </w:r>
            <w:r>
              <w:rPr>
                <w:rFonts w:hint="eastAsia" w:cs="Times New Roman"/>
                <w:color w:val="000000" w:themeColor="text1"/>
                <w:sz w:val="21"/>
                <w:szCs w:val="21"/>
                <w:lang w:val="en-US" w:eastAsia="zh-CN"/>
                <w14:textFill>
                  <w14:solidFill>
                    <w14:schemeClr w14:val="tx1"/>
                  </w14:solidFill>
                </w14:textFill>
              </w:rPr>
              <w:t>GB31572-2015，含2024年修改单</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）表4 大气污染物排放限值要求</w:t>
            </w:r>
          </w:p>
        </w:tc>
      </w:tr>
      <w:tr w14:paraId="4946A8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507" w:type="dxa"/>
            <w:vMerge w:val="continue"/>
            <w:vAlign w:val="center"/>
          </w:tcPr>
          <w:p w14:paraId="72353641">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c>
          <w:tcPr>
            <w:tcW w:w="1634" w:type="dxa"/>
            <w:vMerge w:val="continue"/>
            <w:vAlign w:val="center"/>
          </w:tcPr>
          <w:p w14:paraId="6496A4B9">
            <w:pPr>
              <w:adjustRightInd w:val="0"/>
              <w:snapToGrid w:val="0"/>
              <w:jc w:val="center"/>
              <w:rPr>
                <w:rFonts w:hint="default" w:cs="Times New Roman"/>
                <w:color w:val="000000" w:themeColor="text1"/>
                <w:sz w:val="21"/>
                <w:szCs w:val="21"/>
                <w:lang w:val="en-US" w:eastAsia="zh-CN"/>
                <w14:textFill>
                  <w14:solidFill>
                    <w14:schemeClr w14:val="tx1"/>
                  </w14:solidFill>
                </w14:textFill>
              </w:rPr>
            </w:pPr>
          </w:p>
        </w:tc>
        <w:tc>
          <w:tcPr>
            <w:tcW w:w="1366" w:type="dxa"/>
            <w:vAlign w:val="center"/>
          </w:tcPr>
          <w:p w14:paraId="6107BFF2">
            <w:pPr>
              <w:adjustRightInd w:val="0"/>
              <w:snapToGrid w:val="0"/>
              <w:jc w:val="center"/>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甲醛</w:t>
            </w:r>
          </w:p>
        </w:tc>
        <w:tc>
          <w:tcPr>
            <w:tcW w:w="2303" w:type="dxa"/>
            <w:vMerge w:val="continue"/>
            <w:vAlign w:val="center"/>
          </w:tcPr>
          <w:p w14:paraId="33B0ED5F">
            <w:pPr>
              <w:adjustRightInd w:val="0"/>
              <w:snapToGrid w:val="0"/>
              <w:jc w:val="center"/>
              <w:rPr>
                <w:rFonts w:hint="default" w:cs="Times New Roman"/>
                <w:bCs/>
                <w:color w:val="000000" w:themeColor="text1"/>
                <w:sz w:val="21"/>
                <w:szCs w:val="21"/>
                <w:lang w:val="en-US" w:eastAsia="zh-CN"/>
                <w14:textFill>
                  <w14:solidFill>
                    <w14:schemeClr w14:val="tx1"/>
                  </w14:solidFill>
                </w14:textFill>
              </w:rPr>
            </w:pPr>
          </w:p>
        </w:tc>
        <w:tc>
          <w:tcPr>
            <w:tcW w:w="1990" w:type="dxa"/>
            <w:vMerge w:val="continue"/>
            <w:vAlign w:val="center"/>
          </w:tcPr>
          <w:p w14:paraId="19E6C449">
            <w:pPr>
              <w:adjustRightInd w:val="0"/>
              <w:snapToGrid w:val="0"/>
              <w:jc w:val="both"/>
              <w:rPr>
                <w:rFonts w:hint="default" w:ascii="Times New Roman" w:hAnsi="Times New Roman" w:eastAsia="宋体" w:cs="Times New Roman"/>
                <w:color w:val="000000" w:themeColor="text1"/>
                <w:sz w:val="21"/>
                <w:szCs w:val="21"/>
                <w14:textFill>
                  <w14:solidFill>
                    <w14:schemeClr w14:val="tx1"/>
                  </w14:solidFill>
                </w14:textFill>
              </w:rPr>
            </w:pPr>
          </w:p>
        </w:tc>
      </w:tr>
      <w:tr w14:paraId="59680E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507" w:type="dxa"/>
            <w:vMerge w:val="continue"/>
            <w:vAlign w:val="center"/>
          </w:tcPr>
          <w:p w14:paraId="6DA09AEB">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c>
          <w:tcPr>
            <w:tcW w:w="1634" w:type="dxa"/>
            <w:vAlign w:val="center"/>
          </w:tcPr>
          <w:p w14:paraId="10F5D600">
            <w:pPr>
              <w:adjustRightInd w:val="0"/>
              <w:snapToGrid w:val="0"/>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称量打磨废气（DA002）</w:t>
            </w:r>
          </w:p>
        </w:tc>
        <w:tc>
          <w:tcPr>
            <w:tcW w:w="1366" w:type="dxa"/>
            <w:vAlign w:val="center"/>
          </w:tcPr>
          <w:p w14:paraId="7D4BD1B8">
            <w:pPr>
              <w:adjustRightInd w:val="0"/>
              <w:snapToGrid w:val="0"/>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颗粒物</w:t>
            </w:r>
          </w:p>
        </w:tc>
        <w:tc>
          <w:tcPr>
            <w:tcW w:w="2303" w:type="dxa"/>
            <w:vAlign w:val="center"/>
          </w:tcPr>
          <w:p w14:paraId="02795C3B">
            <w:pPr>
              <w:adjustRightInd w:val="0"/>
              <w:snapToGrid w:val="0"/>
              <w:jc w:val="both"/>
              <w:rPr>
                <w:rFonts w:hint="eastAsia"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引风机（风机风量7000m</w:t>
            </w:r>
            <w:r>
              <w:rPr>
                <w:rFonts w:hint="eastAsia" w:cs="Times New Roman"/>
                <w:bCs/>
                <w:color w:val="000000" w:themeColor="text1"/>
                <w:sz w:val="21"/>
                <w:szCs w:val="21"/>
                <w:vertAlign w:val="superscript"/>
                <w:lang w:val="en-US" w:eastAsia="zh-CN"/>
                <w14:textFill>
                  <w14:solidFill>
                    <w14:schemeClr w14:val="tx1"/>
                  </w14:solidFill>
                </w14:textFill>
              </w:rPr>
              <w:t>3</w:t>
            </w:r>
            <w:r>
              <w:rPr>
                <w:rFonts w:hint="eastAsia" w:cs="Times New Roman"/>
                <w:bCs/>
                <w:color w:val="000000" w:themeColor="text1"/>
                <w:sz w:val="21"/>
                <w:szCs w:val="21"/>
                <w:lang w:val="en-US" w:eastAsia="zh-CN"/>
                <w14:textFill>
                  <w14:solidFill>
                    <w14:schemeClr w14:val="tx1"/>
                  </w14:solidFill>
                </w14:textFill>
              </w:rPr>
              <w:t>/h）+集气罩（收集效率85%）+布袋除尘器（处理效率99%）处理后通过15m高排气筒（DA002）外排</w:t>
            </w:r>
          </w:p>
        </w:tc>
        <w:tc>
          <w:tcPr>
            <w:tcW w:w="1990" w:type="dxa"/>
            <w:vAlign w:val="center"/>
          </w:tcPr>
          <w:p w14:paraId="451DF38C">
            <w:pPr>
              <w:adjustRightInd w:val="0"/>
              <w:snapToGrid w:val="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《合成树脂工业污染物排放标准》（</w:t>
            </w:r>
            <w:r>
              <w:rPr>
                <w:rFonts w:hint="eastAsia" w:cs="Times New Roman"/>
                <w:color w:val="000000" w:themeColor="text1"/>
                <w:sz w:val="21"/>
                <w:szCs w:val="21"/>
                <w:lang w:val="en-US" w:eastAsia="zh-CN"/>
                <w14:textFill>
                  <w14:solidFill>
                    <w14:schemeClr w14:val="tx1"/>
                  </w14:solidFill>
                </w14:textFill>
              </w:rPr>
              <w:t>GB31572-2015，含2024年修改单</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）表4 大气污染物排放限值要求</w:t>
            </w:r>
          </w:p>
        </w:tc>
      </w:tr>
      <w:tr w14:paraId="6B55DE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507" w:type="dxa"/>
            <w:vMerge w:val="continue"/>
            <w:vAlign w:val="center"/>
          </w:tcPr>
          <w:p w14:paraId="570CE434">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c>
          <w:tcPr>
            <w:tcW w:w="1634" w:type="dxa"/>
            <w:vMerge w:val="restart"/>
            <w:vAlign w:val="center"/>
          </w:tcPr>
          <w:p w14:paraId="44A01727">
            <w:pPr>
              <w:adjustRightInd w:val="0"/>
              <w:snapToGrid w:val="0"/>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厂界</w:t>
            </w:r>
          </w:p>
        </w:tc>
        <w:tc>
          <w:tcPr>
            <w:tcW w:w="1366" w:type="dxa"/>
            <w:vAlign w:val="center"/>
          </w:tcPr>
          <w:p w14:paraId="7E5E1323">
            <w:pPr>
              <w:adjustRightInd w:val="0"/>
              <w:snapToGrid w:val="0"/>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非甲烷总烃</w:t>
            </w:r>
          </w:p>
        </w:tc>
        <w:tc>
          <w:tcPr>
            <w:tcW w:w="2303" w:type="dxa"/>
            <w:vAlign w:val="center"/>
          </w:tcPr>
          <w:p w14:paraId="04C75FF1">
            <w:pPr>
              <w:adjustRightInd w:val="0"/>
              <w:snapToGrid w:val="0"/>
              <w:jc w:val="center"/>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c>
          <w:tcPr>
            <w:tcW w:w="1990" w:type="dxa"/>
            <w:vMerge w:val="restart"/>
            <w:vAlign w:val="center"/>
          </w:tcPr>
          <w:p w14:paraId="16C7A08E">
            <w:pPr>
              <w:adjustRightInd w:val="0"/>
              <w:snapToGrid w:val="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《合成树脂工业污染物排放标准》（</w:t>
            </w:r>
            <w:r>
              <w:rPr>
                <w:rFonts w:hint="eastAsia" w:cs="Times New Roman"/>
                <w:color w:val="000000" w:themeColor="text1"/>
                <w:sz w:val="21"/>
                <w:szCs w:val="21"/>
                <w:lang w:val="en-US" w:eastAsia="zh-CN"/>
                <w14:textFill>
                  <w14:solidFill>
                    <w14:schemeClr w14:val="tx1"/>
                  </w14:solidFill>
                </w14:textFill>
              </w:rPr>
              <w:t>GB31572-2015，含2024年修改单</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）表9 企业边界大气污染物浓度限值</w:t>
            </w:r>
          </w:p>
        </w:tc>
      </w:tr>
      <w:tr w14:paraId="6DF0D1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507" w:type="dxa"/>
            <w:vMerge w:val="continue"/>
            <w:vAlign w:val="center"/>
          </w:tcPr>
          <w:p w14:paraId="73A127E0">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c>
          <w:tcPr>
            <w:tcW w:w="1634" w:type="dxa"/>
            <w:vMerge w:val="continue"/>
            <w:vAlign w:val="center"/>
          </w:tcPr>
          <w:p w14:paraId="3CD813C4">
            <w:pPr>
              <w:adjustRightInd w:val="0"/>
              <w:snapToGrid w:val="0"/>
              <w:jc w:val="center"/>
              <w:rPr>
                <w:rFonts w:hint="eastAsia" w:cs="Times New Roman"/>
                <w:color w:val="000000" w:themeColor="text1"/>
                <w:sz w:val="21"/>
                <w:szCs w:val="21"/>
                <w:lang w:val="en-US" w:eastAsia="zh-CN"/>
                <w14:textFill>
                  <w14:solidFill>
                    <w14:schemeClr w14:val="tx1"/>
                  </w14:solidFill>
                </w14:textFill>
              </w:rPr>
            </w:pPr>
          </w:p>
        </w:tc>
        <w:tc>
          <w:tcPr>
            <w:tcW w:w="1366" w:type="dxa"/>
            <w:vAlign w:val="center"/>
          </w:tcPr>
          <w:p w14:paraId="7ACB2FFA">
            <w:pPr>
              <w:adjustRightInd w:val="0"/>
              <w:snapToGrid w:val="0"/>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颗粒物</w:t>
            </w:r>
          </w:p>
        </w:tc>
        <w:tc>
          <w:tcPr>
            <w:tcW w:w="2303" w:type="dxa"/>
            <w:vAlign w:val="center"/>
          </w:tcPr>
          <w:p w14:paraId="58622792">
            <w:pPr>
              <w:adjustRightInd w:val="0"/>
              <w:snapToGrid w:val="0"/>
              <w:jc w:val="center"/>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车间沉降</w:t>
            </w:r>
          </w:p>
        </w:tc>
        <w:tc>
          <w:tcPr>
            <w:tcW w:w="1990" w:type="dxa"/>
            <w:vMerge w:val="continue"/>
            <w:vAlign w:val="center"/>
          </w:tcPr>
          <w:p w14:paraId="07105607">
            <w:pPr>
              <w:adjustRightInd w:val="0"/>
              <w:snapToGri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306CCC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507" w:type="dxa"/>
            <w:vMerge w:val="continue"/>
            <w:vAlign w:val="center"/>
          </w:tcPr>
          <w:p w14:paraId="47B58E0C">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c>
          <w:tcPr>
            <w:tcW w:w="1634" w:type="dxa"/>
            <w:vMerge w:val="continue"/>
            <w:vAlign w:val="center"/>
          </w:tcPr>
          <w:p w14:paraId="11D4EF3D">
            <w:pPr>
              <w:adjustRightInd w:val="0"/>
              <w:snapToGrid w:val="0"/>
              <w:jc w:val="center"/>
              <w:rPr>
                <w:rFonts w:hint="eastAsia" w:cs="Times New Roman"/>
                <w:color w:val="000000" w:themeColor="text1"/>
                <w:sz w:val="21"/>
                <w:szCs w:val="21"/>
                <w:lang w:val="en-US" w:eastAsia="zh-CN"/>
                <w14:textFill>
                  <w14:solidFill>
                    <w14:schemeClr w14:val="tx1"/>
                  </w14:solidFill>
                </w14:textFill>
              </w:rPr>
            </w:pPr>
          </w:p>
        </w:tc>
        <w:tc>
          <w:tcPr>
            <w:tcW w:w="1366" w:type="dxa"/>
            <w:vAlign w:val="center"/>
          </w:tcPr>
          <w:p w14:paraId="3546D108">
            <w:pPr>
              <w:adjustRightInd w:val="0"/>
              <w:snapToGrid w:val="0"/>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甲醛</w:t>
            </w:r>
          </w:p>
        </w:tc>
        <w:tc>
          <w:tcPr>
            <w:tcW w:w="2303" w:type="dxa"/>
            <w:vAlign w:val="center"/>
          </w:tcPr>
          <w:p w14:paraId="1FC700A4">
            <w:pPr>
              <w:adjustRightInd w:val="0"/>
              <w:snapToGrid w:val="0"/>
              <w:jc w:val="center"/>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c>
          <w:tcPr>
            <w:tcW w:w="1990" w:type="dxa"/>
            <w:vAlign w:val="center"/>
          </w:tcPr>
          <w:p w14:paraId="2C1E0A1D">
            <w:pPr>
              <w:adjustRightInd w:val="0"/>
              <w:snapToGrid w:val="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《大气污染物综合排放标准》（GB16297-1996）表2无组织排放限值要求</w:t>
            </w:r>
          </w:p>
        </w:tc>
      </w:tr>
      <w:tr w14:paraId="405AD8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507" w:type="dxa"/>
            <w:vMerge w:val="continue"/>
            <w:vAlign w:val="center"/>
          </w:tcPr>
          <w:p w14:paraId="7929B321">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c>
          <w:tcPr>
            <w:tcW w:w="1634" w:type="dxa"/>
            <w:vAlign w:val="center"/>
          </w:tcPr>
          <w:p w14:paraId="09CC591E">
            <w:pPr>
              <w:adjustRightInd w:val="0"/>
              <w:snapToGrid w:val="0"/>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厂区内</w:t>
            </w:r>
          </w:p>
        </w:tc>
        <w:tc>
          <w:tcPr>
            <w:tcW w:w="1366" w:type="dxa"/>
            <w:vAlign w:val="center"/>
          </w:tcPr>
          <w:p w14:paraId="08BD6708">
            <w:pPr>
              <w:adjustRightInd w:val="0"/>
              <w:snapToGrid w:val="0"/>
              <w:jc w:val="center"/>
              <w:rPr>
                <w:rFonts w:hint="eastAsia"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bidi="ar"/>
                <w14:textFill>
                  <w14:solidFill>
                    <w14:schemeClr w14:val="tx1"/>
                  </w14:solidFill>
                </w14:textFill>
              </w:rPr>
              <w:t>NMHC</w:t>
            </w:r>
          </w:p>
        </w:tc>
        <w:tc>
          <w:tcPr>
            <w:tcW w:w="2303" w:type="dxa"/>
            <w:vAlign w:val="center"/>
          </w:tcPr>
          <w:p w14:paraId="1A999ED3">
            <w:pPr>
              <w:adjustRightInd w:val="0"/>
              <w:snapToGrid w:val="0"/>
              <w:jc w:val="center"/>
              <w:rPr>
                <w:rFonts w:hint="eastAsia"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加强车间通风</w:t>
            </w:r>
          </w:p>
        </w:tc>
        <w:tc>
          <w:tcPr>
            <w:tcW w:w="1990" w:type="dxa"/>
            <w:vAlign w:val="center"/>
          </w:tcPr>
          <w:p w14:paraId="6720F52F">
            <w:pPr>
              <w:adjustRightInd w:val="0"/>
              <w:snapToGri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《挥发性有机物无组织排放控制标准》（GB37822－2019）表A.1厂区内无组织排放限值</w:t>
            </w:r>
          </w:p>
        </w:tc>
      </w:tr>
      <w:tr w14:paraId="0E4486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66" w:hRule="atLeast"/>
          <w:jc w:val="center"/>
        </w:trPr>
        <w:tc>
          <w:tcPr>
            <w:tcW w:w="1507" w:type="dxa"/>
            <w:vAlign w:val="center"/>
          </w:tcPr>
          <w:p w14:paraId="126B9C15">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地表水环境</w:t>
            </w:r>
          </w:p>
        </w:tc>
        <w:tc>
          <w:tcPr>
            <w:tcW w:w="1634" w:type="dxa"/>
            <w:vAlign w:val="center"/>
          </w:tcPr>
          <w:p w14:paraId="61EB7318">
            <w:pPr>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生活污水</w:t>
            </w:r>
          </w:p>
        </w:tc>
        <w:tc>
          <w:tcPr>
            <w:tcW w:w="1366" w:type="dxa"/>
            <w:vAlign w:val="center"/>
          </w:tcPr>
          <w:p w14:paraId="01723C88">
            <w:pPr>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CODcr、BOD</w:t>
            </w:r>
            <w:r>
              <w:rPr>
                <w:rFonts w:hint="default" w:ascii="Times New Roman" w:hAnsi="Times New Roman" w:cs="Times New Roman"/>
                <w:color w:val="000000" w:themeColor="text1"/>
                <w:szCs w:val="21"/>
                <w:vertAlign w:val="subscript"/>
                <w14:textFill>
                  <w14:solidFill>
                    <w14:schemeClr w14:val="tx1"/>
                  </w14:solidFill>
                </w14:textFill>
              </w:rPr>
              <w:t>5</w:t>
            </w:r>
            <w:r>
              <w:rPr>
                <w:rFonts w:hint="default" w:ascii="Times New Roman" w:hAnsi="Times New Roman" w:cs="Times New Roman"/>
                <w:color w:val="000000" w:themeColor="text1"/>
                <w:szCs w:val="21"/>
                <w14:textFill>
                  <w14:solidFill>
                    <w14:schemeClr w14:val="tx1"/>
                  </w14:solidFill>
                </w14:textFill>
              </w:rPr>
              <w:t>、氨氮、总磷、SS、动植物油</w:t>
            </w:r>
          </w:p>
        </w:tc>
        <w:tc>
          <w:tcPr>
            <w:tcW w:w="2303" w:type="dxa"/>
            <w:vAlign w:val="center"/>
          </w:tcPr>
          <w:p w14:paraId="68A79DF9">
            <w:pPr>
              <w:adjustRightInd w:val="0"/>
              <w:snapToGrid w:val="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依托云南联帆建材科技有限公司化粪池与污水处理站处理达《城市污水再生利用 城市杂用水水质》（GB/T 18920-2020）表1城市绿化、道路清扫标准后暂存于回用水池，非雨天回用于厂区绿化及道路浇洒</w:t>
            </w:r>
            <w:r>
              <w:rPr>
                <w:rFonts w:hint="eastAsia" w:cs="Times New Roman"/>
                <w:color w:val="000000" w:themeColor="text1"/>
                <w:szCs w:val="21"/>
                <w:lang w:val="en-US" w:eastAsia="zh-CN"/>
                <w14:textFill>
                  <w14:solidFill>
                    <w14:schemeClr w14:val="tx1"/>
                  </w14:solidFill>
                </w14:textFill>
              </w:rPr>
              <w:t>。</w:t>
            </w:r>
          </w:p>
        </w:tc>
        <w:tc>
          <w:tcPr>
            <w:tcW w:w="1990" w:type="dxa"/>
            <w:vAlign w:val="center"/>
          </w:tcPr>
          <w:p w14:paraId="5CC889FC">
            <w:pPr>
              <w:adjustRightInd w:val="0"/>
              <w:snapToGrid w:val="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《城市污水再生利用 城市杂用水水质》（GB/T 18920-2020）表1城市绿化、道路清扫标准</w:t>
            </w:r>
          </w:p>
        </w:tc>
      </w:tr>
      <w:tr w14:paraId="2C8A2D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07" w:type="dxa"/>
            <w:vAlign w:val="center"/>
          </w:tcPr>
          <w:p w14:paraId="13D155E3">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声环境</w:t>
            </w:r>
          </w:p>
        </w:tc>
        <w:tc>
          <w:tcPr>
            <w:tcW w:w="1634" w:type="dxa"/>
            <w:vAlign w:val="center"/>
          </w:tcPr>
          <w:p w14:paraId="7B46B02B">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生产设备</w:t>
            </w:r>
          </w:p>
        </w:tc>
        <w:tc>
          <w:tcPr>
            <w:tcW w:w="1366" w:type="dxa"/>
            <w:vAlign w:val="center"/>
          </w:tcPr>
          <w:p w14:paraId="6F7B8C4E">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eastAsia="TimesNewRomanPSMT" w:cs="Times New Roman"/>
                <w:color w:val="000000" w:themeColor="text1"/>
                <w14:textFill>
                  <w14:solidFill>
                    <w14:schemeClr w14:val="tx1"/>
                  </w14:solidFill>
                </w14:textFill>
              </w:rPr>
              <w:t>Leq</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eastAsia="TimesNewRomanPSMT" w:cs="Times New Roman"/>
                <w:color w:val="000000" w:themeColor="text1"/>
                <w14:textFill>
                  <w14:solidFill>
                    <w14:schemeClr w14:val="tx1"/>
                  </w14:solidFill>
                </w14:textFill>
              </w:rPr>
              <w:t>A</w:t>
            </w:r>
            <w:r>
              <w:rPr>
                <w:rFonts w:hint="default" w:ascii="Times New Roman" w:hAnsi="Times New Roman" w:cs="Times New Roman"/>
                <w:color w:val="000000" w:themeColor="text1"/>
                <w14:textFill>
                  <w14:solidFill>
                    <w14:schemeClr w14:val="tx1"/>
                  </w14:solidFill>
                </w14:textFill>
              </w:rPr>
              <w:t>）</w:t>
            </w:r>
          </w:p>
        </w:tc>
        <w:tc>
          <w:tcPr>
            <w:tcW w:w="2303" w:type="dxa"/>
            <w:vAlign w:val="center"/>
          </w:tcPr>
          <w:p w14:paraId="39D0E9B4">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减震垫、厂房隔声</w:t>
            </w:r>
          </w:p>
        </w:tc>
        <w:tc>
          <w:tcPr>
            <w:tcW w:w="1990" w:type="dxa"/>
            <w:vAlign w:val="center"/>
          </w:tcPr>
          <w:p w14:paraId="0B5C7B69">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《工业企业厂界环境噪声排放标准》</w:t>
            </w:r>
            <w:r>
              <w:rPr>
                <w:rFonts w:hint="eastAsia"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GB12348-2008</w:t>
            </w:r>
            <w:r>
              <w:rPr>
                <w:rFonts w:hint="eastAsia"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3类区标准</w:t>
            </w:r>
          </w:p>
        </w:tc>
      </w:tr>
      <w:tr w14:paraId="165C3D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507" w:type="dxa"/>
            <w:vAlign w:val="center"/>
          </w:tcPr>
          <w:p w14:paraId="4D343C20">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电磁辐射</w:t>
            </w:r>
          </w:p>
        </w:tc>
        <w:tc>
          <w:tcPr>
            <w:tcW w:w="1634" w:type="dxa"/>
            <w:vAlign w:val="center"/>
          </w:tcPr>
          <w:p w14:paraId="3BF65368">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c>
          <w:tcPr>
            <w:tcW w:w="1366" w:type="dxa"/>
            <w:vAlign w:val="center"/>
          </w:tcPr>
          <w:p w14:paraId="40A81DC5">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c>
          <w:tcPr>
            <w:tcW w:w="2303" w:type="dxa"/>
            <w:vAlign w:val="center"/>
          </w:tcPr>
          <w:p w14:paraId="24210288">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c>
          <w:tcPr>
            <w:tcW w:w="1990" w:type="dxa"/>
            <w:vAlign w:val="center"/>
          </w:tcPr>
          <w:p w14:paraId="02429043">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r>
      <w:tr w14:paraId="43F000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1507" w:type="dxa"/>
            <w:vAlign w:val="center"/>
          </w:tcPr>
          <w:p w14:paraId="7F41A9E7">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固体废物</w:t>
            </w:r>
          </w:p>
        </w:tc>
        <w:tc>
          <w:tcPr>
            <w:tcW w:w="7293" w:type="dxa"/>
            <w:gridSpan w:val="4"/>
            <w:vAlign w:val="center"/>
          </w:tcPr>
          <w:p w14:paraId="534DD895">
            <w:pPr>
              <w:rPr>
                <w:rFonts w:hint="default" w:ascii="Times New Roman" w:hAnsi="Times New Roman" w:eastAsia="宋体" w:cs="Times New Roman"/>
                <w:color w:val="000000" w:themeColor="text1"/>
                <w:szCs w:val="21"/>
                <w:lang w:val="en-US"/>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①</w:t>
            </w:r>
            <w:r>
              <w:rPr>
                <w:rFonts w:hint="default" w:ascii="Times New Roman" w:hAnsi="Times New Roman" w:eastAsia="宋体" w:cs="Times New Roman"/>
                <w:color w:val="000000" w:themeColor="text1"/>
                <w:szCs w:val="21"/>
                <w:lang w:val="en-US" w:eastAsia="zh-CN"/>
                <w14:textFill>
                  <w14:solidFill>
                    <w14:schemeClr w14:val="tx1"/>
                  </w14:solidFill>
                </w14:textFill>
              </w:rPr>
              <w:t>称量打磨废气收尘灰</w:t>
            </w:r>
            <w:r>
              <w:rPr>
                <w:rFonts w:hint="eastAsia" w:cs="Times New Roman"/>
                <w:color w:val="000000" w:themeColor="text1"/>
                <w:szCs w:val="21"/>
                <w:lang w:val="en-US" w:eastAsia="zh-CN"/>
                <w14:textFill>
                  <w14:solidFill>
                    <w14:schemeClr w14:val="tx1"/>
                  </w14:solidFill>
                </w14:textFill>
              </w:rPr>
              <w:t>、边角料与不合格品、废包装袋收集后外售综合利用；车间沉降粉尘清扫后委托环卫部门进行处置。</w:t>
            </w:r>
          </w:p>
          <w:p w14:paraId="1DC283B4">
            <w:pPr>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②</w:t>
            </w:r>
            <w:r>
              <w:rPr>
                <w:rFonts w:hint="eastAsia" w:cs="Times New Roman"/>
                <w:color w:val="000000" w:themeColor="text1"/>
                <w:szCs w:val="21"/>
                <w:lang w:val="en-US" w:eastAsia="zh-CN"/>
                <w14:textFill>
                  <w14:solidFill>
                    <w14:schemeClr w14:val="tx1"/>
                  </w14:solidFill>
                </w14:textFill>
              </w:rPr>
              <w:t>废润滑油、废液压油、废活性炭与废催化剂</w:t>
            </w:r>
            <w:r>
              <w:rPr>
                <w:rFonts w:hint="default" w:ascii="Times New Roman" w:hAnsi="Times New Roman" w:eastAsia="宋体" w:cs="Times New Roman"/>
                <w:color w:val="000000" w:themeColor="text1"/>
                <w:szCs w:val="21"/>
                <w14:textFill>
                  <w14:solidFill>
                    <w14:schemeClr w14:val="tx1"/>
                  </w14:solidFill>
                </w14:textFill>
              </w:rPr>
              <w:t>定期委托有资质的单位清运处置</w:t>
            </w:r>
            <w:r>
              <w:rPr>
                <w:rFonts w:hint="default" w:ascii="Times New Roman" w:hAnsi="Times New Roman" w:eastAsia="宋体" w:cs="Times New Roman"/>
                <w:color w:val="000000" w:themeColor="text1"/>
                <w:szCs w:val="21"/>
                <w:lang w:eastAsia="zh-CN"/>
                <w14:textFill>
                  <w14:solidFill>
                    <w14:schemeClr w14:val="tx1"/>
                  </w14:solidFill>
                </w14:textFill>
              </w:rPr>
              <w:t>；</w:t>
            </w:r>
            <w:r>
              <w:rPr>
                <w:rFonts w:hint="default" w:ascii="Times New Roman" w:hAnsi="Times New Roman" w:eastAsia="宋体" w:cs="Times New Roman"/>
                <w:color w:val="000000" w:themeColor="text1"/>
                <w:szCs w:val="21"/>
                <w14:textFill>
                  <w14:solidFill>
                    <w14:schemeClr w14:val="tx1"/>
                  </w14:solidFill>
                </w14:textFill>
              </w:rPr>
              <w:t>设置1间危险废物暂存间，危险废物临时贮存应按《危险废物贮存污染控制标准》（GB18597-20</w:t>
            </w:r>
            <w:r>
              <w:rPr>
                <w:rFonts w:hint="eastAsia" w:cs="Times New Roman"/>
                <w:color w:val="000000" w:themeColor="text1"/>
                <w:szCs w:val="21"/>
                <w:lang w:val="en-US" w:eastAsia="zh-CN"/>
                <w14:textFill>
                  <w14:solidFill>
                    <w14:schemeClr w14:val="tx1"/>
                  </w14:solidFill>
                </w14:textFill>
              </w:rPr>
              <w:t>23</w:t>
            </w:r>
            <w:r>
              <w:rPr>
                <w:rFonts w:hint="default" w:ascii="Times New Roman" w:hAnsi="Times New Roman" w:eastAsia="宋体" w:cs="Times New Roman"/>
                <w:color w:val="000000" w:themeColor="text1"/>
                <w:szCs w:val="21"/>
                <w14:textFill>
                  <w14:solidFill>
                    <w14:schemeClr w14:val="tx1"/>
                  </w14:solidFill>
                </w14:textFill>
              </w:rPr>
              <w:t>）进行建设</w:t>
            </w:r>
            <w:r>
              <w:rPr>
                <w:rFonts w:hint="default" w:ascii="Times New Roman" w:hAnsi="Times New Roman" w:eastAsia="宋体" w:cs="Times New Roman"/>
                <w:color w:val="000000" w:themeColor="text1"/>
                <w:szCs w:val="21"/>
                <w:lang w:eastAsia="zh-CN"/>
                <w14:textFill>
                  <w14:solidFill>
                    <w14:schemeClr w14:val="tx1"/>
                  </w14:solidFill>
                </w14:textFill>
              </w:rPr>
              <w:t>；</w:t>
            </w:r>
          </w:p>
          <w:p w14:paraId="222D136F">
            <w:pPr>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③</w:t>
            </w:r>
            <w:r>
              <w:rPr>
                <w:rFonts w:hint="default" w:ascii="Times New Roman" w:hAnsi="Times New Roman" w:eastAsia="宋体" w:cs="Times New Roman"/>
                <w:color w:val="000000" w:themeColor="text1"/>
                <w:szCs w:val="21"/>
                <w:lang w:val="en-US" w:eastAsia="zh-CN"/>
                <w14:textFill>
                  <w14:solidFill>
                    <w14:schemeClr w14:val="tx1"/>
                  </w14:solidFill>
                </w14:textFill>
              </w:rPr>
              <w:t>生活垃圾定期委托环卫部门处置</w:t>
            </w:r>
            <w:r>
              <w:rPr>
                <w:rFonts w:hint="default" w:ascii="Times New Roman" w:hAnsi="Times New Roman" w:eastAsia="宋体" w:cs="Times New Roman"/>
                <w:color w:val="000000" w:themeColor="text1"/>
                <w:szCs w:val="21"/>
                <w:lang w:eastAsia="zh-CN"/>
                <w14:textFill>
                  <w14:solidFill>
                    <w14:schemeClr w14:val="tx1"/>
                  </w14:solidFill>
                </w14:textFill>
              </w:rPr>
              <w:t>；</w:t>
            </w:r>
          </w:p>
          <w:p w14:paraId="143D6B91">
            <w:pPr>
              <w:rPr>
                <w:rFonts w:hint="eastAsia" w:ascii="宋体" w:hAnsi="宋体" w:eastAsia="宋体" w:cs="宋体"/>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④固废做到100%处置</w:t>
            </w:r>
            <w:r>
              <w:rPr>
                <w:rFonts w:hint="default" w:ascii="Times New Roman" w:hAnsi="Times New Roman" w:eastAsia="宋体" w:cs="Times New Roman"/>
                <w:color w:val="000000" w:themeColor="text1"/>
                <w:szCs w:val="21"/>
                <w:lang w:eastAsia="zh-CN"/>
                <w14:textFill>
                  <w14:solidFill>
                    <w14:schemeClr w14:val="tx1"/>
                  </w14:solidFill>
                </w14:textFill>
              </w:rPr>
              <w:t>。</w:t>
            </w:r>
          </w:p>
        </w:tc>
      </w:tr>
      <w:tr w14:paraId="24FEC8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507" w:type="dxa"/>
            <w:vAlign w:val="center"/>
          </w:tcPr>
          <w:p w14:paraId="1102D59E">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土壤及地下水</w:t>
            </w:r>
          </w:p>
          <w:p w14:paraId="087B63E5">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污染防治措施</w:t>
            </w:r>
          </w:p>
        </w:tc>
        <w:tc>
          <w:tcPr>
            <w:tcW w:w="7293" w:type="dxa"/>
            <w:gridSpan w:val="4"/>
            <w:vAlign w:val="center"/>
          </w:tcPr>
          <w:p w14:paraId="3FF3A92D">
            <w:pPr>
              <w:numPr>
                <w:ilvl w:val="0"/>
                <w:numId w:val="0"/>
              </w:numPr>
              <w:adjustRightInd w:val="0"/>
              <w:snapToGrid w:val="0"/>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（1）源头控制措施</w:t>
            </w:r>
          </w:p>
          <w:p w14:paraId="4D56D961">
            <w:pPr>
              <w:numPr>
                <w:ilvl w:val="0"/>
                <w:numId w:val="0"/>
              </w:numPr>
              <w:adjustRightInd w:val="0"/>
              <w:snapToGrid w:val="0"/>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加强管理，主要污染源</w:t>
            </w:r>
            <w:r>
              <w:rPr>
                <w:rFonts w:hint="eastAsia" w:cs="Times New Roman"/>
                <w:b w:val="0"/>
                <w:bCs w:val="0"/>
                <w:color w:val="000000" w:themeColor="text1"/>
                <w:sz w:val="21"/>
                <w:szCs w:val="21"/>
                <w:highlight w:val="none"/>
                <w:lang w:val="en-US" w:eastAsia="zh-CN"/>
                <w14:textFill>
                  <w14:solidFill>
                    <w14:schemeClr w14:val="tx1"/>
                  </w14:solidFill>
                </w14:textFill>
              </w:rPr>
              <w:t>为</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危险废物贮存间，降低和防止污染物跑、冒、滴、漏，将污染物泄漏的环境风险事故降低到最低程度。</w:t>
            </w:r>
          </w:p>
          <w:p w14:paraId="60779786">
            <w:pPr>
              <w:numPr>
                <w:ilvl w:val="0"/>
                <w:numId w:val="0"/>
              </w:numPr>
              <w:adjustRightInd w:val="0"/>
              <w:snapToGrid w:val="0"/>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（2）分区防渗</w:t>
            </w:r>
          </w:p>
          <w:p w14:paraId="35E85D0F">
            <w:pPr>
              <w:numPr>
                <w:ilvl w:val="0"/>
                <w:numId w:val="0"/>
              </w:numPr>
              <w:adjustRightInd w:val="0"/>
              <w:snapToGrid w:val="0"/>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重点防渗</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危险废物贮存间</w:t>
            </w:r>
            <w:r>
              <w:rPr>
                <w:rFonts w:hint="default" w:ascii="Times New Roman" w:hAnsi="Times New Roman" w:eastAsia="宋体" w:cs="Times New Roman"/>
                <w:color w:val="000000" w:themeColor="text1"/>
                <w:spacing w:val="8"/>
                <w:sz w:val="21"/>
                <w:szCs w:val="21"/>
                <w14:textFill>
                  <w14:solidFill>
                    <w14:schemeClr w14:val="tx1"/>
                  </w14:solidFill>
                </w14:textFill>
              </w:rPr>
              <w:t>按照《危险废物贮存污染控制标准》</w:t>
            </w:r>
            <w:r>
              <w:rPr>
                <w:rFonts w:hint="default" w:ascii="Times New Roman" w:hAnsi="Times New Roman" w:eastAsia="宋体" w:cs="Times New Roman"/>
                <w:color w:val="000000" w:themeColor="text1"/>
                <w:spacing w:val="9"/>
                <w:sz w:val="21"/>
                <w:szCs w:val="21"/>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GB</w:t>
            </w:r>
            <w:r>
              <w:rPr>
                <w:rFonts w:hint="default" w:ascii="Times New Roman" w:hAnsi="Times New Roman" w:eastAsia="宋体" w:cs="Times New Roman"/>
                <w:color w:val="000000" w:themeColor="text1"/>
                <w:spacing w:val="9"/>
                <w:sz w:val="21"/>
                <w:szCs w:val="21"/>
                <w14:textFill>
                  <w14:solidFill>
                    <w14:schemeClr w14:val="tx1"/>
                  </w14:solidFill>
                </w14:textFill>
              </w:rPr>
              <w:t>18597-2023）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9"/>
                <w:sz w:val="21"/>
                <w:szCs w:val="21"/>
                <w14:textFill>
                  <w14:solidFill>
                    <w14:schemeClr w14:val="tx1"/>
                  </w14:solidFill>
                </w14:textFill>
              </w:rPr>
              <w:t>防渗层为</w:t>
            </w:r>
            <w:r>
              <w:rPr>
                <w:rFonts w:hint="default" w:ascii="Times New Roman" w:hAnsi="Times New Roman" w:eastAsia="宋体" w:cs="Times New Roman"/>
                <w:color w:val="000000" w:themeColor="text1"/>
                <w:spacing w:val="3"/>
                <w:sz w:val="21"/>
                <w:szCs w:val="21"/>
                <w14:textFill>
                  <w14:solidFill>
                    <w14:schemeClr w14:val="tx1"/>
                  </w14:solidFill>
                </w14:textFill>
              </w:rPr>
              <w:t>至少1m厚粘土层</w:t>
            </w:r>
            <w:r>
              <w:rPr>
                <w:rFonts w:hint="default" w:ascii="Times New Roman" w:hAnsi="Times New Roman" w:eastAsia="宋体" w:cs="Times New Roman"/>
                <w:color w:val="000000" w:themeColor="text1"/>
                <w:spacing w:val="3"/>
                <w:sz w:val="21"/>
                <w:szCs w:val="21"/>
                <w:lang w:eastAsia="zh-CN"/>
                <w14:textFill>
                  <w14:solidFill>
                    <w14:schemeClr w14:val="tx1"/>
                  </w14:solidFill>
                </w14:textFill>
              </w:rPr>
              <w:t>（</w:t>
            </w:r>
            <w:r>
              <w:rPr>
                <w:rFonts w:hint="default" w:ascii="Times New Roman" w:hAnsi="Times New Roman" w:eastAsia="宋体" w:cs="Times New Roman"/>
                <w:color w:val="000000" w:themeColor="text1"/>
                <w:spacing w:val="3"/>
                <w:sz w:val="21"/>
                <w:szCs w:val="21"/>
                <w14:textFill>
                  <w14:solidFill>
                    <w14:schemeClr w14:val="tx1"/>
                  </w14:solidFill>
                </w14:textFill>
              </w:rPr>
              <w:t>渗透系数≤</w:t>
            </w:r>
            <w:r>
              <w:rPr>
                <w:rFonts w:hint="default" w:ascii="Times New Roman" w:hAnsi="Times New Roman" w:eastAsia="宋体" w:cs="Times New Roman"/>
                <w:color w:val="000000" w:themeColor="text1"/>
                <w:sz w:val="21"/>
                <w:szCs w:val="21"/>
                <w:highlight w:val="none"/>
                <w14:textFill>
                  <w14:solidFill>
                    <w14:schemeClr w14:val="tx1"/>
                  </w14:solidFill>
                </w14:textFill>
              </w:rPr>
              <w:t>10</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-7</w:t>
            </w:r>
            <w:r>
              <w:rPr>
                <w:rFonts w:hint="default" w:ascii="Times New Roman" w:hAnsi="Times New Roman" w:eastAsia="宋体" w:cs="Times New Roman"/>
                <w:color w:val="000000" w:themeColor="text1"/>
                <w:sz w:val="21"/>
                <w:szCs w:val="21"/>
                <w:highlight w:val="none"/>
                <w14:textFill>
                  <w14:solidFill>
                    <w14:schemeClr w14:val="tx1"/>
                  </w14:solidFill>
                </w14:textFill>
              </w:rPr>
              <w:t>c</w:t>
            </w:r>
            <w:r>
              <w:rPr>
                <w:rFonts w:hint="default" w:ascii="Times New Roman" w:hAnsi="Times New Roman" w:eastAsia="宋体" w:cs="Times New Roman"/>
                <w:color w:val="000000" w:themeColor="text1"/>
                <w:sz w:val="21"/>
                <w:szCs w:val="21"/>
                <w14:textFill>
                  <w14:solidFill>
                    <w14:schemeClr w14:val="tx1"/>
                  </w14:solidFill>
                </w14:textFill>
              </w:rPr>
              <w:t>m</w:t>
            </w:r>
            <w:r>
              <w:rPr>
                <w:rFonts w:hint="default" w:ascii="Times New Roman" w:hAnsi="Times New Roman" w:eastAsia="宋体" w:cs="Times New Roman"/>
                <w:color w:val="000000" w:themeColor="text1"/>
                <w:spacing w:val="3"/>
                <w:sz w:val="21"/>
                <w:szCs w:val="21"/>
                <w14:textFill>
                  <w14:solidFill>
                    <w14:schemeClr w14:val="tx1"/>
                  </w14:solidFill>
                </w14:textFill>
              </w:rPr>
              <w:t>/s</w:t>
            </w:r>
            <w:r>
              <w:rPr>
                <w:rFonts w:hint="default" w:ascii="Times New Roman" w:hAnsi="Times New Roman" w:eastAsia="宋体" w:cs="Times New Roman"/>
                <w:color w:val="000000" w:themeColor="text1"/>
                <w:spacing w:val="3"/>
                <w:sz w:val="21"/>
                <w:szCs w:val="21"/>
                <w:lang w:eastAsia="zh-CN"/>
                <w14:textFill>
                  <w14:solidFill>
                    <w14:schemeClr w14:val="tx1"/>
                  </w14:solidFill>
                </w14:textFill>
              </w:rPr>
              <w:t>）</w:t>
            </w:r>
            <w:r>
              <w:rPr>
                <w:rFonts w:hint="default" w:ascii="Times New Roman" w:hAnsi="Times New Roman" w:eastAsia="宋体" w:cs="Times New Roman"/>
                <w:color w:val="000000" w:themeColor="text1"/>
                <w:spacing w:val="3"/>
                <w:sz w:val="21"/>
                <w:szCs w:val="21"/>
                <w14:textFill>
                  <w14:solidFill>
                    <w14:schemeClr w14:val="tx1"/>
                  </w14:solidFill>
                </w14:textFill>
              </w:rPr>
              <w:t>，或2</w:t>
            </w:r>
            <w:r>
              <w:rPr>
                <w:rFonts w:hint="default" w:ascii="Times New Roman" w:hAnsi="Times New Roman" w:eastAsia="宋体" w:cs="Times New Roman"/>
                <w:color w:val="000000" w:themeColor="text1"/>
                <w:sz w:val="21"/>
                <w:szCs w:val="21"/>
                <w14:textFill>
                  <w14:solidFill>
                    <w14:schemeClr w14:val="tx1"/>
                  </w14:solidFill>
                </w14:textFill>
              </w:rPr>
              <w:t>mm</w:t>
            </w:r>
            <w:r>
              <w:rPr>
                <w:rFonts w:hint="default" w:ascii="Times New Roman" w:hAnsi="Times New Roman" w:eastAsia="宋体" w:cs="Times New Roman"/>
                <w:color w:val="000000" w:themeColor="text1"/>
                <w:spacing w:val="8"/>
                <w:sz w:val="21"/>
                <w:szCs w:val="21"/>
                <w14:textFill>
                  <w14:solidFill>
                    <w14:schemeClr w14:val="tx1"/>
                  </w14:solidFill>
                </w14:textFill>
              </w:rPr>
              <w:t>厚高密度聚乙烯，或至少2</w:t>
            </w:r>
            <w:r>
              <w:rPr>
                <w:rFonts w:hint="default" w:ascii="Times New Roman" w:hAnsi="Times New Roman" w:eastAsia="宋体" w:cs="Times New Roman"/>
                <w:color w:val="000000" w:themeColor="text1"/>
                <w:sz w:val="21"/>
                <w:szCs w:val="21"/>
                <w14:textFill>
                  <w14:solidFill>
                    <w14:schemeClr w14:val="tx1"/>
                  </w14:solidFill>
                </w14:textFill>
              </w:rPr>
              <w:t>mm</w:t>
            </w:r>
            <w:r>
              <w:rPr>
                <w:rFonts w:hint="default" w:ascii="Times New Roman" w:hAnsi="Times New Roman" w:eastAsia="宋体" w:cs="Times New Roman"/>
                <w:color w:val="000000" w:themeColor="text1"/>
                <w:spacing w:val="8"/>
                <w:sz w:val="21"/>
                <w:szCs w:val="21"/>
                <w14:textFill>
                  <w14:solidFill>
                    <w14:schemeClr w14:val="tx1"/>
                  </w14:solidFill>
                </w14:textFill>
              </w:rPr>
              <w:t>厚的其它人工材</w:t>
            </w:r>
            <w:r>
              <w:rPr>
                <w:rFonts w:hint="default" w:ascii="Times New Roman" w:hAnsi="Times New Roman" w:eastAsia="宋体" w:cs="Times New Roman"/>
                <w:color w:val="000000" w:themeColor="text1"/>
                <w:spacing w:val="7"/>
                <w:sz w:val="21"/>
                <w:szCs w:val="21"/>
                <w14:textFill>
                  <w14:solidFill>
                    <w14:schemeClr w14:val="tx1"/>
                  </w14:solidFill>
                </w14:textFill>
              </w:rPr>
              <w:t>料，渗透系数≤1</w:t>
            </w:r>
            <w:r>
              <w:rPr>
                <w:rFonts w:hint="default" w:ascii="Times New Roman" w:hAnsi="Times New Roman" w:eastAsia="宋体" w:cs="Times New Roman"/>
                <w:color w:val="000000" w:themeColor="text1"/>
                <w:sz w:val="21"/>
                <w:szCs w:val="21"/>
                <w:highlight w:val="none"/>
                <w14:textFill>
                  <w14:solidFill>
                    <w14:schemeClr w14:val="tx1"/>
                  </w14:solidFill>
                </w14:textFill>
              </w:rPr>
              <w:t>0</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14:textFill>
                  <w14:solidFill>
                    <w14:schemeClr w14:val="tx1"/>
                  </w14:solidFill>
                </w14:textFill>
              </w:rPr>
              <w:t>cm</w:t>
            </w:r>
            <w:r>
              <w:rPr>
                <w:rFonts w:hint="default" w:ascii="Times New Roman" w:hAnsi="Times New Roman" w:eastAsia="宋体" w:cs="Times New Roman"/>
                <w:color w:val="000000" w:themeColor="text1"/>
                <w:spacing w:val="7"/>
                <w:sz w:val="21"/>
                <w:szCs w:val="21"/>
                <w14:textFill>
                  <w14:solidFill>
                    <w14:schemeClr w14:val="tx1"/>
                  </w14:solidFill>
                </w14:textFill>
              </w:rPr>
              <w:t>/s进行防渗</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原料库按照等效黏土防渗层 Mb ≥6.0m，K≤1×10-7cm/s</w:t>
            </w:r>
            <w:r>
              <w:rPr>
                <w:rFonts w:hint="eastAsia" w:cs="Times New Roman"/>
                <w:color w:val="000000" w:themeColor="text1"/>
                <w:sz w:val="21"/>
                <w:szCs w:val="21"/>
                <w:highlight w:val="none"/>
                <w:lang w:val="en-US" w:eastAsia="zh-CN"/>
                <w14:textFill>
                  <w14:solidFill>
                    <w14:schemeClr w14:val="tx1"/>
                  </w14:solidFill>
                </w14:textFill>
              </w:rPr>
              <w:t>进行防渗。</w:t>
            </w:r>
          </w:p>
          <w:p w14:paraId="1AB077F2">
            <w:pPr>
              <w:adjustRightInd w:val="0"/>
              <w:snapToGrid w:val="0"/>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简单</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防渗区</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生产加工区域、</w:t>
            </w:r>
            <w:r>
              <w:rPr>
                <w:rFonts w:hint="default" w:ascii="Times New Roman" w:hAnsi="Times New Roman" w:eastAsia="宋体" w:cs="Times New Roman"/>
                <w:color w:val="000000" w:themeColor="text1"/>
                <w:spacing w:val="9"/>
                <w:sz w:val="21"/>
                <w:szCs w:val="21"/>
                <w14:textFill>
                  <w14:solidFill>
                    <w14:schemeClr w14:val="tx1"/>
                  </w14:solidFill>
                </w14:textFill>
              </w:rPr>
              <w:t>道路</w:t>
            </w:r>
            <w:r>
              <w:rPr>
                <w:rFonts w:hint="default" w:ascii="Times New Roman" w:hAnsi="Times New Roman" w:eastAsia="宋体" w:cs="Times New Roman"/>
                <w:color w:val="000000" w:themeColor="text1"/>
                <w:spacing w:val="9"/>
                <w:sz w:val="21"/>
                <w:szCs w:val="21"/>
                <w:lang w:val="en-US" w:eastAsia="zh-CN"/>
                <w14:textFill>
                  <w14:solidFill>
                    <w14:schemeClr w14:val="tx1"/>
                  </w14:solidFill>
                </w14:textFill>
              </w:rPr>
              <w:t>等</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进行一般的地面硬化处理</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p w14:paraId="51742399">
            <w:pPr>
              <w:numPr>
                <w:ilvl w:val="0"/>
                <w:numId w:val="0"/>
              </w:numPr>
              <w:adjustRightInd w:val="0"/>
              <w:snapToGrid w:val="0"/>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（3）污染监控</w:t>
            </w:r>
          </w:p>
          <w:p w14:paraId="7E4C0402">
            <w:pPr>
              <w:numPr>
                <w:ilvl w:val="0"/>
                <w:numId w:val="0"/>
              </w:numPr>
              <w:adjustRightInd w:val="0"/>
              <w:snapToGrid w:val="0"/>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根据《环境影响评价技术导则 地下水》（HJ610-2016），本项目属于地下水评价的Ⅳ类项目，不需设置地下水监测井，也无需制定监测计划。本次环评要求建设单位加强管理，定期巡视，防止泄漏。</w:t>
            </w:r>
          </w:p>
          <w:p w14:paraId="142E0537">
            <w:pPr>
              <w:numPr>
                <w:ilvl w:val="0"/>
                <w:numId w:val="0"/>
              </w:numPr>
              <w:adjustRightInd w:val="0"/>
              <w:snapToGrid w:val="0"/>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（4）应急响应</w:t>
            </w:r>
          </w:p>
          <w:p w14:paraId="5558D541">
            <w:pPr>
              <w:adjustRightInd w:val="0"/>
              <w:snapToGrid w:val="0"/>
              <w:jc w:val="both"/>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项目运营期建设单位需加强管理，定期巡视，一旦发现危险废物贮存间</w:t>
            </w:r>
            <w:r>
              <w:rPr>
                <w:rFonts w:hint="eastAsia" w:cs="Times New Roman"/>
                <w:b w:val="0"/>
                <w:bCs w:val="0"/>
                <w:color w:val="000000" w:themeColor="text1"/>
                <w:sz w:val="21"/>
                <w:szCs w:val="21"/>
                <w:highlight w:val="none"/>
                <w:lang w:val="en-US" w:eastAsia="zh-CN"/>
                <w14:textFill>
                  <w14:solidFill>
                    <w14:schemeClr w14:val="tx1"/>
                  </w14:solidFill>
                </w14:textFill>
              </w:rPr>
              <w:t>等</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暂存破损引起储存物渗漏</w:t>
            </w:r>
            <w:r>
              <w:rPr>
                <w:rFonts w:hint="eastAsia" w:cs="Times New Roman"/>
                <w:b w:val="0"/>
                <w:bCs w:val="0"/>
                <w:color w:val="000000" w:themeColor="text1"/>
                <w:sz w:val="21"/>
                <w:szCs w:val="21"/>
                <w:highlight w:val="none"/>
                <w:lang w:val="en-US" w:eastAsia="zh-CN"/>
                <w14:textFill>
                  <w14:solidFill>
                    <w14:schemeClr w14:val="tx1"/>
                  </w14:solidFill>
                </w14:textFill>
              </w:rPr>
              <w:t>与原料等发生泄漏</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，应及时进行检修或更换储存设施。</w:t>
            </w:r>
          </w:p>
        </w:tc>
      </w:tr>
      <w:tr w14:paraId="3E3C22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7" w:hRule="atLeast"/>
          <w:jc w:val="center"/>
        </w:trPr>
        <w:tc>
          <w:tcPr>
            <w:tcW w:w="1507" w:type="dxa"/>
            <w:vAlign w:val="center"/>
          </w:tcPr>
          <w:p w14:paraId="2ACD6B13">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生态保护措施</w:t>
            </w:r>
          </w:p>
        </w:tc>
        <w:tc>
          <w:tcPr>
            <w:tcW w:w="7293" w:type="dxa"/>
            <w:gridSpan w:val="4"/>
            <w:vAlign w:val="center"/>
          </w:tcPr>
          <w:p w14:paraId="30148D50">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r>
      <w:tr w14:paraId="0CE7DE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07" w:type="dxa"/>
            <w:vAlign w:val="center"/>
          </w:tcPr>
          <w:p w14:paraId="5F145E32">
            <w:pPr>
              <w:adjustRightInd w:val="0"/>
              <w:snapToGrid w:val="0"/>
              <w:jc w:val="center"/>
              <w:rPr>
                <w:rFonts w:hint="default" w:ascii="Times New Roman" w:hAnsi="Times New Roman" w:cs="Times New Roman"/>
                <w:color w:val="000000" w:themeColor="text1"/>
                <w:spacing w:val="-8"/>
                <w:szCs w:val="21"/>
                <w14:textFill>
                  <w14:solidFill>
                    <w14:schemeClr w14:val="tx1"/>
                  </w14:solidFill>
                </w14:textFill>
              </w:rPr>
            </w:pPr>
            <w:r>
              <w:rPr>
                <w:rFonts w:hint="default" w:ascii="Times New Roman" w:hAnsi="Times New Roman" w:cs="Times New Roman"/>
                <w:color w:val="000000" w:themeColor="text1"/>
                <w:spacing w:val="-8"/>
                <w:szCs w:val="21"/>
                <w14:textFill>
                  <w14:solidFill>
                    <w14:schemeClr w14:val="tx1"/>
                  </w14:solidFill>
                </w14:textFill>
              </w:rPr>
              <w:t>环境风险</w:t>
            </w:r>
          </w:p>
          <w:p w14:paraId="5502522B">
            <w:pPr>
              <w:adjustRightInd w:val="0"/>
              <w:snapToGrid w:val="0"/>
              <w:jc w:val="center"/>
              <w:rPr>
                <w:rFonts w:hint="default" w:ascii="Times New Roman" w:hAnsi="Times New Roman" w:cs="Times New Roman"/>
                <w:color w:val="000000" w:themeColor="text1"/>
                <w:spacing w:val="-8"/>
                <w:szCs w:val="21"/>
                <w14:textFill>
                  <w14:solidFill>
                    <w14:schemeClr w14:val="tx1"/>
                  </w14:solidFill>
                </w14:textFill>
              </w:rPr>
            </w:pPr>
            <w:r>
              <w:rPr>
                <w:rFonts w:hint="default" w:ascii="Times New Roman" w:hAnsi="Times New Roman" w:cs="Times New Roman"/>
                <w:color w:val="000000" w:themeColor="text1"/>
                <w:spacing w:val="-8"/>
                <w:szCs w:val="21"/>
                <w14:textFill>
                  <w14:solidFill>
                    <w14:schemeClr w14:val="tx1"/>
                  </w14:solidFill>
                </w14:textFill>
              </w:rPr>
              <w:t>防范措施</w:t>
            </w:r>
          </w:p>
        </w:tc>
        <w:tc>
          <w:tcPr>
            <w:tcW w:w="7293" w:type="dxa"/>
            <w:gridSpan w:val="4"/>
            <w:vAlign w:val="center"/>
          </w:tcPr>
          <w:p w14:paraId="24620FEA">
            <w:pPr>
              <w:adjustRightInd w:val="0"/>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①</w:t>
            </w:r>
            <w:r>
              <w:rPr>
                <w:rFonts w:hint="eastAsia"/>
                <w:color w:val="000000" w:themeColor="text1"/>
                <w:szCs w:val="21"/>
                <w:lang w:val="en-US" w:eastAsia="zh-CN"/>
                <w14:textFill>
                  <w14:solidFill>
                    <w14:schemeClr w14:val="tx1"/>
                  </w14:solidFill>
                </w14:textFill>
              </w:rPr>
              <w:t>润滑油、液压油、废润滑油、废液压油</w:t>
            </w:r>
            <w:r>
              <w:rPr>
                <w:rFonts w:hint="default"/>
                <w:color w:val="000000" w:themeColor="text1"/>
                <w:szCs w:val="21"/>
                <w:lang w:eastAsia="zh-CN"/>
                <w14:textFill>
                  <w14:solidFill>
                    <w14:schemeClr w14:val="tx1"/>
                  </w14:solidFill>
                </w14:textFill>
              </w:rPr>
              <w:t>存储在专门的区域，并对所在区域进行防渗处理</w:t>
            </w:r>
            <w:r>
              <w:rPr>
                <w:color w:val="000000" w:themeColor="text1"/>
                <w:szCs w:val="21"/>
                <w14:textFill>
                  <w14:solidFill>
                    <w14:schemeClr w14:val="tx1"/>
                  </w14:solidFill>
                </w14:textFill>
              </w:rPr>
              <w:t>。</w:t>
            </w:r>
          </w:p>
          <w:p w14:paraId="5A6AE8AF">
            <w:pPr>
              <w:adjustRightInd w:val="0"/>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②</w:t>
            </w:r>
            <w:r>
              <w:rPr>
                <w:rFonts w:hint="eastAsia"/>
                <w:color w:val="000000" w:themeColor="text1"/>
                <w:szCs w:val="21"/>
                <w:lang w:val="en-US" w:eastAsia="zh-CN"/>
                <w14:textFill>
                  <w14:solidFill>
                    <w14:schemeClr w14:val="tx1"/>
                  </w14:solidFill>
                </w14:textFill>
              </w:rPr>
              <w:t>危废暂存于</w:t>
            </w:r>
            <w:r>
              <w:rPr>
                <w:rFonts w:hint="eastAsia"/>
                <w:color w:val="000000" w:themeColor="text1"/>
                <w:szCs w:val="21"/>
                <w:lang w:eastAsia="zh-CN"/>
                <w14:textFill>
                  <w14:solidFill>
                    <w14:schemeClr w14:val="tx1"/>
                  </w14:solidFill>
                </w14:textFill>
              </w:rPr>
              <w:t>危险废物贮存间</w:t>
            </w:r>
            <w:r>
              <w:rPr>
                <w:rFonts w:hint="default"/>
                <w:color w:val="000000" w:themeColor="text1"/>
                <w:szCs w:val="21"/>
                <w14:textFill>
                  <w14:solidFill>
                    <w14:schemeClr w14:val="tx1"/>
                  </w14:solidFill>
                </w14:textFill>
              </w:rPr>
              <w:t>内，</w:t>
            </w:r>
            <w:r>
              <w:rPr>
                <w:rFonts w:hint="eastAsia"/>
                <w:color w:val="000000" w:themeColor="text1"/>
                <w:szCs w:val="21"/>
                <w:lang w:eastAsia="zh-CN"/>
                <w14:textFill>
                  <w14:solidFill>
                    <w14:schemeClr w14:val="tx1"/>
                  </w14:solidFill>
                </w14:textFill>
              </w:rPr>
              <w:t>危险废物贮存间</w:t>
            </w:r>
            <w:r>
              <w:rPr>
                <w:rFonts w:hint="default"/>
                <w:color w:val="000000" w:themeColor="text1"/>
                <w:szCs w:val="21"/>
                <w14:textFill>
                  <w14:solidFill>
                    <w14:schemeClr w14:val="tx1"/>
                  </w14:solidFill>
                </w14:textFill>
              </w:rPr>
              <w:t>按照《危险废物贮存污染控制标准》（GB18597-20</w:t>
            </w:r>
            <w:r>
              <w:rPr>
                <w:rFonts w:hint="eastAsia"/>
                <w:color w:val="000000" w:themeColor="text1"/>
                <w:szCs w:val="21"/>
                <w:lang w:val="en-US" w:eastAsia="zh-CN"/>
                <w14:textFill>
                  <w14:solidFill>
                    <w14:schemeClr w14:val="tx1"/>
                  </w14:solidFill>
                </w14:textFill>
              </w:rPr>
              <w:t>23</w:t>
            </w:r>
            <w:r>
              <w:rPr>
                <w:rFonts w:hint="default"/>
                <w:color w:val="000000" w:themeColor="text1"/>
                <w:szCs w:val="21"/>
                <w14:textFill>
                  <w14:solidFill>
                    <w14:schemeClr w14:val="tx1"/>
                  </w14:solidFill>
                </w14:textFill>
              </w:rPr>
              <w:t>）及本环评提出的要求进行建设，做好防腐蚀、防渗漏、防流失，且委托有资质的危险废物处置单位清运处置</w:t>
            </w:r>
            <w:r>
              <w:rPr>
                <w:color w:val="000000" w:themeColor="text1"/>
                <w:szCs w:val="21"/>
                <w14:textFill>
                  <w14:solidFill>
                    <w14:schemeClr w14:val="tx1"/>
                  </w14:solidFill>
                </w14:textFill>
              </w:rPr>
              <w:t>。</w:t>
            </w:r>
          </w:p>
          <w:p w14:paraId="1C9B551C">
            <w:pPr>
              <w:adjustRightInd w:val="0"/>
              <w:snapToGrid w:val="0"/>
              <w:rPr>
                <w:rFonts w:hint="default" w:ascii="Times New Roman" w:hAnsi="Times New Roman" w:cs="Times New Roman"/>
                <w:color w:val="000000" w:themeColor="text1"/>
                <w:szCs w:val="21"/>
                <w14:textFill>
                  <w14:solidFill>
                    <w14:schemeClr w14:val="tx1"/>
                  </w14:solidFill>
                </w14:textFill>
              </w:rPr>
            </w:pPr>
            <w:r>
              <w:rPr>
                <w:color w:val="000000" w:themeColor="text1"/>
                <w:szCs w:val="21"/>
                <w14:textFill>
                  <w14:solidFill>
                    <w14:schemeClr w14:val="tx1"/>
                  </w14:solidFill>
                </w14:textFill>
              </w:rPr>
              <w:t>③</w:t>
            </w:r>
            <w:r>
              <w:rPr>
                <w:rFonts w:hint="default"/>
                <w:color w:val="000000" w:themeColor="text1"/>
                <w:szCs w:val="21"/>
                <w14:textFill>
                  <w14:solidFill>
                    <w14:schemeClr w14:val="tx1"/>
                  </w14:solidFill>
                </w14:textFill>
              </w:rPr>
              <w:t>防护措施：自备防护服、防护口罩、堵漏器材；应急物资：灭火器等消防灭火器材；119火警电话、120急救电话及应急通讯装置</w:t>
            </w:r>
            <w:r>
              <w:rPr>
                <w:color w:val="000000" w:themeColor="text1"/>
                <w:szCs w:val="21"/>
                <w14:textFill>
                  <w14:solidFill>
                    <w14:schemeClr w14:val="tx1"/>
                  </w14:solidFill>
                </w14:textFill>
              </w:rPr>
              <w:t>。</w:t>
            </w:r>
          </w:p>
        </w:tc>
      </w:tr>
      <w:tr w14:paraId="6F761E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507" w:type="dxa"/>
            <w:vAlign w:val="center"/>
          </w:tcPr>
          <w:p w14:paraId="3BB48866">
            <w:pPr>
              <w:adjustRightInd w:val="0"/>
              <w:snapToGrid w:val="0"/>
              <w:jc w:val="center"/>
              <w:rPr>
                <w:rFonts w:hint="default" w:ascii="Times New Roman" w:hAnsi="Times New Roman" w:cs="Times New Roman"/>
                <w:color w:val="000000" w:themeColor="text1"/>
                <w:spacing w:val="-8"/>
                <w:szCs w:val="21"/>
                <w14:textFill>
                  <w14:solidFill>
                    <w14:schemeClr w14:val="tx1"/>
                  </w14:solidFill>
                </w14:textFill>
              </w:rPr>
            </w:pPr>
            <w:r>
              <w:rPr>
                <w:rFonts w:hint="default" w:ascii="Times New Roman" w:hAnsi="Times New Roman" w:cs="Times New Roman"/>
                <w:color w:val="000000" w:themeColor="text1"/>
                <w:spacing w:val="-8"/>
                <w:szCs w:val="21"/>
                <w14:textFill>
                  <w14:solidFill>
                    <w14:schemeClr w14:val="tx1"/>
                  </w14:solidFill>
                </w14:textFill>
              </w:rPr>
              <w:t>其他环境</w:t>
            </w:r>
          </w:p>
          <w:p w14:paraId="29F13801">
            <w:pPr>
              <w:adjustRightInd w:val="0"/>
              <w:snapToGrid w:val="0"/>
              <w:jc w:val="center"/>
              <w:rPr>
                <w:rFonts w:hint="default" w:ascii="Times New Roman" w:hAnsi="Times New Roman" w:cs="Times New Roman"/>
                <w:color w:val="000000" w:themeColor="text1"/>
                <w:spacing w:val="-8"/>
                <w:szCs w:val="21"/>
                <w14:textFill>
                  <w14:solidFill>
                    <w14:schemeClr w14:val="tx1"/>
                  </w14:solidFill>
                </w14:textFill>
              </w:rPr>
            </w:pPr>
            <w:r>
              <w:rPr>
                <w:rFonts w:hint="default" w:ascii="Times New Roman" w:hAnsi="Times New Roman" w:cs="Times New Roman"/>
                <w:color w:val="000000" w:themeColor="text1"/>
                <w:spacing w:val="-8"/>
                <w:szCs w:val="21"/>
                <w14:textFill>
                  <w14:solidFill>
                    <w14:schemeClr w14:val="tx1"/>
                  </w14:solidFill>
                </w14:textFill>
              </w:rPr>
              <w:t>管理要求</w:t>
            </w:r>
          </w:p>
        </w:tc>
        <w:tc>
          <w:tcPr>
            <w:tcW w:w="7293" w:type="dxa"/>
            <w:gridSpan w:val="4"/>
            <w:vAlign w:val="center"/>
          </w:tcPr>
          <w:p w14:paraId="420DF8CD">
            <w:pPr>
              <w:adjustRightInd w:val="0"/>
              <w:snapToGrid w:val="0"/>
              <w:jc w:val="both"/>
              <w:rPr>
                <w:color w:val="000000" w:themeColor="text1"/>
                <w14:textFill>
                  <w14:solidFill>
                    <w14:schemeClr w14:val="tx1"/>
                  </w14:solidFill>
                </w14:textFill>
              </w:rPr>
            </w:pPr>
            <w:r>
              <w:rPr>
                <w:color w:val="000000" w:themeColor="text1"/>
                <w:szCs w:val="21"/>
                <w14:textFill>
                  <w14:solidFill>
                    <w14:schemeClr w14:val="tx1"/>
                  </w14:solidFill>
                </w14:textFill>
              </w:rPr>
              <w:t>①</w:t>
            </w:r>
            <w:r>
              <w:rPr>
                <w:rFonts w:hint="eastAsia"/>
                <w:color w:val="000000" w:themeColor="text1"/>
                <w:lang w:val="en-US" w:eastAsia="zh-CN"/>
                <w14:textFill>
                  <w14:solidFill>
                    <w14:schemeClr w14:val="tx1"/>
                  </w14:solidFill>
                </w14:textFill>
              </w:rPr>
              <w:t>待项目建成后应及时编制突发环境事件应急预案；</w:t>
            </w:r>
          </w:p>
          <w:p w14:paraId="49BA5688">
            <w:pPr>
              <w:rPr>
                <w:color w:val="000000" w:themeColor="text1"/>
                <w14:textFill>
                  <w14:solidFill>
                    <w14:schemeClr w14:val="tx1"/>
                  </w14:solidFill>
                </w14:textFill>
              </w:rPr>
            </w:pPr>
            <w:r>
              <w:rPr>
                <w:color w:val="000000" w:themeColor="text1"/>
                <w:szCs w:val="21"/>
                <w14:textFill>
                  <w14:solidFill>
                    <w14:schemeClr w14:val="tx1"/>
                  </w14:solidFill>
                </w14:textFill>
              </w:rPr>
              <w:t>②</w:t>
            </w:r>
            <w:r>
              <w:rPr>
                <w:rFonts w:hint="eastAsia"/>
                <w:color w:val="000000" w:themeColor="text1"/>
                <w:lang w:val="en-US" w:eastAsia="zh-CN"/>
                <w14:textFill>
                  <w14:solidFill>
                    <w14:schemeClr w14:val="tx1"/>
                  </w14:solidFill>
                </w14:textFill>
              </w:rPr>
              <w:t>应及时进行排污许可证申报，取得排污许可前不得排污；</w:t>
            </w:r>
          </w:p>
          <w:p w14:paraId="50997089">
            <w:pPr>
              <w:rPr>
                <w:rFonts w:hint="default"/>
                <w:color w:val="000000" w:themeColor="text1"/>
                <w:lang w:val="en-US" w:eastAsia="zh-CN"/>
                <w14:textFill>
                  <w14:solidFill>
                    <w14:schemeClr w14:val="tx1"/>
                  </w14:solidFill>
                </w14:textFill>
              </w:rPr>
            </w:pPr>
            <w:r>
              <w:rPr>
                <w:color w:val="000000" w:themeColor="text1"/>
                <w:szCs w:val="21"/>
                <w14:textFill>
                  <w14:solidFill>
                    <w14:schemeClr w14:val="tx1"/>
                  </w14:solidFill>
                </w14:textFill>
              </w:rPr>
              <w:t>③</w:t>
            </w:r>
            <w:r>
              <w:rPr>
                <w:rFonts w:hint="eastAsia"/>
                <w:color w:val="000000" w:themeColor="text1"/>
                <w:lang w:val="en-US" w:eastAsia="zh-CN"/>
                <w14:textFill>
                  <w14:solidFill>
                    <w14:schemeClr w14:val="tx1"/>
                  </w14:solidFill>
                </w14:textFill>
              </w:rPr>
              <w:t>待建设项目竣工，应及时开展竣工环境保护验收。</w:t>
            </w:r>
          </w:p>
        </w:tc>
      </w:tr>
    </w:tbl>
    <w:p w14:paraId="7E69E5FD">
      <w:pPr>
        <w:pStyle w:val="26"/>
        <w:jc w:val="center"/>
        <w:outlineLvl w:val="0"/>
        <w:rPr>
          <w:rFonts w:hint="default" w:ascii="Times New Roman" w:hAnsi="Times New Roman" w:cs="Times New Roman"/>
          <w:snapToGrid w:val="0"/>
          <w:color w:val="000000" w:themeColor="text1"/>
          <w:szCs w:val="24"/>
          <w14:textFill>
            <w14:solidFill>
              <w14:schemeClr w14:val="tx1"/>
            </w14:solidFill>
          </w14:textFill>
        </w:rPr>
      </w:pPr>
      <w:r>
        <w:rPr>
          <w:rFonts w:hint="default" w:ascii="Times New Roman" w:hAnsi="Times New Roman" w:cs="Times New Roman"/>
          <w:snapToGrid w:val="0"/>
          <w:color w:val="000000" w:themeColor="text1"/>
          <w:szCs w:val="24"/>
          <w14:textFill>
            <w14:solidFill>
              <w14:schemeClr w14:val="tx1"/>
            </w14:solidFill>
          </w14:textFill>
        </w:rPr>
        <w:br w:type="page"/>
      </w:r>
      <w:bookmarkStart w:id="259" w:name="_Toc8495"/>
      <w:bookmarkStart w:id="260" w:name="_Toc21254"/>
      <w:r>
        <w:rPr>
          <w:rFonts w:hint="default" w:ascii="Times New Roman" w:hAnsi="Times New Roman" w:cs="Times New Roman"/>
          <w:snapToGrid w:val="0"/>
          <w:color w:val="000000" w:themeColor="text1"/>
          <w:szCs w:val="24"/>
          <w14:textFill>
            <w14:solidFill>
              <w14:schemeClr w14:val="tx1"/>
            </w14:solidFill>
          </w14:textFill>
        </w:rPr>
        <w:t>六、结论</w:t>
      </w:r>
      <w:bookmarkEnd w:id="259"/>
      <w:bookmarkEnd w:id="260"/>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432A1E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14:paraId="451717F8">
            <w:pPr>
              <w:spacing w:line="360" w:lineRule="auto"/>
              <w:jc w:val="left"/>
              <w:rPr>
                <w:rFonts w:hint="default" w:ascii="Times New Roman" w:hAnsi="Times New Roman" w:cs="Times New Roman"/>
                <w:b/>
                <w:color w:val="000000" w:themeColor="text1"/>
                <w:sz w:val="24"/>
                <w14:textFill>
                  <w14:solidFill>
                    <w14:schemeClr w14:val="tx1"/>
                  </w14:solidFill>
                </w14:textFill>
              </w:rPr>
            </w:pPr>
          </w:p>
          <w:p w14:paraId="41F96DE5">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本项目建设符合国家产业政策。产生的环境影响因素包括废气、废水、噪声、固废等，在采取必要的防治措施后，可以得到有效控制，满足国家控制标准，不会对周围环境产生显著的影响。项目在建设过程中如果严格按</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三同时</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的原则设计和施工，落实环评报告中提出的治理措施，后期项目投产后需加强环境管理，从环境影响的角度评价，项目的建设是可行的。</w:t>
            </w:r>
          </w:p>
        </w:tc>
      </w:tr>
    </w:tbl>
    <w:p w14:paraId="745D13C3">
      <w:pPr>
        <w:rPr>
          <w:rFonts w:hint="default" w:ascii="Times New Roman" w:hAnsi="Times New Roman" w:cs="Times New Roman"/>
          <w:color w:val="000000" w:themeColor="text1"/>
          <w:sz w:val="24"/>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47697BEC">
      <w:pPr>
        <w:pStyle w:val="26"/>
        <w:adjustRightInd w:val="0"/>
        <w:snapToGrid w:val="0"/>
        <w:spacing w:before="0" w:beforeAutospacing="0" w:after="0" w:afterAutospacing="0"/>
        <w:outlineLvl w:val="0"/>
        <w:rPr>
          <w:rFonts w:hint="default" w:ascii="Times New Roman" w:hAnsi="Times New Roman" w:eastAsia="黑体" w:cs="Times New Roman"/>
          <w:snapToGrid w:val="0"/>
          <w:color w:val="000000" w:themeColor="text1"/>
          <w:sz w:val="32"/>
          <w:szCs w:val="32"/>
          <w14:textFill>
            <w14:solidFill>
              <w14:schemeClr w14:val="tx1"/>
            </w14:solidFill>
          </w14:textFill>
        </w:rPr>
      </w:pPr>
      <w:bookmarkStart w:id="261" w:name="_Toc5278"/>
      <w:bookmarkStart w:id="262" w:name="_Toc6465"/>
      <w:bookmarkStart w:id="263" w:name="_Toc10426"/>
      <w:r>
        <w:rPr>
          <w:rFonts w:hint="default" w:ascii="Times New Roman" w:hAnsi="Times New Roman" w:eastAsia="黑体" w:cs="Times New Roman"/>
          <w:snapToGrid w:val="0"/>
          <w:color w:val="000000" w:themeColor="text1"/>
          <w:sz w:val="32"/>
          <w:szCs w:val="32"/>
          <w14:textFill>
            <w14:solidFill>
              <w14:schemeClr w14:val="tx1"/>
            </w14:solidFill>
          </w14:textFill>
        </w:rPr>
        <w:t>附表</w:t>
      </w:r>
      <w:bookmarkEnd w:id="261"/>
      <w:bookmarkEnd w:id="262"/>
      <w:bookmarkEnd w:id="263"/>
    </w:p>
    <w:p w14:paraId="3398D537">
      <w:pPr>
        <w:pStyle w:val="26"/>
        <w:adjustRightInd w:val="0"/>
        <w:snapToGrid w:val="0"/>
        <w:spacing w:before="0" w:beforeAutospacing="0" w:after="0" w:afterAutospacing="0"/>
        <w:jc w:val="center"/>
        <w:outlineLvl w:val="9"/>
        <w:rPr>
          <w:rFonts w:hint="default" w:ascii="Times New Roman" w:hAnsi="Times New Roman" w:eastAsia="方正小标宋_GBK" w:cs="Times New Roman"/>
          <w:snapToGrid w:val="0"/>
          <w:color w:val="000000" w:themeColor="text1"/>
          <w:sz w:val="38"/>
          <w:szCs w:val="38"/>
          <w14:textFill>
            <w14:solidFill>
              <w14:schemeClr w14:val="tx1"/>
            </w14:solidFill>
          </w14:textFill>
        </w:rPr>
      </w:pPr>
    </w:p>
    <w:p w14:paraId="09069BA2">
      <w:pPr>
        <w:pStyle w:val="26"/>
        <w:adjustRightInd w:val="0"/>
        <w:snapToGrid w:val="0"/>
        <w:spacing w:before="0" w:beforeAutospacing="0" w:after="0" w:afterAutospacing="0"/>
        <w:jc w:val="center"/>
        <w:outlineLvl w:val="9"/>
        <w:rPr>
          <w:rFonts w:hint="default" w:ascii="Times New Roman" w:hAnsi="Times New Roman" w:eastAsia="方正小标宋_GBK" w:cs="Times New Roman"/>
          <w:snapToGrid w:val="0"/>
          <w:color w:val="000000" w:themeColor="text1"/>
          <w:sz w:val="38"/>
          <w:szCs w:val="38"/>
          <w14:textFill>
            <w14:solidFill>
              <w14:schemeClr w14:val="tx1"/>
            </w14:solidFill>
          </w14:textFill>
        </w:rPr>
      </w:pPr>
      <w:r>
        <w:rPr>
          <w:rFonts w:hint="default" w:ascii="Times New Roman" w:hAnsi="Times New Roman" w:eastAsia="方正小标宋_GBK" w:cs="Times New Roman"/>
          <w:snapToGrid w:val="0"/>
          <w:color w:val="000000" w:themeColor="text1"/>
          <w:sz w:val="38"/>
          <w:szCs w:val="38"/>
          <w14:textFill>
            <w14:solidFill>
              <w14:schemeClr w14:val="tx1"/>
            </w14:solidFill>
          </w14:textFill>
        </w:rPr>
        <w:t>建设项目污染物排放量汇总表</w:t>
      </w:r>
    </w:p>
    <w:tbl>
      <w:tblPr>
        <w:tblStyle w:val="31"/>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547"/>
        <w:gridCol w:w="1571"/>
        <w:gridCol w:w="1276"/>
        <w:gridCol w:w="1701"/>
        <w:gridCol w:w="1559"/>
        <w:gridCol w:w="1761"/>
        <w:gridCol w:w="1959"/>
        <w:gridCol w:w="826"/>
      </w:tblGrid>
      <w:tr w14:paraId="2BE054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tcMar>
              <w:left w:w="28" w:type="dxa"/>
              <w:right w:w="28" w:type="dxa"/>
            </w:tcMar>
            <w:vAlign w:val="center"/>
          </w:tcPr>
          <w:p w14:paraId="6078D61B">
            <w:pPr>
              <w:pStyle w:val="45"/>
              <w:keepNext w:val="0"/>
              <w:keepLines w:val="0"/>
              <w:pageBreakBefore w:val="0"/>
              <w:kinsoku/>
              <w:wordWrap/>
              <w:overflowPunct/>
              <w:topLinePunct w:val="0"/>
              <w:autoSpaceDE/>
              <w:autoSpaceDN/>
              <w:bidi w:val="0"/>
              <w:adjustRightInd w:val="0"/>
              <w:spacing w:beforeLines="0" w:afterLines="0" w:line="240" w:lineRule="auto"/>
              <w:ind w:firstLine="0"/>
              <w:jc w:val="right"/>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项目</w:t>
            </w:r>
          </w:p>
          <w:p w14:paraId="784717E9">
            <w:pPr>
              <w:pStyle w:val="45"/>
              <w:keepNext w:val="0"/>
              <w:keepLines w:val="0"/>
              <w:pageBreakBefore w:val="0"/>
              <w:kinsoku/>
              <w:wordWrap/>
              <w:overflowPunct/>
              <w:topLinePunct w:val="0"/>
              <w:autoSpaceDE/>
              <w:autoSpaceDN/>
              <w:bidi w:val="0"/>
              <w:adjustRightInd w:val="0"/>
              <w:spacing w:beforeLines="0" w:afterLines="0" w:line="240" w:lineRule="auto"/>
              <w:ind w:firstLine="0"/>
              <w:jc w:val="left"/>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分类</w:t>
            </w:r>
          </w:p>
        </w:tc>
        <w:tc>
          <w:tcPr>
            <w:tcW w:w="1547" w:type="dxa"/>
            <w:tcMar>
              <w:left w:w="28" w:type="dxa"/>
              <w:right w:w="28" w:type="dxa"/>
            </w:tcMar>
            <w:vAlign w:val="center"/>
          </w:tcPr>
          <w:p w14:paraId="16D328C0">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污染物名称</w:t>
            </w:r>
          </w:p>
        </w:tc>
        <w:tc>
          <w:tcPr>
            <w:tcW w:w="1571" w:type="dxa"/>
            <w:tcMar>
              <w:left w:w="28" w:type="dxa"/>
              <w:right w:w="28" w:type="dxa"/>
            </w:tcMar>
            <w:vAlign w:val="center"/>
          </w:tcPr>
          <w:p w14:paraId="2FAC7AB1">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现有工程</w:t>
            </w:r>
          </w:p>
          <w:p w14:paraId="4BE07ED6">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排放量（固体废物产生量）</w: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instrText xml:space="preserve"> = 1 \* GB3 \* MERGEFORMAT </w:instrTex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separate"/>
            </w:r>
            <w:r>
              <w:rPr>
                <w:rFonts w:hint="default" w:ascii="Times New Roman" w:hAnsi="Times New Roman" w:eastAsia="黑体" w:cs="Times New Roman"/>
                <w:color w:val="000000" w:themeColor="text1"/>
                <w:sz w:val="21"/>
                <w:szCs w:val="21"/>
                <w14:textFill>
                  <w14:solidFill>
                    <w14:schemeClr w14:val="tx1"/>
                  </w14:solidFill>
                </w14:textFill>
              </w:rPr>
              <w:t>①</w: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end"/>
            </w:r>
          </w:p>
        </w:tc>
        <w:tc>
          <w:tcPr>
            <w:tcW w:w="1276" w:type="dxa"/>
            <w:tcMar>
              <w:left w:w="28" w:type="dxa"/>
              <w:right w:w="28" w:type="dxa"/>
            </w:tcMar>
            <w:vAlign w:val="center"/>
          </w:tcPr>
          <w:p w14:paraId="403DCF22">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现有工程</w:t>
            </w:r>
          </w:p>
          <w:p w14:paraId="3A7EC31A">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许可排放量</w:t>
            </w:r>
          </w:p>
          <w:p w14:paraId="39F4391C">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instrText xml:space="preserve"> = 2 \* GB3 \* MERGEFORMAT </w:instrTex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separate"/>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②</w: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end"/>
            </w:r>
          </w:p>
        </w:tc>
        <w:tc>
          <w:tcPr>
            <w:tcW w:w="1701" w:type="dxa"/>
            <w:tcMar>
              <w:left w:w="28" w:type="dxa"/>
              <w:right w:w="28" w:type="dxa"/>
            </w:tcMar>
            <w:vAlign w:val="center"/>
          </w:tcPr>
          <w:p w14:paraId="7AED1B57">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在建工程</w:t>
            </w:r>
          </w:p>
          <w:p w14:paraId="268FBBFB">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排放量（固体废物产生量）</w: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instrText xml:space="preserve"> = 3 \* GB3 \* MERGEFORMAT </w:instrTex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separate"/>
            </w:r>
            <w:r>
              <w:rPr>
                <w:rFonts w:hint="default" w:ascii="Times New Roman" w:hAnsi="Times New Roman" w:eastAsia="黑体" w:cs="Times New Roman"/>
                <w:color w:val="000000" w:themeColor="text1"/>
                <w:sz w:val="21"/>
                <w:szCs w:val="21"/>
                <w14:textFill>
                  <w14:solidFill>
                    <w14:schemeClr w14:val="tx1"/>
                  </w14:solidFill>
                </w14:textFill>
              </w:rPr>
              <w:t>③</w: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end"/>
            </w:r>
          </w:p>
        </w:tc>
        <w:tc>
          <w:tcPr>
            <w:tcW w:w="1559" w:type="dxa"/>
            <w:tcMar>
              <w:left w:w="28" w:type="dxa"/>
              <w:right w:w="28" w:type="dxa"/>
            </w:tcMar>
            <w:vAlign w:val="center"/>
          </w:tcPr>
          <w:p w14:paraId="7C04BE57">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本项目</w:t>
            </w:r>
          </w:p>
          <w:p w14:paraId="6D6164A4">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排放量（固体废物产生量）</w: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instrText xml:space="preserve"> = 4 \* GB3 \* MERGEFORMAT </w:instrTex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separate"/>
            </w:r>
            <w:r>
              <w:rPr>
                <w:rFonts w:hint="default" w:ascii="Times New Roman" w:hAnsi="Times New Roman" w:eastAsia="黑体" w:cs="Times New Roman"/>
                <w:color w:val="000000" w:themeColor="text1"/>
                <w:sz w:val="21"/>
                <w:szCs w:val="21"/>
                <w14:textFill>
                  <w14:solidFill>
                    <w14:schemeClr w14:val="tx1"/>
                  </w14:solidFill>
                </w14:textFill>
              </w:rPr>
              <w:t>④</w: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end"/>
            </w:r>
          </w:p>
        </w:tc>
        <w:tc>
          <w:tcPr>
            <w:tcW w:w="1761" w:type="dxa"/>
            <w:tcMar>
              <w:left w:w="28" w:type="dxa"/>
              <w:right w:w="28" w:type="dxa"/>
            </w:tcMar>
            <w:vAlign w:val="center"/>
          </w:tcPr>
          <w:p w14:paraId="7AB79E91">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t>以新带老削减量</w:t>
            </w:r>
          </w:p>
          <w:p w14:paraId="52602F79">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t>（新建项目不填）</w:t>
            </w: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instrText xml:space="preserve"> = 5 \* GB3 \* MERGEFORMAT </w:instrText>
            </w: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fldChar w:fldCharType="separate"/>
            </w:r>
            <w:r>
              <w:rPr>
                <w:rFonts w:hint="default" w:ascii="Times New Roman" w:hAnsi="Times New Roman" w:eastAsia="黑体" w:cs="Times New Roman"/>
                <w:color w:val="000000" w:themeColor="text1"/>
                <w:sz w:val="21"/>
                <w:szCs w:val="21"/>
                <w14:textFill>
                  <w14:solidFill>
                    <w14:schemeClr w14:val="tx1"/>
                  </w14:solidFill>
                </w14:textFill>
              </w:rPr>
              <w:t>⑤</w:t>
            </w: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fldChar w:fldCharType="end"/>
            </w:r>
          </w:p>
        </w:tc>
        <w:tc>
          <w:tcPr>
            <w:tcW w:w="1959" w:type="dxa"/>
            <w:tcMar>
              <w:left w:w="28" w:type="dxa"/>
              <w:right w:w="28" w:type="dxa"/>
            </w:tcMar>
            <w:vAlign w:val="center"/>
          </w:tcPr>
          <w:p w14:paraId="50949390">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t>本项目建成后</w:t>
            </w:r>
          </w:p>
          <w:p w14:paraId="2C632B3F">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t>全厂排放量（固体废物产生量）</w:t>
            </w: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instrText xml:space="preserve"> = 6 \* GB3 \* MERGEFORMAT </w:instrText>
            </w: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fldChar w:fldCharType="separate"/>
            </w:r>
            <w:r>
              <w:rPr>
                <w:rFonts w:hint="default" w:ascii="Times New Roman" w:hAnsi="Times New Roman" w:eastAsia="黑体" w:cs="Times New Roman"/>
                <w:color w:val="000000" w:themeColor="text1"/>
                <w:sz w:val="21"/>
                <w:szCs w:val="21"/>
                <w14:textFill>
                  <w14:solidFill>
                    <w14:schemeClr w14:val="tx1"/>
                  </w14:solidFill>
                </w14:textFill>
              </w:rPr>
              <w:t>⑥</w:t>
            </w: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fldChar w:fldCharType="end"/>
            </w:r>
          </w:p>
        </w:tc>
        <w:tc>
          <w:tcPr>
            <w:tcW w:w="826" w:type="dxa"/>
            <w:tcMar>
              <w:left w:w="28" w:type="dxa"/>
              <w:right w:w="28" w:type="dxa"/>
            </w:tcMar>
            <w:vAlign w:val="center"/>
          </w:tcPr>
          <w:p w14:paraId="6A8E9454">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变化量</w:t>
            </w:r>
          </w:p>
          <w:p w14:paraId="2EAF5C85">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instrText xml:space="preserve"> = 7 \* GB3 \* MERGEFORMAT </w:instrTex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separate"/>
            </w:r>
            <w:r>
              <w:rPr>
                <w:rFonts w:hint="default" w:ascii="Times New Roman" w:hAnsi="Times New Roman" w:eastAsia="黑体" w:cs="Times New Roman"/>
                <w:color w:val="000000" w:themeColor="text1"/>
                <w:sz w:val="21"/>
                <w:szCs w:val="21"/>
                <w14:textFill>
                  <w14:solidFill>
                    <w14:schemeClr w14:val="tx1"/>
                  </w14:solidFill>
                </w14:textFill>
              </w:rPr>
              <w:t>⑦</w: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end"/>
            </w:r>
          </w:p>
        </w:tc>
      </w:tr>
      <w:tr w14:paraId="188A75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88" w:type="dxa"/>
            <w:vMerge w:val="restart"/>
            <w:vAlign w:val="center"/>
          </w:tcPr>
          <w:p w14:paraId="4CA6BAF1">
            <w:pPr>
              <w:pStyle w:val="45"/>
              <w:keepNext w:val="0"/>
              <w:keepLines w:val="0"/>
              <w:pageBreakBefore w:val="0"/>
              <w:kinsoku/>
              <w:wordWrap/>
              <w:overflowPunct/>
              <w:topLinePunct w:val="0"/>
              <w:autoSpaceDE/>
              <w:autoSpaceDN/>
              <w:bidi w:val="0"/>
              <w:adjustRightInd w:val="0"/>
              <w:spacing w:beforeLines="0" w:afterLines="0" w:line="240" w:lineRule="auto"/>
              <w:ind w:firstLine="0"/>
              <w:jc w:val="center"/>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废气</w:t>
            </w:r>
          </w:p>
        </w:tc>
        <w:tc>
          <w:tcPr>
            <w:tcW w:w="1547" w:type="dxa"/>
            <w:vAlign w:val="center"/>
          </w:tcPr>
          <w:p w14:paraId="7C621E68">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eastAsiaTheme="minorEastAsia"/>
                <w:snapToGrid w:val="0"/>
                <w:color w:val="000000" w:themeColor="text1"/>
                <w:kern w:val="21"/>
                <w:sz w:val="21"/>
                <w:szCs w:val="21"/>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t>非甲烷总烃</w:t>
            </w:r>
          </w:p>
        </w:tc>
        <w:tc>
          <w:tcPr>
            <w:tcW w:w="1571" w:type="dxa"/>
            <w:vAlign w:val="center"/>
          </w:tcPr>
          <w:p w14:paraId="3A716089">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276" w:type="dxa"/>
            <w:vAlign w:val="center"/>
          </w:tcPr>
          <w:p w14:paraId="0255D4B6">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701" w:type="dxa"/>
            <w:vAlign w:val="center"/>
          </w:tcPr>
          <w:p w14:paraId="59CAF671">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59" w:type="dxa"/>
            <w:vAlign w:val="center"/>
          </w:tcPr>
          <w:p w14:paraId="284CB5C6">
            <w:pPr>
              <w:keepNext w:val="0"/>
              <w:keepLines w:val="0"/>
              <w:widowControl/>
              <w:suppressLineNumbers w:val="0"/>
              <w:jc w:val="center"/>
              <w:textAlignment w:val="center"/>
              <w:rPr>
                <w:rFonts w:hint="default" w:ascii="Times New Roman" w:hAnsi="Times New Roman" w:cs="Times New Roman"/>
                <w:bCs/>
                <w:color w:val="000000" w:themeColor="text1"/>
                <w:sz w:val="21"/>
                <w:szCs w:val="21"/>
                <w:lang w:val="en-US" w:eastAsia="zh-CN"/>
                <w14:textFill>
                  <w14:solidFill>
                    <w14:schemeClr w14:val="tx1"/>
                  </w14:solidFill>
                </w14:textFill>
              </w:rPr>
            </w:pPr>
            <w:r>
              <w:rPr>
                <w:rFonts w:hint="eastAsia" w:cs="Times New Roman"/>
                <w:i w:val="0"/>
                <w:iCs w:val="0"/>
                <w:color w:val="000000" w:themeColor="text1"/>
                <w:kern w:val="0"/>
                <w:sz w:val="22"/>
                <w:szCs w:val="22"/>
                <w:u w:val="none"/>
                <w:lang w:val="en-US" w:eastAsia="zh-CN" w:bidi="ar"/>
                <w14:textFill>
                  <w14:solidFill>
                    <w14:schemeClr w14:val="tx1"/>
                  </w14:solidFill>
                </w14:textFill>
              </w:rPr>
              <w:t>0.36</w:t>
            </w:r>
            <w:r>
              <w:rPr>
                <w:rFonts w:hint="default" w:ascii="Times New Roman" w:hAnsi="Times New Roman" w:cs="Times New Roman" w:eastAsiaTheme="minorEastAsia"/>
                <w:bCs/>
                <w:color w:val="000000" w:themeColor="text1"/>
                <w:kern w:val="2"/>
                <w:sz w:val="21"/>
                <w:szCs w:val="21"/>
                <w:lang w:val="en-US" w:eastAsia="zh-CN" w:bidi="ar-SA"/>
                <w14:textFill>
                  <w14:solidFill>
                    <w14:schemeClr w14:val="tx1"/>
                  </w14:solidFill>
                </w14:textFill>
              </w:rPr>
              <w:t>t/a</w:t>
            </w:r>
          </w:p>
        </w:tc>
        <w:tc>
          <w:tcPr>
            <w:tcW w:w="1761" w:type="dxa"/>
            <w:vAlign w:val="center"/>
          </w:tcPr>
          <w:p w14:paraId="7F3B1D2A">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959" w:type="dxa"/>
            <w:vAlign w:val="center"/>
          </w:tcPr>
          <w:p w14:paraId="706E6D45">
            <w:pPr>
              <w:keepNext w:val="0"/>
              <w:keepLines w:val="0"/>
              <w:widowControl/>
              <w:suppressLineNumbers w:val="0"/>
              <w:jc w:val="center"/>
              <w:textAlignment w:val="center"/>
              <w:rPr>
                <w:rFonts w:hint="default" w:ascii="Times New Roman" w:hAnsi="Times New Roman" w:cs="Times New Roman"/>
                <w:bCs/>
                <w:color w:val="000000" w:themeColor="text1"/>
                <w:sz w:val="21"/>
                <w:szCs w:val="21"/>
                <w:lang w:val="en-US" w:eastAsia="zh-CN"/>
                <w14:textFill>
                  <w14:solidFill>
                    <w14:schemeClr w14:val="tx1"/>
                  </w14:solidFill>
                </w14:textFill>
              </w:rPr>
            </w:pPr>
            <w:r>
              <w:rPr>
                <w:rFonts w:hint="eastAsia" w:cs="Times New Roman"/>
                <w:i w:val="0"/>
                <w:iCs w:val="0"/>
                <w:color w:val="000000" w:themeColor="text1"/>
                <w:kern w:val="0"/>
                <w:sz w:val="22"/>
                <w:szCs w:val="22"/>
                <w:u w:val="none"/>
                <w:lang w:val="en-US" w:eastAsia="zh-CN" w:bidi="ar"/>
                <w14:textFill>
                  <w14:solidFill>
                    <w14:schemeClr w14:val="tx1"/>
                  </w14:solidFill>
                </w14:textFill>
              </w:rPr>
              <w:t>0.36</w:t>
            </w:r>
            <w:r>
              <w:rPr>
                <w:rFonts w:hint="default" w:ascii="Times New Roman" w:hAnsi="Times New Roman" w:cs="Times New Roman" w:eastAsiaTheme="minorEastAsia"/>
                <w:bCs/>
                <w:color w:val="000000" w:themeColor="text1"/>
                <w:kern w:val="2"/>
                <w:sz w:val="21"/>
                <w:szCs w:val="21"/>
                <w:lang w:val="en-US" w:eastAsia="zh-CN" w:bidi="ar-SA"/>
                <w14:textFill>
                  <w14:solidFill>
                    <w14:schemeClr w14:val="tx1"/>
                  </w14:solidFill>
                </w14:textFill>
              </w:rPr>
              <w:t>t/a</w:t>
            </w:r>
          </w:p>
        </w:tc>
        <w:tc>
          <w:tcPr>
            <w:tcW w:w="826" w:type="dxa"/>
            <w:vAlign w:val="center"/>
          </w:tcPr>
          <w:p w14:paraId="6ECCD040">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r>
      <w:tr w14:paraId="561AFE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1588" w:type="dxa"/>
            <w:vMerge w:val="continue"/>
            <w:vAlign w:val="center"/>
          </w:tcPr>
          <w:p w14:paraId="226BC2A9">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color w:val="000000" w:themeColor="text1"/>
                <w:sz w:val="21"/>
                <w:szCs w:val="21"/>
                <w14:textFill>
                  <w14:solidFill>
                    <w14:schemeClr w14:val="tx1"/>
                  </w14:solidFill>
                </w14:textFill>
              </w:rPr>
            </w:pPr>
          </w:p>
        </w:tc>
        <w:tc>
          <w:tcPr>
            <w:tcW w:w="1547" w:type="dxa"/>
            <w:vAlign w:val="center"/>
          </w:tcPr>
          <w:p w14:paraId="350A3327">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t>甲醛</w:t>
            </w:r>
          </w:p>
        </w:tc>
        <w:tc>
          <w:tcPr>
            <w:tcW w:w="1571" w:type="dxa"/>
            <w:vAlign w:val="center"/>
          </w:tcPr>
          <w:p w14:paraId="02620847">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p>
        </w:tc>
        <w:tc>
          <w:tcPr>
            <w:tcW w:w="1276" w:type="dxa"/>
            <w:vAlign w:val="center"/>
          </w:tcPr>
          <w:p w14:paraId="6596A7C9">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p>
        </w:tc>
        <w:tc>
          <w:tcPr>
            <w:tcW w:w="1701" w:type="dxa"/>
            <w:vAlign w:val="center"/>
          </w:tcPr>
          <w:p w14:paraId="67A80125">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p>
        </w:tc>
        <w:tc>
          <w:tcPr>
            <w:tcW w:w="1559" w:type="dxa"/>
            <w:vAlign w:val="center"/>
          </w:tcPr>
          <w:p w14:paraId="223B4825">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0.002</w:t>
            </w:r>
            <w:r>
              <w:rPr>
                <w:rFonts w:hint="default" w:ascii="Times New Roman" w:hAnsi="Times New Roman" w:cs="Times New Roman" w:eastAsiaTheme="minorEastAsia"/>
                <w:bCs/>
                <w:color w:val="000000" w:themeColor="text1"/>
                <w:kern w:val="2"/>
                <w:sz w:val="21"/>
                <w:szCs w:val="21"/>
                <w:lang w:val="en-US" w:eastAsia="zh-CN" w:bidi="ar-SA"/>
                <w14:textFill>
                  <w14:solidFill>
                    <w14:schemeClr w14:val="tx1"/>
                  </w14:solidFill>
                </w14:textFill>
              </w:rPr>
              <w:t>t/a</w:t>
            </w:r>
          </w:p>
        </w:tc>
        <w:tc>
          <w:tcPr>
            <w:tcW w:w="1761" w:type="dxa"/>
            <w:vAlign w:val="center"/>
          </w:tcPr>
          <w:p w14:paraId="18EE3ACC">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p>
        </w:tc>
        <w:tc>
          <w:tcPr>
            <w:tcW w:w="1959" w:type="dxa"/>
            <w:vAlign w:val="center"/>
          </w:tcPr>
          <w:p w14:paraId="2E0DB08D">
            <w:pPr>
              <w:keepNext w:val="0"/>
              <w:keepLines w:val="0"/>
              <w:widowControl/>
              <w:suppressLineNumbers w:val="0"/>
              <w:jc w:val="center"/>
              <w:textAlignment w:val="center"/>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0.002</w:t>
            </w:r>
            <w:r>
              <w:rPr>
                <w:rFonts w:hint="default" w:ascii="Times New Roman" w:hAnsi="Times New Roman" w:cs="Times New Roman" w:eastAsiaTheme="minorEastAsia"/>
                <w:bCs/>
                <w:color w:val="000000" w:themeColor="text1"/>
                <w:kern w:val="2"/>
                <w:sz w:val="21"/>
                <w:szCs w:val="21"/>
                <w:lang w:val="en-US" w:eastAsia="zh-CN" w:bidi="ar-SA"/>
                <w14:textFill>
                  <w14:solidFill>
                    <w14:schemeClr w14:val="tx1"/>
                  </w14:solidFill>
                </w14:textFill>
              </w:rPr>
              <w:t>t/a</w:t>
            </w:r>
          </w:p>
        </w:tc>
        <w:tc>
          <w:tcPr>
            <w:tcW w:w="826" w:type="dxa"/>
            <w:vAlign w:val="center"/>
          </w:tcPr>
          <w:p w14:paraId="0849FC04">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p>
        </w:tc>
      </w:tr>
      <w:tr w14:paraId="0199B5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588" w:type="dxa"/>
            <w:vMerge w:val="continue"/>
            <w:vAlign w:val="center"/>
          </w:tcPr>
          <w:p w14:paraId="7D1362D9">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p>
        </w:tc>
        <w:tc>
          <w:tcPr>
            <w:tcW w:w="1547" w:type="dxa"/>
            <w:vAlign w:val="center"/>
          </w:tcPr>
          <w:p w14:paraId="2CA93AFA">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t>颗粒物</w:t>
            </w:r>
          </w:p>
        </w:tc>
        <w:tc>
          <w:tcPr>
            <w:tcW w:w="1571" w:type="dxa"/>
            <w:vAlign w:val="center"/>
          </w:tcPr>
          <w:p w14:paraId="4B6998B5">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p>
        </w:tc>
        <w:tc>
          <w:tcPr>
            <w:tcW w:w="1276" w:type="dxa"/>
            <w:vAlign w:val="center"/>
          </w:tcPr>
          <w:p w14:paraId="2D986DC2">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p>
        </w:tc>
        <w:tc>
          <w:tcPr>
            <w:tcW w:w="1701" w:type="dxa"/>
            <w:vAlign w:val="center"/>
          </w:tcPr>
          <w:p w14:paraId="585C2BAA">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p>
        </w:tc>
        <w:tc>
          <w:tcPr>
            <w:tcW w:w="1559" w:type="dxa"/>
            <w:vAlign w:val="center"/>
          </w:tcPr>
          <w:p w14:paraId="7D78B8FA">
            <w:pPr>
              <w:keepNext w:val="0"/>
              <w:keepLines w:val="0"/>
              <w:widowControl/>
              <w:suppressLineNumbers w:val="0"/>
              <w:jc w:val="center"/>
              <w:textAlignment w:val="center"/>
              <w:rPr>
                <w:rFonts w:hint="default" w:ascii="Times New Roman" w:hAnsi="Times New Roman" w:cs="Times New Roman"/>
                <w:snapToGrid w:val="0"/>
                <w:color w:val="000000" w:themeColor="text1"/>
                <w:kern w:val="21"/>
                <w:sz w:val="2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0.03</w:t>
            </w:r>
            <w:r>
              <w:rPr>
                <w:rFonts w:hint="default" w:ascii="Times New Roman" w:hAnsi="Times New Roman" w:cs="Times New Roman" w:eastAsiaTheme="minorEastAsia"/>
                <w:bCs/>
                <w:color w:val="000000" w:themeColor="text1"/>
                <w:kern w:val="2"/>
                <w:sz w:val="21"/>
                <w:szCs w:val="21"/>
                <w:lang w:val="en-US" w:eastAsia="zh-CN" w:bidi="ar-SA"/>
                <w14:textFill>
                  <w14:solidFill>
                    <w14:schemeClr w14:val="tx1"/>
                  </w14:solidFill>
                </w14:textFill>
              </w:rPr>
              <w:t>t/a</w:t>
            </w:r>
          </w:p>
        </w:tc>
        <w:tc>
          <w:tcPr>
            <w:tcW w:w="1761" w:type="dxa"/>
            <w:vAlign w:val="center"/>
          </w:tcPr>
          <w:p w14:paraId="62025084">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p>
        </w:tc>
        <w:tc>
          <w:tcPr>
            <w:tcW w:w="1959" w:type="dxa"/>
            <w:vAlign w:val="center"/>
          </w:tcPr>
          <w:p w14:paraId="219CFD64">
            <w:pPr>
              <w:keepNext w:val="0"/>
              <w:keepLines w:val="0"/>
              <w:widowControl/>
              <w:suppressLineNumbers w:val="0"/>
              <w:jc w:val="center"/>
              <w:textAlignment w:val="center"/>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0.03</w:t>
            </w:r>
            <w:r>
              <w:rPr>
                <w:rFonts w:hint="default" w:ascii="Times New Roman" w:hAnsi="Times New Roman" w:cs="Times New Roman" w:eastAsiaTheme="minorEastAsia"/>
                <w:bCs/>
                <w:color w:val="000000" w:themeColor="text1"/>
                <w:kern w:val="2"/>
                <w:sz w:val="21"/>
                <w:szCs w:val="21"/>
                <w:lang w:val="en-US" w:eastAsia="zh-CN" w:bidi="ar-SA"/>
                <w14:textFill>
                  <w14:solidFill>
                    <w14:schemeClr w14:val="tx1"/>
                  </w14:solidFill>
                </w14:textFill>
              </w:rPr>
              <w:t>t/a</w:t>
            </w:r>
          </w:p>
        </w:tc>
        <w:tc>
          <w:tcPr>
            <w:tcW w:w="826" w:type="dxa"/>
            <w:vAlign w:val="center"/>
          </w:tcPr>
          <w:p w14:paraId="555AB1EE">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p>
        </w:tc>
      </w:tr>
      <w:tr w14:paraId="01FB59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88" w:type="dxa"/>
            <w:vAlign w:val="center"/>
          </w:tcPr>
          <w:p w14:paraId="649A8A90">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废水</w:t>
            </w:r>
          </w:p>
        </w:tc>
        <w:tc>
          <w:tcPr>
            <w:tcW w:w="1547" w:type="dxa"/>
            <w:vAlign w:val="center"/>
          </w:tcPr>
          <w:p w14:paraId="3DFAF5AD">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t>/</w:t>
            </w:r>
          </w:p>
        </w:tc>
        <w:tc>
          <w:tcPr>
            <w:tcW w:w="1571" w:type="dxa"/>
            <w:vAlign w:val="center"/>
          </w:tcPr>
          <w:p w14:paraId="6EA08786">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p>
        </w:tc>
        <w:tc>
          <w:tcPr>
            <w:tcW w:w="1276" w:type="dxa"/>
            <w:vAlign w:val="center"/>
          </w:tcPr>
          <w:p w14:paraId="08919453">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p>
        </w:tc>
        <w:tc>
          <w:tcPr>
            <w:tcW w:w="1701" w:type="dxa"/>
            <w:vAlign w:val="center"/>
          </w:tcPr>
          <w:p w14:paraId="671BE032">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p>
        </w:tc>
        <w:tc>
          <w:tcPr>
            <w:tcW w:w="1559" w:type="dxa"/>
            <w:vAlign w:val="center"/>
          </w:tcPr>
          <w:p w14:paraId="3054EE3B">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bCs/>
                <w:color w:val="000000" w:themeColor="text1"/>
                <w:sz w:val="21"/>
                <w:szCs w:val="21"/>
                <w:lang w:val="en-US" w:eastAsia="zh-CN"/>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w:t>
            </w:r>
          </w:p>
        </w:tc>
        <w:tc>
          <w:tcPr>
            <w:tcW w:w="1761" w:type="dxa"/>
            <w:vAlign w:val="center"/>
          </w:tcPr>
          <w:p w14:paraId="03CA48F7">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p>
        </w:tc>
        <w:tc>
          <w:tcPr>
            <w:tcW w:w="1959" w:type="dxa"/>
            <w:vAlign w:val="center"/>
          </w:tcPr>
          <w:p w14:paraId="08FC9415">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bCs/>
                <w:color w:val="000000" w:themeColor="text1"/>
                <w:sz w:val="21"/>
                <w:szCs w:val="21"/>
                <w:lang w:val="en-US" w:eastAsia="zh-CN"/>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w:t>
            </w:r>
          </w:p>
        </w:tc>
        <w:tc>
          <w:tcPr>
            <w:tcW w:w="826" w:type="dxa"/>
            <w:vAlign w:val="center"/>
          </w:tcPr>
          <w:p w14:paraId="71B3794D">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p>
        </w:tc>
      </w:tr>
      <w:tr w14:paraId="2146DE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1588" w:type="dxa"/>
            <w:vMerge w:val="restart"/>
            <w:vAlign w:val="center"/>
          </w:tcPr>
          <w:p w14:paraId="2BE5BEC7">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一般工业</w:t>
            </w:r>
          </w:p>
          <w:p w14:paraId="0DDD0785">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固体废物</w:t>
            </w:r>
          </w:p>
        </w:tc>
        <w:tc>
          <w:tcPr>
            <w:tcW w:w="1547" w:type="dxa"/>
            <w:vAlign w:val="center"/>
          </w:tcPr>
          <w:p w14:paraId="261BAD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snapToGrid w:val="0"/>
                <w:color w:val="000000" w:themeColor="text1"/>
                <w:kern w:val="21"/>
                <w:sz w:val="21"/>
                <w:szCs w:val="21"/>
                <w:lang w:val="en-US" w:eastAsia="zh-CN"/>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称量打磨废气收尘灰</w:t>
            </w:r>
          </w:p>
        </w:tc>
        <w:tc>
          <w:tcPr>
            <w:tcW w:w="1571" w:type="dxa"/>
            <w:vAlign w:val="center"/>
          </w:tcPr>
          <w:p w14:paraId="7016DF83">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276" w:type="dxa"/>
            <w:vAlign w:val="center"/>
          </w:tcPr>
          <w:p w14:paraId="20169111">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701" w:type="dxa"/>
            <w:vAlign w:val="center"/>
          </w:tcPr>
          <w:p w14:paraId="600B5F2F">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59" w:type="dxa"/>
            <w:vAlign w:val="center"/>
          </w:tcPr>
          <w:p w14:paraId="07F9A362">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eastAsiaTheme="minorEastAsia"/>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2.53</w:t>
            </w:r>
            <w:r>
              <w:rPr>
                <w:rFonts w:hint="default" w:ascii="Times New Roman" w:hAnsi="Times New Roman" w:cs="Times New Roman" w:eastAsiaTheme="minorEastAsia"/>
                <w:bCs/>
                <w:color w:val="000000" w:themeColor="text1"/>
                <w:kern w:val="2"/>
                <w:sz w:val="21"/>
                <w:szCs w:val="21"/>
                <w:lang w:val="en-US" w:eastAsia="zh-CN" w:bidi="ar-SA"/>
                <w14:textFill>
                  <w14:solidFill>
                    <w14:schemeClr w14:val="tx1"/>
                  </w14:solidFill>
                </w14:textFill>
              </w:rPr>
              <w:t>t/a</w:t>
            </w:r>
          </w:p>
        </w:tc>
        <w:tc>
          <w:tcPr>
            <w:tcW w:w="1761" w:type="dxa"/>
            <w:vAlign w:val="center"/>
          </w:tcPr>
          <w:p w14:paraId="34B7BE66">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959" w:type="dxa"/>
            <w:vAlign w:val="center"/>
          </w:tcPr>
          <w:p w14:paraId="78DB559B">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eastAsiaTheme="minorEastAsia"/>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2.53</w:t>
            </w:r>
            <w:r>
              <w:rPr>
                <w:rFonts w:hint="default" w:ascii="Times New Roman" w:hAnsi="Times New Roman" w:cs="Times New Roman" w:eastAsiaTheme="minorEastAsia"/>
                <w:bCs/>
                <w:color w:val="000000" w:themeColor="text1"/>
                <w:kern w:val="2"/>
                <w:sz w:val="21"/>
                <w:szCs w:val="21"/>
                <w:lang w:val="en-US" w:eastAsia="zh-CN" w:bidi="ar-SA"/>
                <w14:textFill>
                  <w14:solidFill>
                    <w14:schemeClr w14:val="tx1"/>
                  </w14:solidFill>
                </w14:textFill>
              </w:rPr>
              <w:t>t/a</w:t>
            </w:r>
          </w:p>
        </w:tc>
        <w:tc>
          <w:tcPr>
            <w:tcW w:w="826" w:type="dxa"/>
            <w:vAlign w:val="center"/>
          </w:tcPr>
          <w:p w14:paraId="77654DEC">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r>
      <w:tr w14:paraId="028B5E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588" w:type="dxa"/>
            <w:vMerge w:val="continue"/>
            <w:vAlign w:val="center"/>
          </w:tcPr>
          <w:p w14:paraId="175DE14A">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47" w:type="dxa"/>
            <w:vAlign w:val="center"/>
          </w:tcPr>
          <w:p w14:paraId="344B2C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车间沉降粉尘</w:t>
            </w:r>
          </w:p>
        </w:tc>
        <w:tc>
          <w:tcPr>
            <w:tcW w:w="1571" w:type="dxa"/>
            <w:vAlign w:val="center"/>
          </w:tcPr>
          <w:p w14:paraId="1A947C1A">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276" w:type="dxa"/>
            <w:vAlign w:val="center"/>
          </w:tcPr>
          <w:p w14:paraId="07C41FF0">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701" w:type="dxa"/>
            <w:vAlign w:val="center"/>
          </w:tcPr>
          <w:p w14:paraId="37C6FB9D">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59" w:type="dxa"/>
            <w:vAlign w:val="center"/>
          </w:tcPr>
          <w:p w14:paraId="16BD960A">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0.27</w:t>
            </w:r>
            <w:r>
              <w:rPr>
                <w:rFonts w:hint="default" w:ascii="Times New Roman" w:hAnsi="Times New Roman" w:cs="Times New Roman" w:eastAsiaTheme="minorEastAsia"/>
                <w:bCs/>
                <w:color w:val="000000" w:themeColor="text1"/>
                <w:kern w:val="2"/>
                <w:sz w:val="21"/>
                <w:szCs w:val="21"/>
                <w:lang w:val="en-US" w:eastAsia="zh-CN" w:bidi="ar-SA"/>
                <w14:textFill>
                  <w14:solidFill>
                    <w14:schemeClr w14:val="tx1"/>
                  </w14:solidFill>
                </w14:textFill>
              </w:rPr>
              <w:t>t/a</w:t>
            </w:r>
          </w:p>
        </w:tc>
        <w:tc>
          <w:tcPr>
            <w:tcW w:w="1761" w:type="dxa"/>
            <w:vAlign w:val="center"/>
          </w:tcPr>
          <w:p w14:paraId="2BD9B70B">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959" w:type="dxa"/>
            <w:vAlign w:val="center"/>
          </w:tcPr>
          <w:p w14:paraId="36AC766F">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0.27</w:t>
            </w:r>
            <w:r>
              <w:rPr>
                <w:rFonts w:hint="default" w:ascii="Times New Roman" w:hAnsi="Times New Roman" w:cs="Times New Roman" w:eastAsiaTheme="minorEastAsia"/>
                <w:bCs/>
                <w:color w:val="000000" w:themeColor="text1"/>
                <w:kern w:val="2"/>
                <w:sz w:val="21"/>
                <w:szCs w:val="21"/>
                <w:lang w:val="en-US" w:eastAsia="zh-CN" w:bidi="ar-SA"/>
                <w14:textFill>
                  <w14:solidFill>
                    <w14:schemeClr w14:val="tx1"/>
                  </w14:solidFill>
                </w14:textFill>
              </w:rPr>
              <w:t>t/a</w:t>
            </w:r>
          </w:p>
        </w:tc>
        <w:tc>
          <w:tcPr>
            <w:tcW w:w="826" w:type="dxa"/>
            <w:vAlign w:val="center"/>
          </w:tcPr>
          <w:p w14:paraId="4A68023E">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r>
      <w:tr w14:paraId="549867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1588" w:type="dxa"/>
            <w:vMerge w:val="continue"/>
            <w:vAlign w:val="center"/>
          </w:tcPr>
          <w:p w14:paraId="5F96D7A3">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47" w:type="dxa"/>
            <w:vAlign w:val="center"/>
          </w:tcPr>
          <w:p w14:paraId="40AB25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边角料与不合格品</w:t>
            </w:r>
          </w:p>
        </w:tc>
        <w:tc>
          <w:tcPr>
            <w:tcW w:w="1571" w:type="dxa"/>
            <w:vAlign w:val="center"/>
          </w:tcPr>
          <w:p w14:paraId="12D9D126">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276" w:type="dxa"/>
            <w:vAlign w:val="center"/>
          </w:tcPr>
          <w:p w14:paraId="62E42A54">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701" w:type="dxa"/>
            <w:vAlign w:val="center"/>
          </w:tcPr>
          <w:p w14:paraId="7CB729D1">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59" w:type="dxa"/>
            <w:vAlign w:val="center"/>
          </w:tcPr>
          <w:p w14:paraId="3A3FBE2A">
            <w:pPr>
              <w:pStyle w:val="11"/>
              <w:keepNext w:val="0"/>
              <w:keepLines w:val="0"/>
              <w:pageBreakBefore w:val="0"/>
              <w:kinsoku/>
              <w:wordWrap/>
              <w:overflowPunct/>
              <w:topLinePunct w:val="0"/>
              <w:autoSpaceDE/>
              <w:autoSpaceDN/>
              <w:bidi w:val="0"/>
              <w:adjustRightInd w:val="0"/>
              <w:spacing w:before="0" w:after="0" w:line="240" w:lineRule="auto"/>
              <w:ind w:firstLine="0"/>
              <w:jc w:val="center"/>
              <w:textAlignment w:val="auto"/>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1.50</w:t>
            </w:r>
            <w:r>
              <w:rPr>
                <w:rFonts w:hint="default" w:ascii="Times New Roman" w:hAnsi="Times New Roman" w:cs="Times New Roman" w:eastAsiaTheme="minorEastAsia"/>
                <w:bCs/>
                <w:color w:val="000000" w:themeColor="text1"/>
                <w:kern w:val="2"/>
                <w:sz w:val="21"/>
                <w:szCs w:val="21"/>
                <w:lang w:val="en-US" w:eastAsia="zh-CN" w:bidi="ar-SA"/>
                <w14:textFill>
                  <w14:solidFill>
                    <w14:schemeClr w14:val="tx1"/>
                  </w14:solidFill>
                </w14:textFill>
              </w:rPr>
              <w:t>t/a</w:t>
            </w:r>
          </w:p>
        </w:tc>
        <w:tc>
          <w:tcPr>
            <w:tcW w:w="1761" w:type="dxa"/>
            <w:vAlign w:val="center"/>
          </w:tcPr>
          <w:p w14:paraId="7DC744A5">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959" w:type="dxa"/>
            <w:vAlign w:val="center"/>
          </w:tcPr>
          <w:p w14:paraId="3C8D295E">
            <w:pPr>
              <w:pStyle w:val="11"/>
              <w:keepNext w:val="0"/>
              <w:keepLines w:val="0"/>
              <w:pageBreakBefore w:val="0"/>
              <w:kinsoku/>
              <w:wordWrap/>
              <w:overflowPunct/>
              <w:topLinePunct w:val="0"/>
              <w:autoSpaceDE/>
              <w:autoSpaceDN/>
              <w:bidi w:val="0"/>
              <w:adjustRightInd w:val="0"/>
              <w:spacing w:before="0" w:after="0" w:line="240" w:lineRule="auto"/>
              <w:ind w:firstLine="0"/>
              <w:jc w:val="center"/>
              <w:textAlignment w:val="auto"/>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1.50</w:t>
            </w:r>
            <w:r>
              <w:rPr>
                <w:rFonts w:hint="default" w:ascii="Times New Roman" w:hAnsi="Times New Roman" w:cs="Times New Roman" w:eastAsiaTheme="minorEastAsia"/>
                <w:bCs/>
                <w:color w:val="000000" w:themeColor="text1"/>
                <w:kern w:val="2"/>
                <w:sz w:val="21"/>
                <w:szCs w:val="21"/>
                <w:lang w:val="en-US" w:eastAsia="zh-CN" w:bidi="ar-SA"/>
                <w14:textFill>
                  <w14:solidFill>
                    <w14:schemeClr w14:val="tx1"/>
                  </w14:solidFill>
                </w14:textFill>
              </w:rPr>
              <w:t>t/a</w:t>
            </w:r>
          </w:p>
        </w:tc>
        <w:tc>
          <w:tcPr>
            <w:tcW w:w="826" w:type="dxa"/>
            <w:vAlign w:val="center"/>
          </w:tcPr>
          <w:p w14:paraId="2AC3789D">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r>
      <w:tr w14:paraId="55B36A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1588" w:type="dxa"/>
            <w:vMerge w:val="continue"/>
            <w:vAlign w:val="center"/>
          </w:tcPr>
          <w:p w14:paraId="411AA04C">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47" w:type="dxa"/>
            <w:vAlign w:val="center"/>
          </w:tcPr>
          <w:p w14:paraId="344DDE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废包装袋</w:t>
            </w:r>
          </w:p>
        </w:tc>
        <w:tc>
          <w:tcPr>
            <w:tcW w:w="1571" w:type="dxa"/>
            <w:vAlign w:val="center"/>
          </w:tcPr>
          <w:p w14:paraId="54785EFE">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276" w:type="dxa"/>
            <w:vAlign w:val="center"/>
          </w:tcPr>
          <w:p w14:paraId="62D51FC1">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701" w:type="dxa"/>
            <w:vAlign w:val="center"/>
          </w:tcPr>
          <w:p w14:paraId="082ADC7C">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59" w:type="dxa"/>
            <w:vAlign w:val="center"/>
          </w:tcPr>
          <w:p w14:paraId="75F0A632">
            <w:pPr>
              <w:pStyle w:val="11"/>
              <w:keepNext w:val="0"/>
              <w:keepLines w:val="0"/>
              <w:pageBreakBefore w:val="0"/>
              <w:kinsoku/>
              <w:wordWrap/>
              <w:overflowPunct/>
              <w:topLinePunct w:val="0"/>
              <w:autoSpaceDE/>
              <w:autoSpaceDN/>
              <w:bidi w:val="0"/>
              <w:adjustRightInd w:val="0"/>
              <w:spacing w:before="0" w:after="0" w:line="240" w:lineRule="auto"/>
              <w:ind w:firstLine="0"/>
              <w:jc w:val="center"/>
              <w:textAlignment w:val="auto"/>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0.20t/a</w:t>
            </w:r>
          </w:p>
        </w:tc>
        <w:tc>
          <w:tcPr>
            <w:tcW w:w="1761" w:type="dxa"/>
            <w:vAlign w:val="center"/>
          </w:tcPr>
          <w:p w14:paraId="76063E65">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959" w:type="dxa"/>
            <w:vAlign w:val="center"/>
          </w:tcPr>
          <w:p w14:paraId="6888A361">
            <w:pPr>
              <w:pStyle w:val="11"/>
              <w:keepNext w:val="0"/>
              <w:keepLines w:val="0"/>
              <w:pageBreakBefore w:val="0"/>
              <w:kinsoku/>
              <w:wordWrap/>
              <w:overflowPunct/>
              <w:topLinePunct w:val="0"/>
              <w:autoSpaceDE/>
              <w:autoSpaceDN/>
              <w:bidi w:val="0"/>
              <w:adjustRightInd w:val="0"/>
              <w:spacing w:before="0" w:after="0" w:line="240" w:lineRule="auto"/>
              <w:ind w:firstLine="0"/>
              <w:jc w:val="center"/>
              <w:textAlignment w:val="auto"/>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0.20t/a</w:t>
            </w:r>
          </w:p>
        </w:tc>
        <w:tc>
          <w:tcPr>
            <w:tcW w:w="826" w:type="dxa"/>
            <w:vAlign w:val="center"/>
          </w:tcPr>
          <w:p w14:paraId="61E550F7">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r>
      <w:tr w14:paraId="5FA1D6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88" w:type="dxa"/>
            <w:vMerge w:val="restart"/>
            <w:vAlign w:val="center"/>
          </w:tcPr>
          <w:p w14:paraId="17AA9953">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eastAsiaTheme="minorEastAsia"/>
                <w:snapToGrid w:val="0"/>
                <w:color w:val="000000" w:themeColor="text1"/>
                <w:kern w:val="21"/>
                <w:sz w:val="21"/>
                <w:szCs w:val="21"/>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t>危险废物</w:t>
            </w:r>
          </w:p>
        </w:tc>
        <w:tc>
          <w:tcPr>
            <w:tcW w:w="1547" w:type="dxa"/>
            <w:vAlign w:val="center"/>
          </w:tcPr>
          <w:p w14:paraId="6C6CCA6F">
            <w:pPr>
              <w:adjustRightInd w:val="0"/>
              <w:snapToGrid w:val="0"/>
              <w:jc w:val="center"/>
              <w:rPr>
                <w:rFonts w:hint="eastAsia"/>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废润滑油</w:t>
            </w:r>
          </w:p>
        </w:tc>
        <w:tc>
          <w:tcPr>
            <w:tcW w:w="1571" w:type="dxa"/>
            <w:vAlign w:val="center"/>
          </w:tcPr>
          <w:p w14:paraId="4CFAC49D">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276" w:type="dxa"/>
            <w:vAlign w:val="center"/>
          </w:tcPr>
          <w:p w14:paraId="18D610DB">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701" w:type="dxa"/>
            <w:vAlign w:val="center"/>
          </w:tcPr>
          <w:p w14:paraId="6AE560B4">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59" w:type="dxa"/>
            <w:vAlign w:val="center"/>
          </w:tcPr>
          <w:p w14:paraId="0CCAE151">
            <w:pPr>
              <w:widowControl/>
              <w:adjustRightInd w:val="0"/>
              <w:jc w:val="center"/>
              <w:rPr>
                <w:rFonts w:hint="eastAsia"/>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0.</w:t>
            </w:r>
            <w:r>
              <w:rPr>
                <w:rFonts w:hint="eastAsia" w:ascii="Times New Roman" w:hAnsi="Times New Roman" w:cs="Times New Roman"/>
                <w:color w:val="000000" w:themeColor="text1"/>
                <w:szCs w:val="21"/>
                <w:lang w:val="en-US" w:eastAsia="zh-CN"/>
                <w14:textFill>
                  <w14:solidFill>
                    <w14:schemeClr w14:val="tx1"/>
                  </w14:solidFill>
                </w14:textFill>
              </w:rPr>
              <w:t>1</w:t>
            </w:r>
            <w:r>
              <w:rPr>
                <w:rFonts w:hint="eastAsia" w:cs="Times New Roman"/>
                <w:color w:val="000000" w:themeColor="text1"/>
                <w:szCs w:val="21"/>
                <w:lang w:val="en-US" w:eastAsia="zh-CN"/>
                <w14:textFill>
                  <w14:solidFill>
                    <w14:schemeClr w14:val="tx1"/>
                  </w14:solidFill>
                </w14:textFill>
              </w:rPr>
              <w:t>0</w:t>
            </w:r>
            <w:r>
              <w:rPr>
                <w:rFonts w:hint="default" w:ascii="Times New Roman" w:hAnsi="Times New Roman" w:cs="Times New Roman" w:eastAsiaTheme="minorEastAsia"/>
                <w:bCs/>
                <w:color w:val="000000" w:themeColor="text1"/>
                <w:kern w:val="2"/>
                <w:sz w:val="21"/>
                <w:szCs w:val="21"/>
                <w:lang w:val="en-US" w:eastAsia="zh-CN" w:bidi="ar-SA"/>
                <w14:textFill>
                  <w14:solidFill>
                    <w14:schemeClr w14:val="tx1"/>
                  </w14:solidFill>
                </w14:textFill>
              </w:rPr>
              <w:t>t/a</w:t>
            </w:r>
          </w:p>
        </w:tc>
        <w:tc>
          <w:tcPr>
            <w:tcW w:w="1761" w:type="dxa"/>
            <w:vAlign w:val="center"/>
          </w:tcPr>
          <w:p w14:paraId="1A1CB32E">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959" w:type="dxa"/>
            <w:vAlign w:val="center"/>
          </w:tcPr>
          <w:p w14:paraId="60C29306">
            <w:pPr>
              <w:widowControl/>
              <w:adjustRightInd w:val="0"/>
              <w:jc w:val="center"/>
              <w:rPr>
                <w:rFonts w:hint="eastAsia"/>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0.</w:t>
            </w:r>
            <w:r>
              <w:rPr>
                <w:rFonts w:hint="eastAsia" w:ascii="Times New Roman" w:hAnsi="Times New Roman" w:cs="Times New Roman"/>
                <w:color w:val="000000" w:themeColor="text1"/>
                <w:szCs w:val="21"/>
                <w:lang w:val="en-US" w:eastAsia="zh-CN"/>
                <w14:textFill>
                  <w14:solidFill>
                    <w14:schemeClr w14:val="tx1"/>
                  </w14:solidFill>
                </w14:textFill>
              </w:rPr>
              <w:t>1</w:t>
            </w:r>
            <w:r>
              <w:rPr>
                <w:rFonts w:hint="eastAsia" w:cs="Times New Roman"/>
                <w:color w:val="000000" w:themeColor="text1"/>
                <w:szCs w:val="21"/>
                <w:lang w:val="en-US" w:eastAsia="zh-CN"/>
                <w14:textFill>
                  <w14:solidFill>
                    <w14:schemeClr w14:val="tx1"/>
                  </w14:solidFill>
                </w14:textFill>
              </w:rPr>
              <w:t>0</w:t>
            </w:r>
            <w:r>
              <w:rPr>
                <w:rFonts w:hint="default" w:ascii="Times New Roman" w:hAnsi="Times New Roman" w:cs="Times New Roman" w:eastAsiaTheme="minorEastAsia"/>
                <w:bCs/>
                <w:color w:val="000000" w:themeColor="text1"/>
                <w:kern w:val="2"/>
                <w:sz w:val="21"/>
                <w:szCs w:val="21"/>
                <w:lang w:val="en-US" w:eastAsia="zh-CN" w:bidi="ar-SA"/>
                <w14:textFill>
                  <w14:solidFill>
                    <w14:schemeClr w14:val="tx1"/>
                  </w14:solidFill>
                </w14:textFill>
              </w:rPr>
              <w:t>t/a</w:t>
            </w:r>
          </w:p>
        </w:tc>
        <w:tc>
          <w:tcPr>
            <w:tcW w:w="826" w:type="dxa"/>
            <w:vAlign w:val="center"/>
          </w:tcPr>
          <w:p w14:paraId="7C38BA08">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r>
      <w:tr w14:paraId="24E599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88" w:type="dxa"/>
            <w:vMerge w:val="continue"/>
            <w:vAlign w:val="center"/>
          </w:tcPr>
          <w:p w14:paraId="6BC93B31">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p>
        </w:tc>
        <w:tc>
          <w:tcPr>
            <w:tcW w:w="1547" w:type="dxa"/>
            <w:vAlign w:val="center"/>
          </w:tcPr>
          <w:p w14:paraId="6EDCB65D">
            <w:pPr>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kern w:val="0"/>
                <w:szCs w:val="21"/>
                <w:lang w:eastAsia="zh-CN"/>
                <w14:textFill>
                  <w14:solidFill>
                    <w14:schemeClr w14:val="tx1"/>
                  </w14:solidFill>
                </w14:textFill>
              </w:rPr>
              <w:t>废油桶</w:t>
            </w:r>
          </w:p>
        </w:tc>
        <w:tc>
          <w:tcPr>
            <w:tcW w:w="1571" w:type="dxa"/>
            <w:vAlign w:val="center"/>
          </w:tcPr>
          <w:p w14:paraId="0A0FF1E8">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276" w:type="dxa"/>
            <w:vAlign w:val="center"/>
          </w:tcPr>
          <w:p w14:paraId="3ECE9C1B">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701" w:type="dxa"/>
            <w:vAlign w:val="center"/>
          </w:tcPr>
          <w:p w14:paraId="25C78645">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59" w:type="dxa"/>
            <w:vAlign w:val="center"/>
          </w:tcPr>
          <w:p w14:paraId="69A610F5">
            <w:pPr>
              <w:widowControl/>
              <w:adjustRightIn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0.02t/a</w:t>
            </w:r>
          </w:p>
        </w:tc>
        <w:tc>
          <w:tcPr>
            <w:tcW w:w="1761" w:type="dxa"/>
            <w:vAlign w:val="center"/>
          </w:tcPr>
          <w:p w14:paraId="3F3637C3">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959" w:type="dxa"/>
            <w:vAlign w:val="center"/>
          </w:tcPr>
          <w:p w14:paraId="185682A3">
            <w:pPr>
              <w:widowControl/>
              <w:adjustRightIn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0.02t/a</w:t>
            </w:r>
          </w:p>
        </w:tc>
        <w:tc>
          <w:tcPr>
            <w:tcW w:w="826" w:type="dxa"/>
            <w:vAlign w:val="center"/>
          </w:tcPr>
          <w:p w14:paraId="4BDA2CAE">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r>
      <w:tr w14:paraId="6F190C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88" w:type="dxa"/>
            <w:vMerge w:val="continue"/>
            <w:vAlign w:val="center"/>
          </w:tcPr>
          <w:p w14:paraId="4DBA5B87">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p>
        </w:tc>
        <w:tc>
          <w:tcPr>
            <w:tcW w:w="1547" w:type="dxa"/>
            <w:vAlign w:val="center"/>
          </w:tcPr>
          <w:p w14:paraId="47F883CB">
            <w:pPr>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kern w:val="0"/>
                <w:szCs w:val="21"/>
                <w:lang w:val="en-US" w:eastAsia="zh-CN"/>
                <w14:textFill>
                  <w14:solidFill>
                    <w14:schemeClr w14:val="tx1"/>
                  </w14:solidFill>
                </w14:textFill>
              </w:rPr>
              <w:t>废液压油</w:t>
            </w:r>
          </w:p>
        </w:tc>
        <w:tc>
          <w:tcPr>
            <w:tcW w:w="1571" w:type="dxa"/>
            <w:vAlign w:val="center"/>
          </w:tcPr>
          <w:p w14:paraId="35EEDADC">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276" w:type="dxa"/>
            <w:vAlign w:val="center"/>
          </w:tcPr>
          <w:p w14:paraId="1C0C0214">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701" w:type="dxa"/>
            <w:vAlign w:val="center"/>
          </w:tcPr>
          <w:p w14:paraId="372B3CB0">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59" w:type="dxa"/>
            <w:vAlign w:val="center"/>
          </w:tcPr>
          <w:p w14:paraId="3A88F3BF">
            <w:pPr>
              <w:widowControl/>
              <w:adjustRightIn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0.25t/a</w:t>
            </w:r>
          </w:p>
        </w:tc>
        <w:tc>
          <w:tcPr>
            <w:tcW w:w="1761" w:type="dxa"/>
            <w:vAlign w:val="center"/>
          </w:tcPr>
          <w:p w14:paraId="240F33DB">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959" w:type="dxa"/>
            <w:vAlign w:val="center"/>
          </w:tcPr>
          <w:p w14:paraId="7C78815E">
            <w:pPr>
              <w:widowControl/>
              <w:adjustRightIn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0.25t/a</w:t>
            </w:r>
          </w:p>
        </w:tc>
        <w:tc>
          <w:tcPr>
            <w:tcW w:w="826" w:type="dxa"/>
            <w:vAlign w:val="center"/>
          </w:tcPr>
          <w:p w14:paraId="4168FFB7">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r>
      <w:tr w14:paraId="2F2F81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88" w:type="dxa"/>
            <w:vMerge w:val="continue"/>
            <w:vAlign w:val="center"/>
          </w:tcPr>
          <w:p w14:paraId="54C55CAB">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p>
        </w:tc>
        <w:tc>
          <w:tcPr>
            <w:tcW w:w="1547" w:type="dxa"/>
            <w:vAlign w:val="center"/>
          </w:tcPr>
          <w:p w14:paraId="3A078883">
            <w:pPr>
              <w:adjustRightInd w:val="0"/>
              <w:snapToGrid w:val="0"/>
              <w:jc w:val="center"/>
              <w:rPr>
                <w:rFonts w:hint="default" w:ascii="Times New Roman" w:hAnsi="Times New Roman" w:cs="Times New Roman"/>
                <w:bCs/>
                <w:color w:val="000000" w:themeColor="text1"/>
                <w:kern w:val="0"/>
                <w:szCs w:val="21"/>
                <w:lang w:val="en-US" w:eastAsia="zh-CN"/>
                <w14:textFill>
                  <w14:solidFill>
                    <w14:schemeClr w14:val="tx1"/>
                  </w14:solidFill>
                </w14:textFill>
              </w:rPr>
            </w:pPr>
            <w:r>
              <w:rPr>
                <w:rFonts w:hint="eastAsia" w:cs="Times New Roman"/>
                <w:bCs/>
                <w:color w:val="000000" w:themeColor="text1"/>
                <w:kern w:val="0"/>
                <w:szCs w:val="21"/>
                <w:lang w:val="en-US" w:eastAsia="zh-CN"/>
                <w14:textFill>
                  <w14:solidFill>
                    <w14:schemeClr w14:val="tx1"/>
                  </w14:solidFill>
                </w14:textFill>
              </w:rPr>
              <w:t>废活性炭</w:t>
            </w:r>
          </w:p>
        </w:tc>
        <w:tc>
          <w:tcPr>
            <w:tcW w:w="1571" w:type="dxa"/>
            <w:vAlign w:val="center"/>
          </w:tcPr>
          <w:p w14:paraId="34019D1B">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276" w:type="dxa"/>
            <w:vAlign w:val="center"/>
          </w:tcPr>
          <w:p w14:paraId="3A12F5AA">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701" w:type="dxa"/>
            <w:vAlign w:val="center"/>
          </w:tcPr>
          <w:p w14:paraId="7A350B6B">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59" w:type="dxa"/>
            <w:vAlign w:val="center"/>
          </w:tcPr>
          <w:p w14:paraId="070DF4CF">
            <w:pPr>
              <w:widowControl/>
              <w:adjustRightInd w:val="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1.10t/a</w:t>
            </w:r>
          </w:p>
        </w:tc>
        <w:tc>
          <w:tcPr>
            <w:tcW w:w="1761" w:type="dxa"/>
            <w:vAlign w:val="center"/>
          </w:tcPr>
          <w:p w14:paraId="2DDC085A">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959" w:type="dxa"/>
            <w:vAlign w:val="center"/>
          </w:tcPr>
          <w:p w14:paraId="6A703E17">
            <w:pPr>
              <w:widowControl/>
              <w:adjustRightInd w:val="0"/>
              <w:jc w:val="center"/>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1.10t/a</w:t>
            </w:r>
          </w:p>
        </w:tc>
        <w:tc>
          <w:tcPr>
            <w:tcW w:w="826" w:type="dxa"/>
            <w:vAlign w:val="center"/>
          </w:tcPr>
          <w:p w14:paraId="7720E198">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r>
      <w:tr w14:paraId="6AF8E0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88" w:type="dxa"/>
            <w:vMerge w:val="continue"/>
            <w:vAlign w:val="center"/>
          </w:tcPr>
          <w:p w14:paraId="0DAD69EA">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pPr>
          </w:p>
        </w:tc>
        <w:tc>
          <w:tcPr>
            <w:tcW w:w="1547" w:type="dxa"/>
            <w:vAlign w:val="center"/>
          </w:tcPr>
          <w:p w14:paraId="09A1A7A6">
            <w:pPr>
              <w:adjustRightInd w:val="0"/>
              <w:snapToGrid w:val="0"/>
              <w:jc w:val="center"/>
              <w:rPr>
                <w:rFonts w:hint="default" w:cs="Times New Roman"/>
                <w:bCs/>
                <w:color w:val="000000" w:themeColor="text1"/>
                <w:kern w:val="0"/>
                <w:szCs w:val="21"/>
                <w:lang w:val="en-US" w:eastAsia="zh-CN"/>
                <w14:textFill>
                  <w14:solidFill>
                    <w14:schemeClr w14:val="tx1"/>
                  </w14:solidFill>
                </w14:textFill>
              </w:rPr>
            </w:pPr>
            <w:r>
              <w:rPr>
                <w:rFonts w:hint="eastAsia" w:cs="Times New Roman"/>
                <w:bCs/>
                <w:color w:val="000000" w:themeColor="text1"/>
                <w:kern w:val="0"/>
                <w:szCs w:val="21"/>
                <w:lang w:val="en-US" w:eastAsia="zh-CN"/>
                <w14:textFill>
                  <w14:solidFill>
                    <w14:schemeClr w14:val="tx1"/>
                  </w14:solidFill>
                </w14:textFill>
              </w:rPr>
              <w:t>废催化剂</w:t>
            </w:r>
          </w:p>
        </w:tc>
        <w:tc>
          <w:tcPr>
            <w:tcW w:w="1571" w:type="dxa"/>
            <w:vAlign w:val="center"/>
          </w:tcPr>
          <w:p w14:paraId="53C1ABC1">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276" w:type="dxa"/>
            <w:vAlign w:val="center"/>
          </w:tcPr>
          <w:p w14:paraId="40A82619">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701" w:type="dxa"/>
            <w:vAlign w:val="center"/>
          </w:tcPr>
          <w:p w14:paraId="5B33D841">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59" w:type="dxa"/>
            <w:vAlign w:val="center"/>
          </w:tcPr>
          <w:p w14:paraId="5DF89B67">
            <w:pPr>
              <w:widowControl/>
              <w:adjustRightInd w:val="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0.125t/a</w:t>
            </w:r>
          </w:p>
        </w:tc>
        <w:tc>
          <w:tcPr>
            <w:tcW w:w="1761" w:type="dxa"/>
            <w:vAlign w:val="center"/>
          </w:tcPr>
          <w:p w14:paraId="7F082270">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959" w:type="dxa"/>
            <w:vAlign w:val="center"/>
          </w:tcPr>
          <w:p w14:paraId="751E8F34">
            <w:pPr>
              <w:widowControl/>
              <w:adjustRightInd w:val="0"/>
              <w:jc w:val="center"/>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0.125t/a</w:t>
            </w:r>
          </w:p>
        </w:tc>
        <w:tc>
          <w:tcPr>
            <w:tcW w:w="826" w:type="dxa"/>
            <w:vAlign w:val="center"/>
          </w:tcPr>
          <w:p w14:paraId="5337FBAD">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r>
      <w:tr w14:paraId="0B5C2A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588" w:type="dxa"/>
            <w:vAlign w:val="center"/>
          </w:tcPr>
          <w:p w14:paraId="0385C9AC">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eastAsiaTheme="minorEastAsia"/>
                <w:snapToGrid w:val="0"/>
                <w:color w:val="000000" w:themeColor="text1"/>
                <w:kern w:val="21"/>
                <w:sz w:val="21"/>
                <w:szCs w:val="21"/>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t>其他</w:t>
            </w:r>
            <w:r>
              <w:rPr>
                <w:rFonts w:hint="default" w:ascii="Times New Roman" w:hAnsi="Times New Roman" w:cs="Times New Roman"/>
                <w:snapToGrid w:val="0"/>
                <w:color w:val="000000" w:themeColor="text1"/>
                <w:kern w:val="21"/>
                <w:sz w:val="21"/>
                <w:szCs w:val="21"/>
                <w:lang w:val="en-US" w:eastAsia="zh-CN"/>
                <w14:textFill>
                  <w14:solidFill>
                    <w14:schemeClr w14:val="tx1"/>
                  </w14:solidFill>
                </w14:textFill>
              </w:rPr>
              <w:t>固废</w:t>
            </w:r>
          </w:p>
        </w:tc>
        <w:tc>
          <w:tcPr>
            <w:tcW w:w="1547" w:type="dxa"/>
            <w:vAlign w:val="center"/>
          </w:tcPr>
          <w:p w14:paraId="3E7AAB28">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生活垃圾</w:t>
            </w:r>
          </w:p>
        </w:tc>
        <w:tc>
          <w:tcPr>
            <w:tcW w:w="1571" w:type="dxa"/>
            <w:vAlign w:val="center"/>
          </w:tcPr>
          <w:p w14:paraId="5FE815C5">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276" w:type="dxa"/>
            <w:vAlign w:val="center"/>
          </w:tcPr>
          <w:p w14:paraId="33C0631C">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701" w:type="dxa"/>
            <w:vAlign w:val="center"/>
          </w:tcPr>
          <w:p w14:paraId="74C1ACDB">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59" w:type="dxa"/>
            <w:vAlign w:val="center"/>
          </w:tcPr>
          <w:p w14:paraId="06AD9B00">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eastAsiaTheme="minorEastAsia"/>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1.30</w:t>
            </w:r>
            <w:r>
              <w:rPr>
                <w:rFonts w:hint="default" w:ascii="Times New Roman" w:hAnsi="Times New Roman" w:cs="Times New Roman" w:eastAsiaTheme="minorEastAsia"/>
                <w:bCs/>
                <w:color w:val="000000" w:themeColor="text1"/>
                <w:kern w:val="2"/>
                <w:sz w:val="21"/>
                <w:szCs w:val="21"/>
                <w:lang w:val="en-US" w:eastAsia="zh-CN" w:bidi="ar-SA"/>
                <w14:textFill>
                  <w14:solidFill>
                    <w14:schemeClr w14:val="tx1"/>
                  </w14:solidFill>
                </w14:textFill>
              </w:rPr>
              <w:t>t/a</w:t>
            </w:r>
          </w:p>
        </w:tc>
        <w:tc>
          <w:tcPr>
            <w:tcW w:w="1761" w:type="dxa"/>
            <w:vAlign w:val="center"/>
          </w:tcPr>
          <w:p w14:paraId="2927C494">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959" w:type="dxa"/>
            <w:vAlign w:val="center"/>
          </w:tcPr>
          <w:p w14:paraId="5ED36A66">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1.30</w:t>
            </w:r>
            <w:r>
              <w:rPr>
                <w:rFonts w:hint="default" w:ascii="Times New Roman" w:hAnsi="Times New Roman" w:cs="Times New Roman" w:eastAsiaTheme="minorEastAsia"/>
                <w:bCs/>
                <w:color w:val="000000" w:themeColor="text1"/>
                <w:kern w:val="2"/>
                <w:sz w:val="21"/>
                <w:szCs w:val="21"/>
                <w:lang w:val="en-US" w:eastAsia="zh-CN" w:bidi="ar-SA"/>
                <w14:textFill>
                  <w14:solidFill>
                    <w14:schemeClr w14:val="tx1"/>
                  </w14:solidFill>
                </w14:textFill>
              </w:rPr>
              <w:t>t/a</w:t>
            </w:r>
          </w:p>
        </w:tc>
        <w:tc>
          <w:tcPr>
            <w:tcW w:w="826" w:type="dxa"/>
            <w:vAlign w:val="center"/>
          </w:tcPr>
          <w:p w14:paraId="5E0E4699">
            <w:pPr>
              <w:pStyle w:val="45"/>
              <w:keepNext w:val="0"/>
              <w:keepLines w:val="0"/>
              <w:pageBreakBefore w:val="0"/>
              <w:kinsoku/>
              <w:wordWrap/>
              <w:overflowPunct/>
              <w:topLinePunct w:val="0"/>
              <w:autoSpaceDE/>
              <w:autoSpaceDN/>
              <w:bidi w:val="0"/>
              <w:adjustRightInd w:val="0"/>
              <w:spacing w:beforeLines="0" w:afterLines="0" w:line="240" w:lineRule="auto"/>
              <w:ind w:firstLine="0"/>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r>
    </w:tbl>
    <w:p w14:paraId="40362786">
      <w:pPr>
        <w:pStyle w:val="45"/>
        <w:spacing w:before="192" w:beforeLines="80" w:after="24"/>
        <w:jc w:val="left"/>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sectPr>
          <w:footerReference r:id="rId6" w:type="default"/>
          <w:pgSz w:w="16838" w:h="11906" w:orient="landscape"/>
          <w:pgMar w:top="1531" w:right="1701" w:bottom="1531" w:left="1701" w:header="851" w:footer="850" w:gutter="0"/>
          <w:pgBorders>
            <w:top w:val="none" w:sz="0" w:space="0"/>
            <w:left w:val="none" w:sz="0" w:space="0"/>
            <w:bottom w:val="none" w:sz="0" w:space="0"/>
            <w:right w:val="none" w:sz="0" w:space="0"/>
          </w:pgBorders>
          <w:cols w:space="0" w:num="1"/>
          <w:docGrid w:linePitch="312" w:charSpace="0"/>
        </w:sectPr>
      </w:pPr>
      <w:r>
        <w:rPr>
          <w:rFonts w:hint="default" w:ascii="Times New Roman" w:hAnsi="Times New Roman" w:eastAsia="宋体" w:cs="Times New Roman"/>
          <w:snapToGrid w:val="0"/>
          <w:color w:val="000000" w:themeColor="text1"/>
          <w:kern w:val="21"/>
          <w:sz w:val="24"/>
          <w:szCs w:val="24"/>
          <w14:textFill>
            <w14:solidFill>
              <w14:schemeClr w14:val="tx1"/>
            </w14:solidFill>
          </w14:textFill>
        </w:rPr>
        <w:t>注：</w:t>
      </w:r>
      <w:r>
        <w:rPr>
          <w:rFonts w:hint="default" w:ascii="Times New Roman" w:hAnsi="Times New Roman" w:eastAsia="宋体" w:cs="Times New Roman"/>
          <w:snapToGrid w:val="0"/>
          <w:color w:val="000000" w:themeColor="text1"/>
          <w:spacing w:val="-16"/>
          <w:kern w:val="21"/>
          <w:sz w:val="24"/>
          <w:szCs w:val="24"/>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16"/>
          <w:kern w:val="21"/>
          <w:sz w:val="24"/>
          <w:szCs w:val="24"/>
          <w14:textFill>
            <w14:solidFill>
              <w14:schemeClr w14:val="tx1"/>
            </w14:solidFill>
          </w14:textFill>
        </w:rPr>
        <w:instrText xml:space="preserve"> = 6 \* GB3 \* MERGEFORMAT </w:instrText>
      </w:r>
      <w:r>
        <w:rPr>
          <w:rFonts w:hint="default" w:ascii="Times New Roman" w:hAnsi="Times New Roman" w:eastAsia="宋体" w:cs="Times New Roman"/>
          <w:snapToGrid w:val="0"/>
          <w:color w:val="000000" w:themeColor="text1"/>
          <w:spacing w:val="-16"/>
          <w:kern w:val="21"/>
          <w:sz w:val="24"/>
          <w:szCs w:val="24"/>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14:textFill>
            <w14:solidFill>
              <w14:schemeClr w14:val="tx1"/>
            </w14:solidFill>
          </w14:textFill>
        </w:rPr>
        <w:t>⑥</w:t>
      </w:r>
      <w:r>
        <w:rPr>
          <w:rFonts w:hint="default" w:ascii="Times New Roman" w:hAnsi="Times New Roman" w:eastAsia="宋体" w:cs="Times New Roman"/>
          <w:snapToGrid w:val="0"/>
          <w:color w:val="000000" w:themeColor="text1"/>
          <w:spacing w:val="-16"/>
          <w:kern w:val="21"/>
          <w:sz w:val="24"/>
          <w:szCs w:val="24"/>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16"/>
          <w:kern w:val="21"/>
          <w:sz w:val="24"/>
          <w:szCs w:val="24"/>
          <w14:textFill>
            <w14:solidFill>
              <w14:schemeClr w14:val="tx1"/>
            </w14:solidFill>
          </w14:textFill>
        </w:rPr>
        <w:t>=</w:t>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instrText xml:space="preserve"> = 1 \* GB3 \* MERGEFORMAT </w:instrText>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14:textFill>
            <w14:solidFill>
              <w14:schemeClr w14:val="tx1"/>
            </w14:solidFill>
          </w14:textFill>
        </w:rPr>
        <w:t>①</w:t>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t>+</w:t>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instrText xml:space="preserve"> = 3 \* GB3 \* MERGEFORMAT </w:instrText>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14:textFill>
            <w14:solidFill>
              <w14:schemeClr w14:val="tx1"/>
            </w14:solidFill>
          </w14:textFill>
        </w:rPr>
        <w:t>③</w:t>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t>+</w:t>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instrText xml:space="preserve"> = 4 \* GB3 \* MERGEFORMAT </w:instrText>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14:textFill>
            <w14:solidFill>
              <w14:schemeClr w14:val="tx1"/>
            </w14:solidFill>
          </w14:textFill>
        </w:rPr>
        <w:t>④</w:t>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t>-</w:t>
      </w:r>
      <w:r>
        <w:rPr>
          <w:rFonts w:hint="default" w:ascii="Times New Roman" w:hAnsi="Times New Roman" w:eastAsia="宋体" w:cs="Times New Roman"/>
          <w:snapToGrid w:val="0"/>
          <w:color w:val="000000" w:themeColor="text1"/>
          <w:spacing w:val="-16"/>
          <w:kern w:val="21"/>
          <w:sz w:val="24"/>
          <w:szCs w:val="24"/>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16"/>
          <w:kern w:val="21"/>
          <w:sz w:val="24"/>
          <w:szCs w:val="24"/>
          <w14:textFill>
            <w14:solidFill>
              <w14:schemeClr w14:val="tx1"/>
            </w14:solidFill>
          </w14:textFill>
        </w:rPr>
        <w:instrText xml:space="preserve"> = 5 \* GB3 \* MERGEFORMAT </w:instrText>
      </w:r>
      <w:r>
        <w:rPr>
          <w:rFonts w:hint="default" w:ascii="Times New Roman" w:hAnsi="Times New Roman" w:eastAsia="宋体" w:cs="Times New Roman"/>
          <w:snapToGrid w:val="0"/>
          <w:color w:val="000000" w:themeColor="text1"/>
          <w:spacing w:val="-16"/>
          <w:kern w:val="21"/>
          <w:sz w:val="24"/>
          <w:szCs w:val="24"/>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14:textFill>
            <w14:solidFill>
              <w14:schemeClr w14:val="tx1"/>
            </w14:solidFill>
          </w14:textFill>
        </w:rPr>
        <w:t>⑤</w:t>
      </w:r>
      <w:r>
        <w:rPr>
          <w:rFonts w:hint="default" w:ascii="Times New Roman" w:hAnsi="Times New Roman" w:eastAsia="宋体" w:cs="Times New Roman"/>
          <w:snapToGrid w:val="0"/>
          <w:color w:val="000000" w:themeColor="text1"/>
          <w:spacing w:val="-16"/>
          <w:kern w:val="21"/>
          <w:sz w:val="24"/>
          <w:szCs w:val="24"/>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16"/>
          <w:kern w:val="21"/>
          <w:sz w:val="24"/>
          <w:szCs w:val="24"/>
          <w14:textFill>
            <w14:solidFill>
              <w14:schemeClr w14:val="tx1"/>
            </w14:solidFill>
          </w14:textFill>
        </w:rPr>
        <w:t>；</w:t>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instrText xml:space="preserve"> = 7 \* GB3 \* MERGEFORMAT </w:instrText>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14:textFill>
            <w14:solidFill>
              <w14:schemeClr w14:val="tx1"/>
            </w14:solidFill>
          </w14:textFill>
        </w:rPr>
        <w:t>⑦</w:t>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t>=</w:t>
      </w:r>
      <w:r>
        <w:rPr>
          <w:rFonts w:hint="default" w:ascii="Times New Roman" w:hAnsi="Times New Roman" w:eastAsia="宋体" w:cs="Times New Roman"/>
          <w:snapToGrid w:val="0"/>
          <w:color w:val="000000" w:themeColor="text1"/>
          <w:spacing w:val="-16"/>
          <w:kern w:val="21"/>
          <w:sz w:val="24"/>
          <w:szCs w:val="24"/>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16"/>
          <w:kern w:val="21"/>
          <w:sz w:val="24"/>
          <w:szCs w:val="24"/>
          <w14:textFill>
            <w14:solidFill>
              <w14:schemeClr w14:val="tx1"/>
            </w14:solidFill>
          </w14:textFill>
        </w:rPr>
        <w:instrText xml:space="preserve"> = 6 \* GB3 \* MERGEFORMAT </w:instrText>
      </w:r>
      <w:r>
        <w:rPr>
          <w:rFonts w:hint="default" w:ascii="Times New Roman" w:hAnsi="Times New Roman" w:eastAsia="宋体" w:cs="Times New Roman"/>
          <w:snapToGrid w:val="0"/>
          <w:color w:val="000000" w:themeColor="text1"/>
          <w:spacing w:val="-16"/>
          <w:kern w:val="21"/>
          <w:sz w:val="24"/>
          <w:szCs w:val="24"/>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14:textFill>
            <w14:solidFill>
              <w14:schemeClr w14:val="tx1"/>
            </w14:solidFill>
          </w14:textFill>
        </w:rPr>
        <w:t>⑥</w:t>
      </w:r>
      <w:r>
        <w:rPr>
          <w:rFonts w:hint="default" w:ascii="Times New Roman" w:hAnsi="Times New Roman" w:eastAsia="宋体" w:cs="Times New Roman"/>
          <w:snapToGrid w:val="0"/>
          <w:color w:val="000000" w:themeColor="text1"/>
          <w:spacing w:val="-16"/>
          <w:kern w:val="21"/>
          <w:sz w:val="24"/>
          <w:szCs w:val="24"/>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16"/>
          <w:kern w:val="21"/>
          <w:sz w:val="24"/>
          <w:szCs w:val="24"/>
          <w14:textFill>
            <w14:solidFill>
              <w14:schemeClr w14:val="tx1"/>
            </w14:solidFill>
          </w14:textFill>
        </w:rPr>
        <w:t>-</w:t>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instrText xml:space="preserve"> = 1 \* GB3 \* MERGEFORMAT </w:instrText>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14:textFill>
            <w14:solidFill>
              <w14:schemeClr w14:val="tx1"/>
            </w14:solidFill>
          </w14:textFill>
        </w:rPr>
        <w:t>①</w:t>
      </w:r>
      <w:r>
        <w:rPr>
          <w:rFonts w:hint="default" w:ascii="Times New Roman" w:hAnsi="Times New Roman" w:eastAsia="宋体" w:cs="Times New Roman"/>
          <w:snapToGrid w:val="0"/>
          <w:color w:val="000000" w:themeColor="text1"/>
          <w:spacing w:val="-6"/>
          <w:kern w:val="21"/>
          <w:sz w:val="24"/>
          <w:szCs w:val="24"/>
          <w14:textFill>
            <w14:solidFill>
              <w14:schemeClr w14:val="tx1"/>
            </w14:solidFill>
          </w14:textFill>
        </w:rPr>
        <w:fldChar w:fldCharType="end"/>
      </w:r>
    </w:p>
    <w:p w14:paraId="5365B154">
      <w:pPr>
        <w:bidi w:val="0"/>
        <w:rPr>
          <w:rFonts w:hint="default"/>
          <w:color w:val="000000" w:themeColor="text1"/>
          <w:lang w:val="zh-CN" w:eastAsia="zh-CN"/>
          <w14:textFill>
            <w14:solidFill>
              <w14:schemeClr w14:val="tx1"/>
            </w14:solidFill>
          </w14:textFill>
        </w:rPr>
      </w:pPr>
    </w:p>
    <w:p w14:paraId="04D856E2">
      <w:pPr>
        <w:pStyle w:val="15"/>
        <w:rPr>
          <w:rFonts w:hint="default"/>
          <w:color w:val="000000" w:themeColor="text1"/>
          <w:lang w:val="zh-CN" w:eastAsia="zh-CN"/>
          <w14:textFill>
            <w14:solidFill>
              <w14:schemeClr w14:val="tx1"/>
            </w14:solidFill>
          </w14:textFill>
        </w:rPr>
      </w:pPr>
    </w:p>
    <w:p w14:paraId="7E67CE95">
      <w:pPr>
        <w:rPr>
          <w:rFonts w:hint="default"/>
          <w:color w:val="000000" w:themeColor="text1"/>
          <w:lang w:val="zh-CN" w:eastAsia="zh-CN"/>
          <w14:textFill>
            <w14:solidFill>
              <w14:schemeClr w14:val="tx1"/>
            </w14:solidFill>
          </w14:textFill>
        </w:rPr>
      </w:pPr>
    </w:p>
    <w:p w14:paraId="05E0DB0A">
      <w:pPr>
        <w:keepNext w:val="0"/>
        <w:keepLines w:val="0"/>
        <w:pageBreakBefore w:val="0"/>
        <w:widowControl w:val="0"/>
        <w:kinsoku/>
        <w:wordWrap/>
        <w:overflowPunct/>
        <w:topLinePunct w:val="0"/>
        <w:autoSpaceDE/>
        <w:autoSpaceDN/>
        <w:bidi w:val="0"/>
        <w:adjustRightInd/>
        <w:snapToGrid/>
        <w:spacing w:before="160" w:beforeLines="50" w:after="160" w:afterLines="50" w:line="720" w:lineRule="auto"/>
        <w:ind w:firstLine="0" w:firstLineChars="0"/>
        <w:jc w:val="center"/>
        <w:textAlignment w:val="auto"/>
        <w:outlineLvl w:val="0"/>
        <w:rPr>
          <w:rFonts w:hint="default" w:ascii="Times New Roman" w:hAnsi="Times New Roman" w:eastAsia="宋体" w:cs="Times New Roman"/>
          <w:b/>
          <w:bCs/>
          <w:color w:val="000000" w:themeColor="text1"/>
          <w:sz w:val="44"/>
          <w:szCs w:val="44"/>
          <w:lang w:val="en-US" w:eastAsia="zh-CN"/>
          <w14:textFill>
            <w14:solidFill>
              <w14:schemeClr w14:val="tx1"/>
            </w14:solidFill>
          </w14:textFill>
        </w:rPr>
      </w:pPr>
      <w:bookmarkStart w:id="264" w:name="_Toc28424"/>
      <w:bookmarkStart w:id="265" w:name="_Toc21661"/>
      <w:bookmarkStart w:id="266" w:name="_Toc11235"/>
      <w:r>
        <w:rPr>
          <w:rFonts w:hint="default" w:ascii="Times New Roman" w:hAnsi="Times New Roman" w:eastAsia="宋体" w:cs="Times New Roman"/>
          <w:b/>
          <w:bCs/>
          <w:color w:val="000000" w:themeColor="text1"/>
          <w:sz w:val="44"/>
          <w:szCs w:val="44"/>
          <w:lang w:val="zh-CN" w:eastAsia="zh-CN"/>
          <w14:textFill>
            <w14:solidFill>
              <w14:schemeClr w14:val="tx1"/>
            </w14:solidFill>
          </w14:textFill>
        </w:rPr>
        <w:t>密胺餐具智能化生产基地建设项目</w:t>
      </w:r>
      <w:bookmarkEnd w:id="264"/>
      <w:bookmarkEnd w:id="265"/>
      <w:bookmarkEnd w:id="266"/>
    </w:p>
    <w:p w14:paraId="6B204475">
      <w:pPr>
        <w:widowControl w:val="0"/>
        <w:jc w:val="both"/>
        <w:rPr>
          <w:rFonts w:hint="default" w:ascii="宋体" w:hAnsi="Courier New" w:eastAsia="宋体" w:cs="Times New Roman"/>
          <w:color w:val="000000" w:themeColor="text1"/>
          <w:kern w:val="2"/>
          <w:sz w:val="21"/>
          <w:szCs w:val="24"/>
          <w:lang w:val="en-US" w:eastAsia="zh-CN" w:bidi="ar-SA"/>
          <w14:textFill>
            <w14:solidFill>
              <w14:schemeClr w14:val="tx1"/>
            </w14:solidFill>
          </w14:textFill>
        </w:rPr>
      </w:pPr>
    </w:p>
    <w:p w14:paraId="35A6CACE">
      <w:pPr>
        <w:keepNext w:val="0"/>
        <w:keepLines w:val="0"/>
        <w:pageBreakBefore w:val="0"/>
        <w:widowControl w:val="0"/>
        <w:kinsoku/>
        <w:wordWrap/>
        <w:overflowPunct/>
        <w:topLinePunct w:val="0"/>
        <w:autoSpaceDE/>
        <w:autoSpaceDN/>
        <w:bidi w:val="0"/>
        <w:adjustRightInd/>
        <w:snapToGrid/>
        <w:spacing w:before="160" w:beforeLines="50" w:after="160" w:afterLines="50" w:line="480" w:lineRule="auto"/>
        <w:ind w:firstLine="0" w:firstLineChars="0"/>
        <w:jc w:val="center"/>
        <w:textAlignment w:val="auto"/>
        <w:outlineLvl w:val="0"/>
        <w:rPr>
          <w:rFonts w:hint="default" w:ascii="Times New Roman" w:hAnsi="Times New Roman" w:eastAsia="宋体" w:cs="Times New Roman"/>
          <w:b/>
          <w:bCs/>
          <w:color w:val="000000" w:themeColor="text1"/>
          <w:sz w:val="44"/>
          <w:szCs w:val="44"/>
          <w:lang w:eastAsia="zh-CN"/>
          <w14:textFill>
            <w14:solidFill>
              <w14:schemeClr w14:val="tx1"/>
            </w14:solidFill>
          </w14:textFill>
        </w:rPr>
      </w:pPr>
      <w:bookmarkStart w:id="267" w:name="_Toc12751"/>
      <w:bookmarkStart w:id="268" w:name="_Toc31500"/>
      <w:bookmarkStart w:id="269" w:name="_Toc45"/>
      <w:r>
        <w:rPr>
          <w:rFonts w:hint="default" w:ascii="Times New Roman" w:hAnsi="Times New Roman" w:eastAsia="宋体" w:cs="Times New Roman"/>
          <w:b/>
          <w:bCs/>
          <w:color w:val="000000" w:themeColor="text1"/>
          <w:sz w:val="44"/>
          <w:szCs w:val="44"/>
          <w14:textFill>
            <w14:solidFill>
              <w14:schemeClr w14:val="tx1"/>
            </w14:solidFill>
          </w14:textFill>
        </w:rPr>
        <w:t>大气环境影响评价</w:t>
      </w:r>
      <w:r>
        <w:rPr>
          <w:rFonts w:hint="eastAsia" w:ascii="Times New Roman" w:hAnsi="Times New Roman" w:eastAsia="宋体" w:cs="Times New Roman"/>
          <w:b/>
          <w:bCs/>
          <w:color w:val="000000" w:themeColor="text1"/>
          <w:sz w:val="44"/>
          <w:szCs w:val="44"/>
          <w:lang w:val="en-US" w:eastAsia="zh-CN"/>
          <w14:textFill>
            <w14:solidFill>
              <w14:schemeClr w14:val="tx1"/>
            </w14:solidFill>
          </w14:textFill>
        </w:rPr>
        <w:t>专项</w:t>
      </w:r>
      <w:r>
        <w:rPr>
          <w:rFonts w:hint="default" w:ascii="Times New Roman" w:hAnsi="Times New Roman" w:eastAsia="宋体" w:cs="Times New Roman"/>
          <w:b/>
          <w:bCs/>
          <w:color w:val="000000" w:themeColor="text1"/>
          <w:sz w:val="44"/>
          <w:szCs w:val="44"/>
          <w:lang w:eastAsia="zh-CN"/>
          <w14:textFill>
            <w14:solidFill>
              <w14:schemeClr w14:val="tx1"/>
            </w14:solidFill>
          </w14:textFill>
        </w:rPr>
        <w:t>报告</w:t>
      </w:r>
      <w:bookmarkEnd w:id="267"/>
      <w:bookmarkEnd w:id="268"/>
      <w:bookmarkEnd w:id="269"/>
    </w:p>
    <w:p w14:paraId="15BAA086">
      <w:pPr>
        <w:widowControl w:val="0"/>
        <w:ind w:firstLine="643"/>
        <w:jc w:val="center"/>
        <w:rPr>
          <w:rFonts w:hint="default" w:ascii="Times New Roman" w:hAnsi="Times New Roman" w:eastAsia="宋体" w:cs="Times New Roman"/>
          <w:b/>
          <w:bCs/>
          <w:color w:val="000000" w:themeColor="text1"/>
          <w:kern w:val="2"/>
          <w:sz w:val="32"/>
          <w:szCs w:val="32"/>
          <w:lang w:val="en-US" w:eastAsia="zh-CN" w:bidi="ar-SA"/>
          <w14:textFill>
            <w14:solidFill>
              <w14:schemeClr w14:val="tx1"/>
            </w14:solidFill>
          </w14:textFill>
        </w:rPr>
      </w:pPr>
    </w:p>
    <w:p w14:paraId="113C2901">
      <w:pPr>
        <w:ind w:firstLine="0" w:firstLineChars="0"/>
        <w:jc w:val="center"/>
        <w:rPr>
          <w:rFonts w:hint="default" w:ascii="Times New Roman" w:hAnsi="Times New Roman" w:eastAsia="宋体" w:cs="Times New Roman"/>
          <w:b/>
          <w:bCs/>
          <w:color w:val="000000" w:themeColor="text1"/>
          <w:sz w:val="32"/>
          <w:szCs w:val="32"/>
          <w14:textFill>
            <w14:solidFill>
              <w14:schemeClr w14:val="tx1"/>
            </w14:solidFill>
          </w14:textFill>
        </w:rPr>
      </w:pPr>
    </w:p>
    <w:p w14:paraId="54480766">
      <w:pPr>
        <w:ind w:firstLine="0" w:firstLineChars="0"/>
        <w:jc w:val="center"/>
        <w:rPr>
          <w:rFonts w:hint="default" w:ascii="Times New Roman" w:hAnsi="Times New Roman" w:eastAsia="宋体" w:cs="Times New Roman"/>
          <w:b/>
          <w:bCs/>
          <w:color w:val="000000" w:themeColor="text1"/>
          <w:sz w:val="32"/>
          <w:szCs w:val="32"/>
          <w14:textFill>
            <w14:solidFill>
              <w14:schemeClr w14:val="tx1"/>
            </w14:solidFill>
          </w14:textFill>
        </w:rPr>
      </w:pPr>
    </w:p>
    <w:p w14:paraId="1E705DEA">
      <w:pPr>
        <w:pStyle w:val="15"/>
        <w:rPr>
          <w:rFonts w:hint="default"/>
          <w:color w:val="000000" w:themeColor="text1"/>
          <w14:textFill>
            <w14:solidFill>
              <w14:schemeClr w14:val="tx1"/>
            </w14:solidFill>
          </w14:textFill>
        </w:rPr>
      </w:pPr>
    </w:p>
    <w:p w14:paraId="348FC8E3">
      <w:pPr>
        <w:ind w:firstLine="0" w:firstLineChars="0"/>
        <w:jc w:val="center"/>
        <w:rPr>
          <w:rFonts w:hint="default" w:ascii="Times New Roman" w:hAnsi="Times New Roman" w:eastAsia="宋体" w:cs="Times New Roman"/>
          <w:b/>
          <w:bCs/>
          <w:color w:val="000000" w:themeColor="text1"/>
          <w:sz w:val="32"/>
          <w:szCs w:val="32"/>
          <w14:textFill>
            <w14:solidFill>
              <w14:schemeClr w14:val="tx1"/>
            </w14:solidFill>
          </w14:textFill>
        </w:rPr>
      </w:pPr>
    </w:p>
    <w:p w14:paraId="5F0906C5">
      <w:pPr>
        <w:widowControl w:val="0"/>
        <w:ind w:firstLine="643"/>
        <w:jc w:val="center"/>
        <w:rPr>
          <w:rFonts w:hint="default" w:ascii="Times New Roman" w:hAnsi="Times New Roman" w:eastAsia="宋体" w:cs="Times New Roman"/>
          <w:b/>
          <w:bCs/>
          <w:color w:val="000000" w:themeColor="text1"/>
          <w:kern w:val="2"/>
          <w:sz w:val="32"/>
          <w:szCs w:val="32"/>
          <w:lang w:val="en-US" w:eastAsia="zh-CN" w:bidi="ar-SA"/>
          <w14:textFill>
            <w14:solidFill>
              <w14:schemeClr w14:val="tx1"/>
            </w14:solidFill>
          </w14:textFill>
        </w:rPr>
      </w:pPr>
    </w:p>
    <w:p w14:paraId="1846BD1D">
      <w:pPr>
        <w:ind w:firstLine="643"/>
        <w:jc w:val="center"/>
        <w:rPr>
          <w:rFonts w:hint="default" w:ascii="Times New Roman" w:hAnsi="Times New Roman" w:eastAsia="宋体" w:cs="Times New Roman"/>
          <w:b/>
          <w:bCs/>
          <w:color w:val="000000" w:themeColor="text1"/>
          <w:sz w:val="32"/>
          <w:szCs w:val="32"/>
          <w14:textFill>
            <w14:solidFill>
              <w14:schemeClr w14:val="tx1"/>
            </w14:solidFill>
          </w14:textFill>
        </w:rPr>
      </w:pPr>
    </w:p>
    <w:p w14:paraId="1756BEDB">
      <w:pPr>
        <w:widowControl w:val="0"/>
        <w:ind w:firstLine="643"/>
        <w:jc w:val="center"/>
        <w:rPr>
          <w:rFonts w:hint="default" w:ascii="Times New Roman" w:hAnsi="Times New Roman" w:eastAsia="宋体" w:cs="Times New Roman"/>
          <w:b/>
          <w:bCs/>
          <w:color w:val="000000" w:themeColor="text1"/>
          <w:kern w:val="2"/>
          <w:sz w:val="32"/>
          <w:szCs w:val="32"/>
          <w:lang w:val="en-US" w:eastAsia="zh-CN" w:bidi="ar-SA"/>
          <w14:textFill>
            <w14:solidFill>
              <w14:schemeClr w14:val="tx1"/>
            </w14:solidFill>
          </w14:textFill>
        </w:rPr>
      </w:pPr>
    </w:p>
    <w:p w14:paraId="3898B97D">
      <w:pPr>
        <w:keepNext w:val="0"/>
        <w:keepLines w:val="0"/>
        <w:pageBreakBefore w:val="0"/>
        <w:widowControl/>
        <w:kinsoku/>
        <w:wordWrap/>
        <w:overflowPunct/>
        <w:topLinePunct w:val="0"/>
        <w:autoSpaceDE/>
        <w:autoSpaceDN/>
        <w:bidi w:val="0"/>
        <w:adjustRightInd/>
        <w:snapToGrid/>
        <w:spacing w:after="120" w:afterLines="0" w:afterAutospacing="0"/>
        <w:ind w:left="840" w:leftChars="400" w:firstLine="1124" w:firstLineChars="400"/>
        <w:jc w:val="both"/>
        <w:textAlignment w:val="auto"/>
        <w:rPr>
          <w:rFonts w:hint="default" w:ascii="Times New Roman" w:hAnsi="Times New Roman" w:eastAsia="宋体" w:cs="Times New Roman"/>
          <w:b/>
          <w:bCs/>
          <w:color w:val="000000" w:themeColor="text1"/>
          <w:kern w:val="2"/>
          <w:sz w:val="28"/>
          <w:szCs w:val="28"/>
          <w:lang w:val="zh-CN"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8"/>
          <w:szCs w:val="28"/>
          <w:lang w:val="zh-CN" w:eastAsia="zh-CN" w:bidi="ar-SA"/>
          <w14:textFill>
            <w14:solidFill>
              <w14:schemeClr w14:val="tx1"/>
            </w14:solidFill>
          </w14:textFill>
        </w:rPr>
        <w:t>建设单位：云南盛玥密胺制品有限公司</w:t>
      </w:r>
    </w:p>
    <w:p w14:paraId="151FF5FC">
      <w:pPr>
        <w:keepNext w:val="0"/>
        <w:keepLines w:val="0"/>
        <w:pageBreakBefore w:val="0"/>
        <w:widowControl/>
        <w:kinsoku/>
        <w:wordWrap/>
        <w:overflowPunct/>
        <w:topLinePunct w:val="0"/>
        <w:autoSpaceDE/>
        <w:autoSpaceDN/>
        <w:bidi w:val="0"/>
        <w:adjustRightInd/>
        <w:snapToGrid/>
        <w:spacing w:after="120" w:afterLines="0" w:afterAutospacing="0"/>
        <w:ind w:left="840" w:leftChars="400" w:firstLine="1124" w:firstLineChars="400"/>
        <w:jc w:val="both"/>
        <w:textAlignment w:val="auto"/>
        <w:rPr>
          <w:rFonts w:hint="default" w:ascii="Times New Roman" w:hAnsi="Times New Roman" w:eastAsia="宋体" w:cs="Times New Roman"/>
          <w:b/>
          <w:bCs/>
          <w:color w:val="000000" w:themeColor="text1"/>
          <w:kern w:val="2"/>
          <w:sz w:val="28"/>
          <w:szCs w:val="28"/>
          <w:lang w:val="zh-CN"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8"/>
          <w:szCs w:val="28"/>
          <w:lang w:val="zh-CN" w:eastAsia="zh-CN" w:bidi="ar-SA"/>
          <w14:textFill>
            <w14:solidFill>
              <w14:schemeClr w14:val="tx1"/>
            </w14:solidFill>
          </w14:textFill>
        </w:rPr>
        <w:t>环评单位：云南</w:t>
      </w:r>
      <w:r>
        <w:rPr>
          <w:rFonts w:hint="eastAsia" w:ascii="Times New Roman" w:hAnsi="Times New Roman" w:eastAsia="宋体" w:cs="Times New Roman"/>
          <w:b/>
          <w:bCs/>
          <w:color w:val="000000" w:themeColor="text1"/>
          <w:kern w:val="2"/>
          <w:sz w:val="28"/>
          <w:szCs w:val="28"/>
          <w:lang w:val="en-US" w:eastAsia="zh-CN" w:bidi="ar-SA"/>
          <w14:textFill>
            <w14:solidFill>
              <w14:schemeClr w14:val="tx1"/>
            </w14:solidFill>
          </w14:textFill>
        </w:rPr>
        <w:t>协同环保工程</w:t>
      </w:r>
      <w:r>
        <w:rPr>
          <w:rFonts w:hint="default" w:ascii="Times New Roman" w:hAnsi="Times New Roman" w:eastAsia="宋体" w:cs="Times New Roman"/>
          <w:b/>
          <w:bCs/>
          <w:color w:val="000000" w:themeColor="text1"/>
          <w:kern w:val="2"/>
          <w:sz w:val="28"/>
          <w:szCs w:val="28"/>
          <w:lang w:val="zh-CN" w:eastAsia="zh-CN" w:bidi="ar-SA"/>
          <w14:textFill>
            <w14:solidFill>
              <w14:schemeClr w14:val="tx1"/>
            </w14:solidFill>
          </w14:textFill>
        </w:rPr>
        <w:t>有限公司</w:t>
      </w:r>
      <w:bookmarkStart w:id="270" w:name="_Toc8831"/>
    </w:p>
    <w:bookmarkEnd w:id="270"/>
    <w:p w14:paraId="7C92D865">
      <w:pPr>
        <w:widowControl w:val="0"/>
        <w:bidi w:val="0"/>
        <w:spacing w:after="120" w:afterLines="0" w:afterAutospacing="0"/>
        <w:jc w:val="center"/>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p>
    <w:p w14:paraId="5E613551">
      <w:pPr>
        <w:rPr>
          <w:rFonts w:hint="default" w:ascii="Times New Roman" w:hAnsi="Times New Roman" w:eastAsia="宋体" w:cs="Times New Roman"/>
          <w:color w:val="000000" w:themeColor="text1"/>
          <w14:textFill>
            <w14:solidFill>
              <w14:schemeClr w14:val="tx1"/>
            </w14:solidFill>
          </w14:textFill>
        </w:rPr>
      </w:pPr>
    </w:p>
    <w:p w14:paraId="0E2DEDB5">
      <w:pPr>
        <w:rPr>
          <w:rFonts w:hint="default" w:ascii="Times New Roman" w:hAnsi="Times New Roman" w:eastAsia="宋体" w:cs="Times New Roman"/>
          <w:color w:val="000000" w:themeColor="text1"/>
          <w14:textFill>
            <w14:solidFill>
              <w14:schemeClr w14:val="tx1"/>
            </w14:solidFill>
          </w14:textFill>
        </w:rPr>
      </w:pPr>
    </w:p>
    <w:p w14:paraId="23DB11E1">
      <w:pPr>
        <w:widowControl w:val="0"/>
        <w:jc w:val="both"/>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p>
    <w:p w14:paraId="23A23FBB">
      <w:pPr>
        <w:rPr>
          <w:rFonts w:hint="default" w:ascii="Times New Roman" w:hAnsi="Times New Roman" w:eastAsia="宋体" w:cs="Times New Roman"/>
          <w:color w:val="000000" w:themeColor="text1"/>
          <w14:textFill>
            <w14:solidFill>
              <w14:schemeClr w14:val="tx1"/>
            </w14:solidFill>
          </w14:textFill>
        </w:rPr>
      </w:pPr>
    </w:p>
    <w:p w14:paraId="374015DC">
      <w:pPr>
        <w:rPr>
          <w:rFonts w:hint="default" w:ascii="Times New Roman" w:hAnsi="Times New Roman" w:eastAsia="宋体" w:cs="Times New Roman"/>
          <w:color w:val="000000" w:themeColor="text1"/>
          <w14:textFill>
            <w14:solidFill>
              <w14:schemeClr w14:val="tx1"/>
            </w14:solidFill>
          </w14:textFill>
        </w:rPr>
      </w:pPr>
    </w:p>
    <w:p w14:paraId="5424177E">
      <w:pPr>
        <w:jc w:val="center"/>
        <w:rPr>
          <w:rFonts w:hint="default" w:ascii="Times New Roman" w:hAnsi="Times New Roman" w:eastAsia="宋体" w:cs="Times New Roman"/>
          <w:b/>
          <w:bCs/>
          <w:color w:val="000000" w:themeColor="text1"/>
          <w:sz w:val="30"/>
          <w:szCs w:val="30"/>
          <w14:textFill>
            <w14:solidFill>
              <w14:schemeClr w14:val="tx1"/>
            </w14:solidFill>
          </w14:textFill>
        </w:rPr>
        <w:sectPr>
          <w:footerReference r:id="rId7" w:type="default"/>
          <w:pgSz w:w="11906" w:h="16838"/>
          <w:pgMar w:top="1417" w:right="1417" w:bottom="1417" w:left="1417" w:header="851" w:footer="992" w:gutter="0"/>
          <w:pgBorders>
            <w:top w:val="none" w:sz="0" w:space="0"/>
            <w:left w:val="none" w:sz="0" w:space="0"/>
            <w:bottom w:val="none" w:sz="0" w:space="0"/>
            <w:right w:val="none" w:sz="0" w:space="0"/>
          </w:pgBorders>
          <w:cols w:space="720" w:num="1"/>
          <w:rtlGutter w:val="0"/>
          <w:docGrid w:type="lines" w:linePitch="312" w:charSpace="0"/>
        </w:sectPr>
      </w:pPr>
      <w:r>
        <w:rPr>
          <w:rFonts w:hint="default" w:ascii="Times New Roman" w:hAnsi="Times New Roman" w:eastAsia="宋体" w:cs="Times New Roman"/>
          <w:b/>
          <w:bCs/>
          <w:color w:val="000000" w:themeColor="text1"/>
          <w:sz w:val="30"/>
          <w:szCs w:val="30"/>
          <w14:textFill>
            <w14:solidFill>
              <w14:schemeClr w14:val="tx1"/>
            </w14:solidFill>
          </w14:textFill>
        </w:rPr>
        <w:t>202</w:t>
      </w:r>
      <w:r>
        <w:rPr>
          <w:rFonts w:hint="eastAsia" w:ascii="Times New Roman" w:hAnsi="Times New Roman" w:eastAsia="宋体" w:cs="Times New Roman"/>
          <w:b/>
          <w:bCs/>
          <w:color w:val="000000" w:themeColor="text1"/>
          <w:sz w:val="30"/>
          <w:szCs w:val="30"/>
          <w:lang w:val="en-US" w:eastAsia="zh-CN"/>
          <w14:textFill>
            <w14:solidFill>
              <w14:schemeClr w14:val="tx1"/>
            </w14:solidFill>
          </w14:textFill>
        </w:rPr>
        <w:t>6</w:t>
      </w:r>
      <w:r>
        <w:rPr>
          <w:rFonts w:hint="default" w:ascii="Times New Roman" w:hAnsi="Times New Roman" w:eastAsia="宋体" w:cs="Times New Roman"/>
          <w:b/>
          <w:bCs/>
          <w:color w:val="000000" w:themeColor="text1"/>
          <w:sz w:val="30"/>
          <w:szCs w:val="30"/>
          <w14:textFill>
            <w14:solidFill>
              <w14:schemeClr w14:val="tx1"/>
            </w14:solidFill>
          </w14:textFill>
        </w:rPr>
        <w:t>年</w:t>
      </w:r>
      <w:r>
        <w:rPr>
          <w:rFonts w:hint="eastAsia" w:cs="Times New Roman"/>
          <w:b/>
          <w:bCs/>
          <w:color w:val="000000" w:themeColor="text1"/>
          <w:sz w:val="30"/>
          <w:szCs w:val="30"/>
          <w:lang w:val="en-US" w:eastAsia="zh-CN"/>
          <w14:textFill>
            <w14:solidFill>
              <w14:schemeClr w14:val="tx1"/>
            </w14:solidFill>
          </w14:textFill>
        </w:rPr>
        <w:t>9</w:t>
      </w:r>
      <w:r>
        <w:rPr>
          <w:rFonts w:hint="default" w:ascii="Times New Roman" w:hAnsi="Times New Roman" w:eastAsia="宋体" w:cs="Times New Roman"/>
          <w:b/>
          <w:bCs/>
          <w:color w:val="000000" w:themeColor="text1"/>
          <w:sz w:val="30"/>
          <w:szCs w:val="30"/>
          <w14:textFill>
            <w14:solidFill>
              <w14:schemeClr w14:val="tx1"/>
            </w14:solidFill>
          </w14:textFill>
        </w:rPr>
        <w:t>月</w:t>
      </w:r>
    </w:p>
    <w:sdt>
      <w:sdtPr>
        <w:rPr>
          <w:rFonts w:ascii="宋体" w:hAnsi="宋体" w:eastAsia="宋体" w:cs="Times New Roman"/>
          <w:b/>
          <w:bCs/>
          <w:color w:val="000000" w:themeColor="text1"/>
          <w:kern w:val="2"/>
          <w:sz w:val="28"/>
          <w:szCs w:val="36"/>
          <w:lang w:val="en-US" w:eastAsia="zh-CN" w:bidi="ar-SA"/>
          <w14:textFill>
            <w14:solidFill>
              <w14:schemeClr w14:val="tx1"/>
            </w14:solidFill>
          </w14:textFill>
        </w:rPr>
        <w:id w:val="147478104"/>
        <w15:color w:val="DBDBDB"/>
        <w:docPartObj>
          <w:docPartGallery w:val="Table of Contents"/>
          <w:docPartUnique/>
        </w:docPartObj>
      </w:sdtPr>
      <w:sdtEndPr>
        <w:rPr>
          <w:rFonts w:hint="default" w:ascii="Times New Roman" w:hAnsi="Times New Roman" w:eastAsia="宋体" w:cs="Times New Roman"/>
          <w:b/>
          <w:bCs/>
          <w:color w:val="000000" w:themeColor="text1"/>
          <w:kern w:val="2"/>
          <w:sz w:val="21"/>
          <w:szCs w:val="30"/>
          <w:lang w:val="en-US" w:eastAsia="zh-CN" w:bidi="ar-SA"/>
          <w14:textFill>
            <w14:solidFill>
              <w14:schemeClr w14:val="tx1"/>
            </w14:solidFill>
          </w14:textFill>
        </w:rPr>
      </w:sdtEndPr>
      <w:sdtContent>
        <w:p w14:paraId="2BF65445">
          <w:pPr>
            <w:spacing w:before="0" w:beforeLines="0" w:after="0" w:afterLines="0" w:line="240" w:lineRule="auto"/>
            <w:ind w:left="0" w:leftChars="0" w:right="0" w:rightChars="0" w:firstLine="0" w:firstLineChars="0"/>
            <w:jc w:val="center"/>
            <w:rPr>
              <w:b/>
              <w:bCs/>
              <w:color w:val="000000" w:themeColor="text1"/>
              <w:sz w:val="36"/>
              <w:szCs w:val="44"/>
              <w14:textFill>
                <w14:solidFill>
                  <w14:schemeClr w14:val="tx1"/>
                </w14:solidFill>
              </w14:textFill>
            </w:rPr>
          </w:pPr>
          <w:r>
            <w:rPr>
              <w:rFonts w:ascii="宋体" w:hAnsi="宋体" w:eastAsia="宋体"/>
              <w:b/>
              <w:bCs/>
              <w:color w:val="000000" w:themeColor="text1"/>
              <w:sz w:val="36"/>
              <w:szCs w:val="44"/>
              <w14:textFill>
                <w14:solidFill>
                  <w14:schemeClr w14:val="tx1"/>
                </w14:solidFill>
              </w14:textFill>
            </w:rPr>
            <w:t>目录</w:t>
          </w:r>
        </w:p>
        <w:p w14:paraId="38E30BC1">
          <w:pPr>
            <w:pStyle w:val="22"/>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b/>
              <w:bCs/>
              <w:color w:val="000000" w:themeColor="text1"/>
              <w:sz w:val="24"/>
              <w:szCs w:val="32"/>
              <w14:textFill>
                <w14:solidFill>
                  <w14:schemeClr w14:val="tx1"/>
                </w14:solidFill>
              </w14:textFill>
            </w:rPr>
          </w:pPr>
          <w:r>
            <w:rPr>
              <w:rFonts w:hint="default" w:ascii="Times New Roman" w:hAnsi="Times New Roman" w:eastAsia="宋体" w:cs="Times New Roman"/>
              <w:b/>
              <w:bCs/>
              <w:color w:val="000000" w:themeColor="text1"/>
              <w:sz w:val="30"/>
              <w:szCs w:val="30"/>
              <w14:textFill>
                <w14:solidFill>
                  <w14:schemeClr w14:val="tx1"/>
                </w14:solidFill>
              </w14:textFill>
            </w:rPr>
            <w:fldChar w:fldCharType="begin"/>
          </w:r>
          <w:r>
            <w:rPr>
              <w:rFonts w:hint="default" w:ascii="Times New Roman" w:hAnsi="Times New Roman" w:eastAsia="宋体" w:cs="Times New Roman"/>
              <w:b/>
              <w:bCs/>
              <w:color w:val="000000" w:themeColor="text1"/>
              <w:sz w:val="30"/>
              <w:szCs w:val="30"/>
              <w14:textFill>
                <w14:solidFill>
                  <w14:schemeClr w14:val="tx1"/>
                </w14:solidFill>
              </w14:textFill>
            </w:rPr>
            <w:instrText xml:space="preserve">TOC \o "1-2" \h \u </w:instrText>
          </w:r>
          <w:r>
            <w:rPr>
              <w:rFonts w:hint="default" w:ascii="Times New Roman" w:hAnsi="Times New Roman" w:eastAsia="宋体" w:cs="Times New Roman"/>
              <w:b/>
              <w:bCs/>
              <w:color w:val="000000" w:themeColor="text1"/>
              <w:sz w:val="30"/>
              <w:szCs w:val="30"/>
              <w14:textFill>
                <w14:solidFill>
                  <w14:schemeClr w14:val="tx1"/>
                </w14:solidFill>
              </w14:textFill>
            </w:rPr>
            <w:fldChar w:fldCharType="separate"/>
          </w:r>
          <w:r>
            <w:rPr>
              <w:rFonts w:hint="default" w:ascii="Times New Roman" w:hAnsi="Times New Roman" w:eastAsia="宋体" w:cs="Times New Roman"/>
              <w:b/>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
              <w:bCs/>
              <w:color w:val="000000" w:themeColor="text1"/>
              <w:sz w:val="24"/>
              <w:szCs w:val="36"/>
              <w14:textFill>
                <w14:solidFill>
                  <w14:schemeClr w14:val="tx1"/>
                </w14:solidFill>
              </w14:textFill>
            </w:rPr>
            <w:instrText xml:space="preserve"> HYPERLINK \l _Toc19335 </w:instrText>
          </w:r>
          <w:r>
            <w:rPr>
              <w:rFonts w:hint="default" w:ascii="Times New Roman" w:hAnsi="Times New Roman" w:eastAsia="宋体" w:cs="Times New Roman"/>
              <w:b/>
              <w:bCs/>
              <w:color w:val="000000" w:themeColor="text1"/>
              <w:sz w:val="24"/>
              <w:szCs w:val="36"/>
              <w14:textFill>
                <w14:solidFill>
                  <w14:schemeClr w14:val="tx1"/>
                </w14:solidFill>
              </w14:textFill>
            </w:rPr>
            <w:fldChar w:fldCharType="separate"/>
          </w:r>
          <w:r>
            <w:rPr>
              <w:rFonts w:hint="default"/>
              <w:b/>
              <w:bCs/>
              <w:color w:val="000000" w:themeColor="text1"/>
              <w:sz w:val="24"/>
              <w:szCs w:val="44"/>
              <w:lang w:val="en-US" w:eastAsia="zh-CN"/>
              <w14:textFill>
                <w14:solidFill>
                  <w14:schemeClr w14:val="tx1"/>
                </w14:solidFill>
              </w14:textFill>
            </w:rPr>
            <w:t>1总则</w:t>
          </w:r>
          <w:r>
            <w:rPr>
              <w:b/>
              <w:bCs/>
              <w:color w:val="000000" w:themeColor="text1"/>
              <w:sz w:val="24"/>
              <w:szCs w:val="32"/>
              <w14:textFill>
                <w14:solidFill>
                  <w14:schemeClr w14:val="tx1"/>
                </w14:solidFill>
              </w14:textFill>
            </w:rPr>
            <w:tab/>
          </w:r>
          <w:r>
            <w:rPr>
              <w:b/>
              <w:bCs/>
              <w:color w:val="000000" w:themeColor="text1"/>
              <w:sz w:val="24"/>
              <w:szCs w:val="32"/>
              <w14:textFill>
                <w14:solidFill>
                  <w14:schemeClr w14:val="tx1"/>
                </w14:solidFill>
              </w14:textFill>
            </w:rPr>
            <w:fldChar w:fldCharType="begin"/>
          </w:r>
          <w:r>
            <w:rPr>
              <w:b/>
              <w:bCs/>
              <w:color w:val="000000" w:themeColor="text1"/>
              <w:sz w:val="24"/>
              <w:szCs w:val="32"/>
              <w14:textFill>
                <w14:solidFill>
                  <w14:schemeClr w14:val="tx1"/>
                </w14:solidFill>
              </w14:textFill>
            </w:rPr>
            <w:instrText xml:space="preserve"> PAGEREF _Toc19335 \h </w:instrText>
          </w:r>
          <w:r>
            <w:rPr>
              <w:b/>
              <w:bCs/>
              <w:color w:val="000000" w:themeColor="text1"/>
              <w:sz w:val="24"/>
              <w:szCs w:val="32"/>
              <w14:textFill>
                <w14:solidFill>
                  <w14:schemeClr w14:val="tx1"/>
                </w14:solidFill>
              </w14:textFill>
            </w:rPr>
            <w:fldChar w:fldCharType="separate"/>
          </w:r>
          <w:r>
            <w:rPr>
              <w:b/>
              <w:bCs/>
              <w:color w:val="000000" w:themeColor="text1"/>
              <w:sz w:val="24"/>
              <w:szCs w:val="32"/>
              <w14:textFill>
                <w14:solidFill>
                  <w14:schemeClr w14:val="tx1"/>
                </w14:solidFill>
              </w14:textFill>
            </w:rPr>
            <w:t>1</w:t>
          </w:r>
          <w:r>
            <w:rPr>
              <w:b/>
              <w:bCs/>
              <w:color w:val="000000" w:themeColor="text1"/>
              <w:sz w:val="24"/>
              <w:szCs w:val="32"/>
              <w14:textFill>
                <w14:solidFill>
                  <w14:schemeClr w14:val="tx1"/>
                </w14:solidFill>
              </w14:textFill>
            </w:rPr>
            <w:fldChar w:fldCharType="end"/>
          </w:r>
          <w:r>
            <w:rPr>
              <w:rFonts w:hint="default" w:ascii="Times New Roman" w:hAnsi="Times New Roman" w:eastAsia="宋体" w:cs="Times New Roman"/>
              <w:b/>
              <w:bCs/>
              <w:color w:val="000000" w:themeColor="text1"/>
              <w:sz w:val="24"/>
              <w:szCs w:val="36"/>
              <w14:textFill>
                <w14:solidFill>
                  <w14:schemeClr w14:val="tx1"/>
                </w14:solidFill>
              </w14:textFill>
            </w:rPr>
            <w:fldChar w:fldCharType="end"/>
          </w:r>
        </w:p>
        <w:p w14:paraId="1C76FD0D">
          <w:pPr>
            <w:pStyle w:val="4"/>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Cs/>
              <w:color w:val="000000" w:themeColor="text1"/>
              <w:sz w:val="24"/>
              <w:szCs w:val="36"/>
              <w14:textFill>
                <w14:solidFill>
                  <w14:schemeClr w14:val="tx1"/>
                </w14:solidFill>
              </w14:textFill>
            </w:rPr>
            <w:instrText xml:space="preserve"> HYPERLINK \l _Toc3400 </w:instrText>
          </w:r>
          <w:r>
            <w:rPr>
              <w:rFonts w:hint="default" w:ascii="Times New Roman" w:hAnsi="Times New Roman" w:eastAsia="宋体" w:cs="Times New Roman"/>
              <w:bCs/>
              <w:color w:val="000000" w:themeColor="text1"/>
              <w:sz w:val="24"/>
              <w:szCs w:val="36"/>
              <w14:textFill>
                <w14:solidFill>
                  <w14:schemeClr w14:val="tx1"/>
                </w14:solidFill>
              </w14:textFill>
            </w:rPr>
            <w:fldChar w:fldCharType="separate"/>
          </w:r>
          <w:r>
            <w:rPr>
              <w:rFonts w:hint="default" w:ascii="Times New Roman" w:hAnsi="Times New Roman" w:cs="Times New Roman"/>
              <w:color w:val="000000" w:themeColor="text1"/>
              <w:sz w:val="24"/>
              <w:szCs w:val="32"/>
              <w14:textFill>
                <w14:solidFill>
                  <w14:schemeClr w14:val="tx1"/>
                </w14:solidFill>
              </w14:textFill>
            </w:rPr>
            <w:t>1.1 编制依据</w:t>
          </w:r>
          <w:r>
            <w:rPr>
              <w:color w:val="000000" w:themeColor="text1"/>
              <w:sz w:val="24"/>
              <w:szCs w:val="32"/>
              <w14:textFill>
                <w14:solidFill>
                  <w14:schemeClr w14:val="tx1"/>
                </w14:solidFill>
              </w14:textFill>
            </w:rPr>
            <w:tab/>
          </w:r>
          <w:r>
            <w:rPr>
              <w:color w:val="000000" w:themeColor="text1"/>
              <w:sz w:val="24"/>
              <w:szCs w:val="32"/>
              <w14:textFill>
                <w14:solidFill>
                  <w14:schemeClr w14:val="tx1"/>
                </w14:solidFill>
              </w14:textFill>
            </w:rPr>
            <w:fldChar w:fldCharType="begin"/>
          </w:r>
          <w:r>
            <w:rPr>
              <w:color w:val="000000" w:themeColor="text1"/>
              <w:sz w:val="24"/>
              <w:szCs w:val="32"/>
              <w14:textFill>
                <w14:solidFill>
                  <w14:schemeClr w14:val="tx1"/>
                </w14:solidFill>
              </w14:textFill>
            </w:rPr>
            <w:instrText xml:space="preserve"> PAGEREF _Toc3400 \h </w:instrText>
          </w:r>
          <w:r>
            <w:rPr>
              <w:color w:val="000000" w:themeColor="text1"/>
              <w:sz w:val="24"/>
              <w:szCs w:val="32"/>
              <w14:textFill>
                <w14:solidFill>
                  <w14:schemeClr w14:val="tx1"/>
                </w14:solidFill>
              </w14:textFill>
            </w:rPr>
            <w:fldChar w:fldCharType="separate"/>
          </w:r>
          <w:r>
            <w:rPr>
              <w:color w:val="000000" w:themeColor="text1"/>
              <w:sz w:val="24"/>
              <w:szCs w:val="32"/>
              <w14:textFill>
                <w14:solidFill>
                  <w14:schemeClr w14:val="tx1"/>
                </w14:solidFill>
              </w14:textFill>
            </w:rPr>
            <w:t>1</w:t>
          </w:r>
          <w:r>
            <w:rPr>
              <w:color w:val="000000" w:themeColor="text1"/>
              <w:sz w:val="24"/>
              <w:szCs w:val="32"/>
              <w14:textFill>
                <w14:solidFill>
                  <w14:schemeClr w14:val="tx1"/>
                </w14:solidFill>
              </w14:textFill>
            </w:rPr>
            <w:fldChar w:fldCharType="end"/>
          </w:r>
          <w:r>
            <w:rPr>
              <w:rFonts w:hint="default" w:ascii="Times New Roman" w:hAnsi="Times New Roman" w:eastAsia="宋体" w:cs="Times New Roman"/>
              <w:bCs/>
              <w:color w:val="000000" w:themeColor="text1"/>
              <w:sz w:val="24"/>
              <w:szCs w:val="36"/>
              <w14:textFill>
                <w14:solidFill>
                  <w14:schemeClr w14:val="tx1"/>
                </w14:solidFill>
              </w14:textFill>
            </w:rPr>
            <w:fldChar w:fldCharType="end"/>
          </w:r>
        </w:p>
        <w:p w14:paraId="512BD597">
          <w:pPr>
            <w:pStyle w:val="4"/>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Cs/>
              <w:color w:val="000000" w:themeColor="text1"/>
              <w:sz w:val="24"/>
              <w:szCs w:val="36"/>
              <w14:textFill>
                <w14:solidFill>
                  <w14:schemeClr w14:val="tx1"/>
                </w14:solidFill>
              </w14:textFill>
            </w:rPr>
            <w:instrText xml:space="preserve"> HYPERLINK \l _Toc29381 </w:instrText>
          </w:r>
          <w:r>
            <w:rPr>
              <w:rFonts w:hint="default" w:ascii="Times New Roman" w:hAnsi="Times New Roman" w:eastAsia="宋体" w:cs="Times New Roman"/>
              <w:bCs/>
              <w:color w:val="000000" w:themeColor="text1"/>
              <w:sz w:val="24"/>
              <w:szCs w:val="36"/>
              <w14:textFill>
                <w14:solidFill>
                  <w14:schemeClr w14:val="tx1"/>
                </w14:solidFill>
              </w14:textFill>
            </w:rPr>
            <w:fldChar w:fldCharType="separate"/>
          </w:r>
          <w:r>
            <w:rPr>
              <w:rFonts w:hint="default" w:ascii="Times New Roman" w:hAnsi="Times New Roman" w:cs="Times New Roman"/>
              <w:color w:val="000000" w:themeColor="text1"/>
              <w:sz w:val="24"/>
              <w:szCs w:val="32"/>
              <w14:textFill>
                <w14:solidFill>
                  <w14:schemeClr w14:val="tx1"/>
                </w14:solidFill>
              </w14:textFill>
            </w:rPr>
            <w:t>1.2评价目的及原则</w:t>
          </w:r>
          <w:r>
            <w:rPr>
              <w:color w:val="000000" w:themeColor="text1"/>
              <w:sz w:val="24"/>
              <w:szCs w:val="32"/>
              <w14:textFill>
                <w14:solidFill>
                  <w14:schemeClr w14:val="tx1"/>
                </w14:solidFill>
              </w14:textFill>
            </w:rPr>
            <w:tab/>
          </w:r>
          <w:r>
            <w:rPr>
              <w:color w:val="000000" w:themeColor="text1"/>
              <w:sz w:val="24"/>
              <w:szCs w:val="32"/>
              <w14:textFill>
                <w14:solidFill>
                  <w14:schemeClr w14:val="tx1"/>
                </w14:solidFill>
              </w14:textFill>
            </w:rPr>
            <w:fldChar w:fldCharType="begin"/>
          </w:r>
          <w:r>
            <w:rPr>
              <w:color w:val="000000" w:themeColor="text1"/>
              <w:sz w:val="24"/>
              <w:szCs w:val="32"/>
              <w14:textFill>
                <w14:solidFill>
                  <w14:schemeClr w14:val="tx1"/>
                </w14:solidFill>
              </w14:textFill>
            </w:rPr>
            <w:instrText xml:space="preserve"> PAGEREF _Toc29381 \h </w:instrText>
          </w:r>
          <w:r>
            <w:rPr>
              <w:color w:val="000000" w:themeColor="text1"/>
              <w:sz w:val="24"/>
              <w:szCs w:val="32"/>
              <w14:textFill>
                <w14:solidFill>
                  <w14:schemeClr w14:val="tx1"/>
                </w14:solidFill>
              </w14:textFill>
            </w:rPr>
            <w:fldChar w:fldCharType="separate"/>
          </w:r>
          <w:r>
            <w:rPr>
              <w:color w:val="000000" w:themeColor="text1"/>
              <w:sz w:val="24"/>
              <w:szCs w:val="32"/>
              <w14:textFill>
                <w14:solidFill>
                  <w14:schemeClr w14:val="tx1"/>
                </w14:solidFill>
              </w14:textFill>
            </w:rPr>
            <w:t>4</w:t>
          </w:r>
          <w:r>
            <w:rPr>
              <w:color w:val="000000" w:themeColor="text1"/>
              <w:sz w:val="24"/>
              <w:szCs w:val="32"/>
              <w14:textFill>
                <w14:solidFill>
                  <w14:schemeClr w14:val="tx1"/>
                </w14:solidFill>
              </w14:textFill>
            </w:rPr>
            <w:fldChar w:fldCharType="end"/>
          </w:r>
          <w:r>
            <w:rPr>
              <w:rFonts w:hint="default" w:ascii="Times New Roman" w:hAnsi="Times New Roman" w:eastAsia="宋体" w:cs="Times New Roman"/>
              <w:bCs/>
              <w:color w:val="000000" w:themeColor="text1"/>
              <w:sz w:val="24"/>
              <w:szCs w:val="36"/>
              <w14:textFill>
                <w14:solidFill>
                  <w14:schemeClr w14:val="tx1"/>
                </w14:solidFill>
              </w14:textFill>
            </w:rPr>
            <w:fldChar w:fldCharType="end"/>
          </w:r>
        </w:p>
        <w:p w14:paraId="1F0C2293">
          <w:pPr>
            <w:pStyle w:val="4"/>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Cs/>
              <w:color w:val="000000" w:themeColor="text1"/>
              <w:sz w:val="24"/>
              <w:szCs w:val="36"/>
              <w14:textFill>
                <w14:solidFill>
                  <w14:schemeClr w14:val="tx1"/>
                </w14:solidFill>
              </w14:textFill>
            </w:rPr>
            <w:instrText xml:space="preserve"> HYPERLINK \l _Toc16252 </w:instrText>
          </w:r>
          <w:r>
            <w:rPr>
              <w:rFonts w:hint="default" w:ascii="Times New Roman" w:hAnsi="Times New Roman" w:eastAsia="宋体" w:cs="Times New Roman"/>
              <w:bCs/>
              <w:color w:val="000000" w:themeColor="text1"/>
              <w:sz w:val="24"/>
              <w:szCs w:val="36"/>
              <w14:textFill>
                <w14:solidFill>
                  <w14:schemeClr w14:val="tx1"/>
                </w14:solidFill>
              </w14:textFill>
            </w:rPr>
            <w:fldChar w:fldCharType="separate"/>
          </w:r>
          <w:r>
            <w:rPr>
              <w:rFonts w:hint="default" w:ascii="Times New Roman" w:hAnsi="Times New Roman" w:cs="Times New Roman"/>
              <w:color w:val="000000" w:themeColor="text1"/>
              <w:sz w:val="24"/>
              <w:szCs w:val="32"/>
              <w:lang w:val="en-US" w:eastAsia="zh-CN"/>
              <w14:textFill>
                <w14:solidFill>
                  <w14:schemeClr w14:val="tx1"/>
                </w14:solidFill>
              </w14:textFill>
            </w:rPr>
            <w:t>1.3 评价因子</w:t>
          </w:r>
          <w:r>
            <w:rPr>
              <w:color w:val="000000" w:themeColor="text1"/>
              <w:sz w:val="24"/>
              <w:szCs w:val="32"/>
              <w14:textFill>
                <w14:solidFill>
                  <w14:schemeClr w14:val="tx1"/>
                </w14:solidFill>
              </w14:textFill>
            </w:rPr>
            <w:tab/>
          </w:r>
          <w:r>
            <w:rPr>
              <w:color w:val="000000" w:themeColor="text1"/>
              <w:sz w:val="24"/>
              <w:szCs w:val="32"/>
              <w14:textFill>
                <w14:solidFill>
                  <w14:schemeClr w14:val="tx1"/>
                </w14:solidFill>
              </w14:textFill>
            </w:rPr>
            <w:fldChar w:fldCharType="begin"/>
          </w:r>
          <w:r>
            <w:rPr>
              <w:color w:val="000000" w:themeColor="text1"/>
              <w:sz w:val="24"/>
              <w:szCs w:val="32"/>
              <w14:textFill>
                <w14:solidFill>
                  <w14:schemeClr w14:val="tx1"/>
                </w14:solidFill>
              </w14:textFill>
            </w:rPr>
            <w:instrText xml:space="preserve"> PAGEREF _Toc16252 \h </w:instrText>
          </w:r>
          <w:r>
            <w:rPr>
              <w:color w:val="000000" w:themeColor="text1"/>
              <w:sz w:val="24"/>
              <w:szCs w:val="32"/>
              <w14:textFill>
                <w14:solidFill>
                  <w14:schemeClr w14:val="tx1"/>
                </w14:solidFill>
              </w14:textFill>
            </w:rPr>
            <w:fldChar w:fldCharType="separate"/>
          </w:r>
          <w:r>
            <w:rPr>
              <w:color w:val="000000" w:themeColor="text1"/>
              <w:sz w:val="24"/>
              <w:szCs w:val="32"/>
              <w14:textFill>
                <w14:solidFill>
                  <w14:schemeClr w14:val="tx1"/>
                </w14:solidFill>
              </w14:textFill>
            </w:rPr>
            <w:t>5</w:t>
          </w:r>
          <w:r>
            <w:rPr>
              <w:color w:val="000000" w:themeColor="text1"/>
              <w:sz w:val="24"/>
              <w:szCs w:val="32"/>
              <w14:textFill>
                <w14:solidFill>
                  <w14:schemeClr w14:val="tx1"/>
                </w14:solidFill>
              </w14:textFill>
            </w:rPr>
            <w:fldChar w:fldCharType="end"/>
          </w:r>
          <w:r>
            <w:rPr>
              <w:rFonts w:hint="default" w:ascii="Times New Roman" w:hAnsi="Times New Roman" w:eastAsia="宋体" w:cs="Times New Roman"/>
              <w:bCs/>
              <w:color w:val="000000" w:themeColor="text1"/>
              <w:sz w:val="24"/>
              <w:szCs w:val="36"/>
              <w14:textFill>
                <w14:solidFill>
                  <w14:schemeClr w14:val="tx1"/>
                </w14:solidFill>
              </w14:textFill>
            </w:rPr>
            <w:fldChar w:fldCharType="end"/>
          </w:r>
        </w:p>
        <w:p w14:paraId="6150D773">
          <w:pPr>
            <w:pStyle w:val="4"/>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Cs/>
              <w:color w:val="000000" w:themeColor="text1"/>
              <w:sz w:val="24"/>
              <w:szCs w:val="36"/>
              <w14:textFill>
                <w14:solidFill>
                  <w14:schemeClr w14:val="tx1"/>
                </w14:solidFill>
              </w14:textFill>
            </w:rPr>
            <w:instrText xml:space="preserve"> HYPERLINK \l _Toc10622 </w:instrText>
          </w:r>
          <w:r>
            <w:rPr>
              <w:rFonts w:hint="default" w:ascii="Times New Roman" w:hAnsi="Times New Roman" w:eastAsia="宋体" w:cs="Times New Roman"/>
              <w:bCs/>
              <w:color w:val="000000" w:themeColor="text1"/>
              <w:sz w:val="24"/>
              <w:szCs w:val="36"/>
              <w14:textFill>
                <w14:solidFill>
                  <w14:schemeClr w14:val="tx1"/>
                </w14:solidFill>
              </w14:textFill>
            </w:rPr>
            <w:fldChar w:fldCharType="separate"/>
          </w:r>
          <w:r>
            <w:rPr>
              <w:rFonts w:hint="eastAsia"/>
              <w:color w:val="000000" w:themeColor="text1"/>
              <w:sz w:val="24"/>
              <w:szCs w:val="32"/>
              <w:lang w:val="en-US" w:eastAsia="zh-CN"/>
              <w14:textFill>
                <w14:solidFill>
                  <w14:schemeClr w14:val="tx1"/>
                </w14:solidFill>
              </w14:textFill>
            </w:rPr>
            <w:t>1.4 评价标准</w:t>
          </w:r>
          <w:r>
            <w:rPr>
              <w:color w:val="000000" w:themeColor="text1"/>
              <w:sz w:val="24"/>
              <w:szCs w:val="32"/>
              <w14:textFill>
                <w14:solidFill>
                  <w14:schemeClr w14:val="tx1"/>
                </w14:solidFill>
              </w14:textFill>
            </w:rPr>
            <w:tab/>
          </w:r>
          <w:r>
            <w:rPr>
              <w:color w:val="000000" w:themeColor="text1"/>
              <w:sz w:val="24"/>
              <w:szCs w:val="32"/>
              <w14:textFill>
                <w14:solidFill>
                  <w14:schemeClr w14:val="tx1"/>
                </w14:solidFill>
              </w14:textFill>
            </w:rPr>
            <w:fldChar w:fldCharType="begin"/>
          </w:r>
          <w:r>
            <w:rPr>
              <w:color w:val="000000" w:themeColor="text1"/>
              <w:sz w:val="24"/>
              <w:szCs w:val="32"/>
              <w14:textFill>
                <w14:solidFill>
                  <w14:schemeClr w14:val="tx1"/>
                </w14:solidFill>
              </w14:textFill>
            </w:rPr>
            <w:instrText xml:space="preserve"> PAGEREF _Toc10622 \h </w:instrText>
          </w:r>
          <w:r>
            <w:rPr>
              <w:color w:val="000000" w:themeColor="text1"/>
              <w:sz w:val="24"/>
              <w:szCs w:val="32"/>
              <w14:textFill>
                <w14:solidFill>
                  <w14:schemeClr w14:val="tx1"/>
                </w14:solidFill>
              </w14:textFill>
            </w:rPr>
            <w:fldChar w:fldCharType="separate"/>
          </w:r>
          <w:r>
            <w:rPr>
              <w:color w:val="000000" w:themeColor="text1"/>
              <w:sz w:val="24"/>
              <w:szCs w:val="32"/>
              <w14:textFill>
                <w14:solidFill>
                  <w14:schemeClr w14:val="tx1"/>
                </w14:solidFill>
              </w14:textFill>
            </w:rPr>
            <w:t>5</w:t>
          </w:r>
          <w:r>
            <w:rPr>
              <w:color w:val="000000" w:themeColor="text1"/>
              <w:sz w:val="24"/>
              <w:szCs w:val="32"/>
              <w14:textFill>
                <w14:solidFill>
                  <w14:schemeClr w14:val="tx1"/>
                </w14:solidFill>
              </w14:textFill>
            </w:rPr>
            <w:fldChar w:fldCharType="end"/>
          </w:r>
          <w:r>
            <w:rPr>
              <w:rFonts w:hint="default" w:ascii="Times New Roman" w:hAnsi="Times New Roman" w:eastAsia="宋体" w:cs="Times New Roman"/>
              <w:bCs/>
              <w:color w:val="000000" w:themeColor="text1"/>
              <w:sz w:val="24"/>
              <w:szCs w:val="36"/>
              <w14:textFill>
                <w14:solidFill>
                  <w14:schemeClr w14:val="tx1"/>
                </w14:solidFill>
              </w14:textFill>
            </w:rPr>
            <w:fldChar w:fldCharType="end"/>
          </w:r>
        </w:p>
        <w:p w14:paraId="2898ADF7">
          <w:pPr>
            <w:pStyle w:val="4"/>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Cs/>
              <w:color w:val="000000" w:themeColor="text1"/>
              <w:sz w:val="24"/>
              <w:szCs w:val="36"/>
              <w14:textFill>
                <w14:solidFill>
                  <w14:schemeClr w14:val="tx1"/>
                </w14:solidFill>
              </w14:textFill>
            </w:rPr>
            <w:instrText xml:space="preserve"> HYPERLINK \l _Toc25591 </w:instrText>
          </w:r>
          <w:r>
            <w:rPr>
              <w:rFonts w:hint="default" w:ascii="Times New Roman" w:hAnsi="Times New Roman" w:eastAsia="宋体" w:cs="Times New Roman"/>
              <w:bCs/>
              <w:color w:val="000000" w:themeColor="text1"/>
              <w:sz w:val="24"/>
              <w:szCs w:val="36"/>
              <w14:textFill>
                <w14:solidFill>
                  <w14:schemeClr w14:val="tx1"/>
                </w14:solidFill>
              </w14:textFill>
            </w:rPr>
            <w:fldChar w:fldCharType="separate"/>
          </w:r>
          <w:r>
            <w:rPr>
              <w:rFonts w:hint="eastAsia"/>
              <w:color w:val="000000" w:themeColor="text1"/>
              <w:sz w:val="24"/>
              <w:szCs w:val="32"/>
              <w:lang w:val="en-US" w:eastAsia="zh-CN"/>
              <w14:textFill>
                <w14:solidFill>
                  <w14:schemeClr w14:val="tx1"/>
                </w14:solidFill>
              </w14:textFill>
            </w:rPr>
            <w:t>1.5 评价等级和评价范围</w:t>
          </w:r>
          <w:r>
            <w:rPr>
              <w:color w:val="000000" w:themeColor="text1"/>
              <w:sz w:val="24"/>
              <w:szCs w:val="32"/>
              <w14:textFill>
                <w14:solidFill>
                  <w14:schemeClr w14:val="tx1"/>
                </w14:solidFill>
              </w14:textFill>
            </w:rPr>
            <w:tab/>
          </w:r>
          <w:r>
            <w:rPr>
              <w:color w:val="000000" w:themeColor="text1"/>
              <w:sz w:val="24"/>
              <w:szCs w:val="32"/>
              <w14:textFill>
                <w14:solidFill>
                  <w14:schemeClr w14:val="tx1"/>
                </w14:solidFill>
              </w14:textFill>
            </w:rPr>
            <w:fldChar w:fldCharType="begin"/>
          </w:r>
          <w:r>
            <w:rPr>
              <w:color w:val="000000" w:themeColor="text1"/>
              <w:sz w:val="24"/>
              <w:szCs w:val="32"/>
              <w14:textFill>
                <w14:solidFill>
                  <w14:schemeClr w14:val="tx1"/>
                </w14:solidFill>
              </w14:textFill>
            </w:rPr>
            <w:instrText xml:space="preserve"> PAGEREF _Toc25591 \h </w:instrText>
          </w:r>
          <w:r>
            <w:rPr>
              <w:color w:val="000000" w:themeColor="text1"/>
              <w:sz w:val="24"/>
              <w:szCs w:val="32"/>
              <w14:textFill>
                <w14:solidFill>
                  <w14:schemeClr w14:val="tx1"/>
                </w14:solidFill>
              </w14:textFill>
            </w:rPr>
            <w:fldChar w:fldCharType="separate"/>
          </w:r>
          <w:r>
            <w:rPr>
              <w:color w:val="000000" w:themeColor="text1"/>
              <w:sz w:val="24"/>
              <w:szCs w:val="32"/>
              <w14:textFill>
                <w14:solidFill>
                  <w14:schemeClr w14:val="tx1"/>
                </w14:solidFill>
              </w14:textFill>
            </w:rPr>
            <w:t>7</w:t>
          </w:r>
          <w:r>
            <w:rPr>
              <w:color w:val="000000" w:themeColor="text1"/>
              <w:sz w:val="24"/>
              <w:szCs w:val="32"/>
              <w14:textFill>
                <w14:solidFill>
                  <w14:schemeClr w14:val="tx1"/>
                </w14:solidFill>
              </w14:textFill>
            </w:rPr>
            <w:fldChar w:fldCharType="end"/>
          </w:r>
          <w:r>
            <w:rPr>
              <w:rFonts w:hint="default" w:ascii="Times New Roman" w:hAnsi="Times New Roman" w:eastAsia="宋体" w:cs="Times New Roman"/>
              <w:bCs/>
              <w:color w:val="000000" w:themeColor="text1"/>
              <w:sz w:val="24"/>
              <w:szCs w:val="36"/>
              <w14:textFill>
                <w14:solidFill>
                  <w14:schemeClr w14:val="tx1"/>
                </w14:solidFill>
              </w14:textFill>
            </w:rPr>
            <w:fldChar w:fldCharType="end"/>
          </w:r>
        </w:p>
        <w:p w14:paraId="15B6994A">
          <w:pPr>
            <w:pStyle w:val="4"/>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Cs/>
              <w:color w:val="000000" w:themeColor="text1"/>
              <w:sz w:val="24"/>
              <w:szCs w:val="36"/>
              <w14:textFill>
                <w14:solidFill>
                  <w14:schemeClr w14:val="tx1"/>
                </w14:solidFill>
              </w14:textFill>
            </w:rPr>
            <w:instrText xml:space="preserve"> HYPERLINK \l _Toc20541 </w:instrText>
          </w:r>
          <w:r>
            <w:rPr>
              <w:rFonts w:hint="default" w:ascii="Times New Roman" w:hAnsi="Times New Roman" w:eastAsia="宋体" w:cs="Times New Roman"/>
              <w:bCs/>
              <w:color w:val="000000" w:themeColor="text1"/>
              <w:sz w:val="24"/>
              <w:szCs w:val="36"/>
              <w14:textFill>
                <w14:solidFill>
                  <w14:schemeClr w14:val="tx1"/>
                </w14:solidFill>
              </w14:textFill>
            </w:rPr>
            <w:fldChar w:fldCharType="separate"/>
          </w:r>
          <w:r>
            <w:rPr>
              <w:rFonts w:hint="eastAsia"/>
              <w:color w:val="000000" w:themeColor="text1"/>
              <w:sz w:val="24"/>
              <w:szCs w:val="32"/>
              <w:lang w:val="en-US" w:eastAsia="zh-CN"/>
              <w14:textFill>
                <w14:solidFill>
                  <w14:schemeClr w14:val="tx1"/>
                </w14:solidFill>
              </w14:textFill>
            </w:rPr>
            <w:t>1.6 环境空气保护目标</w:t>
          </w:r>
          <w:r>
            <w:rPr>
              <w:color w:val="000000" w:themeColor="text1"/>
              <w:sz w:val="24"/>
              <w:szCs w:val="32"/>
              <w14:textFill>
                <w14:solidFill>
                  <w14:schemeClr w14:val="tx1"/>
                </w14:solidFill>
              </w14:textFill>
            </w:rPr>
            <w:tab/>
          </w:r>
          <w:r>
            <w:rPr>
              <w:color w:val="000000" w:themeColor="text1"/>
              <w:sz w:val="24"/>
              <w:szCs w:val="32"/>
              <w14:textFill>
                <w14:solidFill>
                  <w14:schemeClr w14:val="tx1"/>
                </w14:solidFill>
              </w14:textFill>
            </w:rPr>
            <w:fldChar w:fldCharType="begin"/>
          </w:r>
          <w:r>
            <w:rPr>
              <w:color w:val="000000" w:themeColor="text1"/>
              <w:sz w:val="24"/>
              <w:szCs w:val="32"/>
              <w14:textFill>
                <w14:solidFill>
                  <w14:schemeClr w14:val="tx1"/>
                </w14:solidFill>
              </w14:textFill>
            </w:rPr>
            <w:instrText xml:space="preserve"> PAGEREF _Toc20541 \h </w:instrText>
          </w:r>
          <w:r>
            <w:rPr>
              <w:color w:val="000000" w:themeColor="text1"/>
              <w:sz w:val="24"/>
              <w:szCs w:val="32"/>
              <w14:textFill>
                <w14:solidFill>
                  <w14:schemeClr w14:val="tx1"/>
                </w14:solidFill>
              </w14:textFill>
            </w:rPr>
            <w:fldChar w:fldCharType="separate"/>
          </w:r>
          <w:r>
            <w:rPr>
              <w:color w:val="000000" w:themeColor="text1"/>
              <w:sz w:val="24"/>
              <w:szCs w:val="32"/>
              <w14:textFill>
                <w14:solidFill>
                  <w14:schemeClr w14:val="tx1"/>
                </w14:solidFill>
              </w14:textFill>
            </w:rPr>
            <w:t>9</w:t>
          </w:r>
          <w:r>
            <w:rPr>
              <w:color w:val="000000" w:themeColor="text1"/>
              <w:sz w:val="24"/>
              <w:szCs w:val="32"/>
              <w14:textFill>
                <w14:solidFill>
                  <w14:schemeClr w14:val="tx1"/>
                </w14:solidFill>
              </w14:textFill>
            </w:rPr>
            <w:fldChar w:fldCharType="end"/>
          </w:r>
          <w:r>
            <w:rPr>
              <w:rFonts w:hint="default" w:ascii="Times New Roman" w:hAnsi="Times New Roman" w:eastAsia="宋体" w:cs="Times New Roman"/>
              <w:bCs/>
              <w:color w:val="000000" w:themeColor="text1"/>
              <w:sz w:val="24"/>
              <w:szCs w:val="36"/>
              <w14:textFill>
                <w14:solidFill>
                  <w14:schemeClr w14:val="tx1"/>
                </w14:solidFill>
              </w14:textFill>
            </w:rPr>
            <w:fldChar w:fldCharType="end"/>
          </w:r>
        </w:p>
        <w:p w14:paraId="6A868DC4">
          <w:pPr>
            <w:pStyle w:val="4"/>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Cs/>
              <w:color w:val="000000" w:themeColor="text1"/>
              <w:sz w:val="24"/>
              <w:szCs w:val="36"/>
              <w14:textFill>
                <w14:solidFill>
                  <w14:schemeClr w14:val="tx1"/>
                </w14:solidFill>
              </w14:textFill>
            </w:rPr>
            <w:instrText xml:space="preserve"> HYPERLINK \l _Toc28605 </w:instrText>
          </w:r>
          <w:r>
            <w:rPr>
              <w:rFonts w:hint="default" w:ascii="Times New Roman" w:hAnsi="Times New Roman" w:eastAsia="宋体" w:cs="Times New Roman"/>
              <w:bCs/>
              <w:color w:val="000000" w:themeColor="text1"/>
              <w:sz w:val="24"/>
              <w:szCs w:val="36"/>
              <w14:textFill>
                <w14:solidFill>
                  <w14:schemeClr w14:val="tx1"/>
                </w14:solidFill>
              </w14:textFill>
            </w:rPr>
            <w:fldChar w:fldCharType="separate"/>
          </w:r>
          <w:r>
            <w:rPr>
              <w:rFonts w:hint="eastAsia"/>
              <w:color w:val="000000" w:themeColor="text1"/>
              <w:sz w:val="24"/>
              <w:szCs w:val="32"/>
              <w:lang w:val="en-US" w:eastAsia="zh-CN"/>
              <w14:textFill>
                <w14:solidFill>
                  <w14:schemeClr w14:val="tx1"/>
                </w14:solidFill>
              </w14:textFill>
            </w:rPr>
            <w:t>1.7 环境影响评价工作程序</w:t>
          </w:r>
          <w:r>
            <w:rPr>
              <w:color w:val="000000" w:themeColor="text1"/>
              <w:sz w:val="24"/>
              <w:szCs w:val="32"/>
              <w14:textFill>
                <w14:solidFill>
                  <w14:schemeClr w14:val="tx1"/>
                </w14:solidFill>
              </w14:textFill>
            </w:rPr>
            <w:tab/>
          </w:r>
          <w:r>
            <w:rPr>
              <w:color w:val="000000" w:themeColor="text1"/>
              <w:sz w:val="24"/>
              <w:szCs w:val="32"/>
              <w14:textFill>
                <w14:solidFill>
                  <w14:schemeClr w14:val="tx1"/>
                </w14:solidFill>
              </w14:textFill>
            </w:rPr>
            <w:fldChar w:fldCharType="begin"/>
          </w:r>
          <w:r>
            <w:rPr>
              <w:color w:val="000000" w:themeColor="text1"/>
              <w:sz w:val="24"/>
              <w:szCs w:val="32"/>
              <w14:textFill>
                <w14:solidFill>
                  <w14:schemeClr w14:val="tx1"/>
                </w14:solidFill>
              </w14:textFill>
            </w:rPr>
            <w:instrText xml:space="preserve"> PAGEREF _Toc28605 \h </w:instrText>
          </w:r>
          <w:r>
            <w:rPr>
              <w:color w:val="000000" w:themeColor="text1"/>
              <w:sz w:val="24"/>
              <w:szCs w:val="32"/>
              <w14:textFill>
                <w14:solidFill>
                  <w14:schemeClr w14:val="tx1"/>
                </w14:solidFill>
              </w14:textFill>
            </w:rPr>
            <w:fldChar w:fldCharType="separate"/>
          </w:r>
          <w:r>
            <w:rPr>
              <w:color w:val="000000" w:themeColor="text1"/>
              <w:sz w:val="24"/>
              <w:szCs w:val="32"/>
              <w14:textFill>
                <w14:solidFill>
                  <w14:schemeClr w14:val="tx1"/>
                </w14:solidFill>
              </w14:textFill>
            </w:rPr>
            <w:t>10</w:t>
          </w:r>
          <w:r>
            <w:rPr>
              <w:color w:val="000000" w:themeColor="text1"/>
              <w:sz w:val="24"/>
              <w:szCs w:val="32"/>
              <w14:textFill>
                <w14:solidFill>
                  <w14:schemeClr w14:val="tx1"/>
                </w14:solidFill>
              </w14:textFill>
            </w:rPr>
            <w:fldChar w:fldCharType="end"/>
          </w:r>
          <w:r>
            <w:rPr>
              <w:rFonts w:hint="default" w:ascii="Times New Roman" w:hAnsi="Times New Roman" w:eastAsia="宋体" w:cs="Times New Roman"/>
              <w:bCs/>
              <w:color w:val="000000" w:themeColor="text1"/>
              <w:sz w:val="24"/>
              <w:szCs w:val="36"/>
              <w14:textFill>
                <w14:solidFill>
                  <w14:schemeClr w14:val="tx1"/>
                </w14:solidFill>
              </w14:textFill>
            </w:rPr>
            <w:fldChar w:fldCharType="end"/>
          </w:r>
        </w:p>
        <w:p w14:paraId="179C78E0">
          <w:pPr>
            <w:pStyle w:val="22"/>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
              <w:bCs w:val="0"/>
              <w:color w:val="000000" w:themeColor="text1"/>
              <w:sz w:val="24"/>
              <w:szCs w:val="36"/>
              <w14:textFill>
                <w14:solidFill>
                  <w14:schemeClr w14:val="tx1"/>
                </w14:solidFill>
              </w14:textFill>
            </w:rPr>
            <w:fldChar w:fldCharType="begin"/>
          </w:r>
          <w:r>
            <w:rPr>
              <w:rFonts w:hint="default" w:ascii="Times New Roman" w:hAnsi="Times New Roman" w:eastAsia="宋体" w:cs="Times New Roman"/>
              <w:b/>
              <w:bCs w:val="0"/>
              <w:color w:val="000000" w:themeColor="text1"/>
              <w:sz w:val="24"/>
              <w:szCs w:val="36"/>
              <w14:textFill>
                <w14:solidFill>
                  <w14:schemeClr w14:val="tx1"/>
                </w14:solidFill>
              </w14:textFill>
            </w:rPr>
            <w:instrText xml:space="preserve"> HYPERLINK \l _Toc28690 </w:instrText>
          </w:r>
          <w:r>
            <w:rPr>
              <w:rFonts w:hint="default" w:ascii="Times New Roman" w:hAnsi="Times New Roman" w:eastAsia="宋体" w:cs="Times New Roman"/>
              <w:b/>
              <w:bCs w:val="0"/>
              <w:color w:val="000000" w:themeColor="text1"/>
              <w:sz w:val="24"/>
              <w:szCs w:val="36"/>
              <w14:textFill>
                <w14:solidFill>
                  <w14:schemeClr w14:val="tx1"/>
                </w14:solidFill>
              </w14:textFill>
            </w:rPr>
            <w:fldChar w:fldCharType="separate"/>
          </w:r>
          <w:r>
            <w:rPr>
              <w:rFonts w:hint="eastAsia" w:ascii="Times New Roman" w:hAnsi="Times New Roman" w:eastAsia="宋体" w:cs="Times New Roman"/>
              <w:b/>
              <w:bCs w:val="0"/>
              <w:color w:val="000000" w:themeColor="text1"/>
              <w:kern w:val="44"/>
              <w:sz w:val="24"/>
              <w:szCs w:val="36"/>
              <w:lang w:val="en-US" w:eastAsia="zh-CN" w:bidi="ar-SA"/>
              <w14:textFill>
                <w14:solidFill>
                  <w14:schemeClr w14:val="tx1"/>
                </w14:solidFill>
              </w14:textFill>
            </w:rPr>
            <w:t>2、</w:t>
          </w:r>
          <w:r>
            <w:rPr>
              <w:rFonts w:hint="eastAsia"/>
              <w:b/>
              <w:bCs w:val="0"/>
              <w:color w:val="000000" w:themeColor="text1"/>
              <w:sz w:val="24"/>
              <w:szCs w:val="32"/>
              <w:lang w:val="en-US" w:eastAsia="zh-CN"/>
              <w14:textFill>
                <w14:solidFill>
                  <w14:schemeClr w14:val="tx1"/>
                </w14:solidFill>
              </w14:textFill>
            </w:rPr>
            <w:t>环境空气质量现状调查与评价</w:t>
          </w:r>
          <w:r>
            <w:rPr>
              <w:b/>
              <w:bCs w:val="0"/>
              <w:color w:val="000000" w:themeColor="text1"/>
              <w:sz w:val="24"/>
              <w:szCs w:val="32"/>
              <w14:textFill>
                <w14:solidFill>
                  <w14:schemeClr w14:val="tx1"/>
                </w14:solidFill>
              </w14:textFill>
            </w:rPr>
            <w:tab/>
          </w:r>
          <w:r>
            <w:rPr>
              <w:b/>
              <w:bCs w:val="0"/>
              <w:color w:val="000000" w:themeColor="text1"/>
              <w:sz w:val="24"/>
              <w:szCs w:val="32"/>
              <w14:textFill>
                <w14:solidFill>
                  <w14:schemeClr w14:val="tx1"/>
                </w14:solidFill>
              </w14:textFill>
            </w:rPr>
            <w:fldChar w:fldCharType="begin"/>
          </w:r>
          <w:r>
            <w:rPr>
              <w:b/>
              <w:bCs w:val="0"/>
              <w:color w:val="000000" w:themeColor="text1"/>
              <w:sz w:val="24"/>
              <w:szCs w:val="32"/>
              <w14:textFill>
                <w14:solidFill>
                  <w14:schemeClr w14:val="tx1"/>
                </w14:solidFill>
              </w14:textFill>
            </w:rPr>
            <w:instrText xml:space="preserve"> PAGEREF _Toc28690 \h </w:instrText>
          </w:r>
          <w:r>
            <w:rPr>
              <w:b/>
              <w:bCs w:val="0"/>
              <w:color w:val="000000" w:themeColor="text1"/>
              <w:sz w:val="24"/>
              <w:szCs w:val="32"/>
              <w14:textFill>
                <w14:solidFill>
                  <w14:schemeClr w14:val="tx1"/>
                </w14:solidFill>
              </w14:textFill>
            </w:rPr>
            <w:fldChar w:fldCharType="separate"/>
          </w:r>
          <w:r>
            <w:rPr>
              <w:b/>
              <w:bCs w:val="0"/>
              <w:color w:val="000000" w:themeColor="text1"/>
              <w:sz w:val="24"/>
              <w:szCs w:val="32"/>
              <w14:textFill>
                <w14:solidFill>
                  <w14:schemeClr w14:val="tx1"/>
                </w14:solidFill>
              </w14:textFill>
            </w:rPr>
            <w:t>12</w:t>
          </w:r>
          <w:r>
            <w:rPr>
              <w:b/>
              <w:bCs w:val="0"/>
              <w:color w:val="000000" w:themeColor="text1"/>
              <w:sz w:val="24"/>
              <w:szCs w:val="32"/>
              <w14:textFill>
                <w14:solidFill>
                  <w14:schemeClr w14:val="tx1"/>
                </w14:solidFill>
              </w14:textFill>
            </w:rPr>
            <w:fldChar w:fldCharType="end"/>
          </w:r>
          <w:r>
            <w:rPr>
              <w:rFonts w:hint="default" w:ascii="Times New Roman" w:hAnsi="Times New Roman" w:eastAsia="宋体" w:cs="Times New Roman"/>
              <w:b/>
              <w:bCs w:val="0"/>
              <w:color w:val="000000" w:themeColor="text1"/>
              <w:sz w:val="24"/>
              <w:szCs w:val="36"/>
              <w14:textFill>
                <w14:solidFill>
                  <w14:schemeClr w14:val="tx1"/>
                </w14:solidFill>
              </w14:textFill>
            </w:rPr>
            <w:fldChar w:fldCharType="end"/>
          </w:r>
        </w:p>
        <w:p w14:paraId="477F092E">
          <w:pPr>
            <w:pStyle w:val="4"/>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Cs/>
              <w:color w:val="000000" w:themeColor="text1"/>
              <w:sz w:val="24"/>
              <w:szCs w:val="36"/>
              <w14:textFill>
                <w14:solidFill>
                  <w14:schemeClr w14:val="tx1"/>
                </w14:solidFill>
              </w14:textFill>
            </w:rPr>
            <w:instrText xml:space="preserve"> HYPERLINK \l _Toc8440 </w:instrText>
          </w:r>
          <w:r>
            <w:rPr>
              <w:rFonts w:hint="default" w:ascii="Times New Roman" w:hAnsi="Times New Roman" w:eastAsia="宋体" w:cs="Times New Roman"/>
              <w:bCs/>
              <w:color w:val="000000" w:themeColor="text1"/>
              <w:sz w:val="24"/>
              <w:szCs w:val="36"/>
              <w14:textFill>
                <w14:solidFill>
                  <w14:schemeClr w14:val="tx1"/>
                </w14:solidFill>
              </w14:textFill>
            </w:rPr>
            <w:fldChar w:fldCharType="separate"/>
          </w:r>
          <w:r>
            <w:rPr>
              <w:rFonts w:hint="eastAsia"/>
              <w:color w:val="000000" w:themeColor="text1"/>
              <w:sz w:val="24"/>
              <w:szCs w:val="32"/>
              <w:lang w:val="en-US" w:eastAsia="zh-CN"/>
              <w14:textFill>
                <w14:solidFill>
                  <w14:schemeClr w14:val="tx1"/>
                </w14:solidFill>
              </w14:textFill>
            </w:rPr>
            <w:t>2.1 二类区区域环境质量现状</w:t>
          </w:r>
          <w:r>
            <w:rPr>
              <w:color w:val="000000" w:themeColor="text1"/>
              <w:sz w:val="24"/>
              <w:szCs w:val="32"/>
              <w14:textFill>
                <w14:solidFill>
                  <w14:schemeClr w14:val="tx1"/>
                </w14:solidFill>
              </w14:textFill>
            </w:rPr>
            <w:tab/>
          </w:r>
          <w:r>
            <w:rPr>
              <w:color w:val="000000" w:themeColor="text1"/>
              <w:sz w:val="24"/>
              <w:szCs w:val="32"/>
              <w14:textFill>
                <w14:solidFill>
                  <w14:schemeClr w14:val="tx1"/>
                </w14:solidFill>
              </w14:textFill>
            </w:rPr>
            <w:fldChar w:fldCharType="begin"/>
          </w:r>
          <w:r>
            <w:rPr>
              <w:color w:val="000000" w:themeColor="text1"/>
              <w:sz w:val="24"/>
              <w:szCs w:val="32"/>
              <w14:textFill>
                <w14:solidFill>
                  <w14:schemeClr w14:val="tx1"/>
                </w14:solidFill>
              </w14:textFill>
            </w:rPr>
            <w:instrText xml:space="preserve"> PAGEREF _Toc8440 \h </w:instrText>
          </w:r>
          <w:r>
            <w:rPr>
              <w:color w:val="000000" w:themeColor="text1"/>
              <w:sz w:val="24"/>
              <w:szCs w:val="32"/>
              <w14:textFill>
                <w14:solidFill>
                  <w14:schemeClr w14:val="tx1"/>
                </w14:solidFill>
              </w14:textFill>
            </w:rPr>
            <w:fldChar w:fldCharType="separate"/>
          </w:r>
          <w:r>
            <w:rPr>
              <w:color w:val="000000" w:themeColor="text1"/>
              <w:sz w:val="24"/>
              <w:szCs w:val="32"/>
              <w14:textFill>
                <w14:solidFill>
                  <w14:schemeClr w14:val="tx1"/>
                </w14:solidFill>
              </w14:textFill>
            </w:rPr>
            <w:t>12</w:t>
          </w:r>
          <w:r>
            <w:rPr>
              <w:color w:val="000000" w:themeColor="text1"/>
              <w:sz w:val="24"/>
              <w:szCs w:val="32"/>
              <w14:textFill>
                <w14:solidFill>
                  <w14:schemeClr w14:val="tx1"/>
                </w14:solidFill>
              </w14:textFill>
            </w:rPr>
            <w:fldChar w:fldCharType="end"/>
          </w:r>
          <w:r>
            <w:rPr>
              <w:rFonts w:hint="default" w:ascii="Times New Roman" w:hAnsi="Times New Roman" w:eastAsia="宋体" w:cs="Times New Roman"/>
              <w:bCs/>
              <w:color w:val="000000" w:themeColor="text1"/>
              <w:sz w:val="24"/>
              <w:szCs w:val="36"/>
              <w14:textFill>
                <w14:solidFill>
                  <w14:schemeClr w14:val="tx1"/>
                </w14:solidFill>
              </w14:textFill>
            </w:rPr>
            <w:fldChar w:fldCharType="end"/>
          </w:r>
        </w:p>
        <w:p w14:paraId="3C1FF9B6">
          <w:pPr>
            <w:pStyle w:val="4"/>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Cs/>
              <w:color w:val="000000" w:themeColor="text1"/>
              <w:sz w:val="24"/>
              <w:szCs w:val="36"/>
              <w14:textFill>
                <w14:solidFill>
                  <w14:schemeClr w14:val="tx1"/>
                </w14:solidFill>
              </w14:textFill>
            </w:rPr>
            <w:instrText xml:space="preserve"> HYPERLINK \l _Toc8902 </w:instrText>
          </w:r>
          <w:r>
            <w:rPr>
              <w:rFonts w:hint="default" w:ascii="Times New Roman" w:hAnsi="Times New Roman" w:eastAsia="宋体" w:cs="Times New Roman"/>
              <w:bCs/>
              <w:color w:val="000000" w:themeColor="text1"/>
              <w:sz w:val="24"/>
              <w:szCs w:val="36"/>
              <w14:textFill>
                <w14:solidFill>
                  <w14:schemeClr w14:val="tx1"/>
                </w14:solidFill>
              </w14:textFill>
            </w:rPr>
            <w:fldChar w:fldCharType="separate"/>
          </w:r>
          <w:r>
            <w:rPr>
              <w:rFonts w:hint="eastAsia"/>
              <w:color w:val="000000" w:themeColor="text1"/>
              <w:sz w:val="24"/>
              <w:szCs w:val="32"/>
              <w:lang w:val="en-US" w:eastAsia="zh-CN"/>
              <w14:textFill>
                <w14:solidFill>
                  <w14:schemeClr w14:val="tx1"/>
                </w14:solidFill>
              </w14:textFill>
            </w:rPr>
            <w:t>2.2 一类区环境质量现状</w:t>
          </w:r>
          <w:r>
            <w:rPr>
              <w:color w:val="000000" w:themeColor="text1"/>
              <w:sz w:val="24"/>
              <w:szCs w:val="32"/>
              <w14:textFill>
                <w14:solidFill>
                  <w14:schemeClr w14:val="tx1"/>
                </w14:solidFill>
              </w14:textFill>
            </w:rPr>
            <w:tab/>
          </w:r>
          <w:r>
            <w:rPr>
              <w:color w:val="000000" w:themeColor="text1"/>
              <w:sz w:val="24"/>
              <w:szCs w:val="32"/>
              <w14:textFill>
                <w14:solidFill>
                  <w14:schemeClr w14:val="tx1"/>
                </w14:solidFill>
              </w14:textFill>
            </w:rPr>
            <w:fldChar w:fldCharType="begin"/>
          </w:r>
          <w:r>
            <w:rPr>
              <w:color w:val="000000" w:themeColor="text1"/>
              <w:sz w:val="24"/>
              <w:szCs w:val="32"/>
              <w14:textFill>
                <w14:solidFill>
                  <w14:schemeClr w14:val="tx1"/>
                </w14:solidFill>
              </w14:textFill>
            </w:rPr>
            <w:instrText xml:space="preserve"> PAGEREF _Toc8902 \h </w:instrText>
          </w:r>
          <w:r>
            <w:rPr>
              <w:color w:val="000000" w:themeColor="text1"/>
              <w:sz w:val="24"/>
              <w:szCs w:val="32"/>
              <w14:textFill>
                <w14:solidFill>
                  <w14:schemeClr w14:val="tx1"/>
                </w14:solidFill>
              </w14:textFill>
            </w:rPr>
            <w:fldChar w:fldCharType="separate"/>
          </w:r>
          <w:r>
            <w:rPr>
              <w:color w:val="000000" w:themeColor="text1"/>
              <w:sz w:val="24"/>
              <w:szCs w:val="32"/>
              <w14:textFill>
                <w14:solidFill>
                  <w14:schemeClr w14:val="tx1"/>
                </w14:solidFill>
              </w14:textFill>
            </w:rPr>
            <w:t>15</w:t>
          </w:r>
          <w:r>
            <w:rPr>
              <w:color w:val="000000" w:themeColor="text1"/>
              <w:sz w:val="24"/>
              <w:szCs w:val="32"/>
              <w14:textFill>
                <w14:solidFill>
                  <w14:schemeClr w14:val="tx1"/>
                </w14:solidFill>
              </w14:textFill>
            </w:rPr>
            <w:fldChar w:fldCharType="end"/>
          </w:r>
          <w:r>
            <w:rPr>
              <w:rFonts w:hint="default" w:ascii="Times New Roman" w:hAnsi="Times New Roman" w:eastAsia="宋体" w:cs="Times New Roman"/>
              <w:bCs/>
              <w:color w:val="000000" w:themeColor="text1"/>
              <w:sz w:val="24"/>
              <w:szCs w:val="36"/>
              <w14:textFill>
                <w14:solidFill>
                  <w14:schemeClr w14:val="tx1"/>
                </w14:solidFill>
              </w14:textFill>
            </w:rPr>
            <w:fldChar w:fldCharType="end"/>
          </w:r>
        </w:p>
        <w:p w14:paraId="113033A6">
          <w:pPr>
            <w:pStyle w:val="4"/>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Cs/>
              <w:color w:val="000000" w:themeColor="text1"/>
              <w:sz w:val="24"/>
              <w:szCs w:val="36"/>
              <w14:textFill>
                <w14:solidFill>
                  <w14:schemeClr w14:val="tx1"/>
                </w14:solidFill>
              </w14:textFill>
            </w:rPr>
            <w:instrText xml:space="preserve"> HYPERLINK \l _Toc8520 </w:instrText>
          </w:r>
          <w:r>
            <w:rPr>
              <w:rFonts w:hint="default" w:ascii="Times New Roman" w:hAnsi="Times New Roman" w:eastAsia="宋体" w:cs="Times New Roman"/>
              <w:bCs/>
              <w:color w:val="000000" w:themeColor="text1"/>
              <w:sz w:val="24"/>
              <w:szCs w:val="36"/>
              <w14:textFill>
                <w14:solidFill>
                  <w14:schemeClr w14:val="tx1"/>
                </w14:solidFill>
              </w14:textFill>
            </w:rPr>
            <w:fldChar w:fldCharType="separate"/>
          </w:r>
          <w:r>
            <w:rPr>
              <w:rFonts w:hint="eastAsia"/>
              <w:color w:val="000000" w:themeColor="text1"/>
              <w:sz w:val="24"/>
              <w:szCs w:val="32"/>
              <w:lang w:val="en-US" w:eastAsia="zh-CN"/>
              <w14:textFill>
                <w14:solidFill>
                  <w14:schemeClr w14:val="tx1"/>
                </w14:solidFill>
              </w14:textFill>
            </w:rPr>
            <w:t>2.3 环境敏感区</w:t>
          </w:r>
          <w:r>
            <w:rPr>
              <w:color w:val="000000" w:themeColor="text1"/>
              <w:sz w:val="24"/>
              <w:szCs w:val="32"/>
              <w14:textFill>
                <w14:solidFill>
                  <w14:schemeClr w14:val="tx1"/>
                </w14:solidFill>
              </w14:textFill>
            </w:rPr>
            <w:tab/>
          </w:r>
          <w:r>
            <w:rPr>
              <w:color w:val="000000" w:themeColor="text1"/>
              <w:sz w:val="24"/>
              <w:szCs w:val="32"/>
              <w14:textFill>
                <w14:solidFill>
                  <w14:schemeClr w14:val="tx1"/>
                </w14:solidFill>
              </w14:textFill>
            </w:rPr>
            <w:fldChar w:fldCharType="begin"/>
          </w:r>
          <w:r>
            <w:rPr>
              <w:color w:val="000000" w:themeColor="text1"/>
              <w:sz w:val="24"/>
              <w:szCs w:val="32"/>
              <w14:textFill>
                <w14:solidFill>
                  <w14:schemeClr w14:val="tx1"/>
                </w14:solidFill>
              </w14:textFill>
            </w:rPr>
            <w:instrText xml:space="preserve"> PAGEREF _Toc8520 \h </w:instrText>
          </w:r>
          <w:r>
            <w:rPr>
              <w:color w:val="000000" w:themeColor="text1"/>
              <w:sz w:val="24"/>
              <w:szCs w:val="32"/>
              <w14:textFill>
                <w14:solidFill>
                  <w14:schemeClr w14:val="tx1"/>
                </w14:solidFill>
              </w14:textFill>
            </w:rPr>
            <w:fldChar w:fldCharType="separate"/>
          </w:r>
          <w:r>
            <w:rPr>
              <w:color w:val="000000" w:themeColor="text1"/>
              <w:sz w:val="24"/>
              <w:szCs w:val="32"/>
              <w14:textFill>
                <w14:solidFill>
                  <w14:schemeClr w14:val="tx1"/>
                </w14:solidFill>
              </w14:textFill>
            </w:rPr>
            <w:t>22</w:t>
          </w:r>
          <w:r>
            <w:rPr>
              <w:color w:val="000000" w:themeColor="text1"/>
              <w:sz w:val="24"/>
              <w:szCs w:val="32"/>
              <w14:textFill>
                <w14:solidFill>
                  <w14:schemeClr w14:val="tx1"/>
                </w14:solidFill>
              </w14:textFill>
            </w:rPr>
            <w:fldChar w:fldCharType="end"/>
          </w:r>
          <w:r>
            <w:rPr>
              <w:rFonts w:hint="default" w:ascii="Times New Roman" w:hAnsi="Times New Roman" w:eastAsia="宋体" w:cs="Times New Roman"/>
              <w:bCs/>
              <w:color w:val="000000" w:themeColor="text1"/>
              <w:sz w:val="24"/>
              <w:szCs w:val="36"/>
              <w14:textFill>
                <w14:solidFill>
                  <w14:schemeClr w14:val="tx1"/>
                </w14:solidFill>
              </w14:textFill>
            </w:rPr>
            <w:fldChar w:fldCharType="end"/>
          </w:r>
        </w:p>
        <w:p w14:paraId="183B4C06">
          <w:pPr>
            <w:pStyle w:val="22"/>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
              <w:bCs w:val="0"/>
              <w:color w:val="000000" w:themeColor="text1"/>
              <w:sz w:val="24"/>
              <w:szCs w:val="36"/>
              <w14:textFill>
                <w14:solidFill>
                  <w14:schemeClr w14:val="tx1"/>
                </w14:solidFill>
              </w14:textFill>
            </w:rPr>
            <w:fldChar w:fldCharType="begin"/>
          </w:r>
          <w:r>
            <w:rPr>
              <w:rFonts w:hint="default" w:ascii="Times New Roman" w:hAnsi="Times New Roman" w:eastAsia="宋体" w:cs="Times New Roman"/>
              <w:b/>
              <w:bCs w:val="0"/>
              <w:color w:val="000000" w:themeColor="text1"/>
              <w:sz w:val="24"/>
              <w:szCs w:val="36"/>
              <w14:textFill>
                <w14:solidFill>
                  <w14:schemeClr w14:val="tx1"/>
                </w14:solidFill>
              </w14:textFill>
            </w:rPr>
            <w:instrText xml:space="preserve"> HYPERLINK \l _Toc5553 </w:instrText>
          </w:r>
          <w:r>
            <w:rPr>
              <w:rFonts w:hint="default" w:ascii="Times New Roman" w:hAnsi="Times New Roman" w:eastAsia="宋体" w:cs="Times New Roman"/>
              <w:b/>
              <w:bCs w:val="0"/>
              <w:color w:val="000000" w:themeColor="text1"/>
              <w:sz w:val="24"/>
              <w:szCs w:val="36"/>
              <w14:textFill>
                <w14:solidFill>
                  <w14:schemeClr w14:val="tx1"/>
                </w14:solidFill>
              </w14:textFill>
            </w:rPr>
            <w:fldChar w:fldCharType="separate"/>
          </w:r>
          <w:r>
            <w:rPr>
              <w:rFonts w:hint="eastAsia" w:ascii="Times New Roman" w:hAnsi="Times New Roman" w:eastAsia="宋体" w:cs="Times New Roman"/>
              <w:b/>
              <w:bCs w:val="0"/>
              <w:color w:val="000000" w:themeColor="text1"/>
              <w:kern w:val="44"/>
              <w:sz w:val="24"/>
              <w:szCs w:val="36"/>
              <w:lang w:val="en-US" w:eastAsia="zh-CN" w:bidi="ar-SA"/>
              <w14:textFill>
                <w14:solidFill>
                  <w14:schemeClr w14:val="tx1"/>
                </w14:solidFill>
              </w14:textFill>
            </w:rPr>
            <w:t>3、主要污染物及控制措施</w:t>
          </w:r>
          <w:r>
            <w:rPr>
              <w:b/>
              <w:bCs w:val="0"/>
              <w:color w:val="000000" w:themeColor="text1"/>
              <w:sz w:val="24"/>
              <w:szCs w:val="32"/>
              <w14:textFill>
                <w14:solidFill>
                  <w14:schemeClr w14:val="tx1"/>
                </w14:solidFill>
              </w14:textFill>
            </w:rPr>
            <w:tab/>
          </w:r>
          <w:r>
            <w:rPr>
              <w:b/>
              <w:bCs w:val="0"/>
              <w:color w:val="000000" w:themeColor="text1"/>
              <w:sz w:val="24"/>
              <w:szCs w:val="32"/>
              <w14:textFill>
                <w14:solidFill>
                  <w14:schemeClr w14:val="tx1"/>
                </w14:solidFill>
              </w14:textFill>
            </w:rPr>
            <w:fldChar w:fldCharType="begin"/>
          </w:r>
          <w:r>
            <w:rPr>
              <w:b/>
              <w:bCs w:val="0"/>
              <w:color w:val="000000" w:themeColor="text1"/>
              <w:sz w:val="24"/>
              <w:szCs w:val="32"/>
              <w14:textFill>
                <w14:solidFill>
                  <w14:schemeClr w14:val="tx1"/>
                </w14:solidFill>
              </w14:textFill>
            </w:rPr>
            <w:instrText xml:space="preserve"> PAGEREF _Toc5553 \h </w:instrText>
          </w:r>
          <w:r>
            <w:rPr>
              <w:b/>
              <w:bCs w:val="0"/>
              <w:color w:val="000000" w:themeColor="text1"/>
              <w:sz w:val="24"/>
              <w:szCs w:val="32"/>
              <w14:textFill>
                <w14:solidFill>
                  <w14:schemeClr w14:val="tx1"/>
                </w14:solidFill>
              </w14:textFill>
            </w:rPr>
            <w:fldChar w:fldCharType="separate"/>
          </w:r>
          <w:r>
            <w:rPr>
              <w:b/>
              <w:bCs w:val="0"/>
              <w:color w:val="000000" w:themeColor="text1"/>
              <w:sz w:val="24"/>
              <w:szCs w:val="32"/>
              <w14:textFill>
                <w14:solidFill>
                  <w14:schemeClr w14:val="tx1"/>
                </w14:solidFill>
              </w14:textFill>
            </w:rPr>
            <w:t>22</w:t>
          </w:r>
          <w:r>
            <w:rPr>
              <w:b/>
              <w:bCs w:val="0"/>
              <w:color w:val="000000" w:themeColor="text1"/>
              <w:sz w:val="24"/>
              <w:szCs w:val="32"/>
              <w14:textFill>
                <w14:solidFill>
                  <w14:schemeClr w14:val="tx1"/>
                </w14:solidFill>
              </w14:textFill>
            </w:rPr>
            <w:fldChar w:fldCharType="end"/>
          </w:r>
          <w:r>
            <w:rPr>
              <w:rFonts w:hint="default" w:ascii="Times New Roman" w:hAnsi="Times New Roman" w:eastAsia="宋体" w:cs="Times New Roman"/>
              <w:b/>
              <w:bCs w:val="0"/>
              <w:color w:val="000000" w:themeColor="text1"/>
              <w:sz w:val="24"/>
              <w:szCs w:val="36"/>
              <w14:textFill>
                <w14:solidFill>
                  <w14:schemeClr w14:val="tx1"/>
                </w14:solidFill>
              </w14:textFill>
            </w:rPr>
            <w:fldChar w:fldCharType="end"/>
          </w:r>
        </w:p>
        <w:p w14:paraId="56D3E20E">
          <w:pPr>
            <w:pStyle w:val="4"/>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Cs/>
              <w:color w:val="000000" w:themeColor="text1"/>
              <w:sz w:val="24"/>
              <w:szCs w:val="36"/>
              <w14:textFill>
                <w14:solidFill>
                  <w14:schemeClr w14:val="tx1"/>
                </w14:solidFill>
              </w14:textFill>
            </w:rPr>
            <w:instrText xml:space="preserve"> HYPERLINK \l _Toc13722 </w:instrText>
          </w:r>
          <w:r>
            <w:rPr>
              <w:rFonts w:hint="default" w:ascii="Times New Roman" w:hAnsi="Times New Roman" w:eastAsia="宋体" w:cs="Times New Roman"/>
              <w:bCs/>
              <w:color w:val="000000" w:themeColor="text1"/>
              <w:sz w:val="24"/>
              <w:szCs w:val="36"/>
              <w14:textFill>
                <w14:solidFill>
                  <w14:schemeClr w14:val="tx1"/>
                </w14:solidFill>
              </w14:textFill>
            </w:rPr>
            <w:fldChar w:fldCharType="separate"/>
          </w:r>
          <w:r>
            <w:rPr>
              <w:rFonts w:hint="eastAsia"/>
              <w:color w:val="000000" w:themeColor="text1"/>
              <w:sz w:val="24"/>
              <w:szCs w:val="32"/>
              <w:lang w:val="en-US" w:eastAsia="zh-CN"/>
              <w14:textFill>
                <w14:solidFill>
                  <w14:schemeClr w14:val="tx1"/>
                </w14:solidFill>
              </w14:textFill>
            </w:rPr>
            <w:t>3.1 施工期污染物及控制措施</w:t>
          </w:r>
          <w:r>
            <w:rPr>
              <w:color w:val="000000" w:themeColor="text1"/>
              <w:sz w:val="24"/>
              <w:szCs w:val="32"/>
              <w14:textFill>
                <w14:solidFill>
                  <w14:schemeClr w14:val="tx1"/>
                </w14:solidFill>
              </w14:textFill>
            </w:rPr>
            <w:tab/>
          </w:r>
          <w:r>
            <w:rPr>
              <w:color w:val="000000" w:themeColor="text1"/>
              <w:sz w:val="24"/>
              <w:szCs w:val="32"/>
              <w14:textFill>
                <w14:solidFill>
                  <w14:schemeClr w14:val="tx1"/>
                </w14:solidFill>
              </w14:textFill>
            </w:rPr>
            <w:fldChar w:fldCharType="begin"/>
          </w:r>
          <w:r>
            <w:rPr>
              <w:color w:val="000000" w:themeColor="text1"/>
              <w:sz w:val="24"/>
              <w:szCs w:val="32"/>
              <w14:textFill>
                <w14:solidFill>
                  <w14:schemeClr w14:val="tx1"/>
                </w14:solidFill>
              </w14:textFill>
            </w:rPr>
            <w:instrText xml:space="preserve"> PAGEREF _Toc13722 \h </w:instrText>
          </w:r>
          <w:r>
            <w:rPr>
              <w:color w:val="000000" w:themeColor="text1"/>
              <w:sz w:val="24"/>
              <w:szCs w:val="32"/>
              <w14:textFill>
                <w14:solidFill>
                  <w14:schemeClr w14:val="tx1"/>
                </w14:solidFill>
              </w14:textFill>
            </w:rPr>
            <w:fldChar w:fldCharType="separate"/>
          </w:r>
          <w:r>
            <w:rPr>
              <w:color w:val="000000" w:themeColor="text1"/>
              <w:sz w:val="24"/>
              <w:szCs w:val="32"/>
              <w14:textFill>
                <w14:solidFill>
                  <w14:schemeClr w14:val="tx1"/>
                </w14:solidFill>
              </w14:textFill>
            </w:rPr>
            <w:t>22</w:t>
          </w:r>
          <w:r>
            <w:rPr>
              <w:color w:val="000000" w:themeColor="text1"/>
              <w:sz w:val="24"/>
              <w:szCs w:val="32"/>
              <w14:textFill>
                <w14:solidFill>
                  <w14:schemeClr w14:val="tx1"/>
                </w14:solidFill>
              </w14:textFill>
            </w:rPr>
            <w:fldChar w:fldCharType="end"/>
          </w:r>
          <w:r>
            <w:rPr>
              <w:rFonts w:hint="default" w:ascii="Times New Roman" w:hAnsi="Times New Roman" w:eastAsia="宋体" w:cs="Times New Roman"/>
              <w:bCs/>
              <w:color w:val="000000" w:themeColor="text1"/>
              <w:sz w:val="24"/>
              <w:szCs w:val="36"/>
              <w14:textFill>
                <w14:solidFill>
                  <w14:schemeClr w14:val="tx1"/>
                </w14:solidFill>
              </w14:textFill>
            </w:rPr>
            <w:fldChar w:fldCharType="end"/>
          </w:r>
        </w:p>
        <w:p w14:paraId="6EAE9E87">
          <w:pPr>
            <w:pStyle w:val="4"/>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Cs/>
              <w:color w:val="000000" w:themeColor="text1"/>
              <w:sz w:val="24"/>
              <w:szCs w:val="36"/>
              <w14:textFill>
                <w14:solidFill>
                  <w14:schemeClr w14:val="tx1"/>
                </w14:solidFill>
              </w14:textFill>
            </w:rPr>
            <w:instrText xml:space="preserve"> HYPERLINK \l _Toc14240 </w:instrText>
          </w:r>
          <w:r>
            <w:rPr>
              <w:rFonts w:hint="default" w:ascii="Times New Roman" w:hAnsi="Times New Roman" w:eastAsia="宋体" w:cs="Times New Roman"/>
              <w:bCs/>
              <w:color w:val="000000" w:themeColor="text1"/>
              <w:sz w:val="24"/>
              <w:szCs w:val="36"/>
              <w14:textFill>
                <w14:solidFill>
                  <w14:schemeClr w14:val="tx1"/>
                </w14:solidFill>
              </w14:textFill>
            </w:rPr>
            <w:fldChar w:fldCharType="separate"/>
          </w:r>
          <w:r>
            <w:rPr>
              <w:rFonts w:hint="eastAsia"/>
              <w:color w:val="000000" w:themeColor="text1"/>
              <w:sz w:val="24"/>
              <w:szCs w:val="32"/>
              <w:lang w:val="en-US" w:eastAsia="zh-CN"/>
              <w14:textFill>
                <w14:solidFill>
                  <w14:schemeClr w14:val="tx1"/>
                </w14:solidFill>
              </w14:textFill>
            </w:rPr>
            <w:t>3.2运营期污染物及控制措施</w:t>
          </w:r>
          <w:r>
            <w:rPr>
              <w:color w:val="000000" w:themeColor="text1"/>
              <w:sz w:val="24"/>
              <w:szCs w:val="32"/>
              <w14:textFill>
                <w14:solidFill>
                  <w14:schemeClr w14:val="tx1"/>
                </w14:solidFill>
              </w14:textFill>
            </w:rPr>
            <w:tab/>
          </w:r>
          <w:r>
            <w:rPr>
              <w:color w:val="000000" w:themeColor="text1"/>
              <w:sz w:val="24"/>
              <w:szCs w:val="32"/>
              <w14:textFill>
                <w14:solidFill>
                  <w14:schemeClr w14:val="tx1"/>
                </w14:solidFill>
              </w14:textFill>
            </w:rPr>
            <w:fldChar w:fldCharType="begin"/>
          </w:r>
          <w:r>
            <w:rPr>
              <w:color w:val="000000" w:themeColor="text1"/>
              <w:sz w:val="24"/>
              <w:szCs w:val="32"/>
              <w14:textFill>
                <w14:solidFill>
                  <w14:schemeClr w14:val="tx1"/>
                </w14:solidFill>
              </w14:textFill>
            </w:rPr>
            <w:instrText xml:space="preserve"> PAGEREF _Toc14240 \h </w:instrText>
          </w:r>
          <w:r>
            <w:rPr>
              <w:color w:val="000000" w:themeColor="text1"/>
              <w:sz w:val="24"/>
              <w:szCs w:val="32"/>
              <w14:textFill>
                <w14:solidFill>
                  <w14:schemeClr w14:val="tx1"/>
                </w14:solidFill>
              </w14:textFill>
            </w:rPr>
            <w:fldChar w:fldCharType="separate"/>
          </w:r>
          <w:r>
            <w:rPr>
              <w:color w:val="000000" w:themeColor="text1"/>
              <w:sz w:val="24"/>
              <w:szCs w:val="32"/>
              <w14:textFill>
                <w14:solidFill>
                  <w14:schemeClr w14:val="tx1"/>
                </w14:solidFill>
              </w14:textFill>
            </w:rPr>
            <w:t>23</w:t>
          </w:r>
          <w:r>
            <w:rPr>
              <w:color w:val="000000" w:themeColor="text1"/>
              <w:sz w:val="24"/>
              <w:szCs w:val="32"/>
              <w14:textFill>
                <w14:solidFill>
                  <w14:schemeClr w14:val="tx1"/>
                </w14:solidFill>
              </w14:textFill>
            </w:rPr>
            <w:fldChar w:fldCharType="end"/>
          </w:r>
          <w:r>
            <w:rPr>
              <w:rFonts w:hint="default" w:ascii="Times New Roman" w:hAnsi="Times New Roman" w:eastAsia="宋体" w:cs="Times New Roman"/>
              <w:bCs/>
              <w:color w:val="000000" w:themeColor="text1"/>
              <w:sz w:val="24"/>
              <w:szCs w:val="36"/>
              <w14:textFill>
                <w14:solidFill>
                  <w14:schemeClr w14:val="tx1"/>
                </w14:solidFill>
              </w14:textFill>
            </w:rPr>
            <w:fldChar w:fldCharType="end"/>
          </w:r>
        </w:p>
        <w:p w14:paraId="2FAF5C7B">
          <w:pPr>
            <w:pStyle w:val="22"/>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
              <w:bCs w:val="0"/>
              <w:color w:val="000000" w:themeColor="text1"/>
              <w:sz w:val="24"/>
              <w:szCs w:val="36"/>
              <w14:textFill>
                <w14:solidFill>
                  <w14:schemeClr w14:val="tx1"/>
                </w14:solidFill>
              </w14:textFill>
            </w:rPr>
            <w:fldChar w:fldCharType="begin"/>
          </w:r>
          <w:r>
            <w:rPr>
              <w:rFonts w:hint="default" w:ascii="Times New Roman" w:hAnsi="Times New Roman" w:eastAsia="宋体" w:cs="Times New Roman"/>
              <w:b/>
              <w:bCs w:val="0"/>
              <w:color w:val="000000" w:themeColor="text1"/>
              <w:sz w:val="24"/>
              <w:szCs w:val="36"/>
              <w14:textFill>
                <w14:solidFill>
                  <w14:schemeClr w14:val="tx1"/>
                </w14:solidFill>
              </w14:textFill>
            </w:rPr>
            <w:instrText xml:space="preserve"> HYPERLINK \l _Toc16567 </w:instrText>
          </w:r>
          <w:r>
            <w:rPr>
              <w:rFonts w:hint="default" w:ascii="Times New Roman" w:hAnsi="Times New Roman" w:eastAsia="宋体" w:cs="Times New Roman"/>
              <w:b/>
              <w:bCs w:val="0"/>
              <w:color w:val="000000" w:themeColor="text1"/>
              <w:sz w:val="24"/>
              <w:szCs w:val="36"/>
              <w14:textFill>
                <w14:solidFill>
                  <w14:schemeClr w14:val="tx1"/>
                </w14:solidFill>
              </w14:textFill>
            </w:rPr>
            <w:fldChar w:fldCharType="separate"/>
          </w:r>
          <w:r>
            <w:rPr>
              <w:rFonts w:hint="eastAsia" w:ascii="Times New Roman" w:hAnsi="Times New Roman" w:eastAsia="宋体" w:cs="Times New Roman"/>
              <w:b/>
              <w:bCs w:val="0"/>
              <w:color w:val="000000" w:themeColor="text1"/>
              <w:kern w:val="44"/>
              <w:sz w:val="24"/>
              <w:szCs w:val="36"/>
              <w:lang w:val="en-US" w:eastAsia="zh-CN" w:bidi="ar-SA"/>
              <w14:textFill>
                <w14:solidFill>
                  <w14:schemeClr w14:val="tx1"/>
                </w14:solidFill>
              </w14:textFill>
            </w:rPr>
            <w:t>4、</w:t>
          </w:r>
          <w:r>
            <w:rPr>
              <w:rFonts w:hint="eastAsia"/>
              <w:b/>
              <w:bCs w:val="0"/>
              <w:color w:val="000000" w:themeColor="text1"/>
              <w:sz w:val="24"/>
              <w:szCs w:val="32"/>
              <w:lang w:val="en-US" w:eastAsia="zh-CN"/>
              <w14:textFill>
                <w14:solidFill>
                  <w14:schemeClr w14:val="tx1"/>
                </w14:solidFill>
              </w14:textFill>
            </w:rPr>
            <w:t>大气环境影响预测及评价</w:t>
          </w:r>
          <w:r>
            <w:rPr>
              <w:b/>
              <w:bCs w:val="0"/>
              <w:color w:val="000000" w:themeColor="text1"/>
              <w:sz w:val="24"/>
              <w:szCs w:val="32"/>
              <w14:textFill>
                <w14:solidFill>
                  <w14:schemeClr w14:val="tx1"/>
                </w14:solidFill>
              </w14:textFill>
            </w:rPr>
            <w:tab/>
          </w:r>
          <w:r>
            <w:rPr>
              <w:b/>
              <w:bCs w:val="0"/>
              <w:color w:val="000000" w:themeColor="text1"/>
              <w:sz w:val="24"/>
              <w:szCs w:val="32"/>
              <w14:textFill>
                <w14:solidFill>
                  <w14:schemeClr w14:val="tx1"/>
                </w14:solidFill>
              </w14:textFill>
            </w:rPr>
            <w:fldChar w:fldCharType="begin"/>
          </w:r>
          <w:r>
            <w:rPr>
              <w:b/>
              <w:bCs w:val="0"/>
              <w:color w:val="000000" w:themeColor="text1"/>
              <w:sz w:val="24"/>
              <w:szCs w:val="32"/>
              <w14:textFill>
                <w14:solidFill>
                  <w14:schemeClr w14:val="tx1"/>
                </w14:solidFill>
              </w14:textFill>
            </w:rPr>
            <w:instrText xml:space="preserve"> PAGEREF _Toc16567 \h </w:instrText>
          </w:r>
          <w:r>
            <w:rPr>
              <w:b/>
              <w:bCs w:val="0"/>
              <w:color w:val="000000" w:themeColor="text1"/>
              <w:sz w:val="24"/>
              <w:szCs w:val="32"/>
              <w14:textFill>
                <w14:solidFill>
                  <w14:schemeClr w14:val="tx1"/>
                </w14:solidFill>
              </w14:textFill>
            </w:rPr>
            <w:fldChar w:fldCharType="separate"/>
          </w:r>
          <w:r>
            <w:rPr>
              <w:b/>
              <w:bCs w:val="0"/>
              <w:color w:val="000000" w:themeColor="text1"/>
              <w:sz w:val="24"/>
              <w:szCs w:val="32"/>
              <w14:textFill>
                <w14:solidFill>
                  <w14:schemeClr w14:val="tx1"/>
                </w14:solidFill>
              </w14:textFill>
            </w:rPr>
            <w:t>30</w:t>
          </w:r>
          <w:r>
            <w:rPr>
              <w:b/>
              <w:bCs w:val="0"/>
              <w:color w:val="000000" w:themeColor="text1"/>
              <w:sz w:val="24"/>
              <w:szCs w:val="32"/>
              <w14:textFill>
                <w14:solidFill>
                  <w14:schemeClr w14:val="tx1"/>
                </w14:solidFill>
              </w14:textFill>
            </w:rPr>
            <w:fldChar w:fldCharType="end"/>
          </w:r>
          <w:r>
            <w:rPr>
              <w:rFonts w:hint="default" w:ascii="Times New Roman" w:hAnsi="Times New Roman" w:eastAsia="宋体" w:cs="Times New Roman"/>
              <w:b/>
              <w:bCs w:val="0"/>
              <w:color w:val="000000" w:themeColor="text1"/>
              <w:sz w:val="24"/>
              <w:szCs w:val="36"/>
              <w14:textFill>
                <w14:solidFill>
                  <w14:schemeClr w14:val="tx1"/>
                </w14:solidFill>
              </w14:textFill>
            </w:rPr>
            <w:fldChar w:fldCharType="end"/>
          </w:r>
        </w:p>
        <w:p w14:paraId="4D7CFD0D">
          <w:pPr>
            <w:pStyle w:val="4"/>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Cs/>
              <w:color w:val="000000" w:themeColor="text1"/>
              <w:sz w:val="24"/>
              <w:szCs w:val="36"/>
              <w14:textFill>
                <w14:solidFill>
                  <w14:schemeClr w14:val="tx1"/>
                </w14:solidFill>
              </w14:textFill>
            </w:rPr>
            <w:instrText xml:space="preserve"> HYPERLINK \l _Toc6824 </w:instrText>
          </w:r>
          <w:r>
            <w:rPr>
              <w:rFonts w:hint="default" w:ascii="Times New Roman" w:hAnsi="Times New Roman" w:eastAsia="宋体" w:cs="Times New Roman"/>
              <w:bCs/>
              <w:color w:val="000000" w:themeColor="text1"/>
              <w:sz w:val="24"/>
              <w:szCs w:val="36"/>
              <w14:textFill>
                <w14:solidFill>
                  <w14:schemeClr w14:val="tx1"/>
                </w14:solidFill>
              </w14:textFill>
            </w:rPr>
            <w:fldChar w:fldCharType="separate"/>
          </w:r>
          <w:r>
            <w:rPr>
              <w:rFonts w:hint="eastAsia"/>
              <w:color w:val="000000" w:themeColor="text1"/>
              <w:sz w:val="24"/>
              <w:szCs w:val="32"/>
              <w:lang w:val="en-US" w:eastAsia="zh-CN"/>
              <w14:textFill>
                <w14:solidFill>
                  <w14:schemeClr w14:val="tx1"/>
                </w14:solidFill>
              </w14:textFill>
            </w:rPr>
            <w:t>4.1 施工期大气环境影响分析</w:t>
          </w:r>
          <w:r>
            <w:rPr>
              <w:color w:val="000000" w:themeColor="text1"/>
              <w:sz w:val="24"/>
              <w:szCs w:val="32"/>
              <w14:textFill>
                <w14:solidFill>
                  <w14:schemeClr w14:val="tx1"/>
                </w14:solidFill>
              </w14:textFill>
            </w:rPr>
            <w:tab/>
          </w:r>
          <w:r>
            <w:rPr>
              <w:color w:val="000000" w:themeColor="text1"/>
              <w:sz w:val="24"/>
              <w:szCs w:val="32"/>
              <w14:textFill>
                <w14:solidFill>
                  <w14:schemeClr w14:val="tx1"/>
                </w14:solidFill>
              </w14:textFill>
            </w:rPr>
            <w:fldChar w:fldCharType="begin"/>
          </w:r>
          <w:r>
            <w:rPr>
              <w:color w:val="000000" w:themeColor="text1"/>
              <w:sz w:val="24"/>
              <w:szCs w:val="32"/>
              <w14:textFill>
                <w14:solidFill>
                  <w14:schemeClr w14:val="tx1"/>
                </w14:solidFill>
              </w14:textFill>
            </w:rPr>
            <w:instrText xml:space="preserve"> PAGEREF _Toc6824 \h </w:instrText>
          </w:r>
          <w:r>
            <w:rPr>
              <w:color w:val="000000" w:themeColor="text1"/>
              <w:sz w:val="24"/>
              <w:szCs w:val="32"/>
              <w14:textFill>
                <w14:solidFill>
                  <w14:schemeClr w14:val="tx1"/>
                </w14:solidFill>
              </w14:textFill>
            </w:rPr>
            <w:fldChar w:fldCharType="separate"/>
          </w:r>
          <w:r>
            <w:rPr>
              <w:color w:val="000000" w:themeColor="text1"/>
              <w:sz w:val="24"/>
              <w:szCs w:val="32"/>
              <w14:textFill>
                <w14:solidFill>
                  <w14:schemeClr w14:val="tx1"/>
                </w14:solidFill>
              </w14:textFill>
            </w:rPr>
            <w:t>30</w:t>
          </w:r>
          <w:r>
            <w:rPr>
              <w:color w:val="000000" w:themeColor="text1"/>
              <w:sz w:val="24"/>
              <w:szCs w:val="32"/>
              <w14:textFill>
                <w14:solidFill>
                  <w14:schemeClr w14:val="tx1"/>
                </w14:solidFill>
              </w14:textFill>
            </w:rPr>
            <w:fldChar w:fldCharType="end"/>
          </w:r>
          <w:r>
            <w:rPr>
              <w:rFonts w:hint="default" w:ascii="Times New Roman" w:hAnsi="Times New Roman" w:eastAsia="宋体" w:cs="Times New Roman"/>
              <w:bCs/>
              <w:color w:val="000000" w:themeColor="text1"/>
              <w:sz w:val="24"/>
              <w:szCs w:val="36"/>
              <w14:textFill>
                <w14:solidFill>
                  <w14:schemeClr w14:val="tx1"/>
                </w14:solidFill>
              </w14:textFill>
            </w:rPr>
            <w:fldChar w:fldCharType="end"/>
          </w:r>
        </w:p>
        <w:p w14:paraId="763BB7BE">
          <w:pPr>
            <w:pStyle w:val="4"/>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Cs/>
              <w:color w:val="000000" w:themeColor="text1"/>
              <w:sz w:val="24"/>
              <w:szCs w:val="36"/>
              <w14:textFill>
                <w14:solidFill>
                  <w14:schemeClr w14:val="tx1"/>
                </w14:solidFill>
              </w14:textFill>
            </w:rPr>
            <w:instrText xml:space="preserve"> HYPERLINK \l _Toc1319 </w:instrText>
          </w:r>
          <w:r>
            <w:rPr>
              <w:rFonts w:hint="default" w:ascii="Times New Roman" w:hAnsi="Times New Roman" w:eastAsia="宋体" w:cs="Times New Roman"/>
              <w:bCs/>
              <w:color w:val="000000" w:themeColor="text1"/>
              <w:sz w:val="24"/>
              <w:szCs w:val="36"/>
              <w14:textFill>
                <w14:solidFill>
                  <w14:schemeClr w14:val="tx1"/>
                </w14:solidFill>
              </w14:textFill>
            </w:rPr>
            <w:fldChar w:fldCharType="separate"/>
          </w:r>
          <w:r>
            <w:rPr>
              <w:rFonts w:hint="eastAsia"/>
              <w:color w:val="000000" w:themeColor="text1"/>
              <w:sz w:val="24"/>
              <w:szCs w:val="32"/>
              <w:lang w:val="en-US" w:eastAsia="zh-CN"/>
              <w14:textFill>
                <w14:solidFill>
                  <w14:schemeClr w14:val="tx1"/>
                </w14:solidFill>
              </w14:textFill>
            </w:rPr>
            <w:t>4.2 运营期大气环境影响预测</w:t>
          </w:r>
          <w:r>
            <w:rPr>
              <w:color w:val="000000" w:themeColor="text1"/>
              <w:sz w:val="24"/>
              <w:szCs w:val="32"/>
              <w14:textFill>
                <w14:solidFill>
                  <w14:schemeClr w14:val="tx1"/>
                </w14:solidFill>
              </w14:textFill>
            </w:rPr>
            <w:tab/>
          </w:r>
          <w:r>
            <w:rPr>
              <w:color w:val="000000" w:themeColor="text1"/>
              <w:sz w:val="24"/>
              <w:szCs w:val="32"/>
              <w14:textFill>
                <w14:solidFill>
                  <w14:schemeClr w14:val="tx1"/>
                </w14:solidFill>
              </w14:textFill>
            </w:rPr>
            <w:fldChar w:fldCharType="begin"/>
          </w:r>
          <w:r>
            <w:rPr>
              <w:color w:val="000000" w:themeColor="text1"/>
              <w:sz w:val="24"/>
              <w:szCs w:val="32"/>
              <w14:textFill>
                <w14:solidFill>
                  <w14:schemeClr w14:val="tx1"/>
                </w14:solidFill>
              </w14:textFill>
            </w:rPr>
            <w:instrText xml:space="preserve"> PAGEREF _Toc1319 \h </w:instrText>
          </w:r>
          <w:r>
            <w:rPr>
              <w:color w:val="000000" w:themeColor="text1"/>
              <w:sz w:val="24"/>
              <w:szCs w:val="32"/>
              <w14:textFill>
                <w14:solidFill>
                  <w14:schemeClr w14:val="tx1"/>
                </w14:solidFill>
              </w14:textFill>
            </w:rPr>
            <w:fldChar w:fldCharType="separate"/>
          </w:r>
          <w:r>
            <w:rPr>
              <w:color w:val="000000" w:themeColor="text1"/>
              <w:sz w:val="24"/>
              <w:szCs w:val="32"/>
              <w14:textFill>
                <w14:solidFill>
                  <w14:schemeClr w14:val="tx1"/>
                </w14:solidFill>
              </w14:textFill>
            </w:rPr>
            <w:t>31</w:t>
          </w:r>
          <w:r>
            <w:rPr>
              <w:color w:val="000000" w:themeColor="text1"/>
              <w:sz w:val="24"/>
              <w:szCs w:val="32"/>
              <w14:textFill>
                <w14:solidFill>
                  <w14:schemeClr w14:val="tx1"/>
                </w14:solidFill>
              </w14:textFill>
            </w:rPr>
            <w:fldChar w:fldCharType="end"/>
          </w:r>
          <w:r>
            <w:rPr>
              <w:rFonts w:hint="default" w:ascii="Times New Roman" w:hAnsi="Times New Roman" w:eastAsia="宋体" w:cs="Times New Roman"/>
              <w:bCs/>
              <w:color w:val="000000" w:themeColor="text1"/>
              <w:sz w:val="24"/>
              <w:szCs w:val="36"/>
              <w14:textFill>
                <w14:solidFill>
                  <w14:schemeClr w14:val="tx1"/>
                </w14:solidFill>
              </w14:textFill>
            </w:rPr>
            <w:fldChar w:fldCharType="end"/>
          </w:r>
        </w:p>
        <w:p w14:paraId="6466B6E0">
          <w:pPr>
            <w:pStyle w:val="22"/>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
              <w:bCs w:val="0"/>
              <w:color w:val="000000" w:themeColor="text1"/>
              <w:sz w:val="24"/>
              <w:szCs w:val="36"/>
              <w14:textFill>
                <w14:solidFill>
                  <w14:schemeClr w14:val="tx1"/>
                </w14:solidFill>
              </w14:textFill>
            </w:rPr>
            <w:fldChar w:fldCharType="begin"/>
          </w:r>
          <w:r>
            <w:rPr>
              <w:rFonts w:hint="default" w:ascii="Times New Roman" w:hAnsi="Times New Roman" w:eastAsia="宋体" w:cs="Times New Roman"/>
              <w:b/>
              <w:bCs w:val="0"/>
              <w:color w:val="000000" w:themeColor="text1"/>
              <w:sz w:val="24"/>
              <w:szCs w:val="36"/>
              <w14:textFill>
                <w14:solidFill>
                  <w14:schemeClr w14:val="tx1"/>
                </w14:solidFill>
              </w14:textFill>
            </w:rPr>
            <w:instrText xml:space="preserve"> HYPERLINK \l _Toc5352 </w:instrText>
          </w:r>
          <w:r>
            <w:rPr>
              <w:rFonts w:hint="default" w:ascii="Times New Roman" w:hAnsi="Times New Roman" w:eastAsia="宋体" w:cs="Times New Roman"/>
              <w:b/>
              <w:bCs w:val="0"/>
              <w:color w:val="000000" w:themeColor="text1"/>
              <w:sz w:val="24"/>
              <w:szCs w:val="36"/>
              <w14:textFill>
                <w14:solidFill>
                  <w14:schemeClr w14:val="tx1"/>
                </w14:solidFill>
              </w14:textFill>
            </w:rPr>
            <w:fldChar w:fldCharType="separate"/>
          </w:r>
          <w:r>
            <w:rPr>
              <w:rFonts w:hint="eastAsia" w:cs="Times New Roman"/>
              <w:b/>
              <w:bCs w:val="0"/>
              <w:color w:val="000000" w:themeColor="text1"/>
              <w:kern w:val="44"/>
              <w:sz w:val="24"/>
              <w:szCs w:val="36"/>
              <w:lang w:val="en-US" w:eastAsia="zh-CN" w:bidi="ar-SA"/>
              <w14:textFill>
                <w14:solidFill>
                  <w14:schemeClr w14:val="tx1"/>
                </w14:solidFill>
              </w14:textFill>
            </w:rPr>
            <w:t>5、</w:t>
          </w:r>
          <w:r>
            <w:rPr>
              <w:rFonts w:hint="eastAsia"/>
              <w:b/>
              <w:bCs w:val="0"/>
              <w:color w:val="000000" w:themeColor="text1"/>
              <w:sz w:val="24"/>
              <w:szCs w:val="32"/>
              <w:lang w:val="en-US" w:eastAsia="zh-CN"/>
              <w14:textFill>
                <w14:solidFill>
                  <w14:schemeClr w14:val="tx1"/>
                </w14:solidFill>
              </w14:textFill>
            </w:rPr>
            <w:t>废气污染防治措施及可行性分析</w:t>
          </w:r>
          <w:r>
            <w:rPr>
              <w:b/>
              <w:bCs w:val="0"/>
              <w:color w:val="000000" w:themeColor="text1"/>
              <w:sz w:val="24"/>
              <w:szCs w:val="32"/>
              <w14:textFill>
                <w14:solidFill>
                  <w14:schemeClr w14:val="tx1"/>
                </w14:solidFill>
              </w14:textFill>
            </w:rPr>
            <w:tab/>
          </w:r>
          <w:r>
            <w:rPr>
              <w:b/>
              <w:bCs w:val="0"/>
              <w:color w:val="000000" w:themeColor="text1"/>
              <w:sz w:val="24"/>
              <w:szCs w:val="32"/>
              <w14:textFill>
                <w14:solidFill>
                  <w14:schemeClr w14:val="tx1"/>
                </w14:solidFill>
              </w14:textFill>
            </w:rPr>
            <w:fldChar w:fldCharType="begin"/>
          </w:r>
          <w:r>
            <w:rPr>
              <w:b/>
              <w:bCs w:val="0"/>
              <w:color w:val="000000" w:themeColor="text1"/>
              <w:sz w:val="24"/>
              <w:szCs w:val="32"/>
              <w14:textFill>
                <w14:solidFill>
                  <w14:schemeClr w14:val="tx1"/>
                </w14:solidFill>
              </w14:textFill>
            </w:rPr>
            <w:instrText xml:space="preserve"> PAGEREF _Toc5352 \h </w:instrText>
          </w:r>
          <w:r>
            <w:rPr>
              <w:b/>
              <w:bCs w:val="0"/>
              <w:color w:val="000000" w:themeColor="text1"/>
              <w:sz w:val="24"/>
              <w:szCs w:val="32"/>
              <w14:textFill>
                <w14:solidFill>
                  <w14:schemeClr w14:val="tx1"/>
                </w14:solidFill>
              </w14:textFill>
            </w:rPr>
            <w:fldChar w:fldCharType="separate"/>
          </w:r>
          <w:r>
            <w:rPr>
              <w:b/>
              <w:bCs w:val="0"/>
              <w:color w:val="000000" w:themeColor="text1"/>
              <w:sz w:val="24"/>
              <w:szCs w:val="32"/>
              <w14:textFill>
                <w14:solidFill>
                  <w14:schemeClr w14:val="tx1"/>
                </w14:solidFill>
              </w14:textFill>
            </w:rPr>
            <w:t>37</w:t>
          </w:r>
          <w:r>
            <w:rPr>
              <w:b/>
              <w:bCs w:val="0"/>
              <w:color w:val="000000" w:themeColor="text1"/>
              <w:sz w:val="24"/>
              <w:szCs w:val="32"/>
              <w14:textFill>
                <w14:solidFill>
                  <w14:schemeClr w14:val="tx1"/>
                </w14:solidFill>
              </w14:textFill>
            </w:rPr>
            <w:fldChar w:fldCharType="end"/>
          </w:r>
          <w:r>
            <w:rPr>
              <w:rFonts w:hint="default" w:ascii="Times New Roman" w:hAnsi="Times New Roman" w:eastAsia="宋体" w:cs="Times New Roman"/>
              <w:b/>
              <w:bCs w:val="0"/>
              <w:color w:val="000000" w:themeColor="text1"/>
              <w:sz w:val="24"/>
              <w:szCs w:val="36"/>
              <w14:textFill>
                <w14:solidFill>
                  <w14:schemeClr w14:val="tx1"/>
                </w14:solidFill>
              </w14:textFill>
            </w:rPr>
            <w:fldChar w:fldCharType="end"/>
          </w:r>
        </w:p>
        <w:p w14:paraId="4278D71A">
          <w:pPr>
            <w:pStyle w:val="4"/>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Cs/>
              <w:color w:val="000000" w:themeColor="text1"/>
              <w:sz w:val="24"/>
              <w:szCs w:val="36"/>
              <w14:textFill>
                <w14:solidFill>
                  <w14:schemeClr w14:val="tx1"/>
                </w14:solidFill>
              </w14:textFill>
            </w:rPr>
            <w:instrText xml:space="preserve"> HYPERLINK \l _Toc3926 </w:instrText>
          </w:r>
          <w:r>
            <w:rPr>
              <w:rFonts w:hint="default" w:ascii="Times New Roman" w:hAnsi="Times New Roman" w:eastAsia="宋体" w:cs="Times New Roman"/>
              <w:bCs/>
              <w:color w:val="000000" w:themeColor="text1"/>
              <w:sz w:val="24"/>
              <w:szCs w:val="36"/>
              <w14:textFill>
                <w14:solidFill>
                  <w14:schemeClr w14:val="tx1"/>
                </w14:solidFill>
              </w14:textFill>
            </w:rPr>
            <w:fldChar w:fldCharType="separate"/>
          </w:r>
          <w:r>
            <w:rPr>
              <w:rFonts w:hint="eastAsia"/>
              <w:color w:val="000000" w:themeColor="text1"/>
              <w:sz w:val="24"/>
              <w:szCs w:val="32"/>
              <w:lang w:val="en-US" w:eastAsia="zh-CN"/>
              <w14:textFill>
                <w14:solidFill>
                  <w14:schemeClr w14:val="tx1"/>
                </w14:solidFill>
              </w14:textFill>
            </w:rPr>
            <w:t>5.1 施工期大气污染防治措施及可行性论证</w:t>
          </w:r>
          <w:r>
            <w:rPr>
              <w:color w:val="000000" w:themeColor="text1"/>
              <w:sz w:val="24"/>
              <w:szCs w:val="32"/>
              <w14:textFill>
                <w14:solidFill>
                  <w14:schemeClr w14:val="tx1"/>
                </w14:solidFill>
              </w14:textFill>
            </w:rPr>
            <w:tab/>
          </w:r>
          <w:r>
            <w:rPr>
              <w:color w:val="000000" w:themeColor="text1"/>
              <w:sz w:val="24"/>
              <w:szCs w:val="32"/>
              <w14:textFill>
                <w14:solidFill>
                  <w14:schemeClr w14:val="tx1"/>
                </w14:solidFill>
              </w14:textFill>
            </w:rPr>
            <w:fldChar w:fldCharType="begin"/>
          </w:r>
          <w:r>
            <w:rPr>
              <w:color w:val="000000" w:themeColor="text1"/>
              <w:sz w:val="24"/>
              <w:szCs w:val="32"/>
              <w14:textFill>
                <w14:solidFill>
                  <w14:schemeClr w14:val="tx1"/>
                </w14:solidFill>
              </w14:textFill>
            </w:rPr>
            <w:instrText xml:space="preserve"> PAGEREF _Toc3926 \h </w:instrText>
          </w:r>
          <w:r>
            <w:rPr>
              <w:color w:val="000000" w:themeColor="text1"/>
              <w:sz w:val="24"/>
              <w:szCs w:val="32"/>
              <w14:textFill>
                <w14:solidFill>
                  <w14:schemeClr w14:val="tx1"/>
                </w14:solidFill>
              </w14:textFill>
            </w:rPr>
            <w:fldChar w:fldCharType="separate"/>
          </w:r>
          <w:r>
            <w:rPr>
              <w:color w:val="000000" w:themeColor="text1"/>
              <w:sz w:val="24"/>
              <w:szCs w:val="32"/>
              <w14:textFill>
                <w14:solidFill>
                  <w14:schemeClr w14:val="tx1"/>
                </w14:solidFill>
              </w14:textFill>
            </w:rPr>
            <w:t>37</w:t>
          </w:r>
          <w:r>
            <w:rPr>
              <w:color w:val="000000" w:themeColor="text1"/>
              <w:sz w:val="24"/>
              <w:szCs w:val="32"/>
              <w14:textFill>
                <w14:solidFill>
                  <w14:schemeClr w14:val="tx1"/>
                </w14:solidFill>
              </w14:textFill>
            </w:rPr>
            <w:fldChar w:fldCharType="end"/>
          </w:r>
          <w:r>
            <w:rPr>
              <w:rFonts w:hint="default" w:ascii="Times New Roman" w:hAnsi="Times New Roman" w:eastAsia="宋体" w:cs="Times New Roman"/>
              <w:bCs/>
              <w:color w:val="000000" w:themeColor="text1"/>
              <w:sz w:val="24"/>
              <w:szCs w:val="36"/>
              <w14:textFill>
                <w14:solidFill>
                  <w14:schemeClr w14:val="tx1"/>
                </w14:solidFill>
              </w14:textFill>
            </w:rPr>
            <w:fldChar w:fldCharType="end"/>
          </w:r>
        </w:p>
        <w:p w14:paraId="68F18AD0">
          <w:pPr>
            <w:pStyle w:val="4"/>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Cs/>
              <w:color w:val="000000" w:themeColor="text1"/>
              <w:sz w:val="24"/>
              <w:szCs w:val="36"/>
              <w14:textFill>
                <w14:solidFill>
                  <w14:schemeClr w14:val="tx1"/>
                </w14:solidFill>
              </w14:textFill>
            </w:rPr>
            <w:instrText xml:space="preserve"> HYPERLINK \l _Toc7333 </w:instrText>
          </w:r>
          <w:r>
            <w:rPr>
              <w:rFonts w:hint="default" w:ascii="Times New Roman" w:hAnsi="Times New Roman" w:eastAsia="宋体" w:cs="Times New Roman"/>
              <w:bCs/>
              <w:color w:val="000000" w:themeColor="text1"/>
              <w:sz w:val="24"/>
              <w:szCs w:val="36"/>
              <w14:textFill>
                <w14:solidFill>
                  <w14:schemeClr w14:val="tx1"/>
                </w14:solidFill>
              </w14:textFill>
            </w:rPr>
            <w:fldChar w:fldCharType="separate"/>
          </w:r>
          <w:r>
            <w:rPr>
              <w:rFonts w:hint="eastAsia"/>
              <w:color w:val="000000" w:themeColor="text1"/>
              <w:sz w:val="24"/>
              <w:szCs w:val="32"/>
              <w:lang w:val="en-US" w:eastAsia="zh-CN"/>
              <w14:textFill>
                <w14:solidFill>
                  <w14:schemeClr w14:val="tx1"/>
                </w14:solidFill>
              </w14:textFill>
            </w:rPr>
            <w:t>5.2 运营期废气污染防治措施</w:t>
          </w:r>
          <w:r>
            <w:rPr>
              <w:color w:val="000000" w:themeColor="text1"/>
              <w:sz w:val="24"/>
              <w:szCs w:val="32"/>
              <w14:textFill>
                <w14:solidFill>
                  <w14:schemeClr w14:val="tx1"/>
                </w14:solidFill>
              </w14:textFill>
            </w:rPr>
            <w:tab/>
          </w:r>
          <w:r>
            <w:rPr>
              <w:color w:val="000000" w:themeColor="text1"/>
              <w:sz w:val="24"/>
              <w:szCs w:val="32"/>
              <w14:textFill>
                <w14:solidFill>
                  <w14:schemeClr w14:val="tx1"/>
                </w14:solidFill>
              </w14:textFill>
            </w:rPr>
            <w:fldChar w:fldCharType="begin"/>
          </w:r>
          <w:r>
            <w:rPr>
              <w:color w:val="000000" w:themeColor="text1"/>
              <w:sz w:val="24"/>
              <w:szCs w:val="32"/>
              <w14:textFill>
                <w14:solidFill>
                  <w14:schemeClr w14:val="tx1"/>
                </w14:solidFill>
              </w14:textFill>
            </w:rPr>
            <w:instrText xml:space="preserve"> PAGEREF _Toc7333 \h </w:instrText>
          </w:r>
          <w:r>
            <w:rPr>
              <w:color w:val="000000" w:themeColor="text1"/>
              <w:sz w:val="24"/>
              <w:szCs w:val="32"/>
              <w14:textFill>
                <w14:solidFill>
                  <w14:schemeClr w14:val="tx1"/>
                </w14:solidFill>
              </w14:textFill>
            </w:rPr>
            <w:fldChar w:fldCharType="separate"/>
          </w:r>
          <w:r>
            <w:rPr>
              <w:color w:val="000000" w:themeColor="text1"/>
              <w:sz w:val="24"/>
              <w:szCs w:val="32"/>
              <w14:textFill>
                <w14:solidFill>
                  <w14:schemeClr w14:val="tx1"/>
                </w14:solidFill>
              </w14:textFill>
            </w:rPr>
            <w:t>37</w:t>
          </w:r>
          <w:r>
            <w:rPr>
              <w:color w:val="000000" w:themeColor="text1"/>
              <w:sz w:val="24"/>
              <w:szCs w:val="32"/>
              <w14:textFill>
                <w14:solidFill>
                  <w14:schemeClr w14:val="tx1"/>
                </w14:solidFill>
              </w14:textFill>
            </w:rPr>
            <w:fldChar w:fldCharType="end"/>
          </w:r>
          <w:r>
            <w:rPr>
              <w:rFonts w:hint="default" w:ascii="Times New Roman" w:hAnsi="Times New Roman" w:eastAsia="宋体" w:cs="Times New Roman"/>
              <w:bCs/>
              <w:color w:val="000000" w:themeColor="text1"/>
              <w:sz w:val="24"/>
              <w:szCs w:val="36"/>
              <w14:textFill>
                <w14:solidFill>
                  <w14:schemeClr w14:val="tx1"/>
                </w14:solidFill>
              </w14:textFill>
            </w:rPr>
            <w:fldChar w:fldCharType="end"/>
          </w:r>
        </w:p>
        <w:p w14:paraId="3A210839">
          <w:pPr>
            <w:pStyle w:val="4"/>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Cs/>
              <w:color w:val="000000" w:themeColor="text1"/>
              <w:sz w:val="24"/>
              <w:szCs w:val="36"/>
              <w14:textFill>
                <w14:solidFill>
                  <w14:schemeClr w14:val="tx1"/>
                </w14:solidFill>
              </w14:textFill>
            </w:rPr>
            <w:instrText xml:space="preserve"> HYPERLINK \l _Toc20962 </w:instrText>
          </w:r>
          <w:r>
            <w:rPr>
              <w:rFonts w:hint="default" w:ascii="Times New Roman" w:hAnsi="Times New Roman" w:eastAsia="宋体" w:cs="Times New Roman"/>
              <w:bCs/>
              <w:color w:val="000000" w:themeColor="text1"/>
              <w:sz w:val="24"/>
              <w:szCs w:val="36"/>
              <w14:textFill>
                <w14:solidFill>
                  <w14:schemeClr w14:val="tx1"/>
                </w14:solidFill>
              </w14:textFill>
            </w:rPr>
            <w:fldChar w:fldCharType="separate"/>
          </w:r>
          <w:r>
            <w:rPr>
              <w:rFonts w:hint="eastAsia"/>
              <w:color w:val="000000" w:themeColor="text1"/>
              <w:sz w:val="24"/>
              <w:szCs w:val="32"/>
              <w:lang w:val="en-US" w:eastAsia="zh-CN"/>
              <w14:textFill>
                <w14:solidFill>
                  <w14:schemeClr w14:val="tx1"/>
                </w14:solidFill>
              </w14:textFill>
            </w:rPr>
            <w:t>5.3 废气污染防治可行性分析</w:t>
          </w:r>
          <w:r>
            <w:rPr>
              <w:color w:val="000000" w:themeColor="text1"/>
              <w:sz w:val="24"/>
              <w:szCs w:val="32"/>
              <w14:textFill>
                <w14:solidFill>
                  <w14:schemeClr w14:val="tx1"/>
                </w14:solidFill>
              </w14:textFill>
            </w:rPr>
            <w:tab/>
          </w:r>
          <w:r>
            <w:rPr>
              <w:color w:val="000000" w:themeColor="text1"/>
              <w:sz w:val="24"/>
              <w:szCs w:val="32"/>
              <w14:textFill>
                <w14:solidFill>
                  <w14:schemeClr w14:val="tx1"/>
                </w14:solidFill>
              </w14:textFill>
            </w:rPr>
            <w:fldChar w:fldCharType="begin"/>
          </w:r>
          <w:r>
            <w:rPr>
              <w:color w:val="000000" w:themeColor="text1"/>
              <w:sz w:val="24"/>
              <w:szCs w:val="32"/>
              <w14:textFill>
                <w14:solidFill>
                  <w14:schemeClr w14:val="tx1"/>
                </w14:solidFill>
              </w14:textFill>
            </w:rPr>
            <w:instrText xml:space="preserve"> PAGEREF _Toc20962 \h </w:instrText>
          </w:r>
          <w:r>
            <w:rPr>
              <w:color w:val="000000" w:themeColor="text1"/>
              <w:sz w:val="24"/>
              <w:szCs w:val="32"/>
              <w14:textFill>
                <w14:solidFill>
                  <w14:schemeClr w14:val="tx1"/>
                </w14:solidFill>
              </w14:textFill>
            </w:rPr>
            <w:fldChar w:fldCharType="separate"/>
          </w:r>
          <w:r>
            <w:rPr>
              <w:color w:val="000000" w:themeColor="text1"/>
              <w:sz w:val="24"/>
              <w:szCs w:val="32"/>
              <w14:textFill>
                <w14:solidFill>
                  <w14:schemeClr w14:val="tx1"/>
                </w14:solidFill>
              </w14:textFill>
            </w:rPr>
            <w:t>38</w:t>
          </w:r>
          <w:r>
            <w:rPr>
              <w:color w:val="000000" w:themeColor="text1"/>
              <w:sz w:val="24"/>
              <w:szCs w:val="32"/>
              <w14:textFill>
                <w14:solidFill>
                  <w14:schemeClr w14:val="tx1"/>
                </w14:solidFill>
              </w14:textFill>
            </w:rPr>
            <w:fldChar w:fldCharType="end"/>
          </w:r>
          <w:r>
            <w:rPr>
              <w:rFonts w:hint="default" w:ascii="Times New Roman" w:hAnsi="Times New Roman" w:eastAsia="宋体" w:cs="Times New Roman"/>
              <w:bCs/>
              <w:color w:val="000000" w:themeColor="text1"/>
              <w:sz w:val="24"/>
              <w:szCs w:val="36"/>
              <w14:textFill>
                <w14:solidFill>
                  <w14:schemeClr w14:val="tx1"/>
                </w14:solidFill>
              </w14:textFill>
            </w:rPr>
            <w:fldChar w:fldCharType="end"/>
          </w:r>
        </w:p>
        <w:p w14:paraId="4C380033">
          <w:pPr>
            <w:pStyle w:val="22"/>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
              <w:bCs/>
              <w:color w:val="000000" w:themeColor="text1"/>
              <w:sz w:val="24"/>
              <w:szCs w:val="36"/>
              <w14:textFill>
                <w14:solidFill>
                  <w14:schemeClr w14:val="tx1"/>
                </w14:solidFill>
              </w14:textFill>
            </w:rPr>
            <w:instrText xml:space="preserve"> HYPERLINK \l _Toc25058 </w:instrText>
          </w:r>
          <w:r>
            <w:rPr>
              <w:rFonts w:hint="default" w:ascii="Times New Roman" w:hAnsi="Times New Roman" w:eastAsia="宋体" w:cs="Times New Roman"/>
              <w:b/>
              <w:bCs/>
              <w:color w:val="000000" w:themeColor="text1"/>
              <w:sz w:val="24"/>
              <w:szCs w:val="36"/>
              <w14:textFill>
                <w14:solidFill>
                  <w14:schemeClr w14:val="tx1"/>
                </w14:solidFill>
              </w14:textFill>
            </w:rPr>
            <w:fldChar w:fldCharType="separate"/>
          </w:r>
          <w:r>
            <w:rPr>
              <w:rFonts w:hint="eastAsia"/>
              <w:b/>
              <w:bCs/>
              <w:color w:val="000000" w:themeColor="text1"/>
              <w:sz w:val="24"/>
              <w:szCs w:val="32"/>
              <w:lang w:val="en-US" w:eastAsia="zh-CN"/>
              <w14:textFill>
                <w14:solidFill>
                  <w14:schemeClr w14:val="tx1"/>
                </w14:solidFill>
              </w14:textFill>
            </w:rPr>
            <w:t>6、 监测计划</w:t>
          </w:r>
          <w:r>
            <w:rPr>
              <w:b/>
              <w:bCs/>
              <w:color w:val="000000" w:themeColor="text1"/>
              <w:sz w:val="24"/>
              <w:szCs w:val="32"/>
              <w14:textFill>
                <w14:solidFill>
                  <w14:schemeClr w14:val="tx1"/>
                </w14:solidFill>
              </w14:textFill>
            </w:rPr>
            <w:tab/>
          </w:r>
          <w:r>
            <w:rPr>
              <w:b/>
              <w:bCs/>
              <w:color w:val="000000" w:themeColor="text1"/>
              <w:sz w:val="24"/>
              <w:szCs w:val="32"/>
              <w14:textFill>
                <w14:solidFill>
                  <w14:schemeClr w14:val="tx1"/>
                </w14:solidFill>
              </w14:textFill>
            </w:rPr>
            <w:fldChar w:fldCharType="begin"/>
          </w:r>
          <w:r>
            <w:rPr>
              <w:b/>
              <w:bCs/>
              <w:color w:val="000000" w:themeColor="text1"/>
              <w:sz w:val="24"/>
              <w:szCs w:val="32"/>
              <w14:textFill>
                <w14:solidFill>
                  <w14:schemeClr w14:val="tx1"/>
                </w14:solidFill>
              </w14:textFill>
            </w:rPr>
            <w:instrText xml:space="preserve"> PAGEREF _Toc25058 \h </w:instrText>
          </w:r>
          <w:r>
            <w:rPr>
              <w:b/>
              <w:bCs/>
              <w:color w:val="000000" w:themeColor="text1"/>
              <w:sz w:val="24"/>
              <w:szCs w:val="32"/>
              <w14:textFill>
                <w14:solidFill>
                  <w14:schemeClr w14:val="tx1"/>
                </w14:solidFill>
              </w14:textFill>
            </w:rPr>
            <w:fldChar w:fldCharType="separate"/>
          </w:r>
          <w:r>
            <w:rPr>
              <w:b/>
              <w:bCs/>
              <w:color w:val="000000" w:themeColor="text1"/>
              <w:sz w:val="24"/>
              <w:szCs w:val="32"/>
              <w14:textFill>
                <w14:solidFill>
                  <w14:schemeClr w14:val="tx1"/>
                </w14:solidFill>
              </w14:textFill>
            </w:rPr>
            <w:t>41</w:t>
          </w:r>
          <w:r>
            <w:rPr>
              <w:b/>
              <w:bCs/>
              <w:color w:val="000000" w:themeColor="text1"/>
              <w:sz w:val="24"/>
              <w:szCs w:val="32"/>
              <w14:textFill>
                <w14:solidFill>
                  <w14:schemeClr w14:val="tx1"/>
                </w14:solidFill>
              </w14:textFill>
            </w:rPr>
            <w:fldChar w:fldCharType="end"/>
          </w:r>
          <w:r>
            <w:rPr>
              <w:rFonts w:hint="default" w:ascii="Times New Roman" w:hAnsi="Times New Roman" w:eastAsia="宋体" w:cs="Times New Roman"/>
              <w:b/>
              <w:bCs/>
              <w:color w:val="000000" w:themeColor="text1"/>
              <w:sz w:val="24"/>
              <w:szCs w:val="36"/>
              <w14:textFill>
                <w14:solidFill>
                  <w14:schemeClr w14:val="tx1"/>
                </w14:solidFill>
              </w14:textFill>
            </w:rPr>
            <w:fldChar w:fldCharType="end"/>
          </w:r>
        </w:p>
        <w:p w14:paraId="448CE05E">
          <w:pPr>
            <w:pStyle w:val="4"/>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Cs/>
              <w:color w:val="000000" w:themeColor="text1"/>
              <w:sz w:val="24"/>
              <w:szCs w:val="36"/>
              <w14:textFill>
                <w14:solidFill>
                  <w14:schemeClr w14:val="tx1"/>
                </w14:solidFill>
              </w14:textFill>
            </w:rPr>
            <w:instrText xml:space="preserve"> HYPERLINK \l _Toc3371 </w:instrText>
          </w:r>
          <w:r>
            <w:rPr>
              <w:rFonts w:hint="default" w:ascii="Times New Roman" w:hAnsi="Times New Roman" w:eastAsia="宋体" w:cs="Times New Roman"/>
              <w:bCs/>
              <w:color w:val="000000" w:themeColor="text1"/>
              <w:sz w:val="24"/>
              <w:szCs w:val="36"/>
              <w14:textFill>
                <w14:solidFill>
                  <w14:schemeClr w14:val="tx1"/>
                </w14:solidFill>
              </w14:textFill>
            </w:rPr>
            <w:fldChar w:fldCharType="separate"/>
          </w:r>
          <w:r>
            <w:rPr>
              <w:rFonts w:hint="eastAsia"/>
              <w:color w:val="000000" w:themeColor="text1"/>
              <w:sz w:val="24"/>
              <w:szCs w:val="32"/>
              <w:lang w:val="en-US" w:eastAsia="zh-CN"/>
              <w14:textFill>
                <w14:solidFill>
                  <w14:schemeClr w14:val="tx1"/>
                </w14:solidFill>
              </w14:textFill>
            </w:rPr>
            <w:t>6.1 监测目的</w:t>
          </w:r>
          <w:r>
            <w:rPr>
              <w:color w:val="000000" w:themeColor="text1"/>
              <w:sz w:val="24"/>
              <w:szCs w:val="32"/>
              <w14:textFill>
                <w14:solidFill>
                  <w14:schemeClr w14:val="tx1"/>
                </w14:solidFill>
              </w14:textFill>
            </w:rPr>
            <w:tab/>
          </w:r>
          <w:r>
            <w:rPr>
              <w:color w:val="000000" w:themeColor="text1"/>
              <w:sz w:val="24"/>
              <w:szCs w:val="32"/>
              <w14:textFill>
                <w14:solidFill>
                  <w14:schemeClr w14:val="tx1"/>
                </w14:solidFill>
              </w14:textFill>
            </w:rPr>
            <w:fldChar w:fldCharType="begin"/>
          </w:r>
          <w:r>
            <w:rPr>
              <w:color w:val="000000" w:themeColor="text1"/>
              <w:sz w:val="24"/>
              <w:szCs w:val="32"/>
              <w14:textFill>
                <w14:solidFill>
                  <w14:schemeClr w14:val="tx1"/>
                </w14:solidFill>
              </w14:textFill>
            </w:rPr>
            <w:instrText xml:space="preserve"> PAGEREF _Toc3371 \h </w:instrText>
          </w:r>
          <w:r>
            <w:rPr>
              <w:color w:val="000000" w:themeColor="text1"/>
              <w:sz w:val="24"/>
              <w:szCs w:val="32"/>
              <w14:textFill>
                <w14:solidFill>
                  <w14:schemeClr w14:val="tx1"/>
                </w14:solidFill>
              </w14:textFill>
            </w:rPr>
            <w:fldChar w:fldCharType="separate"/>
          </w:r>
          <w:r>
            <w:rPr>
              <w:color w:val="000000" w:themeColor="text1"/>
              <w:sz w:val="24"/>
              <w:szCs w:val="32"/>
              <w14:textFill>
                <w14:solidFill>
                  <w14:schemeClr w14:val="tx1"/>
                </w14:solidFill>
              </w14:textFill>
            </w:rPr>
            <w:t>41</w:t>
          </w:r>
          <w:r>
            <w:rPr>
              <w:color w:val="000000" w:themeColor="text1"/>
              <w:sz w:val="24"/>
              <w:szCs w:val="32"/>
              <w14:textFill>
                <w14:solidFill>
                  <w14:schemeClr w14:val="tx1"/>
                </w14:solidFill>
              </w14:textFill>
            </w:rPr>
            <w:fldChar w:fldCharType="end"/>
          </w:r>
          <w:r>
            <w:rPr>
              <w:rFonts w:hint="default" w:ascii="Times New Roman" w:hAnsi="Times New Roman" w:eastAsia="宋体" w:cs="Times New Roman"/>
              <w:bCs/>
              <w:color w:val="000000" w:themeColor="text1"/>
              <w:sz w:val="24"/>
              <w:szCs w:val="36"/>
              <w14:textFill>
                <w14:solidFill>
                  <w14:schemeClr w14:val="tx1"/>
                </w14:solidFill>
              </w14:textFill>
            </w:rPr>
            <w:fldChar w:fldCharType="end"/>
          </w:r>
        </w:p>
        <w:p w14:paraId="3795E9D8">
          <w:pPr>
            <w:pStyle w:val="4"/>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sz w:val="24"/>
              <w:szCs w:val="32"/>
              <w14:textFill>
                <w14:solidFill>
                  <w14:schemeClr w14:val="tx1"/>
                </w14:solidFill>
              </w14:textFill>
            </w:rPr>
          </w:pPr>
          <w:r>
            <w:rPr>
              <w:rFonts w:hint="default" w:ascii="Times New Roman" w:hAnsi="Times New Roman" w:eastAsia="宋体" w:cs="Times New Roman"/>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Cs/>
              <w:color w:val="000000" w:themeColor="text1"/>
              <w:sz w:val="24"/>
              <w:szCs w:val="36"/>
              <w14:textFill>
                <w14:solidFill>
                  <w14:schemeClr w14:val="tx1"/>
                </w14:solidFill>
              </w14:textFill>
            </w:rPr>
            <w:instrText xml:space="preserve"> HYPERLINK \l _Toc31268 </w:instrText>
          </w:r>
          <w:r>
            <w:rPr>
              <w:rFonts w:hint="default" w:ascii="Times New Roman" w:hAnsi="Times New Roman" w:eastAsia="宋体" w:cs="Times New Roman"/>
              <w:bCs/>
              <w:color w:val="000000" w:themeColor="text1"/>
              <w:sz w:val="24"/>
              <w:szCs w:val="36"/>
              <w14:textFill>
                <w14:solidFill>
                  <w14:schemeClr w14:val="tx1"/>
                </w14:solidFill>
              </w14:textFill>
            </w:rPr>
            <w:fldChar w:fldCharType="separate"/>
          </w:r>
          <w:r>
            <w:rPr>
              <w:rFonts w:hint="eastAsia"/>
              <w:color w:val="000000" w:themeColor="text1"/>
              <w:sz w:val="24"/>
              <w:szCs w:val="32"/>
              <w:lang w:val="en-US" w:eastAsia="zh-CN"/>
              <w14:textFill>
                <w14:solidFill>
                  <w14:schemeClr w14:val="tx1"/>
                </w14:solidFill>
              </w14:textFill>
            </w:rPr>
            <w:t>6.2 环境监测计划</w:t>
          </w:r>
          <w:r>
            <w:rPr>
              <w:color w:val="000000" w:themeColor="text1"/>
              <w:sz w:val="24"/>
              <w:szCs w:val="32"/>
              <w14:textFill>
                <w14:solidFill>
                  <w14:schemeClr w14:val="tx1"/>
                </w14:solidFill>
              </w14:textFill>
            </w:rPr>
            <w:tab/>
          </w:r>
          <w:r>
            <w:rPr>
              <w:color w:val="000000" w:themeColor="text1"/>
              <w:sz w:val="24"/>
              <w:szCs w:val="32"/>
              <w14:textFill>
                <w14:solidFill>
                  <w14:schemeClr w14:val="tx1"/>
                </w14:solidFill>
              </w14:textFill>
            </w:rPr>
            <w:fldChar w:fldCharType="begin"/>
          </w:r>
          <w:r>
            <w:rPr>
              <w:color w:val="000000" w:themeColor="text1"/>
              <w:sz w:val="24"/>
              <w:szCs w:val="32"/>
              <w14:textFill>
                <w14:solidFill>
                  <w14:schemeClr w14:val="tx1"/>
                </w14:solidFill>
              </w14:textFill>
            </w:rPr>
            <w:instrText xml:space="preserve"> PAGEREF _Toc31268 \h </w:instrText>
          </w:r>
          <w:r>
            <w:rPr>
              <w:color w:val="000000" w:themeColor="text1"/>
              <w:sz w:val="24"/>
              <w:szCs w:val="32"/>
              <w14:textFill>
                <w14:solidFill>
                  <w14:schemeClr w14:val="tx1"/>
                </w14:solidFill>
              </w14:textFill>
            </w:rPr>
            <w:fldChar w:fldCharType="separate"/>
          </w:r>
          <w:r>
            <w:rPr>
              <w:color w:val="000000" w:themeColor="text1"/>
              <w:sz w:val="24"/>
              <w:szCs w:val="32"/>
              <w14:textFill>
                <w14:solidFill>
                  <w14:schemeClr w14:val="tx1"/>
                </w14:solidFill>
              </w14:textFill>
            </w:rPr>
            <w:t>42</w:t>
          </w:r>
          <w:r>
            <w:rPr>
              <w:color w:val="000000" w:themeColor="text1"/>
              <w:sz w:val="24"/>
              <w:szCs w:val="32"/>
              <w14:textFill>
                <w14:solidFill>
                  <w14:schemeClr w14:val="tx1"/>
                </w14:solidFill>
              </w14:textFill>
            </w:rPr>
            <w:fldChar w:fldCharType="end"/>
          </w:r>
          <w:r>
            <w:rPr>
              <w:rFonts w:hint="default" w:ascii="Times New Roman" w:hAnsi="Times New Roman" w:eastAsia="宋体" w:cs="Times New Roman"/>
              <w:bCs/>
              <w:color w:val="000000" w:themeColor="text1"/>
              <w:sz w:val="24"/>
              <w:szCs w:val="36"/>
              <w14:textFill>
                <w14:solidFill>
                  <w14:schemeClr w14:val="tx1"/>
                </w14:solidFill>
              </w14:textFill>
            </w:rPr>
            <w:fldChar w:fldCharType="end"/>
          </w:r>
        </w:p>
        <w:p w14:paraId="3D9FC21D">
          <w:pPr>
            <w:pStyle w:val="22"/>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color w:val="000000" w:themeColor="text1"/>
              <w14:textFill>
                <w14:solidFill>
                  <w14:schemeClr w14:val="tx1"/>
                </w14:solidFill>
              </w14:textFill>
            </w:rPr>
          </w:pPr>
          <w:r>
            <w:rPr>
              <w:rFonts w:hint="default" w:ascii="Times New Roman" w:hAnsi="Times New Roman" w:eastAsia="宋体" w:cs="Times New Roman"/>
              <w:b/>
              <w:bCs/>
              <w:color w:val="000000" w:themeColor="text1"/>
              <w:sz w:val="24"/>
              <w:szCs w:val="36"/>
              <w14:textFill>
                <w14:solidFill>
                  <w14:schemeClr w14:val="tx1"/>
                </w14:solidFill>
              </w14:textFill>
            </w:rPr>
            <w:fldChar w:fldCharType="begin"/>
          </w:r>
          <w:r>
            <w:rPr>
              <w:rFonts w:hint="default" w:ascii="Times New Roman" w:hAnsi="Times New Roman" w:eastAsia="宋体" w:cs="Times New Roman"/>
              <w:b/>
              <w:bCs/>
              <w:color w:val="000000" w:themeColor="text1"/>
              <w:sz w:val="24"/>
              <w:szCs w:val="36"/>
              <w14:textFill>
                <w14:solidFill>
                  <w14:schemeClr w14:val="tx1"/>
                </w14:solidFill>
              </w14:textFill>
            </w:rPr>
            <w:instrText xml:space="preserve"> HYPERLINK \l _Toc9381 </w:instrText>
          </w:r>
          <w:r>
            <w:rPr>
              <w:rFonts w:hint="default" w:ascii="Times New Roman" w:hAnsi="Times New Roman" w:eastAsia="宋体" w:cs="Times New Roman"/>
              <w:b/>
              <w:bCs/>
              <w:color w:val="000000" w:themeColor="text1"/>
              <w:sz w:val="24"/>
              <w:szCs w:val="36"/>
              <w14:textFill>
                <w14:solidFill>
                  <w14:schemeClr w14:val="tx1"/>
                </w14:solidFill>
              </w14:textFill>
            </w:rPr>
            <w:fldChar w:fldCharType="separate"/>
          </w:r>
          <w:r>
            <w:rPr>
              <w:rFonts w:hint="eastAsia"/>
              <w:b/>
              <w:bCs/>
              <w:color w:val="000000" w:themeColor="text1"/>
              <w:sz w:val="24"/>
              <w:szCs w:val="32"/>
              <w:lang w:val="en-US" w:eastAsia="zh-CN"/>
              <w14:textFill>
                <w14:solidFill>
                  <w14:schemeClr w14:val="tx1"/>
                </w14:solidFill>
              </w14:textFill>
            </w:rPr>
            <w:t>7、 大气环境影响专项评价结论</w:t>
          </w:r>
          <w:r>
            <w:rPr>
              <w:b/>
              <w:bCs/>
              <w:color w:val="000000" w:themeColor="text1"/>
              <w:sz w:val="24"/>
              <w:szCs w:val="32"/>
              <w14:textFill>
                <w14:solidFill>
                  <w14:schemeClr w14:val="tx1"/>
                </w14:solidFill>
              </w14:textFill>
            </w:rPr>
            <w:tab/>
          </w:r>
          <w:r>
            <w:rPr>
              <w:b/>
              <w:bCs/>
              <w:color w:val="000000" w:themeColor="text1"/>
              <w:sz w:val="24"/>
              <w:szCs w:val="32"/>
              <w14:textFill>
                <w14:solidFill>
                  <w14:schemeClr w14:val="tx1"/>
                </w14:solidFill>
              </w14:textFill>
            </w:rPr>
            <w:fldChar w:fldCharType="begin"/>
          </w:r>
          <w:r>
            <w:rPr>
              <w:b/>
              <w:bCs/>
              <w:color w:val="000000" w:themeColor="text1"/>
              <w:sz w:val="24"/>
              <w:szCs w:val="32"/>
              <w14:textFill>
                <w14:solidFill>
                  <w14:schemeClr w14:val="tx1"/>
                </w14:solidFill>
              </w14:textFill>
            </w:rPr>
            <w:instrText xml:space="preserve"> PAGEREF _Toc9381 \h </w:instrText>
          </w:r>
          <w:r>
            <w:rPr>
              <w:b/>
              <w:bCs/>
              <w:color w:val="000000" w:themeColor="text1"/>
              <w:sz w:val="24"/>
              <w:szCs w:val="32"/>
              <w14:textFill>
                <w14:solidFill>
                  <w14:schemeClr w14:val="tx1"/>
                </w14:solidFill>
              </w14:textFill>
            </w:rPr>
            <w:fldChar w:fldCharType="separate"/>
          </w:r>
          <w:r>
            <w:rPr>
              <w:b/>
              <w:bCs/>
              <w:color w:val="000000" w:themeColor="text1"/>
              <w:sz w:val="24"/>
              <w:szCs w:val="32"/>
              <w14:textFill>
                <w14:solidFill>
                  <w14:schemeClr w14:val="tx1"/>
                </w14:solidFill>
              </w14:textFill>
            </w:rPr>
            <w:t>43</w:t>
          </w:r>
          <w:r>
            <w:rPr>
              <w:b/>
              <w:bCs/>
              <w:color w:val="000000" w:themeColor="text1"/>
              <w:sz w:val="24"/>
              <w:szCs w:val="32"/>
              <w14:textFill>
                <w14:solidFill>
                  <w14:schemeClr w14:val="tx1"/>
                </w14:solidFill>
              </w14:textFill>
            </w:rPr>
            <w:fldChar w:fldCharType="end"/>
          </w:r>
          <w:r>
            <w:rPr>
              <w:rFonts w:hint="default" w:ascii="Times New Roman" w:hAnsi="Times New Roman" w:eastAsia="宋体" w:cs="Times New Roman"/>
              <w:b/>
              <w:bCs/>
              <w:color w:val="000000" w:themeColor="text1"/>
              <w:sz w:val="24"/>
              <w:szCs w:val="36"/>
              <w14:textFill>
                <w14:solidFill>
                  <w14:schemeClr w14:val="tx1"/>
                </w14:solidFill>
              </w14:textFill>
            </w:rPr>
            <w:fldChar w:fldCharType="end"/>
          </w:r>
        </w:p>
        <w:p w14:paraId="2C82D905">
          <w:pPr>
            <w:jc w:val="center"/>
            <w:rPr>
              <w:rFonts w:hint="default" w:ascii="Times New Roman" w:hAnsi="Times New Roman" w:eastAsia="宋体" w:cs="Times New Roman"/>
              <w:bCs/>
              <w:color w:val="000000" w:themeColor="text1"/>
              <w:kern w:val="2"/>
              <w:sz w:val="21"/>
              <w:szCs w:val="30"/>
              <w:lang w:val="en-US" w:eastAsia="zh-CN" w:bidi="ar-SA"/>
              <w14:textFill>
                <w14:solidFill>
                  <w14:schemeClr w14:val="tx1"/>
                </w14:solidFill>
              </w14:textFill>
            </w:rPr>
          </w:pPr>
          <w:r>
            <w:rPr>
              <w:rFonts w:hint="default" w:ascii="Times New Roman" w:hAnsi="Times New Roman" w:eastAsia="宋体" w:cs="Times New Roman"/>
              <w:bCs/>
              <w:color w:val="000000" w:themeColor="text1"/>
              <w:szCs w:val="30"/>
              <w14:textFill>
                <w14:solidFill>
                  <w14:schemeClr w14:val="tx1"/>
                </w14:solidFill>
              </w14:textFill>
            </w:rPr>
            <w:fldChar w:fldCharType="end"/>
          </w:r>
        </w:p>
      </w:sdtContent>
    </w:sdt>
    <w:p w14:paraId="60355925">
      <w:pPr>
        <w:jc w:val="center"/>
        <w:rPr>
          <w:rFonts w:hint="default" w:ascii="Times New Roman" w:hAnsi="Times New Roman" w:eastAsia="宋体" w:cs="Times New Roman"/>
          <w:bCs/>
          <w:color w:val="000000" w:themeColor="text1"/>
          <w:kern w:val="2"/>
          <w:sz w:val="21"/>
          <w:szCs w:val="30"/>
          <w:lang w:val="en-US" w:eastAsia="zh-CN" w:bidi="ar-SA"/>
          <w14:textFill>
            <w14:solidFill>
              <w14:schemeClr w14:val="tx1"/>
            </w14:solidFill>
          </w14:textFill>
        </w:rPr>
        <w:sectPr>
          <w:footerReference r:id="rId8" w:type="default"/>
          <w:pgSz w:w="11906" w:h="16838"/>
          <w:pgMar w:top="1417" w:right="1417" w:bottom="1417" w:left="1417" w:header="851" w:footer="992" w:gutter="0"/>
          <w:pgBorders>
            <w:top w:val="none" w:sz="0" w:space="0"/>
            <w:left w:val="none" w:sz="0" w:space="0"/>
            <w:bottom w:val="none" w:sz="0" w:space="0"/>
            <w:right w:val="none" w:sz="0" w:space="0"/>
          </w:pgBorders>
          <w:cols w:space="720" w:num="1"/>
          <w:rtlGutter w:val="0"/>
          <w:docGrid w:type="lines" w:linePitch="312" w:charSpace="0"/>
        </w:sectPr>
      </w:pPr>
    </w:p>
    <w:p w14:paraId="79E078E6">
      <w:pPr>
        <w:pStyle w:val="2"/>
        <w:bidi w:val="0"/>
        <w:rPr>
          <w:rFonts w:hint="default"/>
          <w:color w:val="000000" w:themeColor="text1"/>
          <w:sz w:val="36"/>
          <w:szCs w:val="36"/>
          <w:lang w:val="en-US" w:eastAsia="zh-CN"/>
          <w14:textFill>
            <w14:solidFill>
              <w14:schemeClr w14:val="tx1"/>
            </w14:solidFill>
          </w14:textFill>
        </w:rPr>
      </w:pPr>
      <w:bookmarkStart w:id="271" w:name="_Toc22585"/>
      <w:bookmarkStart w:id="272" w:name="_Toc18448"/>
      <w:bookmarkStart w:id="273" w:name="_Toc19335"/>
      <w:bookmarkStart w:id="274" w:name="_Toc106895841"/>
      <w:bookmarkStart w:id="275" w:name="_Toc9367"/>
      <w:r>
        <w:rPr>
          <w:rFonts w:hint="default"/>
          <w:color w:val="000000" w:themeColor="text1"/>
          <w:sz w:val="36"/>
          <w:szCs w:val="36"/>
          <w:lang w:val="en-US" w:eastAsia="zh-CN"/>
          <w14:textFill>
            <w14:solidFill>
              <w14:schemeClr w14:val="tx1"/>
            </w14:solidFill>
          </w14:textFill>
        </w:rPr>
        <w:t>1总则</w:t>
      </w:r>
      <w:bookmarkEnd w:id="271"/>
      <w:bookmarkEnd w:id="272"/>
      <w:bookmarkEnd w:id="273"/>
      <w:bookmarkEnd w:id="274"/>
      <w:bookmarkEnd w:id="275"/>
    </w:p>
    <w:p w14:paraId="13160574">
      <w:pPr>
        <w:pStyle w:val="3"/>
        <w:spacing w:before="0" w:after="0" w:line="360" w:lineRule="auto"/>
        <w:ind w:left="0" w:leftChars="0" w:firstLine="0" w:firstLineChars="0"/>
        <w:rPr>
          <w:rFonts w:hint="default" w:ascii="Times New Roman" w:hAnsi="Times New Roman" w:cs="Times New Roman"/>
          <w:color w:val="000000" w:themeColor="text1"/>
          <w14:textFill>
            <w14:solidFill>
              <w14:schemeClr w14:val="tx1"/>
            </w14:solidFill>
          </w14:textFill>
        </w:rPr>
      </w:pPr>
      <w:bookmarkStart w:id="276" w:name="_Toc268"/>
      <w:bookmarkStart w:id="277" w:name="_Toc26201"/>
      <w:bookmarkStart w:id="278" w:name="_Toc106895842"/>
      <w:bookmarkStart w:id="279" w:name="_Toc3400"/>
      <w:bookmarkStart w:id="280" w:name="_Toc631"/>
      <w:r>
        <w:rPr>
          <w:rFonts w:hint="default" w:ascii="Times New Roman" w:hAnsi="Times New Roman" w:cs="Times New Roman"/>
          <w:color w:val="000000" w:themeColor="text1"/>
          <w14:textFill>
            <w14:solidFill>
              <w14:schemeClr w14:val="tx1"/>
            </w14:solidFill>
          </w14:textFill>
        </w:rPr>
        <w:t>1.1 编制依据</w:t>
      </w:r>
      <w:bookmarkEnd w:id="276"/>
      <w:bookmarkEnd w:id="277"/>
      <w:bookmarkEnd w:id="278"/>
      <w:bookmarkEnd w:id="279"/>
      <w:bookmarkEnd w:id="280"/>
    </w:p>
    <w:p w14:paraId="1CEA06E6">
      <w:pPr>
        <w:keepNext/>
        <w:keepLines/>
        <w:widowControl w:val="0"/>
        <w:spacing w:before="0" w:after="0" w:line="360" w:lineRule="auto"/>
        <w:jc w:val="both"/>
        <w:outlineLvl w:val="2"/>
        <w:rPr>
          <w:rFonts w:hint="default" w:ascii="Times New Roman" w:hAnsi="Times New Roman" w:eastAsia="宋体" w:cs="Times New Roman"/>
          <w:b/>
          <w:bCs/>
          <w:color w:val="000000" w:themeColor="text1"/>
          <w:kern w:val="2"/>
          <w:sz w:val="28"/>
          <w:szCs w:val="32"/>
          <w:lang w:val="en-US" w:eastAsia="zh-CN" w:bidi="ar-SA"/>
          <w14:textFill>
            <w14:solidFill>
              <w14:schemeClr w14:val="tx1"/>
            </w14:solidFill>
          </w14:textFill>
        </w:rPr>
      </w:pPr>
      <w:bookmarkStart w:id="281" w:name="_Toc15391"/>
      <w:bookmarkStart w:id="282" w:name="_Toc12400"/>
      <w:bookmarkStart w:id="283" w:name="_Toc106895843"/>
      <w:bookmarkStart w:id="284" w:name="_Toc13412"/>
      <w:r>
        <w:rPr>
          <w:rFonts w:hint="default" w:ascii="Times New Roman" w:hAnsi="Times New Roman" w:eastAsia="宋体" w:cs="Times New Roman"/>
          <w:b/>
          <w:bCs/>
          <w:color w:val="000000" w:themeColor="text1"/>
          <w:kern w:val="2"/>
          <w:sz w:val="28"/>
          <w:szCs w:val="32"/>
          <w:lang w:val="en-US" w:eastAsia="zh-CN" w:bidi="ar-SA"/>
          <w14:textFill>
            <w14:solidFill>
              <w14:schemeClr w14:val="tx1"/>
            </w14:solidFill>
          </w14:textFill>
        </w:rPr>
        <w:t>1.1.1国家法律、法规、规章、规范性文件</w:t>
      </w:r>
      <w:bookmarkEnd w:id="281"/>
      <w:bookmarkEnd w:id="282"/>
      <w:bookmarkEnd w:id="283"/>
      <w:bookmarkEnd w:id="284"/>
    </w:p>
    <w:p w14:paraId="33CB66D8">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（1）</w:t>
      </w:r>
      <w:r>
        <w:rPr>
          <w:rFonts w:hint="eastAsia" w:cs="Times New Roman"/>
          <w:color w:val="000000" w:themeColor="text1"/>
          <w:sz w:val="24"/>
          <w:szCs w:val="24"/>
          <w:lang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中华人民共和国生态环境法典</w:t>
      </w:r>
      <w:r>
        <w:rPr>
          <w:rFonts w:hint="eastAsia" w:cs="Times New Roman"/>
          <w:color w:val="000000" w:themeColor="text1"/>
          <w:sz w:val="24"/>
          <w:szCs w:val="24"/>
          <w:lang w:eastAsia="zh-CN"/>
          <w14:textFill>
            <w14:solidFill>
              <w14:schemeClr w14:val="tx1"/>
            </w14:solidFill>
          </w14:textFill>
        </w:rPr>
        <w:t>》（2026年3月12日由十四届全国人大四次会议表决通过，</w:t>
      </w:r>
      <w:r>
        <w:rPr>
          <w:rFonts w:hint="eastAsia" w:cs="Times New Roman"/>
          <w:color w:val="000000" w:themeColor="text1"/>
          <w:sz w:val="24"/>
          <w:szCs w:val="24"/>
          <w:lang w:val="en-US" w:eastAsia="zh-CN"/>
          <w14:textFill>
            <w14:solidFill>
              <w14:schemeClr w14:val="tx1"/>
            </w14:solidFill>
          </w14:textFill>
        </w:rPr>
        <w:t>2026年8月15日起施行</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w:t>
      </w:r>
    </w:p>
    <w:p w14:paraId="6B7C104F">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）《建设项目环境保护管理条例》（国务院令第682号，2017年10月1日起施行）；</w:t>
      </w:r>
    </w:p>
    <w:p w14:paraId="142772BB">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）《环境影响评价公众参与办法》（生态环境部令第4号，2019年1月1日起施行）；</w:t>
      </w:r>
    </w:p>
    <w:p w14:paraId="04E56C5B">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14:textFill>
            <w14:solidFill>
              <w14:schemeClr w14:val="tx1"/>
            </w14:solidFill>
          </w14:textFill>
        </w:rPr>
        <w:t>）《中共中央</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国务院关于深入打好污染防治攻坚战的意见》</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2021年11月2日</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w:t>
      </w:r>
    </w:p>
    <w:p w14:paraId="5F5351CC">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14:textFill>
            <w14:solidFill>
              <w14:schemeClr w14:val="tx1"/>
            </w14:solidFill>
          </w14:textFill>
        </w:rPr>
        <w:t>）《关于加强规划环境影响评价与建设项目环境影响评价联动工作的意见》（环发〔2015〕178号）；</w:t>
      </w:r>
    </w:p>
    <w:p w14:paraId="1364DB01">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14:textFill>
            <w14:solidFill>
              <w14:schemeClr w14:val="tx1"/>
            </w14:solidFill>
          </w14:textFill>
        </w:rPr>
        <w:t>）《关于以改善环境质量为核心加强环境影响评价管理的通知》（环环评〔2016〕150号），2016年10月27日；</w:t>
      </w:r>
    </w:p>
    <w:p w14:paraId="33641B86">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14:textFill>
            <w14:solidFill>
              <w14:schemeClr w14:val="tx1"/>
            </w14:solidFill>
          </w14:textFill>
        </w:rPr>
        <w:t>）《关于进一步加强环境影响评价管理防范环境风险的通知》（</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原环境保护部</w:t>
      </w:r>
      <w:r>
        <w:rPr>
          <w:rFonts w:hint="default" w:ascii="Times New Roman" w:hAnsi="Times New Roman" w:eastAsia="宋体" w:cs="Times New Roman"/>
          <w:color w:val="000000" w:themeColor="text1"/>
          <w:sz w:val="24"/>
          <w:szCs w:val="24"/>
          <w14:textFill>
            <w14:solidFill>
              <w14:schemeClr w14:val="tx1"/>
            </w14:solidFill>
          </w14:textFill>
        </w:rPr>
        <w:t>，环发〔2012〕77号）；</w:t>
      </w:r>
    </w:p>
    <w:p w14:paraId="0F8C7C50">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4"/>
          <w14:textFill>
            <w14:solidFill>
              <w14:schemeClr w14:val="tx1"/>
            </w14:solidFill>
          </w14:textFill>
        </w:rPr>
        <w:t>）《关于做好环境影响评价制度与排污许可</w:t>
      </w:r>
      <w:r>
        <w:rPr>
          <w:rFonts w:hint="eastAsia" w:cs="Times New Roman"/>
          <w:color w:val="000000" w:themeColor="text1"/>
          <w:sz w:val="24"/>
          <w:szCs w:val="24"/>
          <w:lang w:val="en-US" w:eastAsia="zh-CN"/>
          <w14:textFill>
            <w14:solidFill>
              <w14:schemeClr w14:val="tx1"/>
            </w14:solidFill>
          </w14:textFill>
        </w:rPr>
        <w:t>制度</w:t>
      </w:r>
      <w:r>
        <w:rPr>
          <w:rFonts w:hint="default" w:ascii="Times New Roman" w:hAnsi="Times New Roman" w:eastAsia="宋体" w:cs="Times New Roman"/>
          <w:color w:val="000000" w:themeColor="text1"/>
          <w:sz w:val="24"/>
          <w:szCs w:val="24"/>
          <w14:textFill>
            <w14:solidFill>
              <w14:schemeClr w14:val="tx1"/>
            </w14:solidFill>
          </w14:textFill>
        </w:rPr>
        <w:t>衔接相关工作的通知》（环办环评〔2017〕84号）；</w:t>
      </w:r>
    </w:p>
    <w:p w14:paraId="5FFEEB95">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9</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十四五</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环境影响评价与排污许可工作实施方案》（环环评〔2022〕26号）；</w:t>
      </w:r>
    </w:p>
    <w:p w14:paraId="712A4AAB">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w:t>
      </w:r>
      <w:r>
        <w:rPr>
          <w:rFonts w:hint="eastAsia" w:cs="Times New Roman"/>
          <w:color w:val="000000" w:themeColor="text1"/>
          <w:sz w:val="24"/>
          <w:szCs w:val="24"/>
          <w:lang w:val="en-US" w:eastAsia="zh-CN"/>
          <w14:textFill>
            <w14:solidFill>
              <w14:schemeClr w14:val="tx1"/>
            </w14:solidFill>
          </w14:textFill>
        </w:rPr>
        <w:t>0</w:t>
      </w:r>
      <w:r>
        <w:rPr>
          <w:rFonts w:hint="default" w:ascii="Times New Roman" w:hAnsi="Times New Roman" w:eastAsia="宋体" w:cs="Times New Roman"/>
          <w:color w:val="000000" w:themeColor="text1"/>
          <w:sz w:val="24"/>
          <w:szCs w:val="24"/>
          <w14:textFill>
            <w14:solidFill>
              <w14:schemeClr w14:val="tx1"/>
            </w14:solidFill>
          </w14:textFill>
        </w:rPr>
        <w:t>）《国务院办公厅关于印发控制污染物排放许可制实施方案的通知》（国发〔2016〕81号）；</w:t>
      </w:r>
    </w:p>
    <w:p w14:paraId="18F9300E">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w:t>
      </w:r>
      <w:r>
        <w:rPr>
          <w:rFonts w:hint="eastAsia" w:cs="Times New Roman"/>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14:textFill>
            <w14:solidFill>
              <w14:schemeClr w14:val="tx1"/>
            </w14:solidFill>
          </w14:textFill>
        </w:rPr>
        <w:t>）《挥发性有机物（VOC</w:t>
      </w:r>
      <w:r>
        <w:rPr>
          <w:rFonts w:hint="default" w:ascii="Times New Roman" w:hAnsi="Times New Roman" w:eastAsia="宋体" w:cs="Times New Roman"/>
          <w:color w:val="000000" w:themeColor="text1"/>
          <w:sz w:val="24"/>
          <w:szCs w:val="24"/>
          <w:vertAlign w:val="subscript"/>
          <w14:textFill>
            <w14:solidFill>
              <w14:schemeClr w14:val="tx1"/>
            </w14:solidFill>
          </w14:textFill>
        </w:rPr>
        <w:t>S</w:t>
      </w:r>
      <w:r>
        <w:rPr>
          <w:rFonts w:hint="default" w:ascii="Times New Roman" w:hAnsi="Times New Roman" w:eastAsia="宋体" w:cs="Times New Roman"/>
          <w:color w:val="000000" w:themeColor="text1"/>
          <w:sz w:val="24"/>
          <w:szCs w:val="24"/>
          <w14:textFill>
            <w14:solidFill>
              <w14:schemeClr w14:val="tx1"/>
            </w14:solidFill>
          </w14:textFill>
        </w:rPr>
        <w:t>）污染防治技术政策》（</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原</w:t>
      </w:r>
      <w:r>
        <w:rPr>
          <w:rFonts w:hint="default" w:ascii="Times New Roman" w:hAnsi="Times New Roman" w:eastAsia="宋体" w:cs="Times New Roman"/>
          <w:color w:val="000000" w:themeColor="text1"/>
          <w:sz w:val="24"/>
          <w:szCs w:val="24"/>
          <w14:textFill>
            <w14:solidFill>
              <w14:schemeClr w14:val="tx1"/>
            </w14:solidFill>
          </w14:textFill>
        </w:rPr>
        <w:t>环境保护部公告2013年第31号）；</w:t>
      </w:r>
    </w:p>
    <w:p w14:paraId="4858671C">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w:t>
      </w:r>
      <w:r>
        <w:rPr>
          <w:rFonts w:hint="eastAsia" w:cs="Times New Roman"/>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）关于印发《重点行业挥发性有机物综合治理方案》的通知（环大气〔2019〕53号）；</w:t>
      </w:r>
    </w:p>
    <w:p w14:paraId="6D13622B">
      <w:pPr>
        <w:keepNext w:val="0"/>
        <w:keepLines w:val="0"/>
        <w:pageBreakBefore w:val="0"/>
        <w:widowControl w:val="0"/>
        <w:kinsoku/>
        <w:wordWrap/>
        <w:overflowPunct/>
        <w:topLinePunct w:val="0"/>
        <w:autoSpaceDE/>
        <w:autoSpaceDN/>
        <w:bidi w:val="0"/>
        <w:adjustRightInd/>
        <w:snapToGrid/>
        <w:spacing w:after="0" w:line="360" w:lineRule="auto"/>
        <w:ind w:left="0" w:firstLine="480" w:firstLineChars="200"/>
        <w:jc w:val="left"/>
        <w:textAlignment w:val="auto"/>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w:t>
      </w:r>
      <w:r>
        <w:rPr>
          <w:rFonts w:hint="eastAsia" w:cs="Times New Roman"/>
          <w:color w:val="000000" w:themeColor="text1"/>
          <w:kern w:val="2"/>
          <w:sz w:val="24"/>
          <w:szCs w:val="24"/>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关于加快解决当前挥发性有机物治理突出问题的通知</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（环大气〔2021〕65号）</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p>
    <w:p w14:paraId="3A252A7E">
      <w:pPr>
        <w:keepNext w:val="0"/>
        <w:keepLines w:val="0"/>
        <w:pageBreakBefore w:val="0"/>
        <w:widowControl w:val="0"/>
        <w:kinsoku/>
        <w:wordWrap/>
        <w:overflowPunct/>
        <w:topLinePunct w:val="0"/>
        <w:autoSpaceDE/>
        <w:autoSpaceDN/>
        <w:bidi w:val="0"/>
        <w:adjustRightInd/>
        <w:snapToGrid/>
        <w:spacing w:after="0" w:line="360" w:lineRule="auto"/>
        <w:ind w:left="0" w:firstLine="480" w:firstLineChars="200"/>
        <w:jc w:val="left"/>
        <w:textAlignment w:val="auto"/>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（14）《空气质量持续改善行动计划》（国发〔2023〕24号）；</w:t>
      </w:r>
    </w:p>
    <w:p w14:paraId="1D9745BD">
      <w:pPr>
        <w:keepNext w:val="0"/>
        <w:keepLines w:val="0"/>
        <w:pageBreakBefore w:val="0"/>
        <w:widowControl w:val="0"/>
        <w:kinsoku/>
        <w:wordWrap/>
        <w:overflowPunct/>
        <w:topLinePunct w:val="0"/>
        <w:autoSpaceDE/>
        <w:autoSpaceDN/>
        <w:bidi w:val="0"/>
        <w:adjustRightInd/>
        <w:snapToGrid/>
        <w:spacing w:after="0" w:line="360" w:lineRule="auto"/>
        <w:ind w:left="0" w:firstLine="480" w:firstLineChars="200"/>
        <w:jc w:val="left"/>
        <w:textAlignment w:val="auto"/>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（15）《挥发性有机物无组织排放控制标准》（GB37822-2019）；</w:t>
      </w:r>
    </w:p>
    <w:p w14:paraId="07B5075A">
      <w:pPr>
        <w:keepNext w:val="0"/>
        <w:keepLines w:val="0"/>
        <w:pageBreakBefore w:val="0"/>
        <w:widowControl w:val="0"/>
        <w:kinsoku/>
        <w:wordWrap/>
        <w:overflowPunct/>
        <w:topLinePunct w:val="0"/>
        <w:autoSpaceDE/>
        <w:autoSpaceDN/>
        <w:bidi w:val="0"/>
        <w:adjustRightInd/>
        <w:snapToGrid/>
        <w:spacing w:after="0" w:line="360" w:lineRule="auto"/>
        <w:ind w:left="0" w:firstLine="480" w:firstLineChars="200"/>
        <w:jc w:val="left"/>
        <w:textAlignment w:val="auto"/>
        <w:rPr>
          <w:rFonts w:hint="default" w:cs="Times New Roman"/>
          <w:color w:val="000000" w:themeColor="text1"/>
          <w:kern w:val="2"/>
          <w:sz w:val="24"/>
          <w:szCs w:val="24"/>
          <w:lang w:val="en-US" w:eastAsia="zh-CN" w:bidi="ar-SA"/>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（16）《关于印发〈2020年挥发性有机物治理攻坚方案〉的通知》（环大气〔2020〕33号）。</w:t>
      </w:r>
    </w:p>
    <w:p w14:paraId="24EEF8B1">
      <w:pPr>
        <w:keepNext/>
        <w:keepLines/>
        <w:widowControl w:val="0"/>
        <w:spacing w:before="0" w:after="0" w:line="360" w:lineRule="auto"/>
        <w:jc w:val="both"/>
        <w:outlineLvl w:val="2"/>
        <w:rPr>
          <w:rFonts w:hint="default" w:ascii="Times New Roman" w:hAnsi="Times New Roman" w:eastAsia="宋体" w:cs="Times New Roman"/>
          <w:b/>
          <w:bCs/>
          <w:color w:val="000000" w:themeColor="text1"/>
          <w:kern w:val="2"/>
          <w:sz w:val="28"/>
          <w:szCs w:val="32"/>
          <w:lang w:val="en-US" w:eastAsia="zh-CN" w:bidi="ar-SA"/>
          <w14:textFill>
            <w14:solidFill>
              <w14:schemeClr w14:val="tx1"/>
            </w14:solidFill>
          </w14:textFill>
        </w:rPr>
      </w:pPr>
      <w:bookmarkStart w:id="285" w:name="_Toc11524"/>
      <w:bookmarkStart w:id="286" w:name="_Toc106895844"/>
      <w:bookmarkStart w:id="287" w:name="_Toc9368"/>
      <w:bookmarkStart w:id="288" w:name="_Toc19203"/>
      <w:r>
        <w:rPr>
          <w:rFonts w:hint="default" w:ascii="Times New Roman" w:hAnsi="Times New Roman" w:eastAsia="宋体" w:cs="Times New Roman"/>
          <w:b/>
          <w:bCs/>
          <w:color w:val="000000" w:themeColor="text1"/>
          <w:kern w:val="2"/>
          <w:sz w:val="28"/>
          <w:szCs w:val="32"/>
          <w:lang w:val="en-US" w:eastAsia="zh-CN" w:bidi="ar-SA"/>
          <w14:textFill>
            <w14:solidFill>
              <w14:schemeClr w14:val="tx1"/>
            </w14:solidFill>
          </w14:textFill>
        </w:rPr>
        <w:t>1.1.2地方性法规及规范性文件</w:t>
      </w:r>
      <w:bookmarkEnd w:id="285"/>
      <w:bookmarkEnd w:id="286"/>
      <w:bookmarkEnd w:id="287"/>
      <w:bookmarkEnd w:id="288"/>
    </w:p>
    <w:p w14:paraId="75FA32F9">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（1）《云南省生态环境厅审批环境影响评价文件的建设项目目录（2022年本）》（云环发〔2022〕32号）；</w:t>
      </w:r>
    </w:p>
    <w:p w14:paraId="47A9EAEA">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（2）《云南省建设项目环境保护管理规定》（云南省人民政府令第105号</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2002年1月1日</w:t>
      </w:r>
      <w:r>
        <w:rPr>
          <w:rFonts w:hint="eastAsia" w:cs="Times New Roman"/>
          <w:color w:val="000000" w:themeColor="text1"/>
          <w:sz w:val="24"/>
          <w:szCs w:val="24"/>
          <w:lang w:val="en-US" w:eastAsia="zh-CN"/>
          <w14:textFill>
            <w14:solidFill>
              <w14:schemeClr w14:val="tx1"/>
            </w14:solidFill>
          </w14:textFill>
        </w:rPr>
        <w:t>起</w:t>
      </w:r>
      <w:r>
        <w:rPr>
          <w:rFonts w:hint="default" w:ascii="Times New Roman" w:hAnsi="Times New Roman" w:eastAsia="宋体" w:cs="Times New Roman"/>
          <w:color w:val="000000" w:themeColor="text1"/>
          <w:sz w:val="24"/>
          <w:szCs w:val="24"/>
          <w14:textFill>
            <w14:solidFill>
              <w14:schemeClr w14:val="tx1"/>
            </w14:solidFill>
          </w14:textFill>
        </w:rPr>
        <w:t>施行）；</w:t>
      </w:r>
    </w:p>
    <w:p w14:paraId="39A89FCC">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）《云南省</w:t>
      </w:r>
      <w:r>
        <w:rPr>
          <w:rFonts w:hint="eastAsia" w:cs="Times New Roman"/>
          <w:color w:val="000000" w:themeColor="text1"/>
          <w:sz w:val="24"/>
          <w:szCs w:val="24"/>
          <w:lang w:val="en-US" w:eastAsia="zh-CN"/>
          <w14:textFill>
            <w14:solidFill>
              <w14:schemeClr w14:val="tx1"/>
            </w14:solidFill>
          </w14:textFill>
        </w:rPr>
        <w:t>生态</w:t>
      </w:r>
      <w:r>
        <w:rPr>
          <w:rFonts w:hint="default" w:ascii="Times New Roman" w:hAnsi="Times New Roman" w:eastAsia="宋体" w:cs="Times New Roman"/>
          <w:color w:val="000000" w:themeColor="text1"/>
          <w:sz w:val="24"/>
          <w:szCs w:val="24"/>
          <w14:textFill>
            <w14:solidFill>
              <w14:schemeClr w14:val="tx1"/>
            </w14:solidFill>
          </w14:textFill>
        </w:rPr>
        <w:t>环境保护条例》（云南省人民代表大会常务委员会公告〔十四届〕第三十号</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2024年11月01日起施行）；</w:t>
      </w:r>
    </w:p>
    <w:p w14:paraId="79B7AF63">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14:textFill>
            <w14:solidFill>
              <w14:schemeClr w14:val="tx1"/>
            </w14:solidFill>
          </w14:textFill>
        </w:rPr>
        <w:t>）《关于印发&lt;云南省环境保护厅建设项目环境影响评价政府信息公开工作规程（试行）&gt;的通知》（云环发〔2014〕62号）云南省环保厅）；</w:t>
      </w:r>
    </w:p>
    <w:p w14:paraId="43052136">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14:textFill>
            <w14:solidFill>
              <w14:schemeClr w14:val="tx1"/>
            </w14:solidFill>
          </w14:textFill>
        </w:rPr>
        <w:t>）《云南省人民政府关于印发云南省大气污染防治行动实施方案的通知》（云政发〔2014〕9号）；</w:t>
      </w:r>
    </w:p>
    <w:p w14:paraId="7356EF76">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14:textFill>
            <w14:solidFill>
              <w14:schemeClr w14:val="tx1"/>
            </w14:solidFill>
          </w14:textFill>
        </w:rPr>
        <w:t>）《云南省生态环境厅关于印发云南省重点行业挥发性有机物综合治理实施方案的通知》，云环通〔2019〕125号；</w:t>
      </w:r>
    </w:p>
    <w:p w14:paraId="65118593">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14:textFill>
            <w14:solidFill>
              <w14:schemeClr w14:val="tx1"/>
            </w14:solidFill>
          </w14:textFill>
        </w:rPr>
        <w:t>）《云南省大气污染防治条例》（2019年1月1日）；</w:t>
      </w:r>
    </w:p>
    <w:p w14:paraId="5F212099">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4"/>
          <w14:textFill>
            <w14:solidFill>
              <w14:schemeClr w14:val="tx1"/>
            </w14:solidFill>
          </w14:textFill>
        </w:rPr>
        <w:t>）《云南省人民政府关于发布云南省生态保护红线的通知》（云政发〔2018〕32号）；</w:t>
      </w:r>
    </w:p>
    <w:p w14:paraId="22D7B458">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9</w:t>
      </w:r>
      <w:r>
        <w:rPr>
          <w:rFonts w:hint="default" w:ascii="Times New Roman" w:hAnsi="Times New Roman" w:eastAsia="宋体" w:cs="Times New Roman"/>
          <w:color w:val="000000" w:themeColor="text1"/>
          <w:sz w:val="24"/>
          <w:szCs w:val="24"/>
          <w14:textFill>
            <w14:solidFill>
              <w14:schemeClr w14:val="tx1"/>
            </w14:solidFill>
          </w14:textFill>
        </w:rPr>
        <w:t>）《云南省人民政府关于印发云南省</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十四五</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节能减排综合工作实施方案的通知》（云政发〔2022〕34号）；</w:t>
      </w:r>
    </w:p>
    <w:p w14:paraId="2D77FA11">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14:textFill>
            <w14:solidFill>
              <w14:schemeClr w14:val="tx1"/>
            </w14:solidFill>
          </w14:textFill>
        </w:rPr>
        <w:t>）《关于印发&lt;云南省贯彻〈排污许可管理条例〉实施细则&gt;的通知》（云环规〔2021〕1号）；</w:t>
      </w:r>
    </w:p>
    <w:p w14:paraId="2644FD5E">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11</w:t>
      </w:r>
      <w:r>
        <w:rPr>
          <w:rFonts w:hint="default" w:ascii="Times New Roman" w:hAnsi="Times New Roman" w:eastAsia="宋体" w:cs="Times New Roman"/>
          <w:color w:val="000000" w:themeColor="text1"/>
          <w:sz w:val="24"/>
          <w:szCs w:val="24"/>
          <w14:textFill>
            <w14:solidFill>
              <w14:schemeClr w14:val="tx1"/>
            </w14:solidFill>
          </w14:textFill>
        </w:rPr>
        <w:t>）《云南省</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十四五</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生态环境保护规划》（云环发〔2022〕13号）；</w:t>
      </w:r>
    </w:p>
    <w:p w14:paraId="5F2DDEFC">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12</w:t>
      </w:r>
      <w:r>
        <w:rPr>
          <w:rFonts w:hint="default" w:ascii="Times New Roman" w:hAnsi="Times New Roman" w:eastAsia="宋体" w:cs="Times New Roman"/>
          <w:color w:val="000000" w:themeColor="text1"/>
          <w:sz w:val="24"/>
          <w:szCs w:val="24"/>
          <w14:textFill>
            <w14:solidFill>
              <w14:schemeClr w14:val="tx1"/>
            </w14:solidFill>
          </w14:textFill>
        </w:rPr>
        <w:t>）《云南省人民政府关于实施</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三线一单</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生态环境分区管控的意见》（云政发〔2020〕29号）；</w:t>
      </w:r>
    </w:p>
    <w:p w14:paraId="74AD4620">
      <w:pPr>
        <w:spacing w:line="360" w:lineRule="auto"/>
        <w:ind w:firstLine="480" w:firstLineChars="200"/>
        <w:rPr>
          <w:rFonts w:hint="eastAsia" w:ascii="Times New Roman" w:hAnsi="Times New Roman" w:eastAsia="宋体" w:cs="Times New Roman"/>
          <w:color w:val="000000" w:themeColor="text1"/>
          <w:sz w:val="24"/>
          <w:szCs w:val="24"/>
          <w:lang w:eastAsia="zh-CN"/>
          <w14:textFill>
            <w14:solidFill>
              <w14:schemeClr w14:val="tx1"/>
            </w14:solidFill>
          </w14:textFill>
        </w:rPr>
      </w:pPr>
      <w:r>
        <w:rPr>
          <w:rFonts w:hint="eastAsia" w:cs="Times New Roman"/>
          <w:color w:val="000000" w:themeColor="text1"/>
          <w:sz w:val="24"/>
          <w:szCs w:val="24"/>
          <w:lang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13</w:t>
      </w:r>
      <w:r>
        <w:rPr>
          <w:rFonts w:hint="eastAsia" w:cs="Times New Roman"/>
          <w:color w:val="000000" w:themeColor="text1"/>
          <w:sz w:val="24"/>
          <w:szCs w:val="24"/>
          <w:lang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《云南省生态环境厅关于印发云南省重点行业挥发性有机物综合治理实施方案的通知》（云环通〔2019〕125号）；</w:t>
      </w:r>
    </w:p>
    <w:p w14:paraId="1632D966">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w:t>
      </w:r>
      <w:r>
        <w:rPr>
          <w:rFonts w:hint="eastAsia" w:cs="Times New Roman"/>
          <w:color w:val="000000" w:themeColor="text1"/>
          <w:sz w:val="24"/>
          <w:szCs w:val="24"/>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14:textFill>
            <w14:solidFill>
              <w14:schemeClr w14:val="tx1"/>
            </w14:solidFill>
          </w14:textFill>
        </w:rPr>
        <w:t>）《玉溪市人民政府关于印发玉溪市</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三线一单</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生态环境分区管控实施意见的通知》（玉政发〔2021〕15号）；</w:t>
      </w:r>
    </w:p>
    <w:p w14:paraId="108777D5">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（15）</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《玉溪市生态环境分区管控动态更新调整方案</w:t>
      </w:r>
      <w:r>
        <w:rPr>
          <w:rFonts w:hint="eastAsia"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2023年</w:t>
      </w:r>
      <w:r>
        <w:rPr>
          <w:rFonts w:hint="eastAsia"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》（玉市环〔2024〕40号）</w:t>
      </w:r>
      <w:r>
        <w:rPr>
          <w:rFonts w:hint="eastAsia" w:cs="Times New Roman"/>
          <w:color w:val="000000" w:themeColor="text1"/>
          <w:sz w:val="24"/>
          <w:szCs w:val="24"/>
          <w:lang w:val="en-US" w:eastAsia="zh-CN"/>
          <w14:textFill>
            <w14:solidFill>
              <w14:schemeClr w14:val="tx1"/>
            </w14:solidFill>
          </w14:textFill>
        </w:rPr>
        <w:t>；</w:t>
      </w:r>
    </w:p>
    <w:p w14:paraId="7EC2FCF0">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eastAsia" w:cs="Times New Roman"/>
          <w:color w:val="000000" w:themeColor="text1"/>
          <w:sz w:val="24"/>
          <w:szCs w:val="24"/>
          <w:lang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16</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玉溪市生态环境改善提升三年行动方案</w:t>
      </w:r>
      <w:r>
        <w:rPr>
          <w:rFonts w:hint="eastAsia" w:cs="Times New Roman"/>
          <w:color w:val="000000" w:themeColor="text1"/>
          <w:sz w:val="24"/>
          <w:szCs w:val="24"/>
          <w:lang w:eastAsia="zh-CN"/>
          <w14:textFill>
            <w14:solidFill>
              <w14:schemeClr w14:val="tx1"/>
            </w14:solidFill>
          </w14:textFill>
        </w:rPr>
        <w:t>》；</w:t>
      </w:r>
    </w:p>
    <w:p w14:paraId="20B5F002">
      <w:pPr>
        <w:spacing w:line="360" w:lineRule="auto"/>
        <w:ind w:firstLine="480" w:firstLineChars="200"/>
        <w:rPr>
          <w:rFonts w:hint="eastAsia"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w:t>
      </w:r>
      <w:r>
        <w:rPr>
          <w:rFonts w:hint="eastAsia" w:cs="Times New Roman"/>
          <w:color w:val="000000" w:themeColor="text1"/>
          <w:sz w:val="24"/>
          <w:szCs w:val="24"/>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玉溪市重点行业挥发性有机物综合治理实施方案</w:t>
      </w:r>
      <w:r>
        <w:rPr>
          <w:rFonts w:hint="eastAsia" w:cs="Times New Roman"/>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p>
    <w:p w14:paraId="20374613">
      <w:pPr>
        <w:spacing w:line="360" w:lineRule="auto"/>
        <w:ind w:firstLine="480" w:firstLineChars="200"/>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eastAsia" w:cs="Times New Roman"/>
          <w:color w:val="000000" w:themeColor="text1"/>
          <w:sz w:val="24"/>
          <w:szCs w:val="24"/>
          <w:highlight w:val="none"/>
          <w:lang w:val="en-US" w:eastAsia="zh-CN"/>
          <w14:textFill>
            <w14:solidFill>
              <w14:schemeClr w14:val="tx1"/>
            </w14:solidFill>
          </w14:textFill>
        </w:rPr>
        <w:t>8</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《玉溪市打赢蓝天保卫战三年行动实施方案》。</w:t>
      </w:r>
    </w:p>
    <w:p w14:paraId="4D65DACE">
      <w:pPr>
        <w:keepNext/>
        <w:keepLines/>
        <w:widowControl w:val="0"/>
        <w:spacing w:before="0" w:after="0" w:line="360" w:lineRule="auto"/>
        <w:jc w:val="both"/>
        <w:outlineLvl w:val="2"/>
        <w:rPr>
          <w:rFonts w:hint="default" w:ascii="Times New Roman" w:hAnsi="Times New Roman" w:eastAsia="宋体" w:cs="Times New Roman"/>
          <w:b/>
          <w:bCs/>
          <w:color w:val="000000" w:themeColor="text1"/>
          <w:kern w:val="2"/>
          <w:sz w:val="28"/>
          <w:szCs w:val="32"/>
          <w:lang w:val="en-US" w:eastAsia="zh-CN" w:bidi="ar-SA"/>
          <w14:textFill>
            <w14:solidFill>
              <w14:schemeClr w14:val="tx1"/>
            </w14:solidFill>
          </w14:textFill>
        </w:rPr>
      </w:pPr>
      <w:bookmarkStart w:id="289" w:name="_Toc14902"/>
      <w:bookmarkStart w:id="290" w:name="_Toc23536"/>
      <w:bookmarkStart w:id="291" w:name="_Toc106895845"/>
      <w:bookmarkStart w:id="292" w:name="_Toc14186"/>
      <w:r>
        <w:rPr>
          <w:rFonts w:hint="default" w:ascii="Times New Roman" w:hAnsi="Times New Roman" w:eastAsia="宋体" w:cs="Times New Roman"/>
          <w:b/>
          <w:bCs/>
          <w:color w:val="000000" w:themeColor="text1"/>
          <w:kern w:val="2"/>
          <w:sz w:val="28"/>
          <w:szCs w:val="32"/>
          <w:lang w:val="en-US" w:eastAsia="zh-CN" w:bidi="ar-SA"/>
          <w14:textFill>
            <w14:solidFill>
              <w14:schemeClr w14:val="tx1"/>
            </w14:solidFill>
          </w14:textFill>
        </w:rPr>
        <w:t>1.1.3技术导则和规范</w:t>
      </w:r>
      <w:bookmarkEnd w:id="289"/>
      <w:bookmarkEnd w:id="290"/>
      <w:bookmarkEnd w:id="291"/>
      <w:bookmarkEnd w:id="292"/>
    </w:p>
    <w:p w14:paraId="608ED3E8">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（1）《建设项目环境影响评价技术导则 总纲》（HJ2.1-2016）；</w:t>
      </w:r>
    </w:p>
    <w:p w14:paraId="548627AB">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（2）《环境影响评价技术导则 大气环境》（HJ2.2-2018）；</w:t>
      </w:r>
    </w:p>
    <w:p w14:paraId="77663A6E">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）《排污许可证申请与核发技术规范 总则》（HJ 942-2018）；</w:t>
      </w:r>
    </w:p>
    <w:p w14:paraId="1BC36327">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14:textFill>
            <w14:solidFill>
              <w14:schemeClr w14:val="tx1"/>
            </w14:solidFill>
          </w14:textFill>
        </w:rPr>
        <w:t>）《排污许可证申请与核发技术规范 橡胶和塑料制品工业》（HJ 1122-2020）；</w:t>
      </w:r>
    </w:p>
    <w:p w14:paraId="348125BD">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14:textFill>
            <w14:solidFill>
              <w14:schemeClr w14:val="tx1"/>
            </w14:solidFill>
          </w14:textFill>
        </w:rPr>
        <w:t>）《污染源源强核算技术指南 准则》（HJ884-2018）；</w:t>
      </w:r>
    </w:p>
    <w:p w14:paraId="267AA3D7">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14:textFill>
            <w14:solidFill>
              <w14:schemeClr w14:val="tx1"/>
            </w14:solidFill>
          </w14:textFill>
        </w:rPr>
        <w:t>）《排放源统计调查产排污核算方法和系数手册》（生态环境部公告2021年第24号）；</w:t>
      </w:r>
    </w:p>
    <w:p w14:paraId="09BE8118">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14:textFill>
            <w14:solidFill>
              <w14:schemeClr w14:val="tx1"/>
            </w14:solidFill>
          </w14:textFill>
        </w:rPr>
        <w:t>）《排污单位自行监测技术指南 总则》（HJ819-2017）；</w:t>
      </w:r>
    </w:p>
    <w:p w14:paraId="7FF1FAEA">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4"/>
          <w14:textFill>
            <w14:solidFill>
              <w14:schemeClr w14:val="tx1"/>
            </w14:solidFill>
          </w14:textFill>
        </w:rPr>
        <w:t>）《排污单位自行监测技术指南 橡胶和塑料制品》（HJ1207-2021）；</w:t>
      </w:r>
    </w:p>
    <w:p w14:paraId="6EC5D297">
      <w:pPr>
        <w:keepNext/>
        <w:keepLines/>
        <w:widowControl w:val="0"/>
        <w:spacing w:before="0" w:after="0" w:line="360" w:lineRule="auto"/>
        <w:jc w:val="both"/>
        <w:outlineLvl w:val="2"/>
        <w:rPr>
          <w:rFonts w:hint="default" w:ascii="Times New Roman" w:hAnsi="Times New Roman" w:eastAsia="宋体" w:cs="Times New Roman"/>
          <w:b/>
          <w:bCs/>
          <w:color w:val="000000" w:themeColor="text1"/>
          <w:kern w:val="2"/>
          <w:sz w:val="28"/>
          <w:szCs w:val="32"/>
          <w:lang w:val="en-US" w:eastAsia="zh-CN" w:bidi="ar-SA"/>
          <w14:textFill>
            <w14:solidFill>
              <w14:schemeClr w14:val="tx1"/>
            </w14:solidFill>
          </w14:textFill>
        </w:rPr>
      </w:pPr>
      <w:bookmarkStart w:id="293" w:name="_Toc106895846"/>
      <w:bookmarkStart w:id="294" w:name="_Toc7398"/>
      <w:bookmarkStart w:id="295" w:name="_Toc26028"/>
      <w:bookmarkStart w:id="296" w:name="_Toc30685"/>
      <w:r>
        <w:rPr>
          <w:rFonts w:hint="default" w:ascii="Times New Roman" w:hAnsi="Times New Roman" w:eastAsia="宋体" w:cs="Times New Roman"/>
          <w:b/>
          <w:bCs/>
          <w:color w:val="000000" w:themeColor="text1"/>
          <w:kern w:val="2"/>
          <w:sz w:val="28"/>
          <w:szCs w:val="32"/>
          <w:lang w:val="en-US" w:eastAsia="zh-CN" w:bidi="ar-SA"/>
          <w14:textFill>
            <w14:solidFill>
              <w14:schemeClr w14:val="tx1"/>
            </w14:solidFill>
          </w14:textFill>
        </w:rPr>
        <w:t>1.1.4</w:t>
      </w:r>
      <w:r>
        <w:rPr>
          <w:rFonts w:hint="eastAsia" w:ascii="Times New Roman" w:hAnsi="Times New Roman" w:eastAsia="宋体" w:cs="Times New Roman"/>
          <w:b/>
          <w:bCs/>
          <w:color w:val="000000" w:themeColor="text1"/>
          <w:kern w:val="2"/>
          <w:sz w:val="28"/>
          <w:szCs w:val="32"/>
          <w:lang w:val="en-US" w:eastAsia="zh-CN" w:bidi="ar-SA"/>
          <w14:textFill>
            <w14:solidFill>
              <w14:schemeClr w14:val="tx1"/>
            </w14:solidFill>
          </w14:textFill>
        </w:rPr>
        <w:t>其他</w:t>
      </w:r>
      <w:bookmarkEnd w:id="293"/>
      <w:r>
        <w:rPr>
          <w:rFonts w:hint="default" w:ascii="Times New Roman" w:hAnsi="Times New Roman" w:eastAsia="宋体" w:cs="Times New Roman"/>
          <w:b/>
          <w:bCs/>
          <w:color w:val="000000" w:themeColor="text1"/>
          <w:kern w:val="2"/>
          <w:sz w:val="28"/>
          <w:szCs w:val="32"/>
          <w:lang w:val="en-US" w:eastAsia="zh-CN" w:bidi="ar-SA"/>
          <w14:textFill>
            <w14:solidFill>
              <w14:schemeClr w14:val="tx1"/>
            </w14:solidFill>
          </w14:textFill>
        </w:rPr>
        <w:t>相关文件</w:t>
      </w:r>
      <w:bookmarkEnd w:id="294"/>
      <w:bookmarkEnd w:id="295"/>
      <w:bookmarkEnd w:id="296"/>
    </w:p>
    <w:p w14:paraId="72CAD821">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（1）《云南易门产业园区总体规划（修编）》（2021-2035）；</w:t>
      </w:r>
    </w:p>
    <w:p w14:paraId="6F8981F6">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玉溪市人民政府关于云南易门产业园区总体规划修编（2021-2035年）的批复</w:t>
      </w:r>
      <w:r>
        <w:rPr>
          <w:rFonts w:hint="eastAsia"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（玉政复〔2023〕9号）</w:t>
      </w:r>
    </w:p>
    <w:p w14:paraId="03423EB0">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）《云南易门产业园区总体规划（修编）（2021-2035）环境影响报告书》；</w:t>
      </w:r>
    </w:p>
    <w:p w14:paraId="46A2D44F">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14:textFill>
            <w14:solidFill>
              <w14:schemeClr w14:val="tx1"/>
            </w14:solidFill>
          </w14:textFill>
        </w:rPr>
        <w:t>）玉溪市</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生态环境</w:t>
      </w:r>
      <w:r>
        <w:rPr>
          <w:rFonts w:hint="default" w:ascii="Times New Roman" w:hAnsi="Times New Roman" w:eastAsia="宋体" w:cs="Times New Roman"/>
          <w:color w:val="000000" w:themeColor="text1"/>
          <w:sz w:val="24"/>
          <w:szCs w:val="24"/>
          <w14:textFill>
            <w14:solidFill>
              <w14:schemeClr w14:val="tx1"/>
            </w14:solidFill>
          </w14:textFill>
        </w:rPr>
        <w:t>局《关于云南易门产业园区总体规划（修编）（2021-2035）环境影响报告书审查意见的函》（玉市环函</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2022</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32号）；</w:t>
      </w:r>
    </w:p>
    <w:p w14:paraId="51B71516">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14:textFill>
            <w14:solidFill>
              <w14:schemeClr w14:val="tx1"/>
            </w14:solidFill>
          </w14:textFill>
        </w:rPr>
        <w:t>）项目环境影响评价委托书；</w:t>
      </w:r>
    </w:p>
    <w:p w14:paraId="057B1D27">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6</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易门县发展和改革局（易门县粮食和物资储备局）下发的投资项目备案证（项目代码：</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2605-530425-04-01-484637</w:t>
      </w:r>
      <w:r>
        <w:rPr>
          <w:rFonts w:hint="default" w:ascii="Times New Roman" w:hAnsi="Times New Roman" w:eastAsia="宋体" w:cs="Times New Roman"/>
          <w:color w:val="000000" w:themeColor="text1"/>
          <w:sz w:val="24"/>
          <w:szCs w:val="24"/>
          <w14:textFill>
            <w14:solidFill>
              <w14:schemeClr w14:val="tx1"/>
            </w14:solidFill>
          </w14:textFill>
        </w:rPr>
        <w:t>）；</w:t>
      </w:r>
    </w:p>
    <w:p w14:paraId="54C5D7E7">
      <w:pPr>
        <w:spacing w:line="360" w:lineRule="auto"/>
        <w:ind w:firstLine="480" w:firstLineChars="200"/>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云南盛玥密胺制品有限公司</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密胺餐具智能化生产基地建设项目环境质量现状监测</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报告</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天倪环检字</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〔202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〕929</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号</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59EC2B27">
      <w:pPr>
        <w:spacing w:line="360"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eastAsia="zh-CN"/>
          <w14:textFill>
            <w14:solidFill>
              <w14:schemeClr w14:val="tx1"/>
            </w14:solidFill>
          </w14:textFill>
        </w:rPr>
        <w:t>年产4000吨PVC塑料管材生产建设项目</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环境影响报告表》（</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报批稿2020.05</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p>
    <w:p w14:paraId="311374BB">
      <w:pPr>
        <w:spacing w:line="360"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9</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玉溪市生态环境局易门分局关于</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云南联帆建材科技有限公司</w:t>
      </w:r>
      <w:r>
        <w:rPr>
          <w:rFonts w:hint="default" w:ascii="Times New Roman" w:hAnsi="Times New Roman" w:eastAsia="宋体" w:cs="Times New Roman"/>
          <w:color w:val="000000" w:themeColor="text1"/>
          <w:sz w:val="24"/>
          <w:szCs w:val="24"/>
          <w:lang w:eastAsia="zh-CN"/>
          <w14:textFill>
            <w14:solidFill>
              <w14:schemeClr w14:val="tx1"/>
            </w14:solidFill>
          </w14:textFill>
        </w:rPr>
        <w:t>年产4000吨PVC塑料管材生产建设项目</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环境影响报告表</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的批复》</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（易环审〔20</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20</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35</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号）；</w:t>
      </w:r>
    </w:p>
    <w:p w14:paraId="73B71644">
      <w:pPr>
        <w:spacing w:line="360"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lang w:eastAsia="zh-CN"/>
          <w14:textFill>
            <w14:solidFill>
              <w14:schemeClr w14:val="tx1"/>
            </w14:solidFill>
          </w14:textFill>
        </w:rPr>
        <w:t>）云南盛玥密胺制品有限公司密胺餐具智能化生产基地建设项目</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项目建议书；</w:t>
      </w:r>
    </w:p>
    <w:p w14:paraId="4BE26CC7">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w:t>
      </w:r>
      <w:r>
        <w:rPr>
          <w:rFonts w:hint="eastAsia" w:cs="Times New Roman"/>
          <w:color w:val="000000" w:themeColor="text1"/>
          <w:sz w:val="24"/>
          <w:szCs w:val="24"/>
          <w:lang w:val="en-US" w:eastAsia="zh-CN"/>
          <w14:textFill>
            <w14:solidFill>
              <w14:schemeClr w14:val="tx1"/>
            </w14:solidFill>
          </w14:textFill>
        </w:rPr>
        <w:t>1</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建设单位提供的关于项目的其他技术资料。</w:t>
      </w:r>
    </w:p>
    <w:p w14:paraId="4937B916">
      <w:pPr>
        <w:pStyle w:val="3"/>
        <w:spacing w:before="0" w:after="0" w:line="360" w:lineRule="auto"/>
        <w:rPr>
          <w:rFonts w:hint="default" w:ascii="Times New Roman" w:hAnsi="Times New Roman" w:cs="Times New Roman"/>
          <w:color w:val="000000" w:themeColor="text1"/>
          <w14:textFill>
            <w14:solidFill>
              <w14:schemeClr w14:val="tx1"/>
            </w14:solidFill>
          </w14:textFill>
        </w:rPr>
      </w:pPr>
      <w:bookmarkStart w:id="297" w:name="_Toc14243"/>
      <w:bookmarkStart w:id="298" w:name="_Toc29381"/>
      <w:bookmarkStart w:id="299" w:name="_Toc19098"/>
      <w:bookmarkStart w:id="300" w:name="_Toc106895847"/>
      <w:bookmarkStart w:id="301" w:name="_Toc28629"/>
      <w:r>
        <w:rPr>
          <w:rFonts w:hint="default" w:ascii="Times New Roman" w:hAnsi="Times New Roman" w:cs="Times New Roman"/>
          <w:color w:val="000000" w:themeColor="text1"/>
          <w14:textFill>
            <w14:solidFill>
              <w14:schemeClr w14:val="tx1"/>
            </w14:solidFill>
          </w14:textFill>
        </w:rPr>
        <w:t>1.2评价目的及原则</w:t>
      </w:r>
      <w:bookmarkEnd w:id="297"/>
      <w:bookmarkEnd w:id="298"/>
      <w:bookmarkEnd w:id="299"/>
      <w:bookmarkEnd w:id="300"/>
      <w:bookmarkEnd w:id="301"/>
    </w:p>
    <w:p w14:paraId="2FF6BF3D">
      <w:pPr>
        <w:keepNext/>
        <w:keepLines/>
        <w:widowControl w:val="0"/>
        <w:spacing w:before="0" w:after="0" w:line="360" w:lineRule="auto"/>
        <w:jc w:val="both"/>
        <w:outlineLvl w:val="2"/>
        <w:rPr>
          <w:rFonts w:hint="default" w:ascii="Times New Roman" w:hAnsi="Times New Roman" w:eastAsia="宋体" w:cs="Times New Roman"/>
          <w:b/>
          <w:bCs/>
          <w:color w:val="000000" w:themeColor="text1"/>
          <w:kern w:val="2"/>
          <w:sz w:val="28"/>
          <w:szCs w:val="32"/>
          <w:lang w:val="en-US" w:eastAsia="zh-CN" w:bidi="ar-SA"/>
          <w14:textFill>
            <w14:solidFill>
              <w14:schemeClr w14:val="tx1"/>
            </w14:solidFill>
          </w14:textFill>
        </w:rPr>
      </w:pPr>
      <w:bookmarkStart w:id="302" w:name="_Toc17961"/>
      <w:bookmarkStart w:id="303" w:name="_Toc106895848"/>
      <w:bookmarkStart w:id="304" w:name="_Toc12241"/>
      <w:bookmarkStart w:id="305" w:name="_Toc8820"/>
      <w:r>
        <w:rPr>
          <w:rFonts w:hint="default" w:ascii="Times New Roman" w:hAnsi="Times New Roman" w:eastAsia="宋体" w:cs="Times New Roman"/>
          <w:b/>
          <w:bCs/>
          <w:color w:val="000000" w:themeColor="text1"/>
          <w:kern w:val="2"/>
          <w:sz w:val="28"/>
          <w:szCs w:val="32"/>
          <w:lang w:val="en-US" w:eastAsia="zh-CN" w:bidi="ar-SA"/>
          <w14:textFill>
            <w14:solidFill>
              <w14:schemeClr w14:val="tx1"/>
            </w14:solidFill>
          </w14:textFill>
        </w:rPr>
        <w:t>1.2.1评价目的</w:t>
      </w:r>
      <w:bookmarkEnd w:id="302"/>
      <w:bookmarkEnd w:id="303"/>
      <w:bookmarkEnd w:id="304"/>
      <w:bookmarkEnd w:id="305"/>
    </w:p>
    <w:p w14:paraId="3815B3B5">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1、根据收集的资料、现场调查和现状监测，查清拟建项目所在区域自然环境、环境质量现状。</w:t>
      </w:r>
    </w:p>
    <w:p w14:paraId="4F4BA6BB">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2、通过项目工程分析，对项目污染源调查的基础上掌握运营期废气污染物的产生、排放情况，通过环境影响预测分析，预测建设项目建设后对当地环境造成的影响。</w:t>
      </w:r>
    </w:p>
    <w:p w14:paraId="4CCBCCF3">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3、对项目拟采取的污染防治措施可行性和可靠性进行分析评述，针对项目存在的主要污染源和环境问题，提出切实可行的污染防治措施和对策建议。</w:t>
      </w:r>
    </w:p>
    <w:p w14:paraId="32E5B513">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4、从环境保护角度分析项目建设的环境可行性，并给出明确的环评结论，为环境管理部门决策提供可靠的技术依据，为设计部门优化设计、建设单位环境管理提供科学依据。</w:t>
      </w:r>
    </w:p>
    <w:p w14:paraId="3DED0CD7">
      <w:pPr>
        <w:keepNext/>
        <w:keepLines/>
        <w:widowControl w:val="0"/>
        <w:spacing w:before="0" w:after="0" w:line="360" w:lineRule="auto"/>
        <w:jc w:val="both"/>
        <w:outlineLvl w:val="2"/>
        <w:rPr>
          <w:rFonts w:hint="default" w:ascii="Times New Roman" w:hAnsi="Times New Roman" w:eastAsia="宋体" w:cs="Times New Roman"/>
          <w:b/>
          <w:bCs/>
          <w:color w:val="000000" w:themeColor="text1"/>
          <w:kern w:val="2"/>
          <w:sz w:val="28"/>
          <w:szCs w:val="32"/>
          <w:lang w:val="en-US" w:eastAsia="zh-CN" w:bidi="ar-SA"/>
          <w14:textFill>
            <w14:solidFill>
              <w14:schemeClr w14:val="tx1"/>
            </w14:solidFill>
          </w14:textFill>
        </w:rPr>
      </w:pPr>
      <w:bookmarkStart w:id="306" w:name="_Toc106895849"/>
      <w:bookmarkStart w:id="307" w:name="_Toc2084"/>
      <w:bookmarkStart w:id="308" w:name="_Toc17840"/>
      <w:bookmarkStart w:id="309" w:name="_Toc22402"/>
      <w:r>
        <w:rPr>
          <w:rFonts w:hint="default" w:ascii="Times New Roman" w:hAnsi="Times New Roman" w:eastAsia="宋体" w:cs="Times New Roman"/>
          <w:b/>
          <w:bCs/>
          <w:color w:val="000000" w:themeColor="text1"/>
          <w:kern w:val="2"/>
          <w:sz w:val="28"/>
          <w:szCs w:val="32"/>
          <w:lang w:val="en-US" w:eastAsia="zh-CN" w:bidi="ar-SA"/>
          <w14:textFill>
            <w14:solidFill>
              <w14:schemeClr w14:val="tx1"/>
            </w14:solidFill>
          </w14:textFill>
        </w:rPr>
        <w:t>1.2.2评价原则</w:t>
      </w:r>
      <w:bookmarkEnd w:id="306"/>
      <w:bookmarkEnd w:id="307"/>
      <w:bookmarkEnd w:id="308"/>
      <w:bookmarkEnd w:id="309"/>
    </w:p>
    <w:p w14:paraId="1FE6EA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项目在开展本次环境影响评价工作过程，应遵循以下原则：</w:t>
      </w:r>
    </w:p>
    <w:p w14:paraId="3279BC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（1）依法评价</w:t>
      </w:r>
    </w:p>
    <w:p w14:paraId="4DD3C9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贯彻执行我国环境保护相关法律法规、标准、政策和规划等，优化项目建设，服务环境管理。</w:t>
      </w:r>
    </w:p>
    <w:p w14:paraId="1D56C4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（2）科学评价</w:t>
      </w:r>
    </w:p>
    <w:p w14:paraId="64BEBF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规范环境影响评价方法，科学分析项目建设对环境质量的影响。</w:t>
      </w:r>
    </w:p>
    <w:p w14:paraId="149095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（3）突出重点</w:t>
      </w:r>
    </w:p>
    <w:p w14:paraId="427FED6C">
      <w:pPr>
        <w:pStyle w:val="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根据建设项目的工程内容及其特点，明确与环境要素间的作用效应关系，根据规划环境影响评价结论和审查意见，充分利用符合时效的数据资料及成果，对建设项目主要环境影响予以重点分析和评价。</w:t>
      </w:r>
    </w:p>
    <w:p w14:paraId="707CA10F">
      <w:pPr>
        <w:pStyle w:val="3"/>
        <w:keepNext/>
        <w:keepLines/>
        <w:pageBreakBefore w:val="0"/>
        <w:widowControl w:val="0"/>
        <w:kinsoku/>
        <w:wordWrap/>
        <w:overflowPunct/>
        <w:topLinePunct w:val="0"/>
        <w:autoSpaceDE/>
        <w:autoSpaceDN/>
        <w:bidi w:val="0"/>
        <w:adjustRightInd/>
        <w:snapToGrid/>
        <w:spacing w:before="0" w:after="0" w:line="360" w:lineRule="auto"/>
        <w:textAlignment w:val="auto"/>
        <w:rPr>
          <w:rFonts w:hint="default" w:ascii="Times New Roman" w:hAnsi="Times New Roman" w:cs="Times New Roman"/>
          <w:color w:val="000000" w:themeColor="text1"/>
          <w:lang w:val="en-US" w:eastAsia="zh-CN"/>
          <w14:textFill>
            <w14:solidFill>
              <w14:schemeClr w14:val="tx1"/>
            </w14:solidFill>
          </w14:textFill>
        </w:rPr>
      </w:pPr>
      <w:bookmarkStart w:id="310" w:name="_Toc20011"/>
      <w:bookmarkStart w:id="311" w:name="_Toc12946"/>
      <w:bookmarkStart w:id="312" w:name="_Toc16252"/>
      <w:r>
        <w:rPr>
          <w:rFonts w:hint="default" w:ascii="Times New Roman" w:hAnsi="Times New Roman" w:cs="Times New Roman"/>
          <w:color w:val="000000" w:themeColor="text1"/>
          <w:lang w:val="en-US" w:eastAsia="zh-CN"/>
          <w14:textFill>
            <w14:solidFill>
              <w14:schemeClr w14:val="tx1"/>
            </w14:solidFill>
          </w14:textFill>
        </w:rPr>
        <w:t>1.3 评价因子</w:t>
      </w:r>
      <w:bookmarkEnd w:id="310"/>
      <w:bookmarkEnd w:id="311"/>
      <w:bookmarkEnd w:id="312"/>
    </w:p>
    <w:p w14:paraId="18756823">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通过对项目实施过程及实施后产生的环境污染因素及污染因子进行分析，筛选确定项目的环境影响评价因子筛选结果见表1.</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14:textFill>
            <w14:solidFill>
              <w14:schemeClr w14:val="tx1"/>
            </w14:solidFill>
          </w14:textFill>
        </w:rPr>
        <w:t>。</w:t>
      </w:r>
    </w:p>
    <w:p w14:paraId="796AF7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表1.</w:t>
      </w:r>
      <w:r>
        <w:rPr>
          <w:rFonts w:hint="eastAsia" w:ascii="Times New Roman" w:hAnsi="Times New Roman" w:eastAsia="宋体" w:cs="Times New Roman"/>
          <w:b/>
          <w:color w:val="000000" w:themeColor="text1"/>
          <w:szCs w:val="21"/>
          <w:lang w:val="en-US" w:eastAsia="zh-CN"/>
          <w14:textFill>
            <w14:solidFill>
              <w14:schemeClr w14:val="tx1"/>
            </w14:solidFill>
          </w14:textFill>
        </w:rPr>
        <w:t>3</w:t>
      </w:r>
      <w:r>
        <w:rPr>
          <w:rFonts w:hint="default" w:ascii="Times New Roman" w:hAnsi="Times New Roman" w:eastAsia="宋体" w:cs="Times New Roman"/>
          <w:b/>
          <w:color w:val="000000" w:themeColor="text1"/>
          <w:szCs w:val="21"/>
          <w14:textFill>
            <w14:solidFill>
              <w14:schemeClr w14:val="tx1"/>
            </w14:solidFill>
          </w14:textFill>
        </w:rPr>
        <w:t>-</w:t>
      </w:r>
      <w:r>
        <w:rPr>
          <w:rFonts w:hint="eastAsia" w:ascii="Times New Roman" w:hAnsi="Times New Roman" w:eastAsia="宋体" w:cs="Times New Roman"/>
          <w:b/>
          <w:color w:val="000000" w:themeColor="text1"/>
          <w:szCs w:val="21"/>
          <w:lang w:val="en-US" w:eastAsia="zh-CN"/>
          <w14:textFill>
            <w14:solidFill>
              <w14:schemeClr w14:val="tx1"/>
            </w14:solidFill>
          </w14:textFill>
        </w:rPr>
        <w:t>1</w:t>
      </w:r>
      <w:r>
        <w:rPr>
          <w:rFonts w:hint="default" w:ascii="Times New Roman" w:hAnsi="Times New Roman" w:eastAsia="宋体" w:cs="Times New Roman"/>
          <w:b/>
          <w:color w:val="000000" w:themeColor="text1"/>
          <w:szCs w:val="21"/>
          <w14:textFill>
            <w14:solidFill>
              <w14:schemeClr w14:val="tx1"/>
            </w14:solidFill>
          </w14:textFill>
        </w:rPr>
        <w:t xml:space="preserve">    评价因子筛选结果</w:t>
      </w:r>
    </w:p>
    <w:tbl>
      <w:tblPr>
        <w:tblStyle w:val="31"/>
        <w:tblW w:w="9035" w:type="dxa"/>
        <w:jc w:val="center"/>
        <w:tblLayout w:type="fixed"/>
        <w:tblCellMar>
          <w:top w:w="0" w:type="dxa"/>
          <w:left w:w="0" w:type="dxa"/>
          <w:bottom w:w="0" w:type="dxa"/>
          <w:right w:w="0" w:type="dxa"/>
        </w:tblCellMar>
      </w:tblPr>
      <w:tblGrid>
        <w:gridCol w:w="1192"/>
        <w:gridCol w:w="1100"/>
        <w:gridCol w:w="6743"/>
      </w:tblGrid>
      <w:tr w14:paraId="321ADEA7">
        <w:tblPrEx>
          <w:tblCellMar>
            <w:top w:w="0" w:type="dxa"/>
            <w:left w:w="0" w:type="dxa"/>
            <w:bottom w:w="0" w:type="dxa"/>
            <w:right w:w="0" w:type="dxa"/>
          </w:tblCellMar>
        </w:tblPrEx>
        <w:trPr>
          <w:trHeight w:val="340" w:hRule="atLeast"/>
          <w:tblHeader/>
          <w:jc w:val="center"/>
        </w:trPr>
        <w:tc>
          <w:tcPr>
            <w:tcW w:w="1192" w:type="dxa"/>
            <w:tcBorders>
              <w:top w:val="single" w:color="000000" w:sz="4" w:space="0"/>
              <w:left w:val="single" w:color="000000" w:sz="4" w:space="0"/>
              <w:bottom w:val="single" w:color="000000" w:sz="4" w:space="0"/>
              <w:right w:val="single" w:color="000000" w:sz="4" w:space="0"/>
            </w:tcBorders>
            <w:vAlign w:val="center"/>
          </w:tcPr>
          <w:p w14:paraId="5C873208">
            <w:pPr>
              <w:keepNext w:val="0"/>
              <w:keepLines w:val="0"/>
              <w:pageBreakBefore w:val="0"/>
              <w:widowControl/>
              <w:kinsoku/>
              <w:wordWrap/>
              <w:overflowPunct/>
              <w:topLinePunct w:val="0"/>
              <w:autoSpaceDE/>
              <w:autoSpaceDN/>
              <w:bidi w:val="0"/>
              <w:adjustRightInd/>
              <w:snapToGrid/>
              <w:spacing w:before="0"/>
              <w:jc w:val="center"/>
              <w:textAlignment w:val="auto"/>
              <w:rPr>
                <w:rFonts w:hint="default"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
                <w:color w:val="000000" w:themeColor="text1"/>
                <w:kern w:val="0"/>
                <w:sz w:val="21"/>
                <w:szCs w:val="21"/>
                <w:lang w:val="en-US" w:eastAsia="zh-CN" w:bidi="ar-SA"/>
                <w14:textFill>
                  <w14:solidFill>
                    <w14:schemeClr w14:val="tx1"/>
                  </w14:solidFill>
                </w14:textFill>
              </w:rPr>
              <w:t>环境要素</w:t>
            </w:r>
          </w:p>
        </w:tc>
        <w:tc>
          <w:tcPr>
            <w:tcW w:w="7843" w:type="dxa"/>
            <w:gridSpan w:val="2"/>
            <w:tcBorders>
              <w:top w:val="single" w:color="000000" w:sz="4" w:space="0"/>
              <w:left w:val="single" w:color="000000" w:sz="4" w:space="0"/>
              <w:bottom w:val="single" w:color="000000" w:sz="4" w:space="0"/>
              <w:right w:val="single" w:color="000000" w:sz="4" w:space="0"/>
            </w:tcBorders>
            <w:vAlign w:val="center"/>
          </w:tcPr>
          <w:p w14:paraId="0C9D0C06">
            <w:pPr>
              <w:keepNext w:val="0"/>
              <w:keepLines w:val="0"/>
              <w:pageBreakBefore w:val="0"/>
              <w:widowControl/>
              <w:kinsoku/>
              <w:wordWrap/>
              <w:overflowPunct/>
              <w:topLinePunct w:val="0"/>
              <w:autoSpaceDE/>
              <w:autoSpaceDN/>
              <w:bidi w:val="0"/>
              <w:adjustRightInd/>
              <w:snapToGrid/>
              <w:spacing w:before="0"/>
              <w:jc w:val="center"/>
              <w:textAlignment w:val="auto"/>
              <w:rPr>
                <w:rFonts w:hint="default" w:ascii="Times New Roman" w:hAnsi="Times New Roman" w:eastAsia="宋体" w:cs="Times New Roman"/>
                <w:b/>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color w:val="000000" w:themeColor="text1"/>
                <w:kern w:val="0"/>
                <w:sz w:val="21"/>
                <w:szCs w:val="21"/>
                <w:lang w:val="en-US" w:eastAsia="en-US" w:bidi="ar-SA"/>
                <w14:textFill>
                  <w14:solidFill>
                    <w14:schemeClr w14:val="tx1"/>
                  </w14:solidFill>
                </w14:textFill>
              </w:rPr>
              <w:t>评价因子</w:t>
            </w:r>
          </w:p>
        </w:tc>
      </w:tr>
      <w:tr w14:paraId="4EE57193">
        <w:tblPrEx>
          <w:tblCellMar>
            <w:top w:w="0" w:type="dxa"/>
            <w:left w:w="0" w:type="dxa"/>
            <w:bottom w:w="0" w:type="dxa"/>
            <w:right w:w="0" w:type="dxa"/>
          </w:tblCellMar>
        </w:tblPrEx>
        <w:trPr>
          <w:trHeight w:val="340" w:hRule="atLeast"/>
          <w:jc w:val="center"/>
        </w:trPr>
        <w:tc>
          <w:tcPr>
            <w:tcW w:w="1192" w:type="dxa"/>
            <w:vMerge w:val="restart"/>
            <w:tcBorders>
              <w:top w:val="single" w:color="000000" w:sz="4" w:space="0"/>
              <w:left w:val="single" w:color="000000" w:sz="4" w:space="0"/>
              <w:bottom w:val="single" w:color="000000" w:sz="4" w:space="0"/>
              <w:right w:val="single" w:color="000000" w:sz="4" w:space="0"/>
            </w:tcBorders>
            <w:vAlign w:val="center"/>
          </w:tcPr>
          <w:p w14:paraId="506C9081">
            <w:pPr>
              <w:keepNext w:val="0"/>
              <w:keepLines w:val="0"/>
              <w:pageBreakBefore w:val="0"/>
              <w:widowControl/>
              <w:kinsoku/>
              <w:wordWrap/>
              <w:overflowPunct/>
              <w:topLinePunct w:val="0"/>
              <w:autoSpaceDE/>
              <w:autoSpaceDN/>
              <w:bidi w:val="0"/>
              <w:adjustRightInd/>
              <w:snapToGrid/>
              <w:spacing w:before="0"/>
              <w:jc w:val="center"/>
              <w:textAlignment w:val="auto"/>
              <w:rPr>
                <w:rFonts w:hint="default" w:ascii="Times New Roman" w:hAnsi="Times New Roman" w:eastAsia="宋体" w:cs="Times New Roman"/>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en-US" w:bidi="ar-SA"/>
                <w14:textFill>
                  <w14:solidFill>
                    <w14:schemeClr w14:val="tx1"/>
                  </w14:solidFill>
                </w14:textFill>
              </w:rPr>
              <w:t>环境空气</w:t>
            </w:r>
          </w:p>
        </w:tc>
        <w:tc>
          <w:tcPr>
            <w:tcW w:w="1100" w:type="dxa"/>
            <w:tcBorders>
              <w:top w:val="single" w:color="000000" w:sz="4" w:space="0"/>
              <w:left w:val="single" w:color="000000" w:sz="4" w:space="0"/>
              <w:bottom w:val="single" w:color="000000" w:sz="4" w:space="0"/>
              <w:right w:val="single" w:color="000000" w:sz="4" w:space="0"/>
            </w:tcBorders>
            <w:vAlign w:val="center"/>
          </w:tcPr>
          <w:p w14:paraId="7E9E622D">
            <w:pPr>
              <w:keepNext w:val="0"/>
              <w:keepLines w:val="0"/>
              <w:pageBreakBefore w:val="0"/>
              <w:widowControl/>
              <w:kinsoku/>
              <w:wordWrap/>
              <w:overflowPunct/>
              <w:topLinePunct w:val="0"/>
              <w:autoSpaceDE/>
              <w:autoSpaceDN/>
              <w:bidi w:val="0"/>
              <w:adjustRightInd/>
              <w:snapToGrid/>
              <w:spacing w:before="0"/>
              <w:jc w:val="center"/>
              <w:textAlignment w:val="auto"/>
              <w:rPr>
                <w:rFonts w:hint="default" w:ascii="Times New Roman" w:hAnsi="Times New Roman" w:eastAsia="宋体" w:cs="Times New Roman"/>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en-US" w:bidi="ar-SA"/>
                <w14:textFill>
                  <w14:solidFill>
                    <w14:schemeClr w14:val="tx1"/>
                  </w14:solidFill>
                </w14:textFill>
              </w:rPr>
              <w:t>现状评价</w:t>
            </w:r>
          </w:p>
        </w:tc>
        <w:tc>
          <w:tcPr>
            <w:tcW w:w="6743" w:type="dxa"/>
            <w:tcBorders>
              <w:top w:val="single" w:color="000000" w:sz="4" w:space="0"/>
              <w:left w:val="single" w:color="000000" w:sz="4" w:space="0"/>
              <w:bottom w:val="single" w:color="000000" w:sz="4" w:space="0"/>
              <w:right w:val="single" w:color="000000" w:sz="4" w:space="0"/>
            </w:tcBorders>
            <w:vAlign w:val="center"/>
          </w:tcPr>
          <w:p w14:paraId="2DD304C9">
            <w:pPr>
              <w:keepNext w:val="0"/>
              <w:keepLines w:val="0"/>
              <w:pageBreakBefore w:val="0"/>
              <w:widowControl/>
              <w:kinsoku/>
              <w:wordWrap/>
              <w:overflowPunct/>
              <w:topLinePunct w:val="0"/>
              <w:autoSpaceDE/>
              <w:autoSpaceDN/>
              <w:bidi w:val="0"/>
              <w:adjustRightInd/>
              <w:snapToGrid/>
              <w:spacing w:before="0"/>
              <w:jc w:val="center"/>
              <w:textAlignment w:val="auto"/>
              <w:rPr>
                <w:rFonts w:hint="default" w:ascii="Times New Roman" w:hAnsi="Times New Roman" w:eastAsia="宋体" w:cs="Times New Roman"/>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SO</w:t>
            </w:r>
            <w:r>
              <w:rPr>
                <w:rFonts w:hint="default" w:ascii="Times New Roman" w:hAnsi="Times New Roman" w:eastAsia="宋体" w:cs="Times New Roman"/>
                <w:color w:val="000000" w:themeColor="text1"/>
                <w:kern w:val="0"/>
                <w:sz w:val="21"/>
                <w:szCs w:val="21"/>
                <w:vertAlign w:val="sub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、NO</w:t>
            </w:r>
            <w:r>
              <w:rPr>
                <w:rFonts w:hint="default" w:ascii="Times New Roman" w:hAnsi="Times New Roman" w:eastAsia="宋体" w:cs="Times New Roman"/>
                <w:color w:val="000000" w:themeColor="text1"/>
                <w:kern w:val="0"/>
                <w:sz w:val="21"/>
                <w:szCs w:val="21"/>
                <w:vertAlign w:val="sub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、CO、O</w:t>
            </w:r>
            <w:r>
              <w:rPr>
                <w:rFonts w:hint="default" w:ascii="Times New Roman" w:hAnsi="Times New Roman" w:eastAsia="宋体" w:cs="Times New Roman"/>
                <w:color w:val="000000" w:themeColor="text1"/>
                <w:kern w:val="0"/>
                <w:sz w:val="21"/>
                <w:szCs w:val="21"/>
                <w:vertAlign w:val="sub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、PM</w:t>
            </w:r>
            <w:r>
              <w:rPr>
                <w:rFonts w:hint="default" w:ascii="Times New Roman" w:hAnsi="Times New Roman" w:eastAsia="宋体" w:cs="Times New Roman"/>
                <w:color w:val="000000" w:themeColor="text1"/>
                <w:kern w:val="0"/>
                <w:sz w:val="21"/>
                <w:szCs w:val="21"/>
                <w:vertAlign w:val="subscript"/>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、PM</w:t>
            </w:r>
            <w:r>
              <w:rPr>
                <w:rFonts w:hint="default" w:ascii="Times New Roman" w:hAnsi="Times New Roman" w:eastAsia="宋体" w:cs="Times New Roman"/>
                <w:color w:val="000000" w:themeColor="text1"/>
                <w:kern w:val="0"/>
                <w:sz w:val="21"/>
                <w:szCs w:val="21"/>
                <w:vertAlign w:val="subscript"/>
                <w:lang w:val="en-US" w:eastAsia="zh-CN" w:bidi="ar-SA"/>
                <w14:textFill>
                  <w14:solidFill>
                    <w14:schemeClr w14:val="tx1"/>
                  </w14:solidFill>
                </w14:textFill>
              </w:rPr>
              <w:t>2.5</w:t>
            </w: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、TSP、</w:t>
            </w:r>
            <w:r>
              <w:rPr>
                <w:rFonts w:hint="eastAsia" w:cs="Times New Roman"/>
                <w:color w:val="000000" w:themeColor="text1"/>
                <w:kern w:val="0"/>
                <w:sz w:val="21"/>
                <w:szCs w:val="21"/>
                <w:lang w:val="en-US" w:eastAsia="zh-CN" w:bidi="ar-SA"/>
                <w14:textFill>
                  <w14:solidFill>
                    <w14:schemeClr w14:val="tx1"/>
                  </w14:solidFill>
                </w14:textFill>
              </w:rPr>
              <w:t>非甲烷总烃</w:t>
            </w: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、甲醛</w:t>
            </w:r>
          </w:p>
        </w:tc>
      </w:tr>
      <w:tr w14:paraId="26018A2E">
        <w:tblPrEx>
          <w:tblCellMar>
            <w:top w:w="0" w:type="dxa"/>
            <w:left w:w="0" w:type="dxa"/>
            <w:bottom w:w="0" w:type="dxa"/>
            <w:right w:w="0" w:type="dxa"/>
          </w:tblCellMar>
        </w:tblPrEx>
        <w:trPr>
          <w:trHeight w:val="90" w:hRule="atLeast"/>
          <w:jc w:val="center"/>
        </w:trPr>
        <w:tc>
          <w:tcPr>
            <w:tcW w:w="1192" w:type="dxa"/>
            <w:vMerge w:val="continue"/>
            <w:tcBorders>
              <w:top w:val="single" w:color="000000" w:sz="4" w:space="0"/>
              <w:left w:val="single" w:color="000000" w:sz="4" w:space="0"/>
              <w:bottom w:val="single" w:color="000000" w:sz="4" w:space="0"/>
              <w:right w:val="single" w:color="000000" w:sz="4" w:space="0"/>
            </w:tcBorders>
            <w:vAlign w:val="center"/>
          </w:tcPr>
          <w:p w14:paraId="580A990B">
            <w:pPr>
              <w:keepNext w:val="0"/>
              <w:keepLines w:val="0"/>
              <w:pageBreakBefore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szCs w:val="21"/>
                <w:lang w:eastAsia="en-US"/>
                <w14:textFill>
                  <w14:solidFill>
                    <w14:schemeClr w14:val="tx1"/>
                  </w14:solidFill>
                </w14:textFill>
              </w:rPr>
            </w:pPr>
          </w:p>
        </w:tc>
        <w:tc>
          <w:tcPr>
            <w:tcW w:w="1100" w:type="dxa"/>
            <w:tcBorders>
              <w:top w:val="single" w:color="000000" w:sz="4" w:space="0"/>
              <w:left w:val="single" w:color="000000" w:sz="4" w:space="0"/>
              <w:bottom w:val="single" w:color="000000" w:sz="4" w:space="0"/>
              <w:right w:val="single" w:color="000000" w:sz="4" w:space="0"/>
            </w:tcBorders>
            <w:vAlign w:val="center"/>
          </w:tcPr>
          <w:p w14:paraId="2D28ED37">
            <w:pPr>
              <w:keepNext w:val="0"/>
              <w:keepLines w:val="0"/>
              <w:pageBreakBefore w:val="0"/>
              <w:widowControl/>
              <w:kinsoku/>
              <w:wordWrap/>
              <w:overflowPunct/>
              <w:topLinePunct w:val="0"/>
              <w:autoSpaceDE/>
              <w:autoSpaceDN/>
              <w:bidi w:val="0"/>
              <w:adjustRightInd/>
              <w:snapToGrid/>
              <w:spacing w:before="0"/>
              <w:jc w:val="center"/>
              <w:textAlignment w:val="auto"/>
              <w:rPr>
                <w:rFonts w:hint="default" w:ascii="Times New Roman" w:hAnsi="Times New Roman" w:eastAsia="宋体" w:cs="Times New Roman"/>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en-US" w:bidi="ar-SA"/>
                <w14:textFill>
                  <w14:solidFill>
                    <w14:schemeClr w14:val="tx1"/>
                  </w14:solidFill>
                </w14:textFill>
              </w:rPr>
              <w:t>预测评价</w:t>
            </w:r>
          </w:p>
        </w:tc>
        <w:tc>
          <w:tcPr>
            <w:tcW w:w="6743" w:type="dxa"/>
            <w:tcBorders>
              <w:top w:val="single" w:color="000000" w:sz="4" w:space="0"/>
              <w:left w:val="single" w:color="000000" w:sz="4" w:space="0"/>
              <w:bottom w:val="single" w:color="000000" w:sz="4" w:space="0"/>
              <w:right w:val="single" w:color="000000" w:sz="4" w:space="0"/>
            </w:tcBorders>
            <w:vAlign w:val="center"/>
          </w:tcPr>
          <w:p w14:paraId="74573AD9">
            <w:pPr>
              <w:keepNext w:val="0"/>
              <w:keepLines w:val="0"/>
              <w:pageBreakBefore w:val="0"/>
              <w:widowControl/>
              <w:kinsoku/>
              <w:wordWrap/>
              <w:overflowPunct/>
              <w:topLinePunct w:val="0"/>
              <w:autoSpaceDE/>
              <w:autoSpaceDN/>
              <w:bidi w:val="0"/>
              <w:adjustRightInd/>
              <w:snapToGrid/>
              <w:spacing w:before="0"/>
              <w:jc w:val="center"/>
              <w:textAlignment w:val="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PM</w:t>
            </w:r>
            <w:r>
              <w:rPr>
                <w:rFonts w:hint="default" w:ascii="Times New Roman" w:hAnsi="Times New Roman" w:eastAsia="宋体" w:cs="Times New Roman"/>
                <w:color w:val="000000" w:themeColor="text1"/>
                <w:kern w:val="0"/>
                <w:sz w:val="21"/>
                <w:szCs w:val="21"/>
                <w:vertAlign w:val="subscript"/>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、PM</w:t>
            </w:r>
            <w:r>
              <w:rPr>
                <w:rFonts w:hint="default" w:ascii="Times New Roman" w:hAnsi="Times New Roman" w:eastAsia="宋体" w:cs="Times New Roman"/>
                <w:color w:val="000000" w:themeColor="text1"/>
                <w:kern w:val="0"/>
                <w:sz w:val="21"/>
                <w:szCs w:val="21"/>
                <w:vertAlign w:val="subscript"/>
                <w:lang w:val="en-US" w:eastAsia="zh-CN" w:bidi="ar-SA"/>
                <w14:textFill>
                  <w14:solidFill>
                    <w14:schemeClr w14:val="tx1"/>
                  </w14:solidFill>
                </w14:textFill>
              </w:rPr>
              <w:t>2.5</w:t>
            </w: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、TSP、TVOC</w:t>
            </w: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、甲醛</w:t>
            </w:r>
          </w:p>
        </w:tc>
      </w:tr>
    </w:tbl>
    <w:p w14:paraId="6C8732EB">
      <w:pPr>
        <w:pStyle w:val="3"/>
        <w:bidi w:val="0"/>
        <w:rPr>
          <w:rFonts w:hint="eastAsia"/>
          <w:color w:val="000000" w:themeColor="text1"/>
          <w:lang w:val="en-US" w:eastAsia="zh-CN"/>
          <w14:textFill>
            <w14:solidFill>
              <w14:schemeClr w14:val="tx1"/>
            </w14:solidFill>
          </w14:textFill>
        </w:rPr>
      </w:pPr>
      <w:bookmarkStart w:id="313" w:name="_Toc9053"/>
      <w:bookmarkStart w:id="314" w:name="_Toc1479"/>
      <w:bookmarkStart w:id="315" w:name="_Toc10622"/>
      <w:r>
        <w:rPr>
          <w:rFonts w:hint="eastAsia"/>
          <w:color w:val="000000" w:themeColor="text1"/>
          <w:lang w:val="en-US" w:eastAsia="zh-CN"/>
          <w14:textFill>
            <w14:solidFill>
              <w14:schemeClr w14:val="tx1"/>
            </w14:solidFill>
          </w14:textFill>
        </w:rPr>
        <w:t>1.4 评价标准</w:t>
      </w:r>
      <w:bookmarkEnd w:id="313"/>
      <w:bookmarkEnd w:id="314"/>
      <w:bookmarkEnd w:id="315"/>
    </w:p>
    <w:p w14:paraId="737E70DC">
      <w:pPr>
        <w:pStyle w:val="5"/>
        <w:bidi w:val="0"/>
        <w:rPr>
          <w:rFonts w:hint="eastAsia"/>
          <w:color w:val="000000" w:themeColor="text1"/>
          <w:lang w:val="en-US" w:eastAsia="zh-CN"/>
          <w14:textFill>
            <w14:solidFill>
              <w14:schemeClr w14:val="tx1"/>
            </w14:solidFill>
          </w14:textFill>
        </w:rPr>
      </w:pPr>
      <w:bookmarkStart w:id="316" w:name="_Toc14618"/>
      <w:bookmarkStart w:id="317" w:name="_Toc31006"/>
      <w:r>
        <w:rPr>
          <w:rFonts w:hint="eastAsia"/>
          <w:color w:val="000000" w:themeColor="text1"/>
          <w:lang w:val="en-US" w:eastAsia="zh-CN"/>
          <w14:textFill>
            <w14:solidFill>
              <w14:schemeClr w14:val="tx1"/>
            </w14:solidFill>
          </w14:textFill>
        </w:rPr>
        <w:t>1.4.1 环境空气质量标准</w:t>
      </w:r>
      <w:bookmarkEnd w:id="316"/>
      <w:bookmarkEnd w:id="317"/>
    </w:p>
    <w:p w14:paraId="2DDF9625">
      <w:pPr>
        <w:widowControl/>
        <w:adjustRightInd w:val="0"/>
        <w:snapToGrid w:val="0"/>
        <w:spacing w:line="360" w:lineRule="auto"/>
        <w:ind w:firstLine="482" w:firstLineChars="200"/>
        <w:jc w:val="left"/>
        <w:rPr>
          <w:rFonts w:ascii="Times New Roman"/>
          <w:b/>
          <w:bCs/>
          <w:color w:val="000000" w:themeColor="text1"/>
          <w:kern w:val="0"/>
          <w:sz w:val="24"/>
          <w:szCs w:val="20"/>
          <w14:textFill>
            <w14:solidFill>
              <w14:schemeClr w14:val="tx1"/>
            </w14:solidFill>
          </w14:textFill>
        </w:rPr>
      </w:pPr>
      <w:r>
        <w:rPr>
          <w:rFonts w:ascii="Times New Roman"/>
          <w:b/>
          <w:bCs/>
          <w:color w:val="000000" w:themeColor="text1"/>
          <w:kern w:val="0"/>
          <w:sz w:val="24"/>
          <w:szCs w:val="20"/>
          <w14:textFill>
            <w14:solidFill>
              <w14:schemeClr w14:val="tx1"/>
            </w14:solidFill>
          </w14:textFill>
        </w:rPr>
        <w:t>1、环境空气</w:t>
      </w:r>
    </w:p>
    <w:p w14:paraId="5CC77383">
      <w:pPr>
        <w:widowControl/>
        <w:adjustRightInd w:val="0"/>
        <w:snapToGrid w:val="0"/>
        <w:spacing w:line="360" w:lineRule="auto"/>
        <w:ind w:firstLine="480" w:firstLineChars="200"/>
        <w:jc w:val="both"/>
        <w:rPr>
          <w:rFonts w:ascii="Times New Roman"/>
          <w:color w:val="000000" w:themeColor="text1"/>
          <w:kern w:val="0"/>
          <w:sz w:val="24"/>
          <w:szCs w:val="24"/>
          <w14:textFill>
            <w14:solidFill>
              <w14:schemeClr w14:val="tx1"/>
            </w14:solidFill>
          </w14:textFill>
        </w:rPr>
      </w:pPr>
      <w:r>
        <w:rPr>
          <w:rFonts w:ascii="Times New Roman"/>
          <w:color w:val="000000" w:themeColor="text1"/>
          <w:kern w:val="0"/>
          <w:sz w:val="24"/>
          <w:szCs w:val="20"/>
          <w14:textFill>
            <w14:solidFill>
              <w14:schemeClr w14:val="tx1"/>
            </w14:solidFill>
          </w14:textFill>
        </w:rPr>
        <w:t>项目区所在地功能区划属于环境空气质量二类区，</w:t>
      </w:r>
      <w:r>
        <w:rPr>
          <w:rFonts w:hint="eastAsia" w:ascii="Times New Roman"/>
          <w:color w:val="000000" w:themeColor="text1"/>
          <w:kern w:val="0"/>
          <w:sz w:val="24"/>
          <w:szCs w:val="20"/>
          <w:lang w:eastAsia="zh-CN"/>
          <w14:textFill>
            <w14:solidFill>
              <w14:schemeClr w14:val="tx1"/>
            </w14:solidFill>
          </w14:textFill>
        </w:rPr>
        <w:t>执行《环境空气质量标准》（GB3095-20</w:t>
      </w:r>
      <w:r>
        <w:rPr>
          <w:rFonts w:hint="eastAsia" w:ascii="Times New Roman"/>
          <w:color w:val="000000" w:themeColor="text1"/>
          <w:kern w:val="0"/>
          <w:sz w:val="24"/>
          <w:szCs w:val="20"/>
          <w:lang w:val="en-US" w:eastAsia="zh-CN"/>
          <w14:textFill>
            <w14:solidFill>
              <w14:schemeClr w14:val="tx1"/>
            </w14:solidFill>
          </w14:textFill>
        </w:rPr>
        <w:t>26</w:t>
      </w:r>
      <w:r>
        <w:rPr>
          <w:rFonts w:hint="eastAsia" w:ascii="Times New Roman"/>
          <w:color w:val="000000" w:themeColor="text1"/>
          <w:kern w:val="0"/>
          <w:sz w:val="24"/>
          <w:szCs w:val="20"/>
          <w:lang w:eastAsia="zh-CN"/>
          <w14:textFill>
            <w14:solidFill>
              <w14:schemeClr w14:val="tx1"/>
            </w14:solidFill>
          </w14:textFill>
        </w:rPr>
        <w:t>）</w:t>
      </w:r>
      <w:r>
        <w:rPr>
          <w:rFonts w:hint="eastAsia" w:ascii="Times New Roman"/>
          <w:color w:val="000000" w:themeColor="text1"/>
          <w:kern w:val="0"/>
          <w:sz w:val="24"/>
          <w:szCs w:val="20"/>
          <w:lang w:val="en-US" w:eastAsia="zh-CN"/>
          <w14:textFill>
            <w14:solidFill>
              <w14:schemeClr w14:val="tx1"/>
            </w14:solidFill>
          </w14:textFill>
        </w:rPr>
        <w:t>表1过渡阶段二级浓度限值和表2二级浓度限值</w:t>
      </w:r>
      <w:r>
        <w:rPr>
          <w:rFonts w:hint="eastAsia"/>
          <w:color w:val="000000" w:themeColor="text1"/>
          <w:kern w:val="0"/>
          <w:sz w:val="24"/>
          <w:szCs w:val="20"/>
          <w:lang w:val="en-US" w:eastAsia="zh-CN"/>
          <w14:textFill>
            <w14:solidFill>
              <w14:schemeClr w14:val="tx1"/>
            </w14:solidFill>
          </w14:textFill>
        </w:rPr>
        <w:t>；</w:t>
      </w:r>
      <w:r>
        <w:rPr>
          <w:rFonts w:ascii="Times New Roman"/>
          <w:color w:val="000000" w:themeColor="text1"/>
          <w:kern w:val="0"/>
          <w:sz w:val="24"/>
          <w:szCs w:val="24"/>
          <w14:textFill>
            <w14:solidFill>
              <w14:schemeClr w14:val="tx1"/>
            </w14:solidFill>
          </w14:textFill>
        </w:rPr>
        <w:t>本项目特征污染物为非甲烷总烃</w:t>
      </w:r>
      <w:r>
        <w:rPr>
          <w:rFonts w:hint="eastAsia"/>
          <w:color w:val="000000" w:themeColor="text1"/>
          <w:kern w:val="0"/>
          <w:sz w:val="24"/>
          <w:szCs w:val="24"/>
          <w:lang w:val="en-US" w:eastAsia="zh-CN"/>
          <w14:textFill>
            <w14:solidFill>
              <w14:schemeClr w14:val="tx1"/>
            </w14:solidFill>
          </w14:textFill>
        </w:rPr>
        <w:t>与甲醛</w:t>
      </w:r>
      <w:r>
        <w:rPr>
          <w:rFonts w:ascii="Times New Roman"/>
          <w:color w:val="000000" w:themeColor="text1"/>
          <w:kern w:val="0"/>
          <w:sz w:val="24"/>
          <w:szCs w:val="24"/>
          <w14:textFill>
            <w14:solidFill>
              <w14:schemeClr w14:val="tx1"/>
            </w14:solidFill>
          </w14:textFill>
        </w:rPr>
        <w:t>参照执行《环境影响评价技术导则 大气环境》（HJ-2018）附录D中其他污染物空气质量浓度参考限值。</w:t>
      </w:r>
    </w:p>
    <w:p w14:paraId="4F8A7D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color w:val="000000" w:themeColor="text1"/>
          <w:kern w:val="0"/>
          <w:sz w:val="24"/>
          <w:szCs w:val="20"/>
          <w14:textFill>
            <w14:solidFill>
              <w14:schemeClr w14:val="tx1"/>
            </w14:solidFill>
          </w14:textFill>
        </w:rPr>
      </w:pPr>
      <w:r>
        <w:rPr>
          <w:rFonts w:ascii="Times New Roman"/>
          <w:color w:val="000000" w:themeColor="text1"/>
          <w:kern w:val="0"/>
          <w:sz w:val="24"/>
          <w:szCs w:val="20"/>
          <w14:textFill>
            <w14:solidFill>
              <w14:schemeClr w14:val="tx1"/>
            </w14:solidFill>
          </w14:textFill>
        </w:rPr>
        <w:t>本项目大气环境评价等级为二级评价，大气环境影响评价范围为项目厂界外边长5km的矩形区域，评价范围内涉及易门县翠柏自然保护区，</w:t>
      </w:r>
      <w:r>
        <w:rPr>
          <w:rFonts w:hint="eastAsia" w:ascii="Times New Roman"/>
          <w:color w:val="000000" w:themeColor="text1"/>
          <w:kern w:val="0"/>
          <w:sz w:val="24"/>
          <w:szCs w:val="20"/>
          <w:lang w:eastAsia="zh-CN"/>
          <w14:textFill>
            <w14:solidFill>
              <w14:schemeClr w14:val="tx1"/>
            </w14:solidFill>
          </w14:textFill>
        </w:rPr>
        <w:t>执行《环境空气质量标准》（GB3095-20</w:t>
      </w:r>
      <w:r>
        <w:rPr>
          <w:rFonts w:hint="eastAsia" w:ascii="Times New Roman"/>
          <w:color w:val="000000" w:themeColor="text1"/>
          <w:kern w:val="0"/>
          <w:sz w:val="24"/>
          <w:szCs w:val="20"/>
          <w:lang w:val="en-US" w:eastAsia="zh-CN"/>
          <w14:textFill>
            <w14:solidFill>
              <w14:schemeClr w14:val="tx1"/>
            </w14:solidFill>
          </w14:textFill>
        </w:rPr>
        <w:t>26</w:t>
      </w:r>
      <w:r>
        <w:rPr>
          <w:rFonts w:hint="eastAsia" w:ascii="Times New Roman"/>
          <w:color w:val="000000" w:themeColor="text1"/>
          <w:kern w:val="0"/>
          <w:sz w:val="24"/>
          <w:szCs w:val="20"/>
          <w:lang w:eastAsia="zh-CN"/>
          <w14:textFill>
            <w14:solidFill>
              <w14:schemeClr w14:val="tx1"/>
            </w14:solidFill>
          </w14:textFill>
        </w:rPr>
        <w:t>）</w:t>
      </w:r>
      <w:r>
        <w:rPr>
          <w:rFonts w:hint="eastAsia" w:ascii="Times New Roman"/>
          <w:color w:val="000000" w:themeColor="text1"/>
          <w:kern w:val="0"/>
          <w:sz w:val="24"/>
          <w:szCs w:val="20"/>
          <w:lang w:val="en-US" w:eastAsia="zh-CN"/>
          <w14:textFill>
            <w14:solidFill>
              <w14:schemeClr w14:val="tx1"/>
            </w14:solidFill>
          </w14:textFill>
        </w:rPr>
        <w:t>表1过渡阶段</w:t>
      </w:r>
      <w:r>
        <w:rPr>
          <w:rFonts w:hint="eastAsia"/>
          <w:color w:val="000000" w:themeColor="text1"/>
          <w:kern w:val="0"/>
          <w:sz w:val="24"/>
          <w:szCs w:val="20"/>
          <w:lang w:val="en-US" w:eastAsia="zh-CN"/>
          <w14:textFill>
            <w14:solidFill>
              <w14:schemeClr w14:val="tx1"/>
            </w14:solidFill>
          </w14:textFill>
        </w:rPr>
        <w:t>一</w:t>
      </w:r>
      <w:r>
        <w:rPr>
          <w:rFonts w:hint="eastAsia" w:ascii="Times New Roman"/>
          <w:color w:val="000000" w:themeColor="text1"/>
          <w:kern w:val="0"/>
          <w:sz w:val="24"/>
          <w:szCs w:val="20"/>
          <w:lang w:val="en-US" w:eastAsia="zh-CN"/>
          <w14:textFill>
            <w14:solidFill>
              <w14:schemeClr w14:val="tx1"/>
            </w14:solidFill>
          </w14:textFill>
        </w:rPr>
        <w:t>级浓度限值和表2</w:t>
      </w:r>
      <w:r>
        <w:rPr>
          <w:rFonts w:hint="eastAsia"/>
          <w:color w:val="000000" w:themeColor="text1"/>
          <w:kern w:val="0"/>
          <w:sz w:val="24"/>
          <w:szCs w:val="20"/>
          <w:lang w:val="en-US" w:eastAsia="zh-CN"/>
          <w14:textFill>
            <w14:solidFill>
              <w14:schemeClr w14:val="tx1"/>
            </w14:solidFill>
          </w14:textFill>
        </w:rPr>
        <w:t>一</w:t>
      </w:r>
      <w:r>
        <w:rPr>
          <w:rFonts w:hint="eastAsia" w:ascii="Times New Roman"/>
          <w:color w:val="000000" w:themeColor="text1"/>
          <w:kern w:val="0"/>
          <w:sz w:val="24"/>
          <w:szCs w:val="20"/>
          <w:lang w:val="en-US" w:eastAsia="zh-CN"/>
          <w14:textFill>
            <w14:solidFill>
              <w14:schemeClr w14:val="tx1"/>
            </w14:solidFill>
          </w14:textFill>
        </w:rPr>
        <w:t>级浓度限值</w:t>
      </w:r>
      <w:r>
        <w:rPr>
          <w:rFonts w:ascii="Times New Roman"/>
          <w:color w:val="000000" w:themeColor="text1"/>
          <w:kern w:val="0"/>
          <w:sz w:val="24"/>
          <w:szCs w:val="20"/>
          <w14:textFill>
            <w14:solidFill>
              <w14:schemeClr w14:val="tx1"/>
            </w14:solidFill>
          </w14:textFill>
        </w:rPr>
        <w:t>。详见表1.</w:t>
      </w:r>
      <w:r>
        <w:rPr>
          <w:rFonts w:hint="eastAsia"/>
          <w:color w:val="000000" w:themeColor="text1"/>
          <w:kern w:val="0"/>
          <w:sz w:val="24"/>
          <w:szCs w:val="20"/>
          <w:lang w:val="en-US" w:eastAsia="zh-CN"/>
          <w14:textFill>
            <w14:solidFill>
              <w14:schemeClr w14:val="tx1"/>
            </w14:solidFill>
          </w14:textFill>
        </w:rPr>
        <w:t>4</w:t>
      </w:r>
      <w:r>
        <w:rPr>
          <w:rFonts w:ascii="Times New Roman"/>
          <w:color w:val="000000" w:themeColor="text1"/>
          <w:kern w:val="0"/>
          <w:sz w:val="24"/>
          <w:szCs w:val="20"/>
          <w14:textFill>
            <w14:solidFill>
              <w14:schemeClr w14:val="tx1"/>
            </w14:solidFill>
          </w14:textFill>
        </w:rPr>
        <w:t>-1。</w:t>
      </w:r>
    </w:p>
    <w:p w14:paraId="0247E0A5">
      <w:pPr>
        <w:widowControl w:val="0"/>
        <w:adjustRightInd w:val="0"/>
        <w:snapToGrid w:val="0"/>
        <w:ind w:firstLine="0" w:firstLineChars="0"/>
        <w:jc w:val="center"/>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t xml:space="preserve">表 </w:t>
      </w:r>
      <w:r>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fldChar w:fldCharType="begin"/>
      </w:r>
      <w:r>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instrText xml:space="preserve"> STYLEREF 2 \s </w:instrText>
      </w:r>
      <w:r>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fldChar w:fldCharType="separate"/>
      </w:r>
      <w:r>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t>1.4</w:t>
      </w:r>
      <w:r>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fldChar w:fldCharType="end"/>
      </w:r>
      <w:r>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noBreakHyphen/>
      </w:r>
      <w:r>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fldChar w:fldCharType="begin"/>
      </w:r>
      <w:r>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instrText xml:space="preserve"> SEQ 表 \* ARABIC \s 2 </w:instrText>
      </w:r>
      <w:r>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fldChar w:fldCharType="separate"/>
      </w:r>
      <w:r>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t>1</w:t>
      </w:r>
      <w:r>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fldChar w:fldCharType="end"/>
      </w:r>
      <w:r>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t xml:space="preserve">  大气环境质量标准  </w:t>
      </w:r>
      <w:r>
        <w:rPr>
          <w:rFonts w:hint="default" w:ascii="Times New Roman" w:hAnsi="Times New Roman" w:eastAsia="宋体" w:cs="Times New Roman"/>
          <w:b/>
          <w:color w:val="000000" w:themeColor="text1"/>
          <w:kern w:val="2"/>
          <w:sz w:val="21"/>
          <w:szCs w:val="24"/>
          <w:lang w:val="en-US" w:eastAsia="zh-CN" w:bidi="ar-SA"/>
          <w14:textFill>
            <w14:solidFill>
              <w14:schemeClr w14:val="tx1"/>
            </w14:solidFill>
          </w14:textFill>
        </w:rPr>
        <w:t>单位：μg/m</w:t>
      </w:r>
      <w:r>
        <w:rPr>
          <w:rFonts w:hint="default" w:ascii="Times New Roman" w:hAnsi="Times New Roman" w:eastAsia="宋体" w:cs="Times New Roman"/>
          <w:b/>
          <w:color w:val="000000" w:themeColor="text1"/>
          <w:kern w:val="2"/>
          <w:sz w:val="21"/>
          <w:szCs w:val="24"/>
          <w:vertAlign w:val="superscript"/>
          <w:lang w:val="en-US" w:eastAsia="zh-CN" w:bidi="ar-SA"/>
          <w14:textFill>
            <w14:solidFill>
              <w14:schemeClr w14:val="tx1"/>
            </w14:solidFill>
          </w14:textFill>
        </w:rPr>
        <w:t>3</w:t>
      </w:r>
    </w:p>
    <w:tbl>
      <w:tblPr>
        <w:tblStyle w:val="78"/>
        <w:tblW w:w="4996"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11"/>
        <w:gridCol w:w="1929"/>
        <w:gridCol w:w="1762"/>
        <w:gridCol w:w="1871"/>
        <w:gridCol w:w="2180"/>
      </w:tblGrid>
      <w:tr w14:paraId="7C5141D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tcBorders>
              <w:top w:val="single" w:color="000000" w:sz="4" w:space="0"/>
              <w:left w:val="single" w:color="000000" w:sz="4" w:space="0"/>
              <w:bottom w:val="single" w:color="000000" w:sz="4" w:space="0"/>
              <w:right w:val="single" w:color="000000" w:sz="4" w:space="0"/>
              <w:tl2br w:val="nil"/>
            </w:tcBorders>
            <w:shd w:val="clear" w:color="auto" w:fill="FFFFFF"/>
            <w:noWrap w:val="0"/>
            <w:vAlign w:val="center"/>
          </w:tcPr>
          <w:p w14:paraId="2EF4A502">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bCs w:val="0"/>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lang w:val="en-US" w:eastAsia="zh-CN" w:bidi="ar-SA"/>
                <w14:textFill>
                  <w14:solidFill>
                    <w14:schemeClr w14:val="tx1"/>
                  </w14:solidFill>
                </w14:textFill>
              </w:rPr>
              <w:t>污染物</w:t>
            </w: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3E059F">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bCs w:val="0"/>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lang w:val="en-US" w:eastAsia="zh-CN" w:bidi="ar-SA"/>
                <w14:textFill>
                  <w14:solidFill>
                    <w14:schemeClr w14:val="tx1"/>
                  </w14:solidFill>
                </w14:textFill>
              </w:rPr>
              <w:t>取值时间</w:t>
            </w:r>
          </w:p>
        </w:tc>
        <w:tc>
          <w:tcPr>
            <w:tcW w:w="9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CEA6DE">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bCs w:val="0"/>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lang w:val="en-US" w:eastAsia="zh-CN" w:bidi="ar-SA"/>
                <w14:textFill>
                  <w14:solidFill>
                    <w14:schemeClr w14:val="tx1"/>
                  </w14:solidFill>
                </w14:textFill>
              </w:rPr>
              <w:t>一类区浓度限值</w:t>
            </w:r>
          </w:p>
        </w:tc>
        <w:tc>
          <w:tcPr>
            <w:tcW w:w="10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BE025F">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bCs w:val="0"/>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lang w:val="en-US" w:eastAsia="zh-CN" w:bidi="ar-SA"/>
                <w14:textFill>
                  <w14:solidFill>
                    <w14:schemeClr w14:val="tx1"/>
                  </w14:solidFill>
                </w14:textFill>
              </w:rPr>
              <w:t>二类区浓度限值</w:t>
            </w:r>
          </w:p>
        </w:tc>
        <w:tc>
          <w:tcPr>
            <w:tcW w:w="12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4DAB7B">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bCs w:val="0"/>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lang w:val="en-US" w:eastAsia="zh-CN" w:bidi="ar-SA"/>
                <w14:textFill>
                  <w14:solidFill>
                    <w14:schemeClr w14:val="tx1"/>
                  </w14:solidFill>
                </w14:textFill>
              </w:rPr>
              <w:t>标准来源</w:t>
            </w:r>
          </w:p>
        </w:tc>
      </w:tr>
      <w:tr w14:paraId="5E50894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18249F">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SO</w:t>
            </w:r>
            <w:r>
              <w:rPr>
                <w:rFonts w:hint="default" w:ascii="Times New Roman" w:hAnsi="Times New Roman" w:eastAsia="宋体" w:cs="Times New Roman"/>
                <w:b w:val="0"/>
                <w:snapToGrid w:val="0"/>
                <w:color w:val="000000" w:themeColor="text1"/>
                <w:kern w:val="0"/>
                <w:sz w:val="21"/>
                <w:szCs w:val="20"/>
                <w:vertAlign w:val="subscript"/>
                <w:lang w:val="en-US" w:eastAsia="en-US" w:bidi="ar-SA"/>
                <w14:textFill>
                  <w14:solidFill>
                    <w14:schemeClr w14:val="tx1"/>
                  </w14:solidFill>
                </w14:textFill>
              </w:rPr>
              <w:t>2</w:t>
            </w: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CBE546">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1小时平均</w:t>
            </w:r>
          </w:p>
        </w:tc>
        <w:tc>
          <w:tcPr>
            <w:tcW w:w="9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11452D">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t>150</w:t>
            </w:r>
          </w:p>
        </w:tc>
        <w:tc>
          <w:tcPr>
            <w:tcW w:w="10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C542EA">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500</w:t>
            </w:r>
          </w:p>
        </w:tc>
        <w:tc>
          <w:tcPr>
            <w:tcW w:w="1204" w:type="pct"/>
            <w:vMerge w:val="restart"/>
            <w:tcBorders>
              <w:top w:val="single" w:color="000000" w:sz="4" w:space="0"/>
              <w:left w:val="single" w:color="000000" w:sz="4" w:space="0"/>
              <w:right w:val="single" w:color="000000" w:sz="4" w:space="0"/>
            </w:tcBorders>
            <w:shd w:val="clear" w:color="auto" w:fill="FFFFFF"/>
            <w:noWrap w:val="0"/>
            <w:vAlign w:val="center"/>
          </w:tcPr>
          <w:p w14:paraId="43F38DE7">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《环境空气质量标准》（GB3095-2026）</w:t>
            </w:r>
          </w:p>
        </w:tc>
      </w:tr>
      <w:tr w14:paraId="36427B0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59298C">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381B60">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24小时平均</w:t>
            </w:r>
          </w:p>
        </w:tc>
        <w:tc>
          <w:tcPr>
            <w:tcW w:w="9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AF4FA2">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t>50</w:t>
            </w:r>
          </w:p>
        </w:tc>
        <w:tc>
          <w:tcPr>
            <w:tcW w:w="10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8255A0">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150</w:t>
            </w:r>
          </w:p>
        </w:tc>
        <w:tc>
          <w:tcPr>
            <w:tcW w:w="1204" w:type="pct"/>
            <w:vMerge w:val="continue"/>
            <w:tcBorders>
              <w:left w:val="single" w:color="000000" w:sz="4" w:space="0"/>
              <w:right w:val="single" w:color="000000" w:sz="4" w:space="0"/>
            </w:tcBorders>
            <w:shd w:val="clear" w:color="auto" w:fill="FFFFFF"/>
            <w:noWrap w:val="0"/>
            <w:vAlign w:val="center"/>
          </w:tcPr>
          <w:p w14:paraId="646642C5">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r>
      <w:tr w14:paraId="5891A91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031741">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57294D">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年平均</w:t>
            </w:r>
          </w:p>
        </w:tc>
        <w:tc>
          <w:tcPr>
            <w:tcW w:w="9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C51002">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t>20</w:t>
            </w:r>
          </w:p>
        </w:tc>
        <w:tc>
          <w:tcPr>
            <w:tcW w:w="10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C06277">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60</w:t>
            </w:r>
          </w:p>
        </w:tc>
        <w:tc>
          <w:tcPr>
            <w:tcW w:w="1204" w:type="pct"/>
            <w:vMerge w:val="continue"/>
            <w:tcBorders>
              <w:left w:val="single" w:color="000000" w:sz="4" w:space="0"/>
              <w:right w:val="single" w:color="000000" w:sz="4" w:space="0"/>
            </w:tcBorders>
            <w:shd w:val="clear" w:color="auto" w:fill="FFFFFF"/>
            <w:noWrap w:val="0"/>
            <w:vAlign w:val="center"/>
          </w:tcPr>
          <w:p w14:paraId="3A79DB87">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r>
      <w:tr w14:paraId="7E70E60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7DA1A0">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NO</w:t>
            </w:r>
            <w:r>
              <w:rPr>
                <w:rFonts w:hint="default" w:ascii="Times New Roman" w:hAnsi="Times New Roman" w:eastAsia="宋体" w:cs="Times New Roman"/>
                <w:b w:val="0"/>
                <w:snapToGrid w:val="0"/>
                <w:color w:val="000000" w:themeColor="text1"/>
                <w:kern w:val="0"/>
                <w:sz w:val="21"/>
                <w:szCs w:val="20"/>
                <w:vertAlign w:val="subscript"/>
                <w:lang w:val="en-US" w:eastAsia="en-US" w:bidi="ar-SA"/>
                <w14:textFill>
                  <w14:solidFill>
                    <w14:schemeClr w14:val="tx1"/>
                  </w14:solidFill>
                </w14:textFill>
              </w:rPr>
              <w:t>2</w:t>
            </w: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A6A87E">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1小时平均</w:t>
            </w:r>
          </w:p>
        </w:tc>
        <w:tc>
          <w:tcPr>
            <w:tcW w:w="9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E59CEC">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t>200</w:t>
            </w:r>
          </w:p>
        </w:tc>
        <w:tc>
          <w:tcPr>
            <w:tcW w:w="10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B7ECA1">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200</w:t>
            </w:r>
          </w:p>
        </w:tc>
        <w:tc>
          <w:tcPr>
            <w:tcW w:w="1204" w:type="pct"/>
            <w:vMerge w:val="continue"/>
            <w:tcBorders>
              <w:left w:val="single" w:color="000000" w:sz="4" w:space="0"/>
              <w:right w:val="single" w:color="000000" w:sz="4" w:space="0"/>
            </w:tcBorders>
            <w:shd w:val="clear" w:color="auto" w:fill="FFFFFF"/>
            <w:noWrap w:val="0"/>
            <w:vAlign w:val="center"/>
          </w:tcPr>
          <w:p w14:paraId="0117600A">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r>
      <w:tr w14:paraId="61E04CD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552454">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2175C0">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24小时平均</w:t>
            </w:r>
          </w:p>
        </w:tc>
        <w:tc>
          <w:tcPr>
            <w:tcW w:w="9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94E449">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t>80</w:t>
            </w:r>
          </w:p>
        </w:tc>
        <w:tc>
          <w:tcPr>
            <w:tcW w:w="10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B4AAD6">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80</w:t>
            </w:r>
          </w:p>
        </w:tc>
        <w:tc>
          <w:tcPr>
            <w:tcW w:w="1204" w:type="pct"/>
            <w:vMerge w:val="continue"/>
            <w:tcBorders>
              <w:left w:val="single" w:color="000000" w:sz="4" w:space="0"/>
              <w:right w:val="single" w:color="000000" w:sz="4" w:space="0"/>
            </w:tcBorders>
            <w:shd w:val="clear" w:color="auto" w:fill="FFFFFF"/>
            <w:noWrap w:val="0"/>
            <w:vAlign w:val="center"/>
          </w:tcPr>
          <w:p w14:paraId="57CD04F8">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r>
      <w:tr w14:paraId="43A08C4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44EA51">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B52994">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年平均</w:t>
            </w:r>
          </w:p>
        </w:tc>
        <w:tc>
          <w:tcPr>
            <w:tcW w:w="9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60C427">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t>40</w:t>
            </w:r>
          </w:p>
        </w:tc>
        <w:tc>
          <w:tcPr>
            <w:tcW w:w="10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8BEAB7">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40</w:t>
            </w:r>
          </w:p>
        </w:tc>
        <w:tc>
          <w:tcPr>
            <w:tcW w:w="1204" w:type="pct"/>
            <w:vMerge w:val="continue"/>
            <w:tcBorders>
              <w:left w:val="single" w:color="000000" w:sz="4" w:space="0"/>
              <w:right w:val="single" w:color="000000" w:sz="4" w:space="0"/>
            </w:tcBorders>
            <w:shd w:val="clear" w:color="auto" w:fill="FFFFFF"/>
            <w:noWrap w:val="0"/>
            <w:vAlign w:val="center"/>
          </w:tcPr>
          <w:p w14:paraId="3BCC1453">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r>
      <w:tr w14:paraId="66AEF14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81CD54">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CO</w:t>
            </w: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43F60F">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24小时平均</w:t>
            </w:r>
          </w:p>
        </w:tc>
        <w:tc>
          <w:tcPr>
            <w:tcW w:w="9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A5A2D4">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t>4000</w:t>
            </w:r>
          </w:p>
        </w:tc>
        <w:tc>
          <w:tcPr>
            <w:tcW w:w="10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ED290A">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4000</w:t>
            </w:r>
          </w:p>
        </w:tc>
        <w:tc>
          <w:tcPr>
            <w:tcW w:w="1204" w:type="pct"/>
            <w:vMerge w:val="continue"/>
            <w:tcBorders>
              <w:left w:val="single" w:color="000000" w:sz="4" w:space="0"/>
              <w:right w:val="single" w:color="000000" w:sz="4" w:space="0"/>
            </w:tcBorders>
            <w:shd w:val="clear" w:color="auto" w:fill="FFFFFF"/>
            <w:noWrap w:val="0"/>
            <w:vAlign w:val="center"/>
          </w:tcPr>
          <w:p w14:paraId="33A9BDD9">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r>
      <w:tr w14:paraId="2C84B3E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E4AB30">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30BEBA">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1小时平均</w:t>
            </w:r>
          </w:p>
        </w:tc>
        <w:tc>
          <w:tcPr>
            <w:tcW w:w="9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5E6248">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t>10000</w:t>
            </w:r>
          </w:p>
        </w:tc>
        <w:tc>
          <w:tcPr>
            <w:tcW w:w="10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748769">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10000</w:t>
            </w:r>
          </w:p>
        </w:tc>
        <w:tc>
          <w:tcPr>
            <w:tcW w:w="1204" w:type="pct"/>
            <w:vMerge w:val="continue"/>
            <w:tcBorders>
              <w:left w:val="single" w:color="000000" w:sz="4" w:space="0"/>
              <w:right w:val="single" w:color="000000" w:sz="4" w:space="0"/>
            </w:tcBorders>
            <w:shd w:val="clear" w:color="auto" w:fill="FFFFFF"/>
            <w:noWrap w:val="0"/>
            <w:vAlign w:val="center"/>
          </w:tcPr>
          <w:p w14:paraId="2BDD8591">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r>
      <w:tr w14:paraId="16CEECE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69663C">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O</w:t>
            </w:r>
            <w:r>
              <w:rPr>
                <w:rFonts w:hint="default" w:ascii="Times New Roman" w:hAnsi="Times New Roman" w:eastAsia="宋体" w:cs="Times New Roman"/>
                <w:b w:val="0"/>
                <w:snapToGrid w:val="0"/>
                <w:color w:val="000000" w:themeColor="text1"/>
                <w:kern w:val="0"/>
                <w:sz w:val="21"/>
                <w:szCs w:val="20"/>
                <w:vertAlign w:val="subscript"/>
                <w:lang w:val="en-US" w:eastAsia="en-US" w:bidi="ar-SA"/>
                <w14:textFill>
                  <w14:solidFill>
                    <w14:schemeClr w14:val="tx1"/>
                  </w14:solidFill>
                </w14:textFill>
              </w:rPr>
              <w:t>3</w:t>
            </w: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EAB094">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日最大8小时平均</w:t>
            </w:r>
          </w:p>
        </w:tc>
        <w:tc>
          <w:tcPr>
            <w:tcW w:w="9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64C64C">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t>100</w:t>
            </w:r>
          </w:p>
        </w:tc>
        <w:tc>
          <w:tcPr>
            <w:tcW w:w="10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94A9B4">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160</w:t>
            </w:r>
          </w:p>
        </w:tc>
        <w:tc>
          <w:tcPr>
            <w:tcW w:w="1204" w:type="pct"/>
            <w:vMerge w:val="continue"/>
            <w:tcBorders>
              <w:left w:val="single" w:color="000000" w:sz="4" w:space="0"/>
              <w:right w:val="single" w:color="000000" w:sz="4" w:space="0"/>
            </w:tcBorders>
            <w:shd w:val="clear" w:color="auto" w:fill="FFFFFF"/>
            <w:noWrap w:val="0"/>
            <w:vAlign w:val="center"/>
          </w:tcPr>
          <w:p w14:paraId="6D123D6D">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r>
      <w:tr w14:paraId="53326B3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A94035">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C3716D">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1小时平均</w:t>
            </w:r>
          </w:p>
        </w:tc>
        <w:tc>
          <w:tcPr>
            <w:tcW w:w="9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A8C810">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t>160</w:t>
            </w:r>
          </w:p>
        </w:tc>
        <w:tc>
          <w:tcPr>
            <w:tcW w:w="10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DC2080">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200</w:t>
            </w:r>
          </w:p>
        </w:tc>
        <w:tc>
          <w:tcPr>
            <w:tcW w:w="1204" w:type="pct"/>
            <w:vMerge w:val="continue"/>
            <w:tcBorders>
              <w:left w:val="single" w:color="000000" w:sz="4" w:space="0"/>
              <w:right w:val="single" w:color="000000" w:sz="4" w:space="0"/>
            </w:tcBorders>
            <w:shd w:val="clear" w:color="auto" w:fill="FFFFFF"/>
            <w:noWrap w:val="0"/>
            <w:vAlign w:val="center"/>
          </w:tcPr>
          <w:p w14:paraId="3D5C9464">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r>
      <w:tr w14:paraId="2E39AB9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65F5F5">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PM</w:t>
            </w:r>
            <w:r>
              <w:rPr>
                <w:rFonts w:hint="default" w:ascii="Times New Roman" w:hAnsi="Times New Roman" w:eastAsia="宋体" w:cs="Times New Roman"/>
                <w:b w:val="0"/>
                <w:snapToGrid w:val="0"/>
                <w:color w:val="000000" w:themeColor="text1"/>
                <w:kern w:val="0"/>
                <w:sz w:val="21"/>
                <w:szCs w:val="20"/>
                <w:vertAlign w:val="subscript"/>
                <w:lang w:val="en-US" w:eastAsia="en-US" w:bidi="ar-SA"/>
                <w14:textFill>
                  <w14:solidFill>
                    <w14:schemeClr w14:val="tx1"/>
                  </w14:solidFill>
                </w14:textFill>
              </w:rPr>
              <w:t>10</w:t>
            </w: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68878C">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24小时平均</w:t>
            </w:r>
          </w:p>
        </w:tc>
        <w:tc>
          <w:tcPr>
            <w:tcW w:w="9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8CBE5D">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t>50</w:t>
            </w:r>
          </w:p>
        </w:tc>
        <w:tc>
          <w:tcPr>
            <w:tcW w:w="10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E688BB">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1</w:t>
            </w:r>
            <w:r>
              <w:rPr>
                <w:rFonts w:hint="eastAsia" w:cs="Times New Roman"/>
                <w:b w:val="0"/>
                <w:snapToGrid w:val="0"/>
                <w:color w:val="000000" w:themeColor="text1"/>
                <w:kern w:val="0"/>
                <w:sz w:val="21"/>
                <w:szCs w:val="20"/>
                <w:lang w:val="en-US" w:eastAsia="zh-CN" w:bidi="ar-SA"/>
                <w14:textFill>
                  <w14:solidFill>
                    <w14:schemeClr w14:val="tx1"/>
                  </w14:solidFill>
                </w14:textFill>
              </w:rPr>
              <w:t>2</w:t>
            </w: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0</w:t>
            </w:r>
          </w:p>
        </w:tc>
        <w:tc>
          <w:tcPr>
            <w:tcW w:w="1204" w:type="pct"/>
            <w:vMerge w:val="continue"/>
            <w:tcBorders>
              <w:left w:val="single" w:color="000000" w:sz="4" w:space="0"/>
              <w:right w:val="single" w:color="000000" w:sz="4" w:space="0"/>
            </w:tcBorders>
            <w:shd w:val="clear" w:color="auto" w:fill="FFFFFF"/>
            <w:noWrap w:val="0"/>
            <w:vAlign w:val="center"/>
          </w:tcPr>
          <w:p w14:paraId="38B24D41">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r>
      <w:tr w14:paraId="279370F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2CC7B2">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77A9B7">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年平均</w:t>
            </w:r>
          </w:p>
        </w:tc>
        <w:tc>
          <w:tcPr>
            <w:tcW w:w="9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ACD74F">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t>40</w:t>
            </w:r>
          </w:p>
        </w:tc>
        <w:tc>
          <w:tcPr>
            <w:tcW w:w="10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C58907">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pPr>
            <w:r>
              <w:rPr>
                <w:rFonts w:hint="eastAsia" w:cs="Times New Roman"/>
                <w:b w:val="0"/>
                <w:snapToGrid w:val="0"/>
                <w:color w:val="000000" w:themeColor="text1"/>
                <w:kern w:val="0"/>
                <w:sz w:val="21"/>
                <w:szCs w:val="20"/>
                <w:lang w:val="en-US" w:eastAsia="zh-CN" w:bidi="ar-SA"/>
                <w14:textFill>
                  <w14:solidFill>
                    <w14:schemeClr w14:val="tx1"/>
                  </w14:solidFill>
                </w14:textFill>
              </w:rPr>
              <w:t>60</w:t>
            </w:r>
          </w:p>
        </w:tc>
        <w:tc>
          <w:tcPr>
            <w:tcW w:w="1204" w:type="pct"/>
            <w:vMerge w:val="continue"/>
            <w:tcBorders>
              <w:left w:val="single" w:color="000000" w:sz="4" w:space="0"/>
              <w:right w:val="single" w:color="000000" w:sz="4" w:space="0"/>
            </w:tcBorders>
            <w:shd w:val="clear" w:color="auto" w:fill="FFFFFF"/>
            <w:noWrap w:val="0"/>
            <w:vAlign w:val="center"/>
          </w:tcPr>
          <w:p w14:paraId="0FDB03E7">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r>
      <w:tr w14:paraId="6A0B48A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EFB24A">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PM</w:t>
            </w:r>
            <w:r>
              <w:rPr>
                <w:rFonts w:hint="default" w:ascii="Times New Roman" w:hAnsi="Times New Roman" w:eastAsia="宋体" w:cs="Times New Roman"/>
                <w:b w:val="0"/>
                <w:snapToGrid w:val="0"/>
                <w:color w:val="000000" w:themeColor="text1"/>
                <w:kern w:val="0"/>
                <w:sz w:val="21"/>
                <w:szCs w:val="20"/>
                <w:vertAlign w:val="subscript"/>
                <w:lang w:val="en-US" w:eastAsia="en-US" w:bidi="ar-SA"/>
                <w14:textFill>
                  <w14:solidFill>
                    <w14:schemeClr w14:val="tx1"/>
                  </w14:solidFill>
                </w14:textFill>
              </w:rPr>
              <w:t>2.5</w:t>
            </w: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0855A5">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24小时平均</w:t>
            </w:r>
          </w:p>
        </w:tc>
        <w:tc>
          <w:tcPr>
            <w:tcW w:w="9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91DFB8">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t>35</w:t>
            </w:r>
          </w:p>
        </w:tc>
        <w:tc>
          <w:tcPr>
            <w:tcW w:w="10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DC743B">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pPr>
            <w:r>
              <w:rPr>
                <w:rFonts w:hint="eastAsia" w:cs="Times New Roman"/>
                <w:b w:val="0"/>
                <w:snapToGrid w:val="0"/>
                <w:color w:val="000000" w:themeColor="text1"/>
                <w:kern w:val="0"/>
                <w:sz w:val="21"/>
                <w:szCs w:val="20"/>
                <w:lang w:val="en-US" w:eastAsia="zh-CN" w:bidi="ar-SA"/>
                <w14:textFill>
                  <w14:solidFill>
                    <w14:schemeClr w14:val="tx1"/>
                  </w14:solidFill>
                </w14:textFill>
              </w:rPr>
              <w:t>60</w:t>
            </w:r>
          </w:p>
        </w:tc>
        <w:tc>
          <w:tcPr>
            <w:tcW w:w="1204" w:type="pct"/>
            <w:vMerge w:val="continue"/>
            <w:tcBorders>
              <w:left w:val="single" w:color="000000" w:sz="4" w:space="0"/>
              <w:right w:val="single" w:color="000000" w:sz="4" w:space="0"/>
            </w:tcBorders>
            <w:shd w:val="clear" w:color="auto" w:fill="FFFFFF"/>
            <w:noWrap w:val="0"/>
            <w:vAlign w:val="center"/>
          </w:tcPr>
          <w:p w14:paraId="230D6E7B">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r>
      <w:tr w14:paraId="2446D46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025289">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A85B5B">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年平均</w:t>
            </w:r>
          </w:p>
        </w:tc>
        <w:tc>
          <w:tcPr>
            <w:tcW w:w="9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44BEBF">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t>15</w:t>
            </w:r>
          </w:p>
        </w:tc>
        <w:tc>
          <w:tcPr>
            <w:tcW w:w="10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5F3AA8">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pPr>
            <w:r>
              <w:rPr>
                <w:rFonts w:hint="eastAsia" w:cs="Times New Roman"/>
                <w:b w:val="0"/>
                <w:snapToGrid w:val="0"/>
                <w:color w:val="000000" w:themeColor="text1"/>
                <w:kern w:val="0"/>
                <w:sz w:val="21"/>
                <w:szCs w:val="20"/>
                <w:lang w:val="en-US" w:eastAsia="zh-CN" w:bidi="ar-SA"/>
                <w14:textFill>
                  <w14:solidFill>
                    <w14:schemeClr w14:val="tx1"/>
                  </w14:solidFill>
                </w14:textFill>
              </w:rPr>
              <w:t>30</w:t>
            </w:r>
          </w:p>
        </w:tc>
        <w:tc>
          <w:tcPr>
            <w:tcW w:w="1204" w:type="pct"/>
            <w:vMerge w:val="continue"/>
            <w:tcBorders>
              <w:left w:val="single" w:color="000000" w:sz="4" w:space="0"/>
              <w:right w:val="single" w:color="000000" w:sz="4" w:space="0"/>
            </w:tcBorders>
            <w:shd w:val="clear" w:color="auto" w:fill="FFFFFF"/>
            <w:noWrap w:val="0"/>
            <w:vAlign w:val="center"/>
          </w:tcPr>
          <w:p w14:paraId="5CD64F0E">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r>
      <w:tr w14:paraId="020B033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1DCA48">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TSP</w:t>
            </w: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3FF526">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24小时平均</w:t>
            </w:r>
          </w:p>
        </w:tc>
        <w:tc>
          <w:tcPr>
            <w:tcW w:w="9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3401FD">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t>120</w:t>
            </w:r>
          </w:p>
        </w:tc>
        <w:tc>
          <w:tcPr>
            <w:tcW w:w="10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EB8D1C">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300</w:t>
            </w:r>
          </w:p>
        </w:tc>
        <w:tc>
          <w:tcPr>
            <w:tcW w:w="1204" w:type="pct"/>
            <w:vMerge w:val="continue"/>
            <w:tcBorders>
              <w:left w:val="single" w:color="000000" w:sz="4" w:space="0"/>
              <w:right w:val="single" w:color="000000" w:sz="4" w:space="0"/>
            </w:tcBorders>
            <w:shd w:val="clear" w:color="auto" w:fill="FFFFFF"/>
            <w:noWrap w:val="0"/>
            <w:vAlign w:val="center"/>
          </w:tcPr>
          <w:p w14:paraId="3016CBD2">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r>
      <w:tr w14:paraId="36FF0E2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112910">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F6B738">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年平均</w:t>
            </w:r>
          </w:p>
        </w:tc>
        <w:tc>
          <w:tcPr>
            <w:tcW w:w="9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25B208">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t>80</w:t>
            </w:r>
          </w:p>
        </w:tc>
        <w:tc>
          <w:tcPr>
            <w:tcW w:w="10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563CFC">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200</w:t>
            </w:r>
          </w:p>
        </w:tc>
        <w:tc>
          <w:tcPr>
            <w:tcW w:w="1204" w:type="pct"/>
            <w:vMerge w:val="continue"/>
            <w:tcBorders>
              <w:left w:val="single" w:color="000000" w:sz="4" w:space="0"/>
              <w:right w:val="single" w:color="000000" w:sz="4" w:space="0"/>
            </w:tcBorders>
            <w:shd w:val="clear" w:color="auto" w:fill="FFFFFF"/>
            <w:noWrap w:val="0"/>
            <w:vAlign w:val="center"/>
          </w:tcPr>
          <w:p w14:paraId="5250522D">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r>
      <w:tr w14:paraId="5B06C5C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vMerge w:val="restart"/>
            <w:tcBorders>
              <w:top w:val="single" w:color="000000" w:sz="4" w:space="0"/>
              <w:left w:val="single" w:color="000000" w:sz="4" w:space="0"/>
              <w:right w:val="single" w:color="000000" w:sz="4" w:space="0"/>
            </w:tcBorders>
            <w:shd w:val="clear" w:color="auto" w:fill="FFFFFF"/>
            <w:noWrap w:val="0"/>
            <w:vAlign w:val="center"/>
          </w:tcPr>
          <w:p w14:paraId="719F1921">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t>NO</w:t>
            </w:r>
            <w:r>
              <w:rPr>
                <w:rFonts w:hint="default" w:ascii="Times New Roman" w:hAnsi="Times New Roman" w:eastAsia="宋体" w:cs="Times New Roman"/>
                <w:b w:val="0"/>
                <w:bCs/>
                <w:color w:val="000000" w:themeColor="text1"/>
                <w:kern w:val="0"/>
                <w:sz w:val="21"/>
                <w:szCs w:val="21"/>
                <w:vertAlign w:val="subscript"/>
                <w:lang w:val="en-US" w:eastAsia="zh-CN" w:bidi="ar-SA"/>
                <w14:textFill>
                  <w14:solidFill>
                    <w14:schemeClr w14:val="tx1"/>
                  </w14:solidFill>
                </w14:textFill>
              </w:rPr>
              <w:t>x</w:t>
            </w: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99A041">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t>年平均</w:t>
            </w:r>
          </w:p>
        </w:tc>
        <w:tc>
          <w:tcPr>
            <w:tcW w:w="9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272114">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t>50</w:t>
            </w:r>
          </w:p>
        </w:tc>
        <w:tc>
          <w:tcPr>
            <w:tcW w:w="10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3F318F">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t>50</w:t>
            </w:r>
          </w:p>
        </w:tc>
        <w:tc>
          <w:tcPr>
            <w:tcW w:w="1204" w:type="pct"/>
            <w:vMerge w:val="continue"/>
            <w:tcBorders>
              <w:left w:val="single" w:color="000000" w:sz="4" w:space="0"/>
              <w:right w:val="single" w:color="000000" w:sz="4" w:space="0"/>
            </w:tcBorders>
            <w:shd w:val="clear" w:color="auto" w:fill="FFFFFF"/>
            <w:noWrap w:val="0"/>
            <w:vAlign w:val="center"/>
          </w:tcPr>
          <w:p w14:paraId="5E2BCFBF">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r>
      <w:tr w14:paraId="5EEB2CF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vMerge w:val="continue"/>
            <w:tcBorders>
              <w:left w:val="single" w:color="000000" w:sz="4" w:space="0"/>
              <w:right w:val="single" w:color="000000" w:sz="4" w:space="0"/>
            </w:tcBorders>
            <w:shd w:val="clear" w:color="auto" w:fill="FFFFFF"/>
            <w:noWrap w:val="0"/>
            <w:vAlign w:val="center"/>
          </w:tcPr>
          <w:p w14:paraId="66326AD8">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color w:val="000000" w:themeColor="text1"/>
                <w:kern w:val="0"/>
                <w:sz w:val="21"/>
                <w:szCs w:val="20"/>
                <w:lang w:val="en-US" w:eastAsia="zh-CN" w:bidi="ar-SA"/>
                <w14:textFill>
                  <w14:solidFill>
                    <w14:schemeClr w14:val="tx1"/>
                  </w14:solidFill>
                </w14:textFill>
              </w:rPr>
            </w:pP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EED12C">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t>24小时平均</w:t>
            </w:r>
          </w:p>
        </w:tc>
        <w:tc>
          <w:tcPr>
            <w:tcW w:w="9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DFA430">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t>100</w:t>
            </w:r>
          </w:p>
        </w:tc>
        <w:tc>
          <w:tcPr>
            <w:tcW w:w="10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84710C">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t>100</w:t>
            </w:r>
          </w:p>
        </w:tc>
        <w:tc>
          <w:tcPr>
            <w:tcW w:w="1204" w:type="pct"/>
            <w:vMerge w:val="continue"/>
            <w:tcBorders>
              <w:left w:val="single" w:color="000000" w:sz="4" w:space="0"/>
              <w:right w:val="single" w:color="000000" w:sz="4" w:space="0"/>
            </w:tcBorders>
            <w:shd w:val="clear" w:color="auto" w:fill="FFFFFF"/>
            <w:noWrap w:val="0"/>
            <w:vAlign w:val="center"/>
          </w:tcPr>
          <w:p w14:paraId="24963F3F">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r>
      <w:tr w14:paraId="5B19FE0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vMerge w:val="continue"/>
            <w:tcBorders>
              <w:left w:val="single" w:color="000000" w:sz="4" w:space="0"/>
              <w:bottom w:val="single" w:color="000000" w:sz="4" w:space="0"/>
              <w:right w:val="single" w:color="000000" w:sz="4" w:space="0"/>
            </w:tcBorders>
            <w:shd w:val="clear" w:color="auto" w:fill="FFFFFF"/>
            <w:noWrap w:val="0"/>
            <w:vAlign w:val="center"/>
          </w:tcPr>
          <w:p w14:paraId="6245DC22">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color w:val="000000" w:themeColor="text1"/>
                <w:kern w:val="0"/>
                <w:sz w:val="21"/>
                <w:szCs w:val="20"/>
                <w:lang w:val="en-US" w:eastAsia="zh-CN" w:bidi="ar-SA"/>
                <w14:textFill>
                  <w14:solidFill>
                    <w14:schemeClr w14:val="tx1"/>
                  </w14:solidFill>
                </w14:textFill>
              </w:rPr>
            </w:pP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710A63">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t>1小时平均</w:t>
            </w:r>
          </w:p>
        </w:tc>
        <w:tc>
          <w:tcPr>
            <w:tcW w:w="9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8100A0">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t>250</w:t>
            </w:r>
          </w:p>
        </w:tc>
        <w:tc>
          <w:tcPr>
            <w:tcW w:w="10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F00BFC">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t>250</w:t>
            </w:r>
          </w:p>
        </w:tc>
        <w:tc>
          <w:tcPr>
            <w:tcW w:w="1204" w:type="pct"/>
            <w:vMerge w:val="continue"/>
            <w:tcBorders>
              <w:left w:val="single" w:color="000000" w:sz="4" w:space="0"/>
              <w:bottom w:val="single" w:color="000000" w:sz="4" w:space="0"/>
              <w:right w:val="single" w:color="000000" w:sz="4" w:space="0"/>
            </w:tcBorders>
            <w:shd w:val="clear" w:color="auto" w:fill="FFFFFF"/>
            <w:noWrap w:val="0"/>
            <w:vAlign w:val="center"/>
          </w:tcPr>
          <w:p w14:paraId="51E81E7F">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center"/>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p>
        </w:tc>
      </w:tr>
      <w:tr w14:paraId="7690270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DA9B6F">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t>甲醛</w:t>
            </w: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0B61A8">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t>1小时平均</w:t>
            </w:r>
          </w:p>
        </w:tc>
        <w:tc>
          <w:tcPr>
            <w:tcW w:w="200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8721BB">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t>50</w:t>
            </w:r>
          </w:p>
        </w:tc>
        <w:tc>
          <w:tcPr>
            <w:tcW w:w="12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96FC06">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left"/>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《环境影响评价技术导则-大气环境》</w:t>
            </w:r>
            <w:r>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t>（</w:t>
            </w: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HJ2.2-2018</w:t>
            </w:r>
            <w:r>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t>）</w:t>
            </w:r>
            <w:r>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t>附录D</w:t>
            </w:r>
          </w:p>
        </w:tc>
      </w:tr>
      <w:tr w14:paraId="0BAD2E1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0DAE88">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t>非甲烷总烃</w:t>
            </w: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59AEAA">
            <w:pPr>
              <w:keepNext w:val="0"/>
              <w:keepLines w:val="0"/>
              <w:pageBreakBefore w:val="0"/>
              <w:widowControl w:val="0"/>
              <w:kinsoku/>
              <w:wordWrap/>
              <w:overflowPunct/>
              <w:topLinePunct w:val="0"/>
              <w:autoSpaceDE/>
              <w:autoSpaceDN/>
              <w:bidi w:val="0"/>
              <w:adjustRightInd w:val="0"/>
              <w:snapToGrid w:val="0"/>
              <w:spacing w:beforeLines="0" w:after="0" w:afterLines="0" w:afterAutospacing="0" w:line="240" w:lineRule="auto"/>
              <w:ind w:left="0" w:leftChars="0" w:firstLine="0" w:firstLineChars="0"/>
              <w:jc w:val="center"/>
              <w:textAlignment w:val="auto"/>
              <w:rPr>
                <w:rFonts w:hint="default" w:ascii="Times New Roman" w:hAnsi="Times New Roman" w:eastAsia="宋体" w:cs="Times New Roman"/>
                <w:b w:val="0"/>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一次浓度限值</w:t>
            </w:r>
          </w:p>
        </w:tc>
        <w:tc>
          <w:tcPr>
            <w:tcW w:w="200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C2B4EF">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0"/>
                <w:lang w:val="en-US" w:eastAsia="zh-CN" w:bidi="ar-SA"/>
                <w14:textFill>
                  <w14:solidFill>
                    <w14:schemeClr w14:val="tx1"/>
                  </w14:solidFill>
                </w14:textFill>
              </w:rPr>
              <w:t>2000</w:t>
            </w:r>
          </w:p>
        </w:tc>
        <w:tc>
          <w:tcPr>
            <w:tcW w:w="12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AA2816">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left"/>
              <w:textAlignment w:val="auto"/>
              <w:rPr>
                <w:rFonts w:hint="default" w:ascii="Times New Roman" w:hAnsi="Times New Roman" w:eastAsia="宋体" w:cs="Times New Roman"/>
                <w:b w:val="0"/>
                <w:snapToGrid w:val="0"/>
                <w:color w:val="000000" w:themeColor="text1"/>
                <w:kern w:val="0"/>
                <w:sz w:val="21"/>
                <w:szCs w:val="20"/>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en-US" w:bidi="ar-SA"/>
                <w14:textFill>
                  <w14:solidFill>
                    <w14:schemeClr w14:val="tx1"/>
                  </w14:solidFill>
                </w14:textFill>
              </w:rPr>
              <w:t>大气污染物综合排放标准详解</w:t>
            </w:r>
          </w:p>
        </w:tc>
      </w:tr>
    </w:tbl>
    <w:p w14:paraId="267327B1">
      <w:pPr>
        <w:pStyle w:val="5"/>
        <w:bidi w:val="0"/>
        <w:rPr>
          <w:rFonts w:hint="eastAsia"/>
          <w:color w:val="000000" w:themeColor="text1"/>
          <w:lang w:val="en-US" w:eastAsia="zh-CN"/>
          <w14:textFill>
            <w14:solidFill>
              <w14:schemeClr w14:val="tx1"/>
            </w14:solidFill>
          </w14:textFill>
        </w:rPr>
      </w:pPr>
      <w:bookmarkStart w:id="318" w:name="_Toc21562"/>
      <w:bookmarkStart w:id="319" w:name="_Toc18884"/>
      <w:r>
        <w:rPr>
          <w:rFonts w:hint="eastAsia"/>
          <w:color w:val="000000" w:themeColor="text1"/>
          <w:lang w:val="en-US" w:eastAsia="zh-CN"/>
          <w14:textFill>
            <w14:solidFill>
              <w14:schemeClr w14:val="tx1"/>
            </w14:solidFill>
          </w14:textFill>
        </w:rPr>
        <w:t>1.4.2 排放标准</w:t>
      </w:r>
      <w:bookmarkEnd w:id="318"/>
      <w:bookmarkEnd w:id="319"/>
    </w:p>
    <w:p w14:paraId="557E4031">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default" w:ascii="Times New Roman" w:hAnsi="Times New Roman" w:eastAsia="宋体" w:cs="Times New Roman"/>
          <w:b/>
          <w:bCs/>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1、施工期</w:t>
      </w:r>
    </w:p>
    <w:p w14:paraId="1E1CF7EE">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b/>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施工期无组织粉尘排放执行《大气污染物综合排放标准》（GB16297-1996）表2中的无组织排放监控浓度限值标准。</w:t>
      </w:r>
    </w:p>
    <w:p w14:paraId="4EC06864">
      <w:pPr>
        <w:ind w:firstLine="0" w:firstLineChars="0"/>
        <w:jc w:val="center"/>
        <w:rPr>
          <w:rFonts w:hint="default" w:ascii="Times New Roman" w:hAnsi="Times New Roman" w:eastAsia="宋体" w:cs="Times New Roman"/>
          <w:bCs/>
          <w:color w:val="000000" w:themeColor="text1"/>
          <w:kern w:val="0"/>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表1.4-2大气污染物排放限值  单位：mg/m</w:t>
      </w:r>
      <w:r>
        <w:rPr>
          <w:rFonts w:hint="default" w:ascii="Times New Roman" w:hAnsi="Times New Roman" w:eastAsia="宋体" w:cs="Times New Roman"/>
          <w:b/>
          <w:color w:val="000000" w:themeColor="text1"/>
          <w:sz w:val="21"/>
          <w:szCs w:val="21"/>
          <w:vertAlign w:val="superscript"/>
          <w14:textFill>
            <w14:solidFill>
              <w14:schemeClr w14:val="tx1"/>
            </w14:solidFill>
          </w14:textFill>
        </w:rPr>
        <w:t>3</w:t>
      </w:r>
    </w:p>
    <w:tbl>
      <w:tblPr>
        <w:tblStyle w:val="3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1"/>
        <w:gridCol w:w="3455"/>
        <w:gridCol w:w="3052"/>
      </w:tblGrid>
      <w:tr w14:paraId="48F77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08" w:type="pct"/>
            <w:vMerge w:val="restart"/>
            <w:noWrap w:val="0"/>
            <w:vAlign w:val="center"/>
          </w:tcPr>
          <w:p w14:paraId="33E2FB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Cs w:val="22"/>
                <w14:textFill>
                  <w14:solidFill>
                    <w14:schemeClr w14:val="tx1"/>
                  </w14:solidFill>
                </w14:textFill>
              </w:rPr>
            </w:pPr>
            <w:r>
              <w:rPr>
                <w:rFonts w:hint="default" w:ascii="Times New Roman" w:hAnsi="Times New Roman" w:eastAsia="宋体" w:cs="Times New Roman"/>
                <w:b/>
                <w:bCs/>
                <w:color w:val="000000" w:themeColor="text1"/>
                <w:szCs w:val="22"/>
                <w14:textFill>
                  <w14:solidFill>
                    <w14:schemeClr w14:val="tx1"/>
                  </w14:solidFill>
                </w14:textFill>
              </w:rPr>
              <w:t>污染物</w:t>
            </w:r>
          </w:p>
        </w:tc>
        <w:tc>
          <w:tcPr>
            <w:tcW w:w="3591" w:type="pct"/>
            <w:gridSpan w:val="2"/>
            <w:noWrap w:val="0"/>
            <w:vAlign w:val="center"/>
          </w:tcPr>
          <w:p w14:paraId="29AC8B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Cs w:val="22"/>
                <w14:textFill>
                  <w14:solidFill>
                    <w14:schemeClr w14:val="tx1"/>
                  </w14:solidFill>
                </w14:textFill>
              </w:rPr>
            </w:pPr>
            <w:r>
              <w:rPr>
                <w:rFonts w:hint="default" w:ascii="Times New Roman" w:hAnsi="Times New Roman" w:eastAsia="宋体" w:cs="Times New Roman"/>
                <w:b/>
                <w:bCs/>
                <w:color w:val="000000" w:themeColor="text1"/>
                <w:szCs w:val="22"/>
                <w14:textFill>
                  <w14:solidFill>
                    <w14:schemeClr w14:val="tx1"/>
                  </w14:solidFill>
                </w14:textFill>
              </w:rPr>
              <w:t>无组织排放监控浓度限值</w:t>
            </w:r>
          </w:p>
        </w:tc>
      </w:tr>
      <w:tr w14:paraId="5DE72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08" w:type="pct"/>
            <w:vMerge w:val="continue"/>
            <w:noWrap w:val="0"/>
            <w:vAlign w:val="center"/>
          </w:tcPr>
          <w:p w14:paraId="4C1AD8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Cs w:val="22"/>
                <w14:textFill>
                  <w14:solidFill>
                    <w14:schemeClr w14:val="tx1"/>
                  </w14:solidFill>
                </w14:textFill>
              </w:rPr>
            </w:pPr>
          </w:p>
        </w:tc>
        <w:tc>
          <w:tcPr>
            <w:tcW w:w="1907" w:type="pct"/>
            <w:noWrap w:val="0"/>
            <w:vAlign w:val="center"/>
          </w:tcPr>
          <w:p w14:paraId="5CEE56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kern w:val="0"/>
                <w:szCs w:val="22"/>
                <w14:textFill>
                  <w14:solidFill>
                    <w14:schemeClr w14:val="tx1"/>
                  </w14:solidFill>
                </w14:textFill>
              </w:rPr>
            </w:pPr>
            <w:r>
              <w:rPr>
                <w:rFonts w:hint="default" w:ascii="Times New Roman" w:hAnsi="Times New Roman" w:eastAsia="宋体" w:cs="Times New Roman"/>
                <w:b/>
                <w:bCs/>
                <w:color w:val="000000" w:themeColor="text1"/>
                <w:szCs w:val="22"/>
                <w14:textFill>
                  <w14:solidFill>
                    <w14:schemeClr w14:val="tx1"/>
                  </w14:solidFill>
                </w14:textFill>
              </w:rPr>
              <w:t>监控点</w:t>
            </w:r>
          </w:p>
        </w:tc>
        <w:tc>
          <w:tcPr>
            <w:tcW w:w="1683" w:type="pct"/>
            <w:noWrap w:val="0"/>
            <w:vAlign w:val="center"/>
          </w:tcPr>
          <w:p w14:paraId="312E93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kern w:val="0"/>
                <w:szCs w:val="22"/>
                <w14:textFill>
                  <w14:solidFill>
                    <w14:schemeClr w14:val="tx1"/>
                  </w14:solidFill>
                </w14:textFill>
              </w:rPr>
            </w:pPr>
            <w:r>
              <w:rPr>
                <w:rFonts w:hint="default" w:ascii="Times New Roman" w:hAnsi="Times New Roman" w:eastAsia="宋体" w:cs="Times New Roman"/>
                <w:b/>
                <w:bCs/>
                <w:color w:val="000000" w:themeColor="text1"/>
                <w:szCs w:val="22"/>
                <w14:textFill>
                  <w14:solidFill>
                    <w14:schemeClr w14:val="tx1"/>
                  </w14:solidFill>
                </w14:textFill>
              </w:rPr>
              <w:t>浓度</w:t>
            </w:r>
          </w:p>
        </w:tc>
      </w:tr>
      <w:tr w14:paraId="02FE2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08" w:type="pct"/>
            <w:noWrap w:val="0"/>
            <w:vAlign w:val="center"/>
          </w:tcPr>
          <w:p w14:paraId="08B8B3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Cs w:val="22"/>
                <w14:textFill>
                  <w14:solidFill>
                    <w14:schemeClr w14:val="tx1"/>
                  </w14:solidFill>
                </w14:textFill>
              </w:rPr>
            </w:pPr>
            <w:r>
              <w:rPr>
                <w:rFonts w:hint="default" w:ascii="Times New Roman" w:hAnsi="Times New Roman" w:eastAsia="宋体" w:cs="Times New Roman"/>
                <w:color w:val="000000" w:themeColor="text1"/>
                <w:szCs w:val="22"/>
                <w14:textFill>
                  <w14:solidFill>
                    <w14:schemeClr w14:val="tx1"/>
                  </w14:solidFill>
                </w14:textFill>
              </w:rPr>
              <w:t>颗粒物</w:t>
            </w:r>
          </w:p>
        </w:tc>
        <w:tc>
          <w:tcPr>
            <w:tcW w:w="1907" w:type="pct"/>
            <w:noWrap w:val="0"/>
            <w:vAlign w:val="center"/>
          </w:tcPr>
          <w:p w14:paraId="628E89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000000" w:themeColor="text1"/>
                <w:kern w:val="0"/>
                <w:szCs w:val="22"/>
                <w14:textFill>
                  <w14:solidFill>
                    <w14:schemeClr w14:val="tx1"/>
                  </w14:solidFill>
                </w14:textFill>
              </w:rPr>
            </w:pPr>
            <w:r>
              <w:rPr>
                <w:rFonts w:hint="default" w:ascii="Times New Roman" w:hAnsi="Times New Roman" w:eastAsia="宋体" w:cs="Times New Roman"/>
                <w:color w:val="000000" w:themeColor="text1"/>
                <w:szCs w:val="22"/>
                <w14:textFill>
                  <w14:solidFill>
                    <w14:schemeClr w14:val="tx1"/>
                  </w14:solidFill>
                </w14:textFill>
              </w:rPr>
              <w:t>周界外浓度最高点</w:t>
            </w:r>
          </w:p>
        </w:tc>
        <w:tc>
          <w:tcPr>
            <w:tcW w:w="1683" w:type="pct"/>
            <w:noWrap w:val="0"/>
            <w:vAlign w:val="center"/>
          </w:tcPr>
          <w:p w14:paraId="041587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000000" w:themeColor="text1"/>
                <w:kern w:val="0"/>
                <w:szCs w:val="22"/>
                <w14:textFill>
                  <w14:solidFill>
                    <w14:schemeClr w14:val="tx1"/>
                  </w14:solidFill>
                </w14:textFill>
              </w:rPr>
            </w:pPr>
            <w:r>
              <w:rPr>
                <w:rFonts w:hint="default" w:ascii="Times New Roman" w:hAnsi="Times New Roman" w:eastAsia="宋体" w:cs="Times New Roman"/>
                <w:color w:val="000000" w:themeColor="text1"/>
                <w:szCs w:val="22"/>
                <w14:textFill>
                  <w14:solidFill>
                    <w14:schemeClr w14:val="tx1"/>
                  </w14:solidFill>
                </w14:textFill>
              </w:rPr>
              <w:t>1.0</w:t>
            </w:r>
          </w:p>
        </w:tc>
      </w:tr>
    </w:tbl>
    <w:p w14:paraId="54235B3B">
      <w:pPr>
        <w:pStyle w:val="79"/>
        <w:numPr>
          <w:ilvl w:val="0"/>
          <w:numId w:val="0"/>
        </w:numPr>
        <w:bidi w:val="0"/>
        <w:ind w:firstLine="482" w:firstLineChars="200"/>
        <w:rPr>
          <w:rFonts w:hint="eastAsia"/>
          <w:b/>
          <w:bCs/>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2、</w:t>
      </w:r>
      <w:r>
        <w:rPr>
          <w:rFonts w:hint="eastAsia"/>
          <w:b/>
          <w:bCs/>
          <w:color w:val="000000" w:themeColor="text1"/>
          <w:lang w:val="en-US" w:eastAsia="zh-CN"/>
          <w14:textFill>
            <w14:solidFill>
              <w14:schemeClr w14:val="tx1"/>
            </w14:solidFill>
          </w14:textFill>
        </w:rPr>
        <w:t>运营期</w:t>
      </w:r>
    </w:p>
    <w:p w14:paraId="75661FBA">
      <w:pPr>
        <w:pStyle w:val="79"/>
        <w:bidi w:val="0"/>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1）电预热、模压成型、罩光废气</w:t>
      </w:r>
    </w:p>
    <w:p w14:paraId="5F5FB128">
      <w:pPr>
        <w:pStyle w:val="79"/>
        <w:bidi w:val="0"/>
        <w:rPr>
          <w:rFonts w:hint="default" w:ascii="Times New Roman" w:hAnsi="Times New Roman" w:eastAsia="宋体" w:cs="Times New Roman"/>
          <w:b/>
          <w:bCs/>
          <w:color w:val="000000" w:themeColor="text1"/>
          <w:kern w:val="2"/>
          <w:szCs w:val="24"/>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电预热、模压成型、罩光废气产生的非甲烷总烃与甲醛经集气罩与密闭管道收集后通过活性炭吸附/脱附+催化燃烧处理后经15m高排气筒（DA001）排放。外排非甲烷总烃与甲醛执行《合成树脂工业污染物排放标准》（GB31572-2015，含2024年修改单）表4 大气污染物排放限值要求。</w:t>
      </w:r>
    </w:p>
    <w:p w14:paraId="6BCAC369">
      <w:pPr>
        <w:pStyle w:val="79"/>
        <w:numPr>
          <w:ilvl w:val="0"/>
          <w:numId w:val="0"/>
        </w:numPr>
        <w:bidi w:val="0"/>
        <w:ind w:leftChars="200"/>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2）称量打磨废气</w:t>
      </w:r>
    </w:p>
    <w:p w14:paraId="5AB63E3A">
      <w:pPr>
        <w:pStyle w:val="79"/>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人工称量与打磨产生的废气通过集气罩+布袋除尘器处理后经15m高排气筒（DA002）排放。外排颗粒物执行《合成树脂工业污染物排放标准》（GB31572-2015，含2024年修改单）表4 大气污染物排放限值要求。项目有组织废气排放标准详见下表：</w:t>
      </w:r>
    </w:p>
    <w:p w14:paraId="1B4C003E">
      <w:pPr>
        <w:widowControl w:val="0"/>
        <w:spacing w:before="20" w:after="20"/>
        <w:ind w:firstLine="420"/>
        <w:jc w:val="center"/>
        <w:rPr>
          <w:rFonts w:hint="default" w:ascii="Times New Roman" w:hAnsi="Times New Roman" w:eastAsia="宋体" w:cs="Times New Roman"/>
          <w:b/>
          <w:bCs/>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4"/>
          <w:lang w:val="en-US" w:eastAsia="zh-CN" w:bidi="ar-SA"/>
          <w14:textFill>
            <w14:solidFill>
              <w14:schemeClr w14:val="tx1"/>
            </w14:solidFill>
          </w14:textFill>
        </w:rPr>
        <w:t>表</w:t>
      </w:r>
      <w:r>
        <w:rPr>
          <w:rFonts w:hint="eastAsia" w:ascii="Times New Roman" w:hAnsi="Times New Roman" w:eastAsia="宋体" w:cs="Times New Roman"/>
          <w:b/>
          <w:bCs/>
          <w:color w:val="000000" w:themeColor="text1"/>
          <w:kern w:val="2"/>
          <w:sz w:val="21"/>
          <w:szCs w:val="24"/>
          <w:lang w:val="en-US" w:eastAsia="zh-CN" w:bidi="ar-SA"/>
          <w14:textFill>
            <w14:solidFill>
              <w14:schemeClr w14:val="tx1"/>
            </w14:solidFill>
          </w14:textFill>
        </w:rPr>
        <w:t>1.4</w:t>
      </w:r>
      <w:r>
        <w:rPr>
          <w:rFonts w:hint="default" w:ascii="Times New Roman" w:hAnsi="Times New Roman" w:eastAsia="宋体" w:cs="Times New Roman"/>
          <w:b/>
          <w:bCs/>
          <w:color w:val="000000" w:themeColor="text1"/>
          <w:kern w:val="2"/>
          <w:sz w:val="21"/>
          <w:szCs w:val="24"/>
          <w:lang w:val="en-US" w:eastAsia="zh-CN" w:bidi="ar-SA"/>
          <w14:textFill>
            <w14:solidFill>
              <w14:schemeClr w14:val="tx1"/>
            </w14:solidFill>
          </w14:textFill>
        </w:rPr>
        <w:t>-</w:t>
      </w:r>
      <w:r>
        <w:rPr>
          <w:rFonts w:hint="eastAsia" w:ascii="Times New Roman" w:hAnsi="Times New Roman" w:eastAsia="宋体" w:cs="Times New Roman"/>
          <w:b/>
          <w:bCs/>
          <w:color w:val="000000" w:themeColor="text1"/>
          <w:kern w:val="2"/>
          <w:sz w:val="21"/>
          <w:szCs w:val="24"/>
          <w:lang w:val="en-US" w:eastAsia="zh-CN" w:bidi="ar-SA"/>
          <w14:textFill>
            <w14:solidFill>
              <w14:schemeClr w14:val="tx1"/>
            </w14:solidFill>
          </w14:textFill>
        </w:rPr>
        <w:t>3</w:t>
      </w:r>
      <w:r>
        <w:rPr>
          <w:rFonts w:hint="default" w:ascii="Times New Roman" w:hAnsi="Times New Roman" w:eastAsia="宋体" w:cs="Times New Roman"/>
          <w:b/>
          <w:bCs/>
          <w:color w:val="000000" w:themeColor="text1"/>
          <w:kern w:val="2"/>
          <w:sz w:val="21"/>
          <w:szCs w:val="24"/>
          <w:lang w:val="en-US" w:eastAsia="zh-CN" w:bidi="ar-SA"/>
          <w14:textFill>
            <w14:solidFill>
              <w14:schemeClr w14:val="tx1"/>
            </w14:solidFill>
          </w14:textFill>
        </w:rPr>
        <w:t xml:space="preserve"> </w:t>
      </w:r>
      <w:r>
        <w:rPr>
          <w:rFonts w:hint="eastAsia" w:ascii="Times New Roman" w:hAnsi="Times New Roman" w:eastAsia="宋体" w:cs="Times New Roman"/>
          <w:b/>
          <w:bCs/>
          <w:color w:val="000000" w:themeColor="text1"/>
          <w:kern w:val="2"/>
          <w:sz w:val="21"/>
          <w:szCs w:val="24"/>
          <w:lang w:val="en-US" w:eastAsia="zh-CN" w:bidi="ar-SA"/>
          <w14:textFill>
            <w14:solidFill>
              <w14:schemeClr w14:val="tx1"/>
            </w14:solidFill>
          </w14:textFill>
        </w:rPr>
        <w:t>项目有组织</w:t>
      </w:r>
      <w:r>
        <w:rPr>
          <w:rFonts w:hint="default" w:ascii="Times New Roman" w:hAnsi="Times New Roman" w:eastAsia="宋体" w:cs="Times New Roman"/>
          <w:b/>
          <w:bCs/>
          <w:color w:val="000000" w:themeColor="text1"/>
          <w:kern w:val="2"/>
          <w:sz w:val="21"/>
          <w:szCs w:val="24"/>
          <w:lang w:val="en-US" w:eastAsia="zh-CN" w:bidi="ar-SA"/>
          <w14:textFill>
            <w14:solidFill>
              <w14:schemeClr w14:val="tx1"/>
            </w14:solidFill>
          </w14:textFill>
        </w:rPr>
        <w:t>废气排放标准</w:t>
      </w:r>
    </w:p>
    <w:tbl>
      <w:tblPr>
        <w:tblStyle w:val="3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1269"/>
        <w:gridCol w:w="1535"/>
        <w:gridCol w:w="1073"/>
        <w:gridCol w:w="1500"/>
        <w:gridCol w:w="1084"/>
        <w:gridCol w:w="1674"/>
      </w:tblGrid>
      <w:tr w14:paraId="38A3E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8" w:type="pct"/>
            <w:vAlign w:val="center"/>
          </w:tcPr>
          <w:p w14:paraId="5EE17E00">
            <w:pPr>
              <w:widowControl w:val="0"/>
              <w:spacing w:before="20" w:after="20"/>
              <w:ind w:left="0" w:leftChars="0" w:firstLine="0" w:firstLineChars="0"/>
              <w:jc w:val="cente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t>排气筒</w:t>
            </w:r>
          </w:p>
        </w:tc>
        <w:tc>
          <w:tcPr>
            <w:tcW w:w="700" w:type="pct"/>
            <w:vAlign w:val="center"/>
          </w:tcPr>
          <w:p w14:paraId="227E2551">
            <w:pPr>
              <w:widowControl w:val="0"/>
              <w:spacing w:before="20" w:after="20"/>
              <w:ind w:left="0" w:leftChars="0" w:firstLine="0" w:firstLineChars="0"/>
              <w:jc w:val="cente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t>污染物</w:t>
            </w:r>
          </w:p>
        </w:tc>
        <w:tc>
          <w:tcPr>
            <w:tcW w:w="847" w:type="pct"/>
            <w:vAlign w:val="center"/>
          </w:tcPr>
          <w:p w14:paraId="0DE93E15">
            <w:pPr>
              <w:widowControl w:val="0"/>
              <w:spacing w:before="20" w:after="20"/>
              <w:ind w:left="0" w:leftChars="0" w:firstLine="0" w:firstLineChars="0"/>
              <w:jc w:val="cente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t>最高允许排放浓度（</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mg/m³</w:t>
            </w:r>
            <w: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t>）</w:t>
            </w:r>
          </w:p>
        </w:tc>
        <w:tc>
          <w:tcPr>
            <w:tcW w:w="592" w:type="pct"/>
            <w:vAlign w:val="center"/>
          </w:tcPr>
          <w:p w14:paraId="7759207F">
            <w:pPr>
              <w:widowControl w:val="0"/>
              <w:spacing w:before="20" w:after="20"/>
              <w:ind w:left="0" w:leftChars="0" w:firstLine="0" w:firstLineChars="0"/>
              <w:jc w:val="cente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t>排气筒高度（</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m）</w:t>
            </w:r>
          </w:p>
        </w:tc>
        <w:tc>
          <w:tcPr>
            <w:tcW w:w="828" w:type="pct"/>
            <w:vAlign w:val="center"/>
          </w:tcPr>
          <w:p w14:paraId="5C27A11E">
            <w:pPr>
              <w:widowControl w:val="0"/>
              <w:spacing w:before="20" w:after="20"/>
              <w:ind w:left="0" w:leftChars="0" w:firstLine="0" w:firstLineChars="0"/>
              <w:jc w:val="cente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t>最高允许排放速率（kg/h）</w:t>
            </w:r>
          </w:p>
        </w:tc>
        <w:tc>
          <w:tcPr>
            <w:tcW w:w="598" w:type="pct"/>
            <w:vAlign w:val="center"/>
          </w:tcPr>
          <w:p w14:paraId="1966EF39">
            <w:pPr>
              <w:widowControl w:val="0"/>
              <w:spacing w:before="20" w:after="20"/>
              <w:ind w:left="0" w:leftChars="0" w:firstLine="0" w:firstLineChars="0"/>
              <w:jc w:val="cente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pPr>
            <w:r>
              <w:rPr>
                <w:rFonts w:hint="eastAsia" w:cs="Times New Roman"/>
                <w:b/>
                <w:bCs/>
                <w:color w:val="000000" w:themeColor="text1"/>
                <w:kern w:val="2"/>
                <w:sz w:val="21"/>
                <w:szCs w:val="21"/>
                <w:vertAlign w:val="baseline"/>
                <w:lang w:val="en-US" w:eastAsia="zh-CN" w:bidi="ar-SA"/>
                <w14:textFill>
                  <w14:solidFill>
                    <w14:schemeClr w14:val="tx1"/>
                  </w14:solidFill>
                </w14:textFill>
              </w:rPr>
              <w:t>污染物排放监控点位置</w:t>
            </w:r>
          </w:p>
        </w:tc>
        <w:tc>
          <w:tcPr>
            <w:tcW w:w="924" w:type="pct"/>
            <w:vAlign w:val="center"/>
          </w:tcPr>
          <w:p w14:paraId="3B45C48D">
            <w:pPr>
              <w:widowControl w:val="0"/>
              <w:spacing w:before="20" w:after="20"/>
              <w:ind w:left="0" w:leftChars="0" w:firstLine="0" w:firstLineChars="0"/>
              <w:jc w:val="cente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ar-SA"/>
                <w14:textFill>
                  <w14:solidFill>
                    <w14:schemeClr w14:val="tx1"/>
                  </w14:solidFill>
                </w14:textFill>
              </w:rPr>
              <w:t>执行标准</w:t>
            </w:r>
          </w:p>
        </w:tc>
      </w:tr>
      <w:tr w14:paraId="47B1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508" w:type="pct"/>
            <w:vMerge w:val="restart"/>
            <w:vAlign w:val="center"/>
          </w:tcPr>
          <w:p w14:paraId="5BF910C0">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DA001</w:t>
            </w:r>
          </w:p>
        </w:tc>
        <w:tc>
          <w:tcPr>
            <w:tcW w:w="700" w:type="pct"/>
            <w:vAlign w:val="center"/>
          </w:tcPr>
          <w:p w14:paraId="67DAD0BE">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非甲烷总烃</w:t>
            </w:r>
          </w:p>
        </w:tc>
        <w:tc>
          <w:tcPr>
            <w:tcW w:w="847" w:type="pct"/>
            <w:vAlign w:val="center"/>
          </w:tcPr>
          <w:p w14:paraId="78184C28">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100</w:t>
            </w:r>
          </w:p>
        </w:tc>
        <w:tc>
          <w:tcPr>
            <w:tcW w:w="592" w:type="pct"/>
            <w:vAlign w:val="center"/>
          </w:tcPr>
          <w:p w14:paraId="68D953A7">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15</w:t>
            </w:r>
          </w:p>
        </w:tc>
        <w:tc>
          <w:tcPr>
            <w:tcW w:w="828" w:type="pct"/>
            <w:vAlign w:val="center"/>
          </w:tcPr>
          <w:p w14:paraId="338218F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98" w:type="pct"/>
            <w:vMerge w:val="restart"/>
            <w:vAlign w:val="center"/>
          </w:tcPr>
          <w:p w14:paraId="7748AB06">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kern w:val="2"/>
                <w:sz w:val="21"/>
                <w:szCs w:val="21"/>
                <w:vertAlign w:val="baseline"/>
                <w:lang w:val="en-US" w:eastAsia="zh-CN" w:bidi="ar-SA"/>
                <w14:textFill>
                  <w14:solidFill>
                    <w14:schemeClr w14:val="tx1"/>
                  </w14:solidFill>
                </w14:textFill>
              </w:rPr>
              <w:t>生产设施排气筒</w:t>
            </w:r>
          </w:p>
        </w:tc>
        <w:tc>
          <w:tcPr>
            <w:tcW w:w="924" w:type="pct"/>
            <w:vMerge w:val="restart"/>
            <w:vAlign w:val="center"/>
          </w:tcPr>
          <w:p w14:paraId="71B130C3">
            <w:pPr>
              <w:widowControl w:val="0"/>
              <w:spacing w:before="20" w:after="20"/>
              <w:ind w:left="0" w:leftChars="0" w:firstLine="0" w:firstLineChars="0"/>
              <w:jc w:val="both"/>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t>《合成树脂工业污染物排放标准》（</w:t>
            </w:r>
            <w:r>
              <w:rPr>
                <w:rFonts w:hint="eastAsia" w:cs="Times New Roman"/>
                <w:color w:val="000000" w:themeColor="text1"/>
                <w:kern w:val="2"/>
                <w:sz w:val="21"/>
                <w:szCs w:val="21"/>
                <w:vertAlign w:val="baseline"/>
                <w:lang w:val="en-US" w:eastAsia="zh-CN" w:bidi="ar-SA"/>
                <w14:textFill>
                  <w14:solidFill>
                    <w14:schemeClr w14:val="tx1"/>
                  </w14:solidFill>
                </w14:textFill>
              </w:rPr>
              <w:t>GB31572-2015，含2024年修改单</w:t>
            </w:r>
            <w:r>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t>）表4 大气污染物排放限值要求</w:t>
            </w:r>
          </w:p>
        </w:tc>
      </w:tr>
      <w:tr w14:paraId="03E65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08" w:type="pct"/>
            <w:vMerge w:val="continue"/>
            <w:vAlign w:val="center"/>
          </w:tcPr>
          <w:p w14:paraId="7629112E">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700" w:type="pct"/>
            <w:vAlign w:val="center"/>
          </w:tcPr>
          <w:p w14:paraId="605F7820">
            <w:pPr>
              <w:widowControl w:val="0"/>
              <w:spacing w:before="20" w:after="20"/>
              <w:ind w:left="0" w:leftChars="0"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甲醛</w:t>
            </w:r>
          </w:p>
        </w:tc>
        <w:tc>
          <w:tcPr>
            <w:tcW w:w="847" w:type="pct"/>
            <w:vAlign w:val="center"/>
          </w:tcPr>
          <w:p w14:paraId="24D13E97">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5</w:t>
            </w:r>
          </w:p>
        </w:tc>
        <w:tc>
          <w:tcPr>
            <w:tcW w:w="592" w:type="pct"/>
            <w:vAlign w:val="center"/>
          </w:tcPr>
          <w:p w14:paraId="3B6083DD">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15</w:t>
            </w:r>
          </w:p>
        </w:tc>
        <w:tc>
          <w:tcPr>
            <w:tcW w:w="828" w:type="pct"/>
            <w:vAlign w:val="center"/>
          </w:tcPr>
          <w:p w14:paraId="3049F1CA">
            <w:pPr>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98" w:type="pct"/>
            <w:vMerge w:val="continue"/>
            <w:vAlign w:val="center"/>
          </w:tcPr>
          <w:p w14:paraId="1D4E152C">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p>
        </w:tc>
        <w:tc>
          <w:tcPr>
            <w:tcW w:w="924" w:type="pct"/>
            <w:vMerge w:val="continue"/>
            <w:vAlign w:val="center"/>
          </w:tcPr>
          <w:p w14:paraId="255336B8">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p>
        </w:tc>
      </w:tr>
      <w:tr w14:paraId="60C56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8" w:type="pct"/>
            <w:vAlign w:val="center"/>
          </w:tcPr>
          <w:p w14:paraId="08403F7A">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DA002</w:t>
            </w:r>
          </w:p>
        </w:tc>
        <w:tc>
          <w:tcPr>
            <w:tcW w:w="700" w:type="pct"/>
            <w:vAlign w:val="center"/>
          </w:tcPr>
          <w:p w14:paraId="32FB22AC">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颗粒物</w:t>
            </w:r>
          </w:p>
        </w:tc>
        <w:tc>
          <w:tcPr>
            <w:tcW w:w="847" w:type="pct"/>
            <w:vAlign w:val="center"/>
          </w:tcPr>
          <w:p w14:paraId="7491AF58">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30</w:t>
            </w:r>
          </w:p>
        </w:tc>
        <w:tc>
          <w:tcPr>
            <w:tcW w:w="592" w:type="pct"/>
            <w:vAlign w:val="center"/>
          </w:tcPr>
          <w:p w14:paraId="71CCBB19">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15</w:t>
            </w:r>
          </w:p>
        </w:tc>
        <w:tc>
          <w:tcPr>
            <w:tcW w:w="828" w:type="pct"/>
            <w:vAlign w:val="center"/>
          </w:tcPr>
          <w:p w14:paraId="374BEC5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98" w:type="pct"/>
            <w:vMerge w:val="continue"/>
            <w:vAlign w:val="center"/>
          </w:tcPr>
          <w:p w14:paraId="2A8B8971">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p>
        </w:tc>
        <w:tc>
          <w:tcPr>
            <w:tcW w:w="924" w:type="pct"/>
            <w:vMerge w:val="continue"/>
            <w:vAlign w:val="center"/>
          </w:tcPr>
          <w:p w14:paraId="37CB4BCD">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p>
        </w:tc>
      </w:tr>
    </w:tbl>
    <w:p w14:paraId="0250178A">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3）无组织废气</w:t>
      </w:r>
    </w:p>
    <w:p w14:paraId="39DBE61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厂界无组织废气颗粒物与非甲烷总烃执行《合成树脂工业污染物排放标准》（</w:t>
      </w:r>
      <w:r>
        <w:rPr>
          <w:rFonts w:hint="eastAsia" w:cs="Times New Roman"/>
          <w:b w:val="0"/>
          <w:bCs w:val="0"/>
          <w:color w:val="000000" w:themeColor="text1"/>
          <w:sz w:val="24"/>
          <w:szCs w:val="24"/>
          <w:lang w:val="en-US" w:eastAsia="zh-CN"/>
          <w14:textFill>
            <w14:solidFill>
              <w14:schemeClr w14:val="tx1"/>
            </w14:solidFill>
          </w14:textFill>
        </w:rPr>
        <w:t>GB31572-2015，含2024年修改单</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）中表9 企业边界大气污染物浓度限值；厂界无组织甲醛执行《大气污染物综合排放标准》（GB16297-1996）中表2无组织排放限值要求；恶臭污染物执行《恶臭污染物排放标准》（GB14554-93）表1二级标准限值要求；厂界内非甲烷总烃浓度执行《挥发性有机物无组织排放控制标准》（GB37822-2019）附录表A.1中监控限值要求，标准值见下表。</w:t>
      </w:r>
    </w:p>
    <w:p w14:paraId="4452F44A">
      <w:pPr>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4"/>
          <w:lang w:val="en-US" w:eastAsia="zh-CN" w:bidi="ar-SA"/>
          <w14:textFill>
            <w14:solidFill>
              <w14:schemeClr w14:val="tx1"/>
            </w14:solidFill>
          </w14:textFill>
        </w:rPr>
        <w:t>表</w:t>
      </w:r>
      <w:r>
        <w:rPr>
          <w:rFonts w:hint="eastAsia" w:ascii="Times New Roman" w:hAnsi="Times New Roman" w:eastAsia="宋体" w:cs="Times New Roman"/>
          <w:b/>
          <w:bCs/>
          <w:color w:val="000000" w:themeColor="text1"/>
          <w:kern w:val="2"/>
          <w:sz w:val="21"/>
          <w:szCs w:val="24"/>
          <w:lang w:val="en-US" w:eastAsia="zh-CN" w:bidi="ar-SA"/>
          <w14:textFill>
            <w14:solidFill>
              <w14:schemeClr w14:val="tx1"/>
            </w14:solidFill>
          </w14:textFill>
        </w:rPr>
        <w:t>1.4-4</w:t>
      </w:r>
      <w:r>
        <w:rPr>
          <w:rFonts w:hint="default" w:ascii="Times New Roman" w:hAnsi="Times New Roman" w:eastAsia="宋体" w:cs="Times New Roman"/>
          <w:b/>
          <w:bCs/>
          <w:color w:val="000000" w:themeColor="text1"/>
          <w:kern w:val="2"/>
          <w:sz w:val="21"/>
          <w:szCs w:val="24"/>
          <w:lang w:val="en-US" w:eastAsia="zh-CN" w:bidi="ar-SA"/>
          <w14:textFill>
            <w14:solidFill>
              <w14:schemeClr w14:val="tx1"/>
            </w14:solidFill>
          </w14:textFill>
        </w:rPr>
        <w:t xml:space="preserve">  厂界无组织排放标准</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6"/>
        <w:gridCol w:w="1962"/>
        <w:gridCol w:w="1650"/>
        <w:gridCol w:w="3324"/>
      </w:tblGrid>
      <w:tr w14:paraId="0AC3D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6" w:type="dxa"/>
            <w:vMerge w:val="restart"/>
            <w:vAlign w:val="center"/>
          </w:tcPr>
          <w:p w14:paraId="353EE175">
            <w:pPr>
              <w:jc w:val="center"/>
              <w:rPr>
                <w:rFonts w:hint="default" w:ascii="Times New Roman" w:hAnsi="Times New Roman" w:eastAsia="宋体" w:cs="Times New Roman"/>
                <w:b/>
                <w:bCs/>
                <w:color w:val="000000" w:themeColor="text1"/>
                <w:kern w:val="2"/>
                <w:sz w:val="21"/>
                <w:szCs w:val="21"/>
                <w:vertAlign w:val="baseline"/>
                <w:lang w:val="en-US" w:eastAsia="zh-CN" w:bidi="zh-CN"/>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zh-CN"/>
                <w14:textFill>
                  <w14:solidFill>
                    <w14:schemeClr w14:val="tx1"/>
                  </w14:solidFill>
                </w14:textFill>
              </w:rPr>
              <w:t>污染物</w:t>
            </w:r>
          </w:p>
        </w:tc>
        <w:tc>
          <w:tcPr>
            <w:tcW w:w="3612" w:type="dxa"/>
            <w:gridSpan w:val="2"/>
            <w:vAlign w:val="center"/>
          </w:tcPr>
          <w:p w14:paraId="691BA16D">
            <w:pPr>
              <w:jc w:val="center"/>
              <w:rPr>
                <w:rFonts w:hint="default" w:ascii="Times New Roman" w:hAnsi="Times New Roman" w:eastAsia="宋体" w:cs="Times New Roman"/>
                <w:b/>
                <w:bCs/>
                <w:color w:val="000000" w:themeColor="text1"/>
                <w:kern w:val="2"/>
                <w:sz w:val="21"/>
                <w:szCs w:val="21"/>
                <w:vertAlign w:val="baseline"/>
                <w:lang w:val="en-US" w:eastAsia="zh-CN" w:bidi="zh-CN"/>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zh-CN"/>
                <w14:textFill>
                  <w14:solidFill>
                    <w14:schemeClr w14:val="tx1"/>
                  </w14:solidFill>
                </w14:textFill>
              </w:rPr>
              <w:t>无组织排放监控浓度限值</w:t>
            </w:r>
          </w:p>
        </w:tc>
        <w:tc>
          <w:tcPr>
            <w:tcW w:w="3324" w:type="dxa"/>
            <w:vMerge w:val="restart"/>
            <w:vAlign w:val="center"/>
          </w:tcPr>
          <w:p w14:paraId="5ED3783B">
            <w:pPr>
              <w:jc w:val="center"/>
              <w:rPr>
                <w:rFonts w:hint="default" w:ascii="Times New Roman" w:hAnsi="Times New Roman" w:eastAsia="宋体" w:cs="Times New Roman"/>
                <w:b/>
                <w:bCs/>
                <w:color w:val="000000" w:themeColor="text1"/>
                <w:kern w:val="2"/>
                <w:sz w:val="21"/>
                <w:szCs w:val="21"/>
                <w:vertAlign w:val="baseline"/>
                <w:lang w:val="en-US" w:eastAsia="zh-CN" w:bidi="zh-CN"/>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zh-CN"/>
                <w14:textFill>
                  <w14:solidFill>
                    <w14:schemeClr w14:val="tx1"/>
                  </w14:solidFill>
                </w14:textFill>
              </w:rPr>
              <w:t>执行标准</w:t>
            </w:r>
          </w:p>
        </w:tc>
      </w:tr>
      <w:tr w14:paraId="32F45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6" w:type="dxa"/>
            <w:vMerge w:val="continue"/>
            <w:vAlign w:val="center"/>
          </w:tcPr>
          <w:p w14:paraId="0EAFE769">
            <w:pPr>
              <w:jc w:val="center"/>
              <w:rPr>
                <w:rFonts w:hint="default" w:ascii="Times New Roman" w:hAnsi="Times New Roman" w:eastAsia="宋体" w:cs="Times New Roman"/>
                <w:color w:val="000000" w:themeColor="text1"/>
                <w:vertAlign w:val="baseline"/>
                <w14:textFill>
                  <w14:solidFill>
                    <w14:schemeClr w14:val="tx1"/>
                  </w14:solidFill>
                </w14:textFill>
              </w:rPr>
            </w:pPr>
          </w:p>
        </w:tc>
        <w:tc>
          <w:tcPr>
            <w:tcW w:w="1962" w:type="dxa"/>
            <w:vAlign w:val="center"/>
          </w:tcPr>
          <w:p w14:paraId="7DEAFD7C">
            <w:pPr>
              <w:jc w:val="center"/>
              <w:rPr>
                <w:rFonts w:hint="default" w:ascii="Times New Roman" w:hAnsi="Times New Roman" w:eastAsia="宋体" w:cs="Times New Roman"/>
                <w:b/>
                <w:bCs/>
                <w:color w:val="000000" w:themeColor="text1"/>
                <w:kern w:val="2"/>
                <w:sz w:val="21"/>
                <w:szCs w:val="21"/>
                <w:vertAlign w:val="baseline"/>
                <w:lang w:val="en-US" w:eastAsia="zh-CN" w:bidi="zh-CN"/>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zh-CN"/>
                <w14:textFill>
                  <w14:solidFill>
                    <w14:schemeClr w14:val="tx1"/>
                  </w14:solidFill>
                </w14:textFill>
              </w:rPr>
              <w:t>监控点</w:t>
            </w:r>
          </w:p>
        </w:tc>
        <w:tc>
          <w:tcPr>
            <w:tcW w:w="1650" w:type="dxa"/>
            <w:vAlign w:val="center"/>
          </w:tcPr>
          <w:p w14:paraId="195DE941">
            <w:pPr>
              <w:jc w:val="center"/>
              <w:rPr>
                <w:rFonts w:hint="default" w:ascii="Times New Roman" w:hAnsi="Times New Roman" w:eastAsia="宋体" w:cs="Times New Roman"/>
                <w:b/>
                <w:bCs/>
                <w:color w:val="000000" w:themeColor="text1"/>
                <w:kern w:val="2"/>
                <w:sz w:val="21"/>
                <w:szCs w:val="21"/>
                <w:vertAlign w:val="baseline"/>
                <w:lang w:val="en-US" w:eastAsia="zh-CN" w:bidi="zh-CN"/>
                <w14:textFill>
                  <w14:solidFill>
                    <w14:schemeClr w14:val="tx1"/>
                  </w14:solidFill>
                </w14:textFill>
              </w:rPr>
            </w:pPr>
            <w:r>
              <w:rPr>
                <w:rFonts w:hint="default" w:ascii="Times New Roman" w:hAnsi="Times New Roman" w:eastAsia="宋体" w:cs="Times New Roman"/>
                <w:b/>
                <w:bCs/>
                <w:color w:val="000000" w:themeColor="text1"/>
                <w:kern w:val="2"/>
                <w:sz w:val="21"/>
                <w:szCs w:val="21"/>
                <w:vertAlign w:val="baseline"/>
                <w:lang w:val="en-US" w:eastAsia="zh-CN" w:bidi="zh-CN"/>
                <w14:textFill>
                  <w14:solidFill>
                    <w14:schemeClr w14:val="tx1"/>
                  </w14:solidFill>
                </w14:textFill>
              </w:rPr>
              <w:t>浓度</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（mg/m</w:t>
            </w:r>
            <w:r>
              <w:rPr>
                <w:rFonts w:hint="eastAsia" w:ascii="Times New Roman" w:hAnsi="Times New Roman" w:eastAsia="宋体" w:cs="Times New Roman"/>
                <w:color w:val="000000" w:themeColor="text1"/>
                <w:kern w:val="2"/>
                <w:sz w:val="24"/>
                <w:szCs w:val="24"/>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p>
        </w:tc>
        <w:tc>
          <w:tcPr>
            <w:tcW w:w="3324" w:type="dxa"/>
            <w:vMerge w:val="continue"/>
            <w:vAlign w:val="center"/>
          </w:tcPr>
          <w:p w14:paraId="05AA3C9F">
            <w:pPr>
              <w:jc w:val="center"/>
              <w:rPr>
                <w:rFonts w:hint="default" w:ascii="Times New Roman" w:hAnsi="Times New Roman" w:eastAsia="宋体" w:cs="Times New Roman"/>
                <w:color w:val="000000" w:themeColor="text1"/>
                <w:vertAlign w:val="baseline"/>
                <w14:textFill>
                  <w14:solidFill>
                    <w14:schemeClr w14:val="tx1"/>
                  </w14:solidFill>
                </w14:textFill>
              </w:rPr>
            </w:pPr>
          </w:p>
        </w:tc>
      </w:tr>
      <w:tr w14:paraId="35E5D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2026" w:type="dxa"/>
            <w:vAlign w:val="center"/>
          </w:tcPr>
          <w:p w14:paraId="6E148495">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颗粒物</w:t>
            </w:r>
          </w:p>
        </w:tc>
        <w:tc>
          <w:tcPr>
            <w:tcW w:w="1962" w:type="dxa"/>
            <w:vAlign w:val="center"/>
          </w:tcPr>
          <w:p w14:paraId="4AD32325">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周界外浓度最高点</w:t>
            </w:r>
          </w:p>
        </w:tc>
        <w:tc>
          <w:tcPr>
            <w:tcW w:w="1650" w:type="dxa"/>
            <w:vAlign w:val="center"/>
          </w:tcPr>
          <w:p w14:paraId="007D4B73">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1.0</w:t>
            </w:r>
          </w:p>
        </w:tc>
        <w:tc>
          <w:tcPr>
            <w:tcW w:w="3324" w:type="dxa"/>
            <w:vMerge w:val="restart"/>
            <w:vAlign w:val="center"/>
          </w:tcPr>
          <w:p w14:paraId="7BFFC81C">
            <w:pPr>
              <w:widowControl w:val="0"/>
              <w:spacing w:before="20" w:after="20"/>
              <w:ind w:left="0" w:leftChars="0" w:firstLine="0" w:firstLineChars="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《合成树脂工业污染物排放标准》（</w:t>
            </w:r>
            <w:r>
              <w:rPr>
                <w:rFonts w:hint="eastAsia" w:cs="Times New Roman"/>
                <w:color w:val="000000" w:themeColor="text1"/>
                <w:kern w:val="2"/>
                <w:sz w:val="21"/>
                <w:szCs w:val="21"/>
                <w:lang w:val="en-US" w:eastAsia="zh-CN" w:bidi="ar-SA"/>
                <w14:textFill>
                  <w14:solidFill>
                    <w14:schemeClr w14:val="tx1"/>
                  </w14:solidFill>
                </w14:textFill>
              </w:rPr>
              <w:t>GB31572-2015，含2024年修改单</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）中表9 企业边界大气污染物浓度限值</w:t>
            </w:r>
          </w:p>
        </w:tc>
      </w:tr>
      <w:tr w14:paraId="2CB7C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2026" w:type="dxa"/>
            <w:vAlign w:val="center"/>
          </w:tcPr>
          <w:p w14:paraId="1E9C7750">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非甲烷总烃</w:t>
            </w:r>
          </w:p>
        </w:tc>
        <w:tc>
          <w:tcPr>
            <w:tcW w:w="1962" w:type="dxa"/>
            <w:vAlign w:val="center"/>
          </w:tcPr>
          <w:p w14:paraId="712D337C">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周界外浓度最高点</w:t>
            </w:r>
          </w:p>
        </w:tc>
        <w:tc>
          <w:tcPr>
            <w:tcW w:w="1650" w:type="dxa"/>
            <w:vAlign w:val="center"/>
          </w:tcPr>
          <w:p w14:paraId="3194BA84">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4.0</w:t>
            </w:r>
          </w:p>
        </w:tc>
        <w:tc>
          <w:tcPr>
            <w:tcW w:w="3324" w:type="dxa"/>
            <w:vMerge w:val="continue"/>
            <w:vAlign w:val="center"/>
          </w:tcPr>
          <w:p w14:paraId="4BF6B254">
            <w:pPr>
              <w:widowControl w:val="0"/>
              <w:spacing w:before="20" w:after="20"/>
              <w:ind w:left="0" w:leftChars="0" w:firstLine="0" w:firstLineChars="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r>
      <w:tr w14:paraId="4193F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2026" w:type="dxa"/>
            <w:vAlign w:val="center"/>
          </w:tcPr>
          <w:p w14:paraId="6627E771">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甲醛</w:t>
            </w:r>
          </w:p>
        </w:tc>
        <w:tc>
          <w:tcPr>
            <w:tcW w:w="1962" w:type="dxa"/>
            <w:vAlign w:val="center"/>
          </w:tcPr>
          <w:p w14:paraId="4BCA3F61">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周界外浓度最高点</w:t>
            </w:r>
          </w:p>
        </w:tc>
        <w:tc>
          <w:tcPr>
            <w:tcW w:w="1650" w:type="dxa"/>
            <w:vAlign w:val="center"/>
          </w:tcPr>
          <w:p w14:paraId="3D6C2603">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0.25</w:t>
            </w:r>
          </w:p>
        </w:tc>
        <w:tc>
          <w:tcPr>
            <w:tcW w:w="3324" w:type="dxa"/>
            <w:vAlign w:val="center"/>
          </w:tcPr>
          <w:p w14:paraId="6435C35E">
            <w:pPr>
              <w:widowControl w:val="0"/>
              <w:spacing w:before="20" w:after="20"/>
              <w:ind w:left="0" w:leftChars="0" w:firstLine="0" w:firstLineChars="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《大气污染物综合排放标准》</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GB16297-1996）表2无组织排放限值要求</w:t>
            </w:r>
          </w:p>
        </w:tc>
      </w:tr>
      <w:tr w14:paraId="05372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2026" w:type="dxa"/>
            <w:vAlign w:val="center"/>
          </w:tcPr>
          <w:p w14:paraId="78A37221">
            <w:pPr>
              <w:widowControl w:val="0"/>
              <w:spacing w:before="20" w:after="20"/>
              <w:ind w:left="0" w:leftChars="0"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臭气浓度</w:t>
            </w:r>
          </w:p>
        </w:tc>
        <w:tc>
          <w:tcPr>
            <w:tcW w:w="1962" w:type="dxa"/>
            <w:vAlign w:val="center"/>
          </w:tcPr>
          <w:p w14:paraId="5C06E485">
            <w:pPr>
              <w:widowControl w:val="0"/>
              <w:spacing w:before="20" w:after="20"/>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周界外浓度最高点</w:t>
            </w:r>
          </w:p>
        </w:tc>
        <w:tc>
          <w:tcPr>
            <w:tcW w:w="1650" w:type="dxa"/>
            <w:vAlign w:val="center"/>
          </w:tcPr>
          <w:p w14:paraId="478B09AF">
            <w:pPr>
              <w:widowControl w:val="0"/>
              <w:spacing w:before="20" w:after="20"/>
              <w:ind w:left="0" w:leftChars="0"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20无量纲</w:t>
            </w:r>
          </w:p>
        </w:tc>
        <w:tc>
          <w:tcPr>
            <w:tcW w:w="3324" w:type="dxa"/>
            <w:vAlign w:val="center"/>
          </w:tcPr>
          <w:p w14:paraId="54380F38">
            <w:pPr>
              <w:widowControl w:val="0"/>
              <w:spacing w:before="20" w:after="20"/>
              <w:ind w:left="0" w:leftChars="0" w:firstLine="0" w:firstLineChars="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《恶臭污染物排放标准》（GB14554-93）表1中恶臭污染物厂界浓度限值</w:t>
            </w:r>
          </w:p>
        </w:tc>
      </w:tr>
    </w:tbl>
    <w:p w14:paraId="79AF1206">
      <w:pPr>
        <w:keepNext w:val="0"/>
        <w:keepLines w:val="0"/>
        <w:pageBreakBefore w:val="0"/>
        <w:widowControl w:val="0"/>
        <w:tabs>
          <w:tab w:val="left" w:pos="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000000" w:themeColor="text1"/>
          <w:sz w:val="24"/>
          <w:szCs w:val="22"/>
          <w14:textFill>
            <w14:solidFill>
              <w14:schemeClr w14:val="tx1"/>
            </w14:solidFill>
          </w14:textFill>
        </w:rPr>
      </w:pPr>
      <w:r>
        <w:rPr>
          <w:rFonts w:hint="eastAsia" w:ascii="Times New Roman" w:hAnsi="Times New Roman" w:eastAsia="宋体" w:cs="Times New Roman"/>
          <w:b/>
          <w:color w:val="000000" w:themeColor="text1"/>
          <w:szCs w:val="21"/>
          <w:lang w:val="en-US" w:eastAsia="zh-CN"/>
          <w14:textFill>
            <w14:solidFill>
              <w14:schemeClr w14:val="tx1"/>
            </w14:solidFill>
          </w14:textFill>
        </w:rPr>
        <w:t xml:space="preserve">表1.4-5 </w:t>
      </w:r>
      <w:r>
        <w:rPr>
          <w:rFonts w:hint="default" w:ascii="Times New Roman" w:hAnsi="Times New Roman" w:eastAsia="宋体" w:cs="Times New Roman"/>
          <w:b/>
          <w:color w:val="000000" w:themeColor="text1"/>
          <w:szCs w:val="21"/>
          <w14:textFill>
            <w14:solidFill>
              <w14:schemeClr w14:val="tx1"/>
            </w14:solidFill>
          </w14:textFill>
        </w:rPr>
        <w:t>挥发性有机物无组织排放控制标准（单位：mg/m</w:t>
      </w:r>
      <w:r>
        <w:rPr>
          <w:rFonts w:hint="default" w:ascii="Times New Roman" w:hAnsi="Times New Roman" w:eastAsia="宋体" w:cs="Times New Roman"/>
          <w:b/>
          <w:color w:val="000000" w:themeColor="text1"/>
          <w:szCs w:val="21"/>
          <w:vertAlign w:val="superscript"/>
          <w14:textFill>
            <w14:solidFill>
              <w14:schemeClr w14:val="tx1"/>
            </w14:solidFill>
          </w14:textFill>
        </w:rPr>
        <w:t>3</w:t>
      </w:r>
      <w:r>
        <w:rPr>
          <w:rFonts w:hint="default" w:ascii="Times New Roman" w:hAnsi="Times New Roman" w:eastAsia="宋体" w:cs="Times New Roman"/>
          <w:b/>
          <w:color w:val="000000" w:themeColor="text1"/>
          <w:szCs w:val="21"/>
          <w14:textFill>
            <w14:solidFill>
              <w14:schemeClr w14:val="tx1"/>
            </w14:solidFill>
          </w14:textFill>
        </w:rPr>
        <w:t>）</w:t>
      </w:r>
    </w:p>
    <w:tbl>
      <w:tblPr>
        <w:tblStyle w:val="31"/>
        <w:tblW w:w="4931"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1480"/>
        <w:gridCol w:w="3310"/>
        <w:gridCol w:w="2724"/>
      </w:tblGrid>
      <w:tr w14:paraId="36DE5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pct"/>
            <w:vAlign w:val="center"/>
          </w:tcPr>
          <w:p w14:paraId="50ADBF11">
            <w:pPr>
              <w:tabs>
                <w:tab w:val="left" w:pos="0"/>
              </w:tabs>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污染物项目</w:t>
            </w:r>
          </w:p>
        </w:tc>
        <w:tc>
          <w:tcPr>
            <w:tcW w:w="828" w:type="pct"/>
            <w:vAlign w:val="center"/>
          </w:tcPr>
          <w:p w14:paraId="6A0343E3">
            <w:pPr>
              <w:tabs>
                <w:tab w:val="left" w:pos="0"/>
              </w:tabs>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排放限值</w:t>
            </w:r>
          </w:p>
        </w:tc>
        <w:tc>
          <w:tcPr>
            <w:tcW w:w="1852" w:type="pct"/>
            <w:vAlign w:val="center"/>
          </w:tcPr>
          <w:p w14:paraId="03E6E858">
            <w:pPr>
              <w:tabs>
                <w:tab w:val="left" w:pos="0"/>
              </w:tabs>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限值含义</w:t>
            </w:r>
          </w:p>
        </w:tc>
        <w:tc>
          <w:tcPr>
            <w:tcW w:w="1524" w:type="pct"/>
            <w:vAlign w:val="center"/>
          </w:tcPr>
          <w:p w14:paraId="3D89597D">
            <w:pPr>
              <w:tabs>
                <w:tab w:val="left" w:pos="0"/>
              </w:tabs>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无组织排放监控位置</w:t>
            </w:r>
          </w:p>
        </w:tc>
      </w:tr>
      <w:tr w14:paraId="6CD3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pct"/>
            <w:vMerge w:val="restart"/>
            <w:vAlign w:val="center"/>
          </w:tcPr>
          <w:p w14:paraId="0855CEF7">
            <w:pPr>
              <w:tabs>
                <w:tab w:val="left" w:pos="0"/>
              </w:tabs>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NMHC</w:t>
            </w:r>
          </w:p>
        </w:tc>
        <w:tc>
          <w:tcPr>
            <w:tcW w:w="828" w:type="pct"/>
            <w:vAlign w:val="center"/>
          </w:tcPr>
          <w:p w14:paraId="1CF375E7">
            <w:pPr>
              <w:tabs>
                <w:tab w:val="left" w:pos="0"/>
              </w:tabs>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10</w:t>
            </w:r>
          </w:p>
        </w:tc>
        <w:tc>
          <w:tcPr>
            <w:tcW w:w="1852" w:type="pct"/>
            <w:vAlign w:val="center"/>
          </w:tcPr>
          <w:p w14:paraId="5E7C0AF8">
            <w:pPr>
              <w:tabs>
                <w:tab w:val="left" w:pos="0"/>
              </w:tabs>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监控点处1h平均浓度值</w:t>
            </w:r>
          </w:p>
        </w:tc>
        <w:tc>
          <w:tcPr>
            <w:tcW w:w="1524" w:type="pct"/>
            <w:vMerge w:val="restart"/>
            <w:vAlign w:val="center"/>
          </w:tcPr>
          <w:p w14:paraId="7302634C">
            <w:pPr>
              <w:tabs>
                <w:tab w:val="left" w:pos="0"/>
              </w:tabs>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厂房外设置监控点</w:t>
            </w:r>
          </w:p>
        </w:tc>
      </w:tr>
      <w:tr w14:paraId="38C02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pct"/>
            <w:vMerge w:val="continue"/>
            <w:vAlign w:val="center"/>
          </w:tcPr>
          <w:p w14:paraId="0932CE48">
            <w:pPr>
              <w:tabs>
                <w:tab w:val="left" w:pos="0"/>
              </w:tabs>
              <w:jc w:val="center"/>
              <w:rPr>
                <w:rFonts w:hint="default" w:ascii="Times New Roman" w:hAnsi="Times New Roman" w:eastAsia="宋体" w:cs="Times New Roman"/>
                <w:bCs/>
                <w:color w:val="000000" w:themeColor="text1"/>
                <w:szCs w:val="21"/>
                <w14:textFill>
                  <w14:solidFill>
                    <w14:schemeClr w14:val="tx1"/>
                  </w14:solidFill>
                </w14:textFill>
              </w:rPr>
            </w:pPr>
          </w:p>
        </w:tc>
        <w:tc>
          <w:tcPr>
            <w:tcW w:w="828" w:type="pct"/>
            <w:vAlign w:val="center"/>
          </w:tcPr>
          <w:p w14:paraId="6C8A6CD0">
            <w:pPr>
              <w:tabs>
                <w:tab w:val="left" w:pos="0"/>
              </w:tabs>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30</w:t>
            </w:r>
          </w:p>
        </w:tc>
        <w:tc>
          <w:tcPr>
            <w:tcW w:w="1852" w:type="pct"/>
            <w:vAlign w:val="center"/>
          </w:tcPr>
          <w:p w14:paraId="29189CD4">
            <w:pPr>
              <w:tabs>
                <w:tab w:val="left" w:pos="0"/>
              </w:tabs>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监控点处任意一次浓度值</w:t>
            </w:r>
          </w:p>
        </w:tc>
        <w:tc>
          <w:tcPr>
            <w:tcW w:w="1524" w:type="pct"/>
            <w:vMerge w:val="continue"/>
            <w:vAlign w:val="center"/>
          </w:tcPr>
          <w:p w14:paraId="25AD8388">
            <w:pPr>
              <w:tabs>
                <w:tab w:val="left" w:pos="0"/>
              </w:tabs>
              <w:jc w:val="center"/>
              <w:rPr>
                <w:rFonts w:hint="default" w:ascii="Times New Roman" w:hAnsi="Times New Roman" w:eastAsia="宋体" w:cs="Times New Roman"/>
                <w:bCs/>
                <w:color w:val="000000" w:themeColor="text1"/>
                <w:szCs w:val="21"/>
                <w14:textFill>
                  <w14:solidFill>
                    <w14:schemeClr w14:val="tx1"/>
                  </w14:solidFill>
                </w14:textFill>
              </w:rPr>
            </w:pPr>
          </w:p>
        </w:tc>
      </w:tr>
    </w:tbl>
    <w:p w14:paraId="454B0E39">
      <w:pPr>
        <w:pStyle w:val="3"/>
        <w:bidi w:val="0"/>
        <w:rPr>
          <w:rFonts w:hint="eastAsia"/>
          <w:color w:val="000000" w:themeColor="text1"/>
          <w:lang w:val="en-US" w:eastAsia="zh-CN"/>
          <w14:textFill>
            <w14:solidFill>
              <w14:schemeClr w14:val="tx1"/>
            </w14:solidFill>
          </w14:textFill>
        </w:rPr>
      </w:pPr>
      <w:bookmarkStart w:id="320" w:name="_Toc11329"/>
      <w:bookmarkStart w:id="321" w:name="_Toc25591"/>
      <w:bookmarkStart w:id="322" w:name="_Toc28611"/>
      <w:r>
        <w:rPr>
          <w:rFonts w:hint="eastAsia"/>
          <w:color w:val="000000" w:themeColor="text1"/>
          <w:lang w:val="en-US" w:eastAsia="zh-CN"/>
          <w14:textFill>
            <w14:solidFill>
              <w14:schemeClr w14:val="tx1"/>
            </w14:solidFill>
          </w14:textFill>
        </w:rPr>
        <w:t>1.5 评价等级和评价范围</w:t>
      </w:r>
      <w:bookmarkEnd w:id="320"/>
      <w:bookmarkEnd w:id="321"/>
      <w:bookmarkEnd w:id="322"/>
    </w:p>
    <w:p w14:paraId="70E8BC2D">
      <w:pPr>
        <w:pStyle w:val="5"/>
        <w:bidi w:val="0"/>
        <w:rPr>
          <w:rFonts w:hint="eastAsia"/>
          <w:color w:val="000000" w:themeColor="text1"/>
          <w:lang w:val="en-US" w:eastAsia="zh-CN"/>
          <w14:textFill>
            <w14:solidFill>
              <w14:schemeClr w14:val="tx1"/>
            </w14:solidFill>
          </w14:textFill>
        </w:rPr>
      </w:pPr>
      <w:bookmarkStart w:id="323" w:name="_Toc4252"/>
      <w:bookmarkStart w:id="324" w:name="_Toc18984"/>
      <w:r>
        <w:rPr>
          <w:rFonts w:hint="eastAsia"/>
          <w:color w:val="000000" w:themeColor="text1"/>
          <w:lang w:val="en-US" w:eastAsia="zh-CN"/>
          <w14:textFill>
            <w14:solidFill>
              <w14:schemeClr w14:val="tx1"/>
            </w14:solidFill>
          </w14:textFill>
        </w:rPr>
        <w:t>1.5.1 评价等级</w:t>
      </w:r>
      <w:bookmarkEnd w:id="323"/>
      <w:bookmarkEnd w:id="324"/>
    </w:p>
    <w:p w14:paraId="3E978853">
      <w:pPr>
        <w:widowControl w:val="0"/>
        <w:adjustRightInd w:val="0"/>
        <w:snapToGrid w:val="0"/>
        <w:spacing w:line="360" w:lineRule="auto"/>
        <w:ind w:firstLine="480" w:firstLineChars="200"/>
        <w:jc w:val="left"/>
        <w:rPr>
          <w:rFonts w:ascii="Times New Roman" w:hAnsi="Times New Roman" w:eastAsia="宋体" w:cs="Times New Roman"/>
          <w:color w:val="000000" w:themeColor="text1"/>
          <w:kern w:val="2"/>
          <w:sz w:val="24"/>
          <w:szCs w:val="20"/>
          <w14:textFill>
            <w14:solidFill>
              <w14:schemeClr w14:val="tx1"/>
            </w14:solidFill>
          </w14:textFill>
        </w:rPr>
      </w:pPr>
      <w:r>
        <w:rPr>
          <w:rFonts w:ascii="Times New Roman" w:hAnsi="Times New Roman" w:eastAsia="宋体" w:cs="Times New Roman"/>
          <w:color w:val="000000" w:themeColor="text1"/>
          <w:kern w:val="2"/>
          <w:sz w:val="24"/>
          <w:szCs w:val="20"/>
          <w14:textFill>
            <w14:solidFill>
              <w14:schemeClr w14:val="tx1"/>
            </w14:solidFill>
          </w14:textFill>
        </w:rPr>
        <w:t>依据《环境影响评价技术导则</w:t>
      </w:r>
      <w:r>
        <w:rPr>
          <w:rFonts w:hint="eastAsia" w:ascii="Times New Roman" w:hAnsi="Times New Roman" w:eastAsia="宋体" w:cs="Times New Roman"/>
          <w:color w:val="000000" w:themeColor="text1"/>
          <w:kern w:val="2"/>
          <w:sz w:val="24"/>
          <w:szCs w:val="20"/>
          <w:lang w:val="en-US" w:eastAsia="zh-CN"/>
          <w14:textFill>
            <w14:solidFill>
              <w14:schemeClr w14:val="tx1"/>
            </w14:solidFill>
          </w14:textFill>
        </w:rPr>
        <w:t xml:space="preserve"> </w:t>
      </w:r>
      <w:r>
        <w:rPr>
          <w:rFonts w:ascii="Times New Roman" w:hAnsi="Times New Roman" w:eastAsia="宋体" w:cs="Times New Roman"/>
          <w:color w:val="000000" w:themeColor="text1"/>
          <w:kern w:val="2"/>
          <w:sz w:val="24"/>
          <w:szCs w:val="20"/>
          <w14:textFill>
            <w14:solidFill>
              <w14:schemeClr w14:val="tx1"/>
            </w14:solidFill>
          </w14:textFill>
        </w:rPr>
        <w:t>大气环境》（HJ2.2-2018）中5.3节工作等级的确定方法，结合项目工程分析结果，选择正常排放的主要污染物及排放参数，采用附录A推荐模型中的AERSCREEN模式计算项目污染源的最大环境影响，然后按评价工作分级判据进行分级。</w:t>
      </w:r>
    </w:p>
    <w:p w14:paraId="441F2C57">
      <w:pPr>
        <w:widowControl w:val="0"/>
        <w:adjustRightInd w:val="0"/>
        <w:snapToGrid w:val="0"/>
        <w:spacing w:line="360" w:lineRule="auto"/>
        <w:ind w:firstLine="482" w:firstLineChars="200"/>
        <w:jc w:val="left"/>
        <w:rPr>
          <w:rFonts w:ascii="Times New Roman" w:hAnsi="Times New Roman" w:eastAsia="宋体" w:cs="Times New Roman"/>
          <w:b/>
          <w:bCs/>
          <w:color w:val="000000" w:themeColor="text1"/>
          <w:kern w:val="2"/>
          <w:sz w:val="24"/>
          <w:szCs w:val="20"/>
          <w14:textFill>
            <w14:solidFill>
              <w14:schemeClr w14:val="tx1"/>
            </w14:solidFill>
          </w14:textFill>
        </w:rPr>
      </w:pPr>
      <w:r>
        <w:rPr>
          <w:rFonts w:ascii="Times New Roman" w:hAnsi="Times New Roman" w:eastAsia="宋体" w:cs="Times New Roman"/>
          <w:b/>
          <w:bCs/>
          <w:color w:val="000000" w:themeColor="text1"/>
          <w:kern w:val="2"/>
          <w:sz w:val="24"/>
          <w:szCs w:val="20"/>
          <w14:textFill>
            <w14:solidFill>
              <w14:schemeClr w14:val="tx1"/>
            </w14:solidFill>
          </w14:textFill>
        </w:rPr>
        <w:t>（1）P</w:t>
      </w:r>
      <w:r>
        <w:rPr>
          <w:rFonts w:ascii="Times New Roman" w:hAnsi="Times New Roman" w:eastAsia="宋体" w:cs="Times New Roman"/>
          <w:b/>
          <w:bCs/>
          <w:color w:val="000000" w:themeColor="text1"/>
          <w:kern w:val="2"/>
          <w:sz w:val="24"/>
          <w:szCs w:val="20"/>
          <w:vertAlign w:val="subscript"/>
          <w14:textFill>
            <w14:solidFill>
              <w14:schemeClr w14:val="tx1"/>
            </w14:solidFill>
          </w14:textFill>
        </w:rPr>
        <w:t>max</w:t>
      </w:r>
      <w:r>
        <w:rPr>
          <w:rFonts w:ascii="Times New Roman" w:hAnsi="Times New Roman" w:eastAsia="宋体" w:cs="Times New Roman"/>
          <w:b/>
          <w:bCs/>
          <w:color w:val="000000" w:themeColor="text1"/>
          <w:kern w:val="2"/>
          <w:sz w:val="24"/>
          <w:szCs w:val="20"/>
          <w14:textFill>
            <w14:solidFill>
              <w14:schemeClr w14:val="tx1"/>
            </w14:solidFill>
          </w14:textFill>
        </w:rPr>
        <w:t>及D</w:t>
      </w:r>
      <w:r>
        <w:rPr>
          <w:rFonts w:ascii="Times New Roman" w:hAnsi="Times New Roman" w:eastAsia="宋体" w:cs="Times New Roman"/>
          <w:b/>
          <w:bCs/>
          <w:color w:val="000000" w:themeColor="text1"/>
          <w:kern w:val="2"/>
          <w:sz w:val="24"/>
          <w:szCs w:val="20"/>
          <w:vertAlign w:val="subscript"/>
          <w14:textFill>
            <w14:solidFill>
              <w14:schemeClr w14:val="tx1"/>
            </w14:solidFill>
          </w14:textFill>
        </w:rPr>
        <w:t>10%</w:t>
      </w:r>
      <w:r>
        <w:rPr>
          <w:rFonts w:ascii="Times New Roman" w:hAnsi="Times New Roman" w:eastAsia="宋体" w:cs="Times New Roman"/>
          <w:b/>
          <w:bCs/>
          <w:color w:val="000000" w:themeColor="text1"/>
          <w:kern w:val="2"/>
          <w:sz w:val="24"/>
          <w:szCs w:val="20"/>
          <w14:textFill>
            <w14:solidFill>
              <w14:schemeClr w14:val="tx1"/>
            </w14:solidFill>
          </w14:textFill>
        </w:rPr>
        <w:t>的确定</w:t>
      </w:r>
    </w:p>
    <w:p w14:paraId="4599CEB9">
      <w:pPr>
        <w:widowControl w:val="0"/>
        <w:adjustRightInd w:val="0"/>
        <w:snapToGrid w:val="0"/>
        <w:spacing w:line="360" w:lineRule="auto"/>
        <w:ind w:firstLine="422" w:firstLineChars="176"/>
        <w:jc w:val="left"/>
        <w:rPr>
          <w:rFonts w:ascii="Times New Roman" w:hAnsi="Times New Roman" w:eastAsia="宋体" w:cs="Times New Roman"/>
          <w:color w:val="000000" w:themeColor="text1"/>
          <w:kern w:val="2"/>
          <w:sz w:val="24"/>
          <w:szCs w:val="20"/>
          <w14:textFill>
            <w14:solidFill>
              <w14:schemeClr w14:val="tx1"/>
            </w14:solidFill>
          </w14:textFill>
        </w:rPr>
      </w:pPr>
      <w:r>
        <w:rPr>
          <w:rFonts w:ascii="Times New Roman" w:hAnsi="Times New Roman" w:eastAsia="宋体" w:cs="Times New Roman"/>
          <w:color w:val="000000" w:themeColor="text1"/>
          <w:kern w:val="2"/>
          <w:sz w:val="24"/>
          <w:szCs w:val="20"/>
          <w14:textFill>
            <w14:solidFill>
              <w14:schemeClr w14:val="tx1"/>
            </w14:solidFill>
          </w14:textFill>
        </w:rPr>
        <w:t>依据《环境影响评价技术导则 大气环境》</w:t>
      </w:r>
      <w:r>
        <w:rPr>
          <w:rFonts w:hint="eastAsia" w:cs="Times New Roman"/>
          <w:color w:val="000000" w:themeColor="text1"/>
          <w:kern w:val="2"/>
          <w:sz w:val="24"/>
          <w:szCs w:val="20"/>
          <w:lang w:eastAsia="zh-CN"/>
          <w14:textFill>
            <w14:solidFill>
              <w14:schemeClr w14:val="tx1"/>
            </w14:solidFill>
          </w14:textFill>
        </w:rPr>
        <w:t>（</w:t>
      </w:r>
      <w:r>
        <w:rPr>
          <w:rFonts w:ascii="Times New Roman" w:hAnsi="Times New Roman" w:eastAsia="宋体" w:cs="Times New Roman"/>
          <w:color w:val="000000" w:themeColor="text1"/>
          <w:kern w:val="2"/>
          <w:sz w:val="24"/>
          <w:szCs w:val="20"/>
          <w14:textFill>
            <w14:solidFill>
              <w14:schemeClr w14:val="tx1"/>
            </w14:solidFill>
          </w14:textFill>
        </w:rPr>
        <w:t>HJ2.2-2018</w:t>
      </w:r>
      <w:r>
        <w:rPr>
          <w:rFonts w:hint="eastAsia" w:cs="Times New Roman"/>
          <w:color w:val="000000" w:themeColor="text1"/>
          <w:kern w:val="2"/>
          <w:sz w:val="24"/>
          <w:szCs w:val="20"/>
          <w:lang w:eastAsia="zh-CN"/>
          <w14:textFill>
            <w14:solidFill>
              <w14:schemeClr w14:val="tx1"/>
            </w14:solidFill>
          </w14:textFill>
        </w:rPr>
        <w:t>）</w:t>
      </w:r>
      <w:r>
        <w:rPr>
          <w:rFonts w:ascii="Times New Roman" w:hAnsi="Times New Roman" w:eastAsia="宋体" w:cs="Times New Roman"/>
          <w:color w:val="000000" w:themeColor="text1"/>
          <w:kern w:val="2"/>
          <w:sz w:val="24"/>
          <w:szCs w:val="20"/>
          <w14:textFill>
            <w14:solidFill>
              <w14:schemeClr w14:val="tx1"/>
            </w14:solidFill>
          </w14:textFill>
        </w:rPr>
        <w:t>中最大地面浓度占标率P</w:t>
      </w:r>
      <w:r>
        <w:rPr>
          <w:rFonts w:ascii="Times New Roman" w:hAnsi="Times New Roman" w:eastAsia="宋体" w:cs="Times New Roman"/>
          <w:i/>
          <w:color w:val="000000" w:themeColor="text1"/>
          <w:kern w:val="2"/>
          <w:sz w:val="24"/>
          <w:szCs w:val="20"/>
          <w14:textFill>
            <w14:solidFill>
              <w14:schemeClr w14:val="tx1"/>
            </w14:solidFill>
          </w14:textFill>
        </w:rPr>
        <w:t>i</w:t>
      </w:r>
      <w:r>
        <w:rPr>
          <w:rFonts w:ascii="Times New Roman" w:hAnsi="Times New Roman" w:eastAsia="宋体" w:cs="Times New Roman"/>
          <w:color w:val="000000" w:themeColor="text1"/>
          <w:kern w:val="2"/>
          <w:sz w:val="24"/>
          <w:szCs w:val="20"/>
          <w14:textFill>
            <w14:solidFill>
              <w14:schemeClr w14:val="tx1"/>
            </w14:solidFill>
          </w14:textFill>
        </w:rPr>
        <w:t>定义如下：</w:t>
      </w:r>
    </w:p>
    <w:p w14:paraId="34EE7886">
      <w:pPr>
        <w:widowControl w:val="0"/>
        <w:adjustRightInd w:val="0"/>
        <w:snapToGrid w:val="0"/>
        <w:spacing w:line="360" w:lineRule="auto"/>
        <w:ind w:firstLine="422" w:firstLineChars="176"/>
        <w:jc w:val="center"/>
        <w:rPr>
          <w:rFonts w:ascii="Times New Roman" w:hAnsi="Times New Roman" w:eastAsia="宋体" w:cs="Times New Roman"/>
          <w:color w:val="000000" w:themeColor="text1"/>
          <w:kern w:val="2"/>
          <w:sz w:val="24"/>
          <w:szCs w:val="20"/>
          <w14:textFill>
            <w14:solidFill>
              <w14:schemeClr w14:val="tx1"/>
            </w14:solidFill>
          </w14:textFill>
        </w:rPr>
      </w:pPr>
      <w:r>
        <w:rPr>
          <w:rFonts w:ascii="Times New Roman" w:hAnsi="Times New Roman" w:eastAsia="宋体" w:cs="Times New Roman"/>
          <w:color w:val="000000" w:themeColor="text1"/>
          <w:kern w:val="2"/>
          <w:sz w:val="24"/>
          <w:szCs w:val="22"/>
          <w14:textFill>
            <w14:solidFill>
              <w14:schemeClr w14:val="tx1"/>
            </w14:solidFill>
          </w14:textFill>
        </w:rPr>
        <w:drawing>
          <wp:inline distT="0" distB="0" distL="114300" distR="114300">
            <wp:extent cx="1085850" cy="400050"/>
            <wp:effectExtent l="0" t="0" r="0" b="0"/>
            <wp:docPr id="4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0"/>
                    <pic:cNvPicPr>
                      <a:picLocks noChangeAspect="1"/>
                    </pic:cNvPicPr>
                  </pic:nvPicPr>
                  <pic:blipFill>
                    <a:blip r:embed="rId27">
                      <a:clrChange>
                        <a:clrFrom>
                          <a:srgbClr val="FFFFFF"/>
                        </a:clrFrom>
                        <a:clrTo>
                          <a:srgbClr val="FFFFFF">
                            <a:alpha val="0"/>
                          </a:srgbClr>
                        </a:clrTo>
                      </a:clrChange>
                    </a:blip>
                    <a:stretch>
                      <a:fillRect/>
                    </a:stretch>
                  </pic:blipFill>
                  <pic:spPr>
                    <a:xfrm>
                      <a:off x="0" y="0"/>
                      <a:ext cx="1085850" cy="400050"/>
                    </a:xfrm>
                    <a:prstGeom prst="rect">
                      <a:avLst/>
                    </a:prstGeom>
                    <a:noFill/>
                    <a:ln>
                      <a:noFill/>
                    </a:ln>
                  </pic:spPr>
                </pic:pic>
              </a:graphicData>
            </a:graphic>
          </wp:inline>
        </w:drawing>
      </w:r>
    </w:p>
    <w:p w14:paraId="4CABE311">
      <w:pPr>
        <w:widowControl w:val="0"/>
        <w:adjustRightInd w:val="0"/>
        <w:snapToGrid w:val="0"/>
        <w:spacing w:line="360" w:lineRule="auto"/>
        <w:ind w:firstLine="422" w:firstLineChars="176"/>
        <w:jc w:val="left"/>
        <w:rPr>
          <w:rFonts w:ascii="Times New Roman" w:hAnsi="Times New Roman" w:eastAsia="宋体" w:cs="Times New Roman"/>
          <w:color w:val="000000" w:themeColor="text1"/>
          <w:kern w:val="2"/>
          <w:sz w:val="24"/>
          <w:szCs w:val="20"/>
          <w14:textFill>
            <w14:solidFill>
              <w14:schemeClr w14:val="tx1"/>
            </w14:solidFill>
          </w14:textFill>
        </w:rPr>
      </w:pPr>
      <w:r>
        <w:rPr>
          <w:rFonts w:ascii="Times New Roman" w:hAnsi="Times New Roman" w:eastAsia="宋体" w:cs="Times New Roman"/>
          <w:color w:val="000000" w:themeColor="text1"/>
          <w:kern w:val="2"/>
          <w:sz w:val="24"/>
          <w:szCs w:val="20"/>
          <w14:textFill>
            <w14:solidFill>
              <w14:schemeClr w14:val="tx1"/>
            </w14:solidFill>
          </w14:textFill>
        </w:rPr>
        <w:fldChar w:fldCharType="begin"/>
      </w:r>
      <w:r>
        <w:rPr>
          <w:rFonts w:ascii="Times New Roman" w:hAnsi="Times New Roman" w:eastAsia="宋体" w:cs="Times New Roman"/>
          <w:color w:val="000000" w:themeColor="text1"/>
          <w:kern w:val="2"/>
          <w:sz w:val="24"/>
          <w:szCs w:val="20"/>
          <w14:textFill>
            <w14:solidFill>
              <w14:schemeClr w14:val="tx1"/>
            </w14:solidFill>
          </w14:textFill>
        </w:rPr>
        <w:instrText xml:space="preserve"> QUOTE </w:instrText>
      </w:r>
      <w:r>
        <w:rPr>
          <w:rFonts w:ascii="Times New Roman" w:hAnsi="Times New Roman" w:eastAsia="宋体" w:cs="Times New Roman"/>
          <w:color w:val="000000" w:themeColor="text1"/>
          <w:kern w:val="2"/>
          <w:position w:val="-15"/>
          <w:sz w:val="24"/>
          <w:szCs w:val="22"/>
          <w14:textFill>
            <w14:solidFill>
              <w14:schemeClr w14:val="tx1"/>
            </w14:solidFill>
          </w14:textFill>
        </w:rPr>
        <w:drawing>
          <wp:inline distT="0" distB="0" distL="114300" distR="114300">
            <wp:extent cx="123825" cy="295275"/>
            <wp:effectExtent l="0" t="0" r="9525" b="0"/>
            <wp:docPr id="4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1"/>
                    <pic:cNvPicPr>
                      <a:picLocks noChangeAspect="1"/>
                    </pic:cNvPicPr>
                  </pic:nvPicPr>
                  <pic:blipFill>
                    <a:blip r:embed="rId28">
                      <a:clrChange>
                        <a:clrFrom>
                          <a:srgbClr val="FFFFFF"/>
                        </a:clrFrom>
                        <a:clrTo>
                          <a:srgbClr val="FFFFFF">
                            <a:alpha val="0"/>
                          </a:srgbClr>
                        </a:clrTo>
                      </a:clrChange>
                    </a:blip>
                    <a:stretch>
                      <a:fillRect/>
                    </a:stretch>
                  </pic:blipFill>
                  <pic:spPr>
                    <a:xfrm>
                      <a:off x="0" y="0"/>
                      <a:ext cx="123825" cy="295275"/>
                    </a:xfrm>
                    <a:prstGeom prst="rect">
                      <a:avLst/>
                    </a:prstGeom>
                    <a:noFill/>
                    <a:ln>
                      <a:noFill/>
                    </a:ln>
                  </pic:spPr>
                </pic:pic>
              </a:graphicData>
            </a:graphic>
          </wp:inline>
        </w:drawing>
      </w:r>
      <w:r>
        <w:rPr>
          <w:rFonts w:ascii="Times New Roman" w:hAnsi="Times New Roman" w:eastAsia="宋体" w:cs="Times New Roman"/>
          <w:color w:val="000000" w:themeColor="text1"/>
          <w:kern w:val="2"/>
          <w:sz w:val="24"/>
          <w:szCs w:val="20"/>
          <w14:textFill>
            <w14:solidFill>
              <w14:schemeClr w14:val="tx1"/>
            </w14:solidFill>
          </w14:textFill>
        </w:rPr>
        <w:instrText xml:space="preserve">  \* MERGEFORMAT </w:instrText>
      </w:r>
      <w:r>
        <w:rPr>
          <w:rFonts w:ascii="Times New Roman" w:hAnsi="Times New Roman" w:eastAsia="宋体" w:cs="Times New Roman"/>
          <w:color w:val="000000" w:themeColor="text1"/>
          <w:kern w:val="2"/>
          <w:sz w:val="24"/>
          <w:szCs w:val="20"/>
          <w14:textFill>
            <w14:solidFill>
              <w14:schemeClr w14:val="tx1"/>
            </w14:solidFill>
          </w14:textFill>
        </w:rPr>
        <w:fldChar w:fldCharType="separate"/>
      </w:r>
      <w:r>
        <w:rPr>
          <w:rFonts w:ascii="Times New Roman" w:hAnsi="Times New Roman" w:eastAsia="宋体" w:cs="Times New Roman"/>
          <w:color w:val="000000" w:themeColor="text1"/>
          <w:kern w:val="2"/>
          <w:position w:val="-15"/>
          <w:sz w:val="24"/>
          <w:szCs w:val="22"/>
          <w14:textFill>
            <w14:solidFill>
              <w14:schemeClr w14:val="tx1"/>
            </w14:solidFill>
          </w14:textFill>
        </w:rPr>
        <w:drawing>
          <wp:inline distT="0" distB="0" distL="114300" distR="114300">
            <wp:extent cx="123825" cy="295275"/>
            <wp:effectExtent l="0" t="0" r="9525" b="0"/>
            <wp:docPr id="4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2"/>
                    <pic:cNvPicPr>
                      <a:picLocks noChangeAspect="1"/>
                    </pic:cNvPicPr>
                  </pic:nvPicPr>
                  <pic:blipFill>
                    <a:blip r:embed="rId28">
                      <a:clrChange>
                        <a:clrFrom>
                          <a:srgbClr val="FFFFFF"/>
                        </a:clrFrom>
                        <a:clrTo>
                          <a:srgbClr val="FFFFFF">
                            <a:alpha val="0"/>
                          </a:srgbClr>
                        </a:clrTo>
                      </a:clrChange>
                    </a:blip>
                    <a:stretch>
                      <a:fillRect/>
                    </a:stretch>
                  </pic:blipFill>
                  <pic:spPr>
                    <a:xfrm>
                      <a:off x="0" y="0"/>
                      <a:ext cx="123825" cy="295275"/>
                    </a:xfrm>
                    <a:prstGeom prst="rect">
                      <a:avLst/>
                    </a:prstGeom>
                    <a:noFill/>
                    <a:ln>
                      <a:noFill/>
                    </a:ln>
                  </pic:spPr>
                </pic:pic>
              </a:graphicData>
            </a:graphic>
          </wp:inline>
        </w:drawing>
      </w:r>
      <w:r>
        <w:rPr>
          <w:rFonts w:ascii="Times New Roman" w:hAnsi="Times New Roman" w:eastAsia="宋体" w:cs="Times New Roman"/>
          <w:color w:val="000000" w:themeColor="text1"/>
          <w:kern w:val="2"/>
          <w:sz w:val="24"/>
          <w:szCs w:val="20"/>
          <w14:textFill>
            <w14:solidFill>
              <w14:schemeClr w14:val="tx1"/>
            </w14:solidFill>
          </w14:textFill>
        </w:rPr>
        <w:fldChar w:fldCharType="end"/>
      </w:r>
      <w:r>
        <w:rPr>
          <w:rFonts w:ascii="Times New Roman" w:hAnsi="Times New Roman" w:eastAsia="宋体" w:cs="Times New Roman"/>
          <w:color w:val="000000" w:themeColor="text1"/>
          <w:kern w:val="2"/>
          <w:sz w:val="24"/>
          <w:szCs w:val="20"/>
          <w14:textFill>
            <w14:solidFill>
              <w14:schemeClr w14:val="tx1"/>
            </w14:solidFill>
          </w14:textFill>
        </w:rPr>
        <w:t xml:space="preserve"> ——第i个污染物的最大地面空气质量浓度占标率，%；</w:t>
      </w:r>
    </w:p>
    <w:p w14:paraId="3C694BB0">
      <w:pPr>
        <w:widowControl w:val="0"/>
        <w:adjustRightInd w:val="0"/>
        <w:snapToGrid w:val="0"/>
        <w:spacing w:line="360" w:lineRule="auto"/>
        <w:ind w:firstLine="422" w:firstLineChars="176"/>
        <w:jc w:val="left"/>
        <w:rPr>
          <w:rFonts w:ascii="Times New Roman" w:hAnsi="Times New Roman" w:eastAsia="宋体" w:cs="Times New Roman"/>
          <w:color w:val="000000" w:themeColor="text1"/>
          <w:kern w:val="2"/>
          <w:sz w:val="24"/>
          <w:szCs w:val="20"/>
          <w14:textFill>
            <w14:solidFill>
              <w14:schemeClr w14:val="tx1"/>
            </w14:solidFill>
          </w14:textFill>
        </w:rPr>
      </w:pPr>
      <w:r>
        <w:rPr>
          <w:rFonts w:ascii="Times New Roman" w:hAnsi="Times New Roman" w:eastAsia="宋体" w:cs="Times New Roman"/>
          <w:color w:val="000000" w:themeColor="text1"/>
          <w:kern w:val="2"/>
          <w:sz w:val="24"/>
          <w:szCs w:val="20"/>
          <w14:textFill>
            <w14:solidFill>
              <w14:schemeClr w14:val="tx1"/>
            </w14:solidFill>
          </w14:textFill>
        </w:rPr>
        <w:fldChar w:fldCharType="begin"/>
      </w:r>
      <w:r>
        <w:rPr>
          <w:rFonts w:ascii="Times New Roman" w:hAnsi="Times New Roman" w:eastAsia="宋体" w:cs="Times New Roman"/>
          <w:color w:val="000000" w:themeColor="text1"/>
          <w:kern w:val="2"/>
          <w:sz w:val="24"/>
          <w:szCs w:val="20"/>
          <w14:textFill>
            <w14:solidFill>
              <w14:schemeClr w14:val="tx1"/>
            </w14:solidFill>
          </w14:textFill>
        </w:rPr>
        <w:instrText xml:space="preserve"> QUOTE </w:instrText>
      </w:r>
      <w:r>
        <w:rPr>
          <w:rFonts w:ascii="Times New Roman" w:hAnsi="Times New Roman" w:eastAsia="宋体" w:cs="Times New Roman"/>
          <w:color w:val="000000" w:themeColor="text1"/>
          <w:kern w:val="2"/>
          <w:position w:val="-15"/>
          <w:sz w:val="24"/>
          <w:szCs w:val="22"/>
          <w14:textFill>
            <w14:solidFill>
              <w14:schemeClr w14:val="tx1"/>
            </w14:solidFill>
          </w14:textFill>
        </w:rPr>
        <w:drawing>
          <wp:inline distT="0" distB="0" distL="114300" distR="114300">
            <wp:extent cx="133350" cy="295275"/>
            <wp:effectExtent l="0" t="0" r="0" b="0"/>
            <wp:docPr id="3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3"/>
                    <pic:cNvPicPr>
                      <a:picLocks noChangeAspect="1"/>
                    </pic:cNvPicPr>
                  </pic:nvPicPr>
                  <pic:blipFill>
                    <a:blip r:embed="rId29">
                      <a:clrChange>
                        <a:clrFrom>
                          <a:srgbClr val="FFFFFF"/>
                        </a:clrFrom>
                        <a:clrTo>
                          <a:srgbClr val="FFFFFF">
                            <a:alpha val="0"/>
                          </a:srgbClr>
                        </a:clrTo>
                      </a:clrChange>
                    </a:blip>
                    <a:stretch>
                      <a:fillRect/>
                    </a:stretch>
                  </pic:blipFill>
                  <pic:spPr>
                    <a:xfrm>
                      <a:off x="0" y="0"/>
                      <a:ext cx="133350" cy="295275"/>
                    </a:xfrm>
                    <a:prstGeom prst="rect">
                      <a:avLst/>
                    </a:prstGeom>
                    <a:noFill/>
                    <a:ln>
                      <a:noFill/>
                    </a:ln>
                  </pic:spPr>
                </pic:pic>
              </a:graphicData>
            </a:graphic>
          </wp:inline>
        </w:drawing>
      </w:r>
      <w:r>
        <w:rPr>
          <w:rFonts w:ascii="Times New Roman" w:hAnsi="Times New Roman" w:eastAsia="宋体" w:cs="Times New Roman"/>
          <w:color w:val="000000" w:themeColor="text1"/>
          <w:kern w:val="2"/>
          <w:sz w:val="24"/>
          <w:szCs w:val="20"/>
          <w14:textFill>
            <w14:solidFill>
              <w14:schemeClr w14:val="tx1"/>
            </w14:solidFill>
          </w14:textFill>
        </w:rPr>
        <w:instrText xml:space="preserve">  \* MERGEFORMAT </w:instrText>
      </w:r>
      <w:r>
        <w:rPr>
          <w:rFonts w:ascii="Times New Roman" w:hAnsi="Times New Roman" w:eastAsia="宋体" w:cs="Times New Roman"/>
          <w:color w:val="000000" w:themeColor="text1"/>
          <w:kern w:val="2"/>
          <w:sz w:val="24"/>
          <w:szCs w:val="20"/>
          <w14:textFill>
            <w14:solidFill>
              <w14:schemeClr w14:val="tx1"/>
            </w14:solidFill>
          </w14:textFill>
        </w:rPr>
        <w:fldChar w:fldCharType="separate"/>
      </w:r>
      <w:r>
        <w:rPr>
          <w:rFonts w:ascii="Times New Roman" w:hAnsi="Times New Roman" w:eastAsia="宋体" w:cs="Times New Roman"/>
          <w:color w:val="000000" w:themeColor="text1"/>
          <w:kern w:val="2"/>
          <w:position w:val="-15"/>
          <w:sz w:val="24"/>
          <w:szCs w:val="22"/>
          <w14:textFill>
            <w14:solidFill>
              <w14:schemeClr w14:val="tx1"/>
            </w14:solidFill>
          </w14:textFill>
        </w:rPr>
        <w:drawing>
          <wp:inline distT="0" distB="0" distL="114300" distR="114300">
            <wp:extent cx="133350" cy="295275"/>
            <wp:effectExtent l="0" t="0" r="0" b="0"/>
            <wp:docPr id="4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4"/>
                    <pic:cNvPicPr>
                      <a:picLocks noChangeAspect="1"/>
                    </pic:cNvPicPr>
                  </pic:nvPicPr>
                  <pic:blipFill>
                    <a:blip r:embed="rId29">
                      <a:clrChange>
                        <a:clrFrom>
                          <a:srgbClr val="FFFFFF"/>
                        </a:clrFrom>
                        <a:clrTo>
                          <a:srgbClr val="FFFFFF">
                            <a:alpha val="0"/>
                          </a:srgbClr>
                        </a:clrTo>
                      </a:clrChange>
                    </a:blip>
                    <a:stretch>
                      <a:fillRect/>
                    </a:stretch>
                  </pic:blipFill>
                  <pic:spPr>
                    <a:xfrm>
                      <a:off x="0" y="0"/>
                      <a:ext cx="133350" cy="295275"/>
                    </a:xfrm>
                    <a:prstGeom prst="rect">
                      <a:avLst/>
                    </a:prstGeom>
                    <a:noFill/>
                    <a:ln>
                      <a:noFill/>
                    </a:ln>
                  </pic:spPr>
                </pic:pic>
              </a:graphicData>
            </a:graphic>
          </wp:inline>
        </w:drawing>
      </w:r>
      <w:r>
        <w:rPr>
          <w:rFonts w:ascii="Times New Roman" w:hAnsi="Times New Roman" w:eastAsia="宋体" w:cs="Times New Roman"/>
          <w:color w:val="000000" w:themeColor="text1"/>
          <w:kern w:val="2"/>
          <w:sz w:val="24"/>
          <w:szCs w:val="20"/>
          <w14:textFill>
            <w14:solidFill>
              <w14:schemeClr w14:val="tx1"/>
            </w14:solidFill>
          </w14:textFill>
        </w:rPr>
        <w:fldChar w:fldCharType="end"/>
      </w:r>
      <w:r>
        <w:rPr>
          <w:rFonts w:ascii="Times New Roman" w:hAnsi="Times New Roman" w:eastAsia="宋体" w:cs="Times New Roman"/>
          <w:color w:val="000000" w:themeColor="text1"/>
          <w:kern w:val="2"/>
          <w:sz w:val="24"/>
          <w:szCs w:val="20"/>
          <w14:textFill>
            <w14:solidFill>
              <w14:schemeClr w14:val="tx1"/>
            </w14:solidFill>
          </w14:textFill>
        </w:rPr>
        <w:t>——采用估算模型计算出的第i个污染物的最大1h地面空气质量浓度，μg/m</w:t>
      </w:r>
      <w:r>
        <w:rPr>
          <w:rFonts w:ascii="Times New Roman" w:hAnsi="Times New Roman" w:eastAsia="宋体" w:cs="Times New Roman"/>
          <w:color w:val="000000" w:themeColor="text1"/>
          <w:kern w:val="2"/>
          <w:sz w:val="24"/>
          <w:szCs w:val="20"/>
          <w:vertAlign w:val="superscript"/>
          <w14:textFill>
            <w14:solidFill>
              <w14:schemeClr w14:val="tx1"/>
            </w14:solidFill>
          </w14:textFill>
        </w:rPr>
        <w:t>3</w:t>
      </w:r>
      <w:r>
        <w:rPr>
          <w:rFonts w:ascii="Times New Roman" w:hAnsi="Times New Roman" w:eastAsia="宋体" w:cs="Times New Roman"/>
          <w:color w:val="000000" w:themeColor="text1"/>
          <w:kern w:val="2"/>
          <w:sz w:val="24"/>
          <w:szCs w:val="20"/>
          <w14:textFill>
            <w14:solidFill>
              <w14:schemeClr w14:val="tx1"/>
            </w14:solidFill>
          </w14:textFill>
        </w:rPr>
        <w:t>；</w:t>
      </w:r>
    </w:p>
    <w:p w14:paraId="23272A3A">
      <w:pPr>
        <w:widowControl w:val="0"/>
        <w:adjustRightInd w:val="0"/>
        <w:snapToGrid w:val="0"/>
        <w:spacing w:line="360" w:lineRule="auto"/>
        <w:ind w:firstLine="422" w:firstLineChars="176"/>
        <w:jc w:val="left"/>
        <w:rPr>
          <w:rFonts w:ascii="Times New Roman" w:hAnsi="Times New Roman" w:eastAsia="宋体" w:cs="Times New Roman"/>
          <w:color w:val="000000" w:themeColor="text1"/>
          <w:kern w:val="2"/>
          <w:sz w:val="24"/>
          <w:szCs w:val="20"/>
          <w14:textFill>
            <w14:solidFill>
              <w14:schemeClr w14:val="tx1"/>
            </w14:solidFill>
          </w14:textFill>
        </w:rPr>
      </w:pPr>
      <w:r>
        <w:rPr>
          <w:rFonts w:ascii="Times New Roman" w:hAnsi="Times New Roman" w:eastAsia="宋体" w:cs="Times New Roman"/>
          <w:color w:val="000000" w:themeColor="text1"/>
          <w:kern w:val="2"/>
          <w:sz w:val="24"/>
          <w:szCs w:val="20"/>
          <w14:textFill>
            <w14:solidFill>
              <w14:schemeClr w14:val="tx1"/>
            </w14:solidFill>
          </w14:textFill>
        </w:rPr>
        <w:fldChar w:fldCharType="begin"/>
      </w:r>
      <w:r>
        <w:rPr>
          <w:rFonts w:ascii="Times New Roman" w:hAnsi="Times New Roman" w:eastAsia="宋体" w:cs="Times New Roman"/>
          <w:color w:val="000000" w:themeColor="text1"/>
          <w:kern w:val="2"/>
          <w:sz w:val="24"/>
          <w:szCs w:val="20"/>
          <w14:textFill>
            <w14:solidFill>
              <w14:schemeClr w14:val="tx1"/>
            </w14:solidFill>
          </w14:textFill>
        </w:rPr>
        <w:instrText xml:space="preserve"> QUOTE </w:instrText>
      </w:r>
      <w:r>
        <w:rPr>
          <w:rFonts w:ascii="Times New Roman" w:hAnsi="Times New Roman" w:eastAsia="宋体" w:cs="Times New Roman"/>
          <w:color w:val="000000" w:themeColor="text1"/>
          <w:kern w:val="2"/>
          <w:position w:val="-15"/>
          <w:sz w:val="24"/>
          <w:szCs w:val="22"/>
          <w14:textFill>
            <w14:solidFill>
              <w14:schemeClr w14:val="tx1"/>
            </w14:solidFill>
          </w14:textFill>
        </w:rPr>
        <w:drawing>
          <wp:inline distT="0" distB="0" distL="114300" distR="114300">
            <wp:extent cx="190500" cy="295275"/>
            <wp:effectExtent l="0" t="0" r="0" b="0"/>
            <wp:docPr id="4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5"/>
                    <pic:cNvPicPr>
                      <a:picLocks noChangeAspect="1"/>
                    </pic:cNvPicPr>
                  </pic:nvPicPr>
                  <pic:blipFill>
                    <a:blip r:embed="rId30">
                      <a:clrChange>
                        <a:clrFrom>
                          <a:srgbClr val="FFFFFF"/>
                        </a:clrFrom>
                        <a:clrTo>
                          <a:srgbClr val="FFFFFF">
                            <a:alpha val="0"/>
                          </a:srgbClr>
                        </a:clrTo>
                      </a:clrChange>
                    </a:blip>
                    <a:stretch>
                      <a:fillRect/>
                    </a:stretch>
                  </pic:blipFill>
                  <pic:spPr>
                    <a:xfrm>
                      <a:off x="0" y="0"/>
                      <a:ext cx="190500" cy="295275"/>
                    </a:xfrm>
                    <a:prstGeom prst="rect">
                      <a:avLst/>
                    </a:prstGeom>
                    <a:noFill/>
                    <a:ln>
                      <a:noFill/>
                    </a:ln>
                  </pic:spPr>
                </pic:pic>
              </a:graphicData>
            </a:graphic>
          </wp:inline>
        </w:drawing>
      </w:r>
      <w:r>
        <w:rPr>
          <w:rFonts w:ascii="Times New Roman" w:hAnsi="Times New Roman" w:eastAsia="宋体" w:cs="Times New Roman"/>
          <w:color w:val="000000" w:themeColor="text1"/>
          <w:kern w:val="2"/>
          <w:sz w:val="24"/>
          <w:szCs w:val="20"/>
          <w14:textFill>
            <w14:solidFill>
              <w14:schemeClr w14:val="tx1"/>
            </w14:solidFill>
          </w14:textFill>
        </w:rPr>
        <w:instrText xml:space="preserve">  \* MERGEFORMAT </w:instrText>
      </w:r>
      <w:r>
        <w:rPr>
          <w:rFonts w:ascii="Times New Roman" w:hAnsi="Times New Roman" w:eastAsia="宋体" w:cs="Times New Roman"/>
          <w:color w:val="000000" w:themeColor="text1"/>
          <w:kern w:val="2"/>
          <w:sz w:val="24"/>
          <w:szCs w:val="20"/>
          <w14:textFill>
            <w14:solidFill>
              <w14:schemeClr w14:val="tx1"/>
            </w14:solidFill>
          </w14:textFill>
        </w:rPr>
        <w:fldChar w:fldCharType="separate"/>
      </w:r>
      <w:r>
        <w:rPr>
          <w:rFonts w:ascii="Times New Roman" w:hAnsi="Times New Roman" w:eastAsia="宋体" w:cs="Times New Roman"/>
          <w:color w:val="000000" w:themeColor="text1"/>
          <w:kern w:val="2"/>
          <w:position w:val="-15"/>
          <w:sz w:val="24"/>
          <w:szCs w:val="22"/>
          <w14:textFill>
            <w14:solidFill>
              <w14:schemeClr w14:val="tx1"/>
            </w14:solidFill>
          </w14:textFill>
        </w:rPr>
        <w:drawing>
          <wp:inline distT="0" distB="0" distL="114300" distR="114300">
            <wp:extent cx="190500" cy="295275"/>
            <wp:effectExtent l="0" t="0" r="0" b="0"/>
            <wp:docPr id="4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6"/>
                    <pic:cNvPicPr>
                      <a:picLocks noChangeAspect="1"/>
                    </pic:cNvPicPr>
                  </pic:nvPicPr>
                  <pic:blipFill>
                    <a:blip r:embed="rId30">
                      <a:clrChange>
                        <a:clrFrom>
                          <a:srgbClr val="FFFFFF"/>
                        </a:clrFrom>
                        <a:clrTo>
                          <a:srgbClr val="FFFFFF">
                            <a:alpha val="0"/>
                          </a:srgbClr>
                        </a:clrTo>
                      </a:clrChange>
                    </a:blip>
                    <a:stretch>
                      <a:fillRect/>
                    </a:stretch>
                  </pic:blipFill>
                  <pic:spPr>
                    <a:xfrm>
                      <a:off x="0" y="0"/>
                      <a:ext cx="190500" cy="295275"/>
                    </a:xfrm>
                    <a:prstGeom prst="rect">
                      <a:avLst/>
                    </a:prstGeom>
                    <a:noFill/>
                    <a:ln>
                      <a:noFill/>
                    </a:ln>
                  </pic:spPr>
                </pic:pic>
              </a:graphicData>
            </a:graphic>
          </wp:inline>
        </w:drawing>
      </w:r>
      <w:r>
        <w:rPr>
          <w:rFonts w:ascii="Times New Roman" w:hAnsi="Times New Roman" w:eastAsia="宋体" w:cs="Times New Roman"/>
          <w:color w:val="000000" w:themeColor="text1"/>
          <w:kern w:val="2"/>
          <w:sz w:val="24"/>
          <w:szCs w:val="20"/>
          <w14:textFill>
            <w14:solidFill>
              <w14:schemeClr w14:val="tx1"/>
            </w14:solidFill>
          </w14:textFill>
        </w:rPr>
        <w:fldChar w:fldCharType="end"/>
      </w:r>
      <w:r>
        <w:rPr>
          <w:rFonts w:ascii="Times New Roman" w:hAnsi="Times New Roman" w:eastAsia="宋体" w:cs="Times New Roman"/>
          <w:color w:val="000000" w:themeColor="text1"/>
          <w:kern w:val="2"/>
          <w:sz w:val="24"/>
          <w:szCs w:val="20"/>
          <w14:textFill>
            <w14:solidFill>
              <w14:schemeClr w14:val="tx1"/>
            </w14:solidFill>
          </w14:textFill>
        </w:rPr>
        <w:t>——第i个污染物的环境空气质量浓度标准，μg/m</w:t>
      </w:r>
      <w:r>
        <w:rPr>
          <w:rFonts w:ascii="Times New Roman" w:hAnsi="Times New Roman" w:eastAsia="宋体" w:cs="Times New Roman"/>
          <w:color w:val="000000" w:themeColor="text1"/>
          <w:kern w:val="2"/>
          <w:sz w:val="24"/>
          <w:szCs w:val="20"/>
          <w:vertAlign w:val="superscript"/>
          <w14:textFill>
            <w14:solidFill>
              <w14:schemeClr w14:val="tx1"/>
            </w14:solidFill>
          </w14:textFill>
        </w:rPr>
        <w:t>3</w:t>
      </w:r>
      <w:r>
        <w:rPr>
          <w:rFonts w:ascii="Times New Roman" w:hAnsi="Times New Roman" w:eastAsia="宋体" w:cs="Times New Roman"/>
          <w:color w:val="000000" w:themeColor="text1"/>
          <w:kern w:val="2"/>
          <w:sz w:val="24"/>
          <w:szCs w:val="20"/>
          <w14:textFill>
            <w14:solidFill>
              <w14:schemeClr w14:val="tx1"/>
            </w14:solidFill>
          </w14:textFill>
        </w:rPr>
        <w:t>。</w:t>
      </w:r>
    </w:p>
    <w:p w14:paraId="0279C5B6">
      <w:pPr>
        <w:widowControl/>
        <w:spacing w:line="360" w:lineRule="auto"/>
        <w:ind w:firstLine="480" w:firstLineChars="200"/>
        <w:jc w:val="both"/>
        <w:rPr>
          <w:rFonts w:ascii="Times New Roman" w:hAnsi="Times New Roman" w:eastAsia="宋体" w:cs="Times New Roman"/>
          <w:color w:val="000000" w:themeColor="text1"/>
          <w:kern w:val="0"/>
          <w:sz w:val="24"/>
          <w:szCs w:val="20"/>
          <w14:textFill>
            <w14:solidFill>
              <w14:schemeClr w14:val="tx1"/>
            </w14:solidFill>
          </w14:textFill>
        </w:rPr>
      </w:pPr>
      <w:r>
        <w:rPr>
          <w:rFonts w:ascii="Times New Roman" w:hAnsi="Times New Roman" w:eastAsia="宋体" w:cs="Times New Roman"/>
          <w:i/>
          <w:iCs/>
          <w:color w:val="000000" w:themeColor="text1"/>
          <w:kern w:val="0"/>
          <w:sz w:val="24"/>
          <w:szCs w:val="20"/>
          <w14:textFill>
            <w14:solidFill>
              <w14:schemeClr w14:val="tx1"/>
            </w14:solidFill>
          </w14:textFill>
        </w:rPr>
        <w:t>C</w:t>
      </w:r>
      <w:r>
        <w:rPr>
          <w:rFonts w:ascii="Times New Roman" w:hAnsi="Times New Roman" w:eastAsia="宋体" w:cs="Times New Roman"/>
          <w:i/>
          <w:iCs/>
          <w:color w:val="000000" w:themeColor="text1"/>
          <w:kern w:val="0"/>
          <w:sz w:val="24"/>
          <w:szCs w:val="20"/>
          <w:vertAlign w:val="subscript"/>
          <w14:textFill>
            <w14:solidFill>
              <w14:schemeClr w14:val="tx1"/>
            </w14:solidFill>
          </w14:textFill>
        </w:rPr>
        <w:t>0i</w:t>
      </w:r>
      <w:r>
        <w:rPr>
          <w:rFonts w:ascii="Times New Roman" w:hAnsi="Times New Roman" w:eastAsia="宋体" w:cs="Times New Roman"/>
          <w:color w:val="000000" w:themeColor="text1"/>
          <w:kern w:val="0"/>
          <w:sz w:val="24"/>
          <w:szCs w:val="20"/>
          <w14:textFill>
            <w14:solidFill>
              <w14:schemeClr w14:val="tx1"/>
            </w14:solidFill>
          </w14:textFill>
        </w:rPr>
        <w:t>一般选用GB3095中1小时平均取样时间的二级标准浓度限值；对该标准中未包含的污染物，使用附录D中的1小时平均质量浓度限值；对仅有8小时平均质量浓度限值的，可按2倍折算为1小时平均质量浓度限值。</w:t>
      </w:r>
    </w:p>
    <w:p w14:paraId="0AA6763D">
      <w:pPr>
        <w:widowControl w:val="0"/>
        <w:adjustRightInd w:val="0"/>
        <w:snapToGrid w:val="0"/>
        <w:spacing w:line="360" w:lineRule="auto"/>
        <w:ind w:firstLine="424" w:firstLineChars="176"/>
        <w:jc w:val="left"/>
        <w:rPr>
          <w:rFonts w:ascii="Times New Roman" w:hAnsi="Times New Roman" w:eastAsia="宋体" w:cs="Times New Roman"/>
          <w:b/>
          <w:bCs/>
          <w:color w:val="000000" w:themeColor="text1"/>
          <w:kern w:val="2"/>
          <w:sz w:val="24"/>
          <w:szCs w:val="20"/>
          <w14:textFill>
            <w14:solidFill>
              <w14:schemeClr w14:val="tx1"/>
            </w14:solidFill>
          </w14:textFill>
        </w:rPr>
      </w:pPr>
      <w:r>
        <w:rPr>
          <w:rFonts w:ascii="Times New Roman" w:hAnsi="Times New Roman" w:eastAsia="宋体" w:cs="Times New Roman"/>
          <w:b/>
          <w:bCs/>
          <w:color w:val="000000" w:themeColor="text1"/>
          <w:kern w:val="2"/>
          <w:sz w:val="24"/>
          <w:szCs w:val="20"/>
          <w14:textFill>
            <w14:solidFill>
              <w14:schemeClr w14:val="tx1"/>
            </w14:solidFill>
          </w14:textFill>
        </w:rPr>
        <w:t>（2）评价等级判别表</w:t>
      </w:r>
    </w:p>
    <w:p w14:paraId="1AEE5C3E">
      <w:pPr>
        <w:widowControl w:val="0"/>
        <w:adjustRightInd w:val="0"/>
        <w:snapToGrid w:val="0"/>
        <w:spacing w:line="360" w:lineRule="auto"/>
        <w:ind w:firstLine="422" w:firstLineChars="176"/>
        <w:jc w:val="left"/>
        <w:rPr>
          <w:rFonts w:ascii="Times New Roman" w:hAnsi="Times New Roman" w:eastAsia="宋体" w:cs="Times New Roman"/>
          <w:color w:val="000000" w:themeColor="text1"/>
          <w:kern w:val="2"/>
          <w:sz w:val="24"/>
          <w:szCs w:val="20"/>
          <w14:textFill>
            <w14:solidFill>
              <w14:schemeClr w14:val="tx1"/>
            </w14:solidFill>
          </w14:textFill>
        </w:rPr>
      </w:pPr>
      <w:r>
        <w:rPr>
          <w:rFonts w:ascii="Times New Roman" w:hAnsi="Times New Roman" w:eastAsia="宋体" w:cs="Times New Roman"/>
          <w:color w:val="000000" w:themeColor="text1"/>
          <w:kern w:val="2"/>
          <w:sz w:val="24"/>
          <w:szCs w:val="20"/>
          <w14:textFill>
            <w14:solidFill>
              <w14:schemeClr w14:val="tx1"/>
            </w14:solidFill>
          </w14:textFill>
        </w:rPr>
        <w:t>评价等级按下表的分级判据进行划分。</w:t>
      </w:r>
    </w:p>
    <w:p w14:paraId="6F625CE1">
      <w:pPr>
        <w:widowControl w:val="0"/>
        <w:adjustRightInd w:val="0"/>
        <w:snapToGrid w:val="0"/>
        <w:jc w:val="center"/>
        <w:rPr>
          <w:rFonts w:ascii="Times New Roman" w:hAnsi="Times New Roman" w:eastAsia="宋体" w:cs="Times New Roman"/>
          <w:b/>
          <w:color w:val="000000" w:themeColor="text1"/>
          <w:kern w:val="2"/>
          <w:sz w:val="21"/>
          <w:szCs w:val="16"/>
          <w14:textFill>
            <w14:solidFill>
              <w14:schemeClr w14:val="tx1"/>
            </w14:solidFill>
          </w14:textFill>
        </w:rPr>
      </w:pPr>
      <w:r>
        <w:rPr>
          <w:rFonts w:ascii="Times New Roman" w:hAnsi="Times New Roman" w:eastAsia="宋体" w:cs="Times New Roman"/>
          <w:b/>
          <w:color w:val="000000" w:themeColor="text1"/>
          <w:kern w:val="2"/>
          <w:sz w:val="21"/>
          <w:szCs w:val="16"/>
          <w14:textFill>
            <w14:solidFill>
              <w14:schemeClr w14:val="tx1"/>
            </w14:solidFill>
          </w14:textFill>
        </w:rPr>
        <w:t>表1.</w:t>
      </w:r>
      <w:r>
        <w:rPr>
          <w:rFonts w:hint="eastAsia" w:ascii="Times New Roman" w:hAnsi="Times New Roman" w:eastAsia="宋体" w:cs="Times New Roman"/>
          <w:b/>
          <w:color w:val="000000" w:themeColor="text1"/>
          <w:kern w:val="2"/>
          <w:sz w:val="21"/>
          <w:szCs w:val="16"/>
          <w:lang w:val="en-US" w:eastAsia="zh-CN"/>
          <w14:textFill>
            <w14:solidFill>
              <w14:schemeClr w14:val="tx1"/>
            </w14:solidFill>
          </w14:textFill>
        </w:rPr>
        <w:t>5</w:t>
      </w:r>
      <w:r>
        <w:rPr>
          <w:rFonts w:ascii="Times New Roman" w:hAnsi="Times New Roman" w:eastAsia="宋体" w:cs="Times New Roman"/>
          <w:b/>
          <w:color w:val="000000" w:themeColor="text1"/>
          <w:kern w:val="2"/>
          <w:sz w:val="21"/>
          <w:szCs w:val="16"/>
          <w14:textFill>
            <w14:solidFill>
              <w14:schemeClr w14:val="tx1"/>
            </w14:solidFill>
          </w14:textFill>
        </w:rPr>
        <w:t>-1  评价等级判别表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56"/>
        <w:gridCol w:w="4824"/>
      </w:tblGrid>
      <w:tr w14:paraId="51530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756" w:type="dxa"/>
            <w:noWrap w:val="0"/>
            <w:vAlign w:val="center"/>
          </w:tcPr>
          <w:p w14:paraId="7ACA1C58">
            <w:pPr>
              <w:widowControl w:val="0"/>
              <w:adjustRightInd w:val="0"/>
              <w:snapToGrid w:val="0"/>
              <w:jc w:val="center"/>
              <w:rPr>
                <w:rFonts w:ascii="Times New Roman" w:hAnsi="Times New Roman" w:eastAsia="宋体" w:cs="Times New Roman"/>
                <w:b/>
                <w:color w:val="000000" w:themeColor="text1"/>
                <w:kern w:val="2"/>
                <w:sz w:val="21"/>
                <w:szCs w:val="21"/>
                <w14:textFill>
                  <w14:solidFill>
                    <w14:schemeClr w14:val="tx1"/>
                  </w14:solidFill>
                </w14:textFill>
              </w:rPr>
            </w:pPr>
            <w:r>
              <w:rPr>
                <w:rFonts w:ascii="Times New Roman" w:hAnsi="Times New Roman" w:eastAsia="宋体" w:cs="Times New Roman"/>
                <w:b/>
                <w:color w:val="000000" w:themeColor="text1"/>
                <w:kern w:val="2"/>
                <w:sz w:val="21"/>
                <w:szCs w:val="21"/>
                <w14:textFill>
                  <w14:solidFill>
                    <w14:schemeClr w14:val="tx1"/>
                  </w14:solidFill>
                </w14:textFill>
              </w:rPr>
              <w:t>评价工作等级</w:t>
            </w:r>
          </w:p>
        </w:tc>
        <w:tc>
          <w:tcPr>
            <w:tcW w:w="4824" w:type="dxa"/>
            <w:noWrap w:val="0"/>
            <w:vAlign w:val="center"/>
          </w:tcPr>
          <w:p w14:paraId="0373CD10">
            <w:pPr>
              <w:widowControl w:val="0"/>
              <w:adjustRightInd w:val="0"/>
              <w:snapToGrid w:val="0"/>
              <w:jc w:val="center"/>
              <w:rPr>
                <w:rFonts w:ascii="Times New Roman" w:hAnsi="Times New Roman" w:eastAsia="宋体" w:cs="Times New Roman"/>
                <w:b/>
                <w:color w:val="000000" w:themeColor="text1"/>
                <w:kern w:val="2"/>
                <w:sz w:val="21"/>
                <w:szCs w:val="21"/>
                <w14:textFill>
                  <w14:solidFill>
                    <w14:schemeClr w14:val="tx1"/>
                  </w14:solidFill>
                </w14:textFill>
              </w:rPr>
            </w:pPr>
            <w:r>
              <w:rPr>
                <w:rFonts w:ascii="Times New Roman" w:hAnsi="Times New Roman" w:eastAsia="宋体" w:cs="Times New Roman"/>
                <w:b/>
                <w:color w:val="000000" w:themeColor="text1"/>
                <w:kern w:val="2"/>
                <w:sz w:val="21"/>
                <w:szCs w:val="21"/>
                <w14:textFill>
                  <w14:solidFill>
                    <w14:schemeClr w14:val="tx1"/>
                  </w14:solidFill>
                </w14:textFill>
              </w:rPr>
              <w:t>评价工作分级判据</w:t>
            </w:r>
          </w:p>
        </w:tc>
      </w:tr>
      <w:tr w14:paraId="3555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56" w:type="dxa"/>
            <w:noWrap w:val="0"/>
            <w:vAlign w:val="center"/>
          </w:tcPr>
          <w:p w14:paraId="0D9C78E9">
            <w:pPr>
              <w:widowControl w:val="0"/>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ascii="Times New Roman" w:hAnsi="Times New Roman" w:eastAsia="宋体" w:cs="Times New Roman"/>
                <w:color w:val="000000" w:themeColor="text1"/>
                <w:kern w:val="2"/>
                <w:sz w:val="21"/>
                <w:szCs w:val="21"/>
                <w14:textFill>
                  <w14:solidFill>
                    <w14:schemeClr w14:val="tx1"/>
                  </w14:solidFill>
                </w14:textFill>
              </w:rPr>
              <w:t>一级评价</w:t>
            </w:r>
          </w:p>
        </w:tc>
        <w:tc>
          <w:tcPr>
            <w:tcW w:w="4824" w:type="dxa"/>
            <w:noWrap w:val="0"/>
            <w:vAlign w:val="center"/>
          </w:tcPr>
          <w:p w14:paraId="12236301">
            <w:pPr>
              <w:widowControl w:val="0"/>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ascii="Times New Roman" w:hAnsi="Times New Roman" w:eastAsia="宋体" w:cs="Times New Roman"/>
                <w:color w:val="000000" w:themeColor="text1"/>
                <w:kern w:val="2"/>
                <w:sz w:val="21"/>
                <w:szCs w:val="21"/>
                <w14:textFill>
                  <w14:solidFill>
                    <w14:schemeClr w14:val="tx1"/>
                  </w14:solidFill>
                </w14:textFill>
              </w:rPr>
              <w:t>Pmax≧10%</w:t>
            </w:r>
          </w:p>
        </w:tc>
      </w:tr>
      <w:tr w14:paraId="26CDD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56" w:type="dxa"/>
            <w:noWrap w:val="0"/>
            <w:vAlign w:val="center"/>
          </w:tcPr>
          <w:p w14:paraId="1A56E88D">
            <w:pPr>
              <w:widowControl w:val="0"/>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ascii="Times New Roman" w:hAnsi="Times New Roman" w:eastAsia="宋体" w:cs="Times New Roman"/>
                <w:color w:val="000000" w:themeColor="text1"/>
                <w:kern w:val="2"/>
                <w:sz w:val="21"/>
                <w:szCs w:val="21"/>
                <w14:textFill>
                  <w14:solidFill>
                    <w14:schemeClr w14:val="tx1"/>
                  </w14:solidFill>
                </w14:textFill>
              </w:rPr>
              <w:t>二级评价</w:t>
            </w:r>
          </w:p>
        </w:tc>
        <w:tc>
          <w:tcPr>
            <w:tcW w:w="4824" w:type="dxa"/>
            <w:noWrap w:val="0"/>
            <w:vAlign w:val="center"/>
          </w:tcPr>
          <w:p w14:paraId="23FDBB9C">
            <w:pPr>
              <w:widowControl w:val="0"/>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ascii="Times New Roman" w:hAnsi="Times New Roman" w:eastAsia="宋体" w:cs="Times New Roman"/>
                <w:color w:val="000000" w:themeColor="text1"/>
                <w:kern w:val="2"/>
                <w:sz w:val="21"/>
                <w:szCs w:val="21"/>
                <w14:textFill>
                  <w14:solidFill>
                    <w14:schemeClr w14:val="tx1"/>
                  </w14:solidFill>
                </w14:textFill>
              </w:rPr>
              <w:t>1%≦Pmax&lt;10%</w:t>
            </w:r>
          </w:p>
        </w:tc>
      </w:tr>
      <w:tr w14:paraId="6C19C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56" w:type="dxa"/>
            <w:noWrap w:val="0"/>
            <w:vAlign w:val="center"/>
          </w:tcPr>
          <w:p w14:paraId="1CC87F33">
            <w:pPr>
              <w:widowControl w:val="0"/>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ascii="Times New Roman" w:hAnsi="Times New Roman" w:eastAsia="宋体" w:cs="Times New Roman"/>
                <w:color w:val="000000" w:themeColor="text1"/>
                <w:kern w:val="2"/>
                <w:sz w:val="21"/>
                <w:szCs w:val="21"/>
                <w14:textFill>
                  <w14:solidFill>
                    <w14:schemeClr w14:val="tx1"/>
                  </w14:solidFill>
                </w14:textFill>
              </w:rPr>
              <w:t>三级评价</w:t>
            </w:r>
          </w:p>
        </w:tc>
        <w:tc>
          <w:tcPr>
            <w:tcW w:w="4824" w:type="dxa"/>
            <w:noWrap w:val="0"/>
            <w:vAlign w:val="center"/>
          </w:tcPr>
          <w:p w14:paraId="6BE99178">
            <w:pPr>
              <w:widowControl w:val="0"/>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ascii="Times New Roman" w:hAnsi="Times New Roman" w:eastAsia="宋体" w:cs="Times New Roman"/>
                <w:color w:val="000000" w:themeColor="text1"/>
                <w:kern w:val="2"/>
                <w:sz w:val="21"/>
                <w:szCs w:val="21"/>
                <w14:textFill>
                  <w14:solidFill>
                    <w14:schemeClr w14:val="tx1"/>
                  </w14:solidFill>
                </w14:textFill>
              </w:rPr>
              <w:t>Pmax&lt;1%</w:t>
            </w:r>
          </w:p>
        </w:tc>
      </w:tr>
    </w:tbl>
    <w:p w14:paraId="23C888F9">
      <w:pPr>
        <w:widowControl/>
        <w:adjustRightInd w:val="0"/>
        <w:snapToGrid w:val="0"/>
        <w:spacing w:line="360" w:lineRule="auto"/>
        <w:ind w:firstLine="422"/>
        <w:jc w:val="left"/>
        <w:rPr>
          <w:rFonts w:ascii="Times New Roman" w:hAnsi="Times New Roman" w:eastAsia="宋体" w:cs="Times New Roman"/>
          <w:b/>
          <w:bCs/>
          <w:color w:val="000000" w:themeColor="text1"/>
          <w:kern w:val="0"/>
          <w:sz w:val="24"/>
          <w:szCs w:val="20"/>
          <w14:textFill>
            <w14:solidFill>
              <w14:schemeClr w14:val="tx1"/>
            </w14:solidFill>
          </w14:textFill>
        </w:rPr>
      </w:pPr>
      <w:r>
        <w:rPr>
          <w:rFonts w:ascii="Times New Roman" w:hAnsi="Times New Roman" w:eastAsia="宋体" w:cs="Times New Roman"/>
          <w:b/>
          <w:bCs/>
          <w:color w:val="000000" w:themeColor="text1"/>
          <w:kern w:val="0"/>
          <w:sz w:val="24"/>
          <w:szCs w:val="20"/>
          <w14:textFill>
            <w14:solidFill>
              <w14:schemeClr w14:val="tx1"/>
            </w14:solidFill>
          </w14:textFill>
        </w:rPr>
        <w:t>（</w:t>
      </w:r>
      <w:r>
        <w:rPr>
          <w:rFonts w:hint="eastAsia" w:ascii="Times New Roman" w:hAnsi="Times New Roman" w:eastAsia="宋体" w:cs="Times New Roman"/>
          <w:b/>
          <w:bCs/>
          <w:color w:val="000000" w:themeColor="text1"/>
          <w:kern w:val="0"/>
          <w:sz w:val="24"/>
          <w:szCs w:val="20"/>
          <w:lang w:val="en-US" w:eastAsia="zh-CN"/>
          <w14:textFill>
            <w14:solidFill>
              <w14:schemeClr w14:val="tx1"/>
            </w14:solidFill>
          </w14:textFill>
        </w:rPr>
        <w:t>3</w:t>
      </w:r>
      <w:r>
        <w:rPr>
          <w:rFonts w:ascii="Times New Roman" w:hAnsi="Times New Roman" w:eastAsia="宋体" w:cs="Times New Roman"/>
          <w:b/>
          <w:bCs/>
          <w:color w:val="000000" w:themeColor="text1"/>
          <w:kern w:val="0"/>
          <w:sz w:val="24"/>
          <w:szCs w:val="20"/>
          <w14:textFill>
            <w14:solidFill>
              <w14:schemeClr w14:val="tx1"/>
            </w14:solidFill>
          </w14:textFill>
        </w:rPr>
        <w:t>）项目参数</w:t>
      </w:r>
    </w:p>
    <w:p w14:paraId="621506C0">
      <w:pPr>
        <w:widowControl/>
        <w:adjustRightInd w:val="0"/>
        <w:snapToGrid w:val="0"/>
        <w:spacing w:line="360" w:lineRule="auto"/>
        <w:ind w:firstLine="422"/>
        <w:jc w:val="left"/>
        <w:rPr>
          <w:rFonts w:ascii="Times New Roman" w:hAnsi="Times New Roman" w:eastAsia="宋体" w:cs="Times New Roman"/>
          <w:color w:val="000000" w:themeColor="text1"/>
          <w:kern w:val="0"/>
          <w:sz w:val="24"/>
          <w:szCs w:val="20"/>
          <w14:textFill>
            <w14:solidFill>
              <w14:schemeClr w14:val="tx1"/>
            </w14:solidFill>
          </w14:textFill>
        </w:rPr>
      </w:pPr>
      <w:r>
        <w:rPr>
          <w:rFonts w:ascii="Times New Roman" w:hAnsi="Times New Roman" w:eastAsia="宋体" w:cs="Times New Roman"/>
          <w:color w:val="000000" w:themeColor="text1"/>
          <w:kern w:val="0"/>
          <w:sz w:val="24"/>
          <w:szCs w:val="20"/>
          <w14:textFill>
            <w14:solidFill>
              <w14:schemeClr w14:val="tx1"/>
            </w14:solidFill>
          </w14:textFill>
        </w:rPr>
        <w:t>估算模式所用参数见下表。</w:t>
      </w:r>
    </w:p>
    <w:p w14:paraId="39A5992E">
      <w:pPr>
        <w:widowControl w:val="0"/>
        <w:adjustRightInd w:val="0"/>
        <w:snapToGrid w:val="0"/>
        <w:jc w:val="center"/>
        <w:rPr>
          <w:rFonts w:ascii="Times New Roman" w:hAnsi="Times New Roman" w:eastAsia="宋体" w:cs="Times New Roman"/>
          <w:b/>
          <w:color w:val="000000" w:themeColor="text1"/>
          <w:kern w:val="2"/>
          <w:sz w:val="21"/>
          <w:szCs w:val="16"/>
          <w14:textFill>
            <w14:solidFill>
              <w14:schemeClr w14:val="tx1"/>
            </w14:solidFill>
          </w14:textFill>
        </w:rPr>
      </w:pPr>
      <w:r>
        <w:rPr>
          <w:rFonts w:ascii="Times New Roman" w:hAnsi="Times New Roman" w:eastAsia="宋体" w:cs="Times New Roman"/>
          <w:b/>
          <w:color w:val="000000" w:themeColor="text1"/>
          <w:kern w:val="2"/>
          <w:sz w:val="21"/>
          <w:szCs w:val="16"/>
          <w14:textFill>
            <w14:solidFill>
              <w14:schemeClr w14:val="tx1"/>
            </w14:solidFill>
          </w14:textFill>
        </w:rPr>
        <w:t>表1.</w:t>
      </w:r>
      <w:r>
        <w:rPr>
          <w:rFonts w:hint="eastAsia" w:ascii="Times New Roman" w:hAnsi="Times New Roman" w:eastAsia="宋体" w:cs="Times New Roman"/>
          <w:b/>
          <w:color w:val="000000" w:themeColor="text1"/>
          <w:kern w:val="2"/>
          <w:sz w:val="21"/>
          <w:szCs w:val="16"/>
          <w:lang w:val="en-US" w:eastAsia="zh-CN"/>
          <w14:textFill>
            <w14:solidFill>
              <w14:schemeClr w14:val="tx1"/>
            </w14:solidFill>
          </w14:textFill>
        </w:rPr>
        <w:t>5</w:t>
      </w:r>
      <w:r>
        <w:rPr>
          <w:rFonts w:ascii="Times New Roman" w:hAnsi="Times New Roman" w:eastAsia="宋体" w:cs="Times New Roman"/>
          <w:b/>
          <w:color w:val="000000" w:themeColor="text1"/>
          <w:kern w:val="2"/>
          <w:sz w:val="21"/>
          <w:szCs w:val="16"/>
          <w14:textFill>
            <w14:solidFill>
              <w14:schemeClr w14:val="tx1"/>
            </w14:solidFill>
          </w14:textFill>
        </w:rPr>
        <w:t>-</w:t>
      </w:r>
      <w:r>
        <w:rPr>
          <w:rFonts w:hint="eastAsia" w:ascii="Times New Roman" w:hAnsi="Times New Roman" w:eastAsia="宋体" w:cs="Times New Roman"/>
          <w:b/>
          <w:color w:val="000000" w:themeColor="text1"/>
          <w:kern w:val="2"/>
          <w:sz w:val="21"/>
          <w:szCs w:val="16"/>
          <w:lang w:val="en-US" w:eastAsia="zh-CN"/>
          <w14:textFill>
            <w14:solidFill>
              <w14:schemeClr w14:val="tx1"/>
            </w14:solidFill>
          </w14:textFill>
        </w:rPr>
        <w:t>2</w:t>
      </w:r>
      <w:r>
        <w:rPr>
          <w:rFonts w:ascii="Times New Roman" w:hAnsi="Times New Roman" w:eastAsia="宋体" w:cs="Times New Roman"/>
          <w:b/>
          <w:color w:val="000000" w:themeColor="text1"/>
          <w:kern w:val="2"/>
          <w:sz w:val="21"/>
          <w:szCs w:val="16"/>
          <w14:textFill>
            <w14:solidFill>
              <w14:schemeClr w14:val="tx1"/>
            </w14:solidFill>
          </w14:textFill>
        </w:rPr>
        <w:t xml:space="preserve">  估算模型参数表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0"/>
        <w:gridCol w:w="2641"/>
        <w:gridCol w:w="3685"/>
      </w:tblGrid>
      <w:tr w14:paraId="2B156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71" w:type="dxa"/>
            <w:gridSpan w:val="2"/>
            <w:noWrap w:val="0"/>
            <w:vAlign w:val="center"/>
          </w:tcPr>
          <w:p w14:paraId="50D0FCD9">
            <w:pPr>
              <w:widowControl w:val="0"/>
              <w:adjustRightInd w:val="0"/>
              <w:snapToGrid w:val="0"/>
              <w:jc w:val="center"/>
              <w:rPr>
                <w:rFonts w:ascii="Times New Roman" w:hAnsi="Times New Roman" w:eastAsia="宋体" w:cs="Times New Roman"/>
                <w:b/>
                <w:color w:val="000000" w:themeColor="text1"/>
                <w:kern w:val="0"/>
                <w:sz w:val="21"/>
                <w:szCs w:val="20"/>
                <w14:textFill>
                  <w14:solidFill>
                    <w14:schemeClr w14:val="tx1"/>
                  </w14:solidFill>
                </w14:textFill>
              </w:rPr>
            </w:pPr>
            <w:r>
              <w:rPr>
                <w:rFonts w:ascii="Times New Roman" w:hAnsi="Times New Roman" w:eastAsia="宋体" w:cs="Times New Roman"/>
                <w:b/>
                <w:color w:val="000000" w:themeColor="text1"/>
                <w:kern w:val="0"/>
                <w:sz w:val="21"/>
                <w:szCs w:val="20"/>
                <w14:textFill>
                  <w14:solidFill>
                    <w14:schemeClr w14:val="tx1"/>
                  </w14:solidFill>
                </w14:textFill>
              </w:rPr>
              <w:t>参数</w:t>
            </w:r>
          </w:p>
        </w:tc>
        <w:tc>
          <w:tcPr>
            <w:tcW w:w="3685" w:type="dxa"/>
            <w:noWrap w:val="0"/>
            <w:vAlign w:val="center"/>
          </w:tcPr>
          <w:p w14:paraId="26771017">
            <w:pPr>
              <w:widowControl w:val="0"/>
              <w:adjustRightInd w:val="0"/>
              <w:snapToGrid w:val="0"/>
              <w:jc w:val="center"/>
              <w:rPr>
                <w:rFonts w:ascii="Times New Roman" w:hAnsi="Times New Roman" w:eastAsia="宋体" w:cs="Times New Roman"/>
                <w:b/>
                <w:color w:val="000000" w:themeColor="text1"/>
                <w:kern w:val="0"/>
                <w:sz w:val="21"/>
                <w:szCs w:val="20"/>
                <w14:textFill>
                  <w14:solidFill>
                    <w14:schemeClr w14:val="tx1"/>
                  </w14:solidFill>
                </w14:textFill>
              </w:rPr>
            </w:pPr>
            <w:r>
              <w:rPr>
                <w:rFonts w:ascii="Times New Roman" w:hAnsi="Times New Roman" w:eastAsia="宋体" w:cs="Times New Roman"/>
                <w:b/>
                <w:color w:val="000000" w:themeColor="text1"/>
                <w:kern w:val="0"/>
                <w:sz w:val="21"/>
                <w:szCs w:val="20"/>
                <w14:textFill>
                  <w14:solidFill>
                    <w14:schemeClr w14:val="tx1"/>
                  </w14:solidFill>
                </w14:textFill>
              </w:rPr>
              <w:t>取值</w:t>
            </w:r>
          </w:p>
        </w:tc>
      </w:tr>
      <w:tr w14:paraId="482CD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0" w:type="dxa"/>
            <w:vMerge w:val="restart"/>
            <w:noWrap w:val="0"/>
            <w:vAlign w:val="center"/>
          </w:tcPr>
          <w:p w14:paraId="6FA7D8DA">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城市农村/选项</w:t>
            </w:r>
          </w:p>
        </w:tc>
        <w:tc>
          <w:tcPr>
            <w:tcW w:w="2641" w:type="dxa"/>
            <w:noWrap w:val="0"/>
            <w:vAlign w:val="center"/>
          </w:tcPr>
          <w:p w14:paraId="2BEF2F79">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城市/农村</w:t>
            </w:r>
          </w:p>
        </w:tc>
        <w:tc>
          <w:tcPr>
            <w:tcW w:w="3685" w:type="dxa"/>
            <w:noWrap w:val="0"/>
            <w:vAlign w:val="center"/>
          </w:tcPr>
          <w:p w14:paraId="5A1B9522">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hint="eastAsia" w:cs="Times New Roman"/>
                <w:color w:val="000000" w:themeColor="text1"/>
                <w:kern w:val="0"/>
                <w:sz w:val="21"/>
                <w:szCs w:val="20"/>
                <w:lang w:val="en-US" w:eastAsia="zh-CN"/>
                <w14:textFill>
                  <w14:solidFill>
                    <w14:schemeClr w14:val="tx1"/>
                  </w14:solidFill>
                </w14:textFill>
              </w:rPr>
              <w:t>农村</w:t>
            </w:r>
          </w:p>
        </w:tc>
      </w:tr>
      <w:tr w14:paraId="5CCDF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0" w:type="dxa"/>
            <w:vMerge w:val="continue"/>
            <w:noWrap w:val="0"/>
            <w:vAlign w:val="center"/>
          </w:tcPr>
          <w:p w14:paraId="67484DF4">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p>
        </w:tc>
        <w:tc>
          <w:tcPr>
            <w:tcW w:w="2641" w:type="dxa"/>
            <w:noWrap w:val="0"/>
            <w:vAlign w:val="center"/>
          </w:tcPr>
          <w:p w14:paraId="265E432A">
            <w:pPr>
              <w:widowControl w:val="0"/>
              <w:adjustRightInd w:val="0"/>
              <w:snapToGrid w:val="0"/>
              <w:jc w:val="center"/>
              <w:rPr>
                <w:rFonts w:hint="eastAsia" w:ascii="Times New Roman" w:hAnsi="Times New Roman" w:eastAsia="宋体" w:cs="Times New Roman"/>
                <w:color w:val="000000" w:themeColor="text1"/>
                <w:kern w:val="0"/>
                <w:sz w:val="21"/>
                <w:szCs w:val="20"/>
                <w:lang w:eastAsia="zh-CN"/>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人口数</w:t>
            </w:r>
            <w:r>
              <w:rPr>
                <w:rFonts w:hint="eastAsia" w:cs="Times New Roman"/>
                <w:color w:val="000000" w:themeColor="text1"/>
                <w:kern w:val="0"/>
                <w:sz w:val="21"/>
                <w:szCs w:val="20"/>
                <w:lang w:eastAsia="zh-CN"/>
                <w14:textFill>
                  <w14:solidFill>
                    <w14:schemeClr w14:val="tx1"/>
                  </w14:solidFill>
                </w14:textFill>
              </w:rPr>
              <w:t>（</w:t>
            </w:r>
            <w:r>
              <w:rPr>
                <w:rFonts w:ascii="Times New Roman" w:hAnsi="Times New Roman" w:eastAsia="宋体" w:cs="Times New Roman"/>
                <w:color w:val="000000" w:themeColor="text1"/>
                <w:kern w:val="0"/>
                <w:sz w:val="21"/>
                <w:szCs w:val="20"/>
                <w14:textFill>
                  <w14:solidFill>
                    <w14:schemeClr w14:val="tx1"/>
                  </w14:solidFill>
                </w14:textFill>
              </w:rPr>
              <w:t>城市人口数</w:t>
            </w:r>
            <w:r>
              <w:rPr>
                <w:rFonts w:hint="eastAsia" w:cs="Times New Roman"/>
                <w:color w:val="000000" w:themeColor="text1"/>
                <w:kern w:val="0"/>
                <w:sz w:val="21"/>
                <w:szCs w:val="20"/>
                <w:lang w:eastAsia="zh-CN"/>
                <w14:textFill>
                  <w14:solidFill>
                    <w14:schemeClr w14:val="tx1"/>
                  </w14:solidFill>
                </w14:textFill>
              </w:rPr>
              <w:t>）</w:t>
            </w:r>
          </w:p>
        </w:tc>
        <w:tc>
          <w:tcPr>
            <w:tcW w:w="3685" w:type="dxa"/>
            <w:noWrap w:val="0"/>
            <w:vAlign w:val="center"/>
          </w:tcPr>
          <w:p w14:paraId="0656A591">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hint="eastAsia" w:cs="Times New Roman"/>
                <w:color w:val="000000" w:themeColor="text1"/>
                <w:kern w:val="0"/>
                <w:sz w:val="21"/>
                <w:szCs w:val="20"/>
                <w:lang w:val="en-US" w:eastAsia="zh-CN"/>
                <w14:textFill>
                  <w14:solidFill>
                    <w14:schemeClr w14:val="tx1"/>
                  </w14:solidFill>
                </w14:textFill>
              </w:rPr>
              <w:t>/</w:t>
            </w:r>
          </w:p>
        </w:tc>
      </w:tr>
      <w:tr w14:paraId="26F9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71" w:type="dxa"/>
            <w:gridSpan w:val="2"/>
            <w:noWrap w:val="0"/>
            <w:vAlign w:val="center"/>
          </w:tcPr>
          <w:p w14:paraId="453B8771">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最高环境温度</w:t>
            </w:r>
          </w:p>
        </w:tc>
        <w:tc>
          <w:tcPr>
            <w:tcW w:w="3685" w:type="dxa"/>
            <w:noWrap w:val="0"/>
            <w:vAlign w:val="center"/>
          </w:tcPr>
          <w:p w14:paraId="36222B19">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35.</w:t>
            </w:r>
            <w:r>
              <w:rPr>
                <w:rFonts w:hint="eastAsia" w:cs="Times New Roman"/>
                <w:color w:val="000000" w:themeColor="text1"/>
                <w:kern w:val="0"/>
                <w:sz w:val="21"/>
                <w:szCs w:val="20"/>
                <w:lang w:val="en-US" w:eastAsia="zh-CN"/>
                <w14:textFill>
                  <w14:solidFill>
                    <w14:schemeClr w14:val="tx1"/>
                  </w14:solidFill>
                </w14:textFill>
              </w:rPr>
              <w:t>6</w:t>
            </w:r>
            <w:r>
              <w:rPr>
                <w:rFonts w:ascii="Times New Roman" w:hAnsi="Times New Roman" w:eastAsia="宋体" w:cs="Times New Roman"/>
                <w:color w:val="000000" w:themeColor="text1"/>
                <w:kern w:val="0"/>
                <w:sz w:val="21"/>
                <w:szCs w:val="20"/>
                <w14:textFill>
                  <w14:solidFill>
                    <w14:schemeClr w14:val="tx1"/>
                  </w14:solidFill>
                </w14:textFill>
              </w:rPr>
              <w:t>°C</w:t>
            </w:r>
          </w:p>
        </w:tc>
      </w:tr>
      <w:tr w14:paraId="5FBA5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71" w:type="dxa"/>
            <w:gridSpan w:val="2"/>
            <w:noWrap w:val="0"/>
            <w:vAlign w:val="center"/>
          </w:tcPr>
          <w:p w14:paraId="73266A33">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最低环境温度</w:t>
            </w:r>
          </w:p>
        </w:tc>
        <w:tc>
          <w:tcPr>
            <w:tcW w:w="3685" w:type="dxa"/>
            <w:noWrap w:val="0"/>
            <w:vAlign w:val="center"/>
          </w:tcPr>
          <w:p w14:paraId="3845F6C0">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-2.7°C</w:t>
            </w:r>
          </w:p>
        </w:tc>
      </w:tr>
      <w:tr w14:paraId="1DCA9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71" w:type="dxa"/>
            <w:gridSpan w:val="2"/>
            <w:noWrap w:val="0"/>
            <w:vAlign w:val="center"/>
          </w:tcPr>
          <w:p w14:paraId="51173C34">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土地利用类型</w:t>
            </w:r>
          </w:p>
        </w:tc>
        <w:tc>
          <w:tcPr>
            <w:tcW w:w="3685" w:type="dxa"/>
            <w:noWrap w:val="0"/>
            <w:vAlign w:val="center"/>
          </w:tcPr>
          <w:p w14:paraId="0041159E">
            <w:pPr>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hint="eastAsia" w:cs="Times New Roman"/>
                <w:color w:val="000000" w:themeColor="text1"/>
                <w:kern w:val="0"/>
                <w:sz w:val="21"/>
                <w:szCs w:val="20"/>
                <w:lang w:val="en-US" w:eastAsia="zh-CN"/>
                <w14:textFill>
                  <w14:solidFill>
                    <w14:schemeClr w14:val="tx1"/>
                  </w14:solidFill>
                </w14:textFill>
              </w:rPr>
              <w:t>针叶林</w:t>
            </w:r>
          </w:p>
        </w:tc>
      </w:tr>
      <w:tr w14:paraId="194E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71" w:type="dxa"/>
            <w:gridSpan w:val="2"/>
            <w:noWrap w:val="0"/>
            <w:vAlign w:val="center"/>
          </w:tcPr>
          <w:p w14:paraId="1AF58008">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区域湿度条件</w:t>
            </w:r>
          </w:p>
        </w:tc>
        <w:tc>
          <w:tcPr>
            <w:tcW w:w="3685" w:type="dxa"/>
            <w:noWrap w:val="0"/>
            <w:vAlign w:val="center"/>
          </w:tcPr>
          <w:p w14:paraId="2E65A035">
            <w:pPr>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潮湿</w:t>
            </w:r>
          </w:p>
        </w:tc>
      </w:tr>
      <w:tr w14:paraId="3DE6E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0" w:type="dxa"/>
            <w:vMerge w:val="restart"/>
            <w:noWrap w:val="0"/>
            <w:vAlign w:val="center"/>
          </w:tcPr>
          <w:p w14:paraId="7429C3D8">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是否考虑地形</w:t>
            </w:r>
          </w:p>
        </w:tc>
        <w:tc>
          <w:tcPr>
            <w:tcW w:w="2641" w:type="dxa"/>
            <w:noWrap w:val="0"/>
            <w:vAlign w:val="center"/>
          </w:tcPr>
          <w:p w14:paraId="20E0EFFE">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考虑地形</w:t>
            </w:r>
          </w:p>
        </w:tc>
        <w:tc>
          <w:tcPr>
            <w:tcW w:w="3685" w:type="dxa"/>
            <w:noWrap w:val="0"/>
            <w:vAlign w:val="center"/>
          </w:tcPr>
          <w:p w14:paraId="38633E29">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是</w:t>
            </w:r>
          </w:p>
        </w:tc>
      </w:tr>
      <w:tr w14:paraId="751A2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0" w:type="dxa"/>
            <w:vMerge w:val="continue"/>
            <w:noWrap w:val="0"/>
            <w:vAlign w:val="center"/>
          </w:tcPr>
          <w:p w14:paraId="2ECC34DE">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p>
        </w:tc>
        <w:tc>
          <w:tcPr>
            <w:tcW w:w="2641" w:type="dxa"/>
            <w:noWrap w:val="0"/>
            <w:vAlign w:val="center"/>
          </w:tcPr>
          <w:p w14:paraId="25C96CD7">
            <w:pPr>
              <w:widowControl w:val="0"/>
              <w:adjustRightInd w:val="0"/>
              <w:snapToGrid w:val="0"/>
              <w:jc w:val="center"/>
              <w:rPr>
                <w:rFonts w:hint="eastAsia" w:ascii="Times New Roman" w:hAnsi="Times New Roman" w:eastAsia="宋体" w:cs="Times New Roman"/>
                <w:color w:val="000000" w:themeColor="text1"/>
                <w:kern w:val="0"/>
                <w:sz w:val="21"/>
                <w:szCs w:val="20"/>
                <w:lang w:eastAsia="zh-CN"/>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地形数据分辨率</w:t>
            </w:r>
            <w:r>
              <w:rPr>
                <w:rFonts w:hint="eastAsia" w:cs="Times New Roman"/>
                <w:color w:val="000000" w:themeColor="text1"/>
                <w:kern w:val="0"/>
                <w:sz w:val="21"/>
                <w:szCs w:val="20"/>
                <w:lang w:eastAsia="zh-CN"/>
                <w14:textFill>
                  <w14:solidFill>
                    <w14:schemeClr w14:val="tx1"/>
                  </w14:solidFill>
                </w14:textFill>
              </w:rPr>
              <w:t>（</w:t>
            </w:r>
            <w:r>
              <w:rPr>
                <w:rFonts w:ascii="Times New Roman" w:hAnsi="Times New Roman" w:eastAsia="宋体" w:cs="Times New Roman"/>
                <w:color w:val="000000" w:themeColor="text1"/>
                <w:kern w:val="0"/>
                <w:sz w:val="21"/>
                <w:szCs w:val="20"/>
                <w14:textFill>
                  <w14:solidFill>
                    <w14:schemeClr w14:val="tx1"/>
                  </w14:solidFill>
                </w14:textFill>
              </w:rPr>
              <w:t>m</w:t>
            </w:r>
            <w:r>
              <w:rPr>
                <w:rFonts w:hint="eastAsia" w:cs="Times New Roman"/>
                <w:color w:val="000000" w:themeColor="text1"/>
                <w:kern w:val="0"/>
                <w:sz w:val="21"/>
                <w:szCs w:val="20"/>
                <w:lang w:eastAsia="zh-CN"/>
                <w14:textFill>
                  <w14:solidFill>
                    <w14:schemeClr w14:val="tx1"/>
                  </w14:solidFill>
                </w14:textFill>
              </w:rPr>
              <w:t>）</w:t>
            </w:r>
          </w:p>
        </w:tc>
        <w:tc>
          <w:tcPr>
            <w:tcW w:w="3685" w:type="dxa"/>
            <w:noWrap w:val="0"/>
            <w:vAlign w:val="center"/>
          </w:tcPr>
          <w:p w14:paraId="461037E6">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90</w:t>
            </w:r>
          </w:p>
        </w:tc>
      </w:tr>
      <w:tr w14:paraId="7CAAD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0" w:type="dxa"/>
            <w:vMerge w:val="restart"/>
            <w:noWrap w:val="0"/>
            <w:vAlign w:val="center"/>
          </w:tcPr>
          <w:p w14:paraId="42D95CB5">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是否考虑海岸线熏烟</w:t>
            </w:r>
          </w:p>
        </w:tc>
        <w:tc>
          <w:tcPr>
            <w:tcW w:w="2641" w:type="dxa"/>
            <w:noWrap w:val="0"/>
            <w:vAlign w:val="center"/>
          </w:tcPr>
          <w:p w14:paraId="080B71DC">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考虑海岸线熏烟</w:t>
            </w:r>
          </w:p>
        </w:tc>
        <w:tc>
          <w:tcPr>
            <w:tcW w:w="3685" w:type="dxa"/>
            <w:noWrap w:val="0"/>
            <w:vAlign w:val="center"/>
          </w:tcPr>
          <w:p w14:paraId="7208829E">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否</w:t>
            </w:r>
          </w:p>
        </w:tc>
      </w:tr>
      <w:tr w14:paraId="1BAB2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0" w:type="dxa"/>
            <w:vMerge w:val="continue"/>
            <w:noWrap w:val="0"/>
            <w:vAlign w:val="center"/>
          </w:tcPr>
          <w:p w14:paraId="4A4D3D96">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p>
        </w:tc>
        <w:tc>
          <w:tcPr>
            <w:tcW w:w="2641" w:type="dxa"/>
            <w:noWrap w:val="0"/>
            <w:vAlign w:val="center"/>
          </w:tcPr>
          <w:p w14:paraId="7987059D">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海岸线距离/km</w:t>
            </w:r>
          </w:p>
        </w:tc>
        <w:tc>
          <w:tcPr>
            <w:tcW w:w="3685" w:type="dxa"/>
            <w:noWrap w:val="0"/>
            <w:vAlign w:val="center"/>
          </w:tcPr>
          <w:p w14:paraId="5EDD61C2">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w:t>
            </w:r>
          </w:p>
        </w:tc>
      </w:tr>
      <w:tr w14:paraId="13BE4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0" w:type="dxa"/>
            <w:vMerge w:val="continue"/>
            <w:noWrap w:val="0"/>
            <w:vAlign w:val="center"/>
          </w:tcPr>
          <w:p w14:paraId="1AB310B3">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p>
        </w:tc>
        <w:tc>
          <w:tcPr>
            <w:tcW w:w="2641" w:type="dxa"/>
            <w:noWrap w:val="0"/>
            <w:vAlign w:val="center"/>
          </w:tcPr>
          <w:p w14:paraId="54C7C638">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海岸线方向/</w:t>
            </w:r>
            <w:r>
              <w:rPr>
                <w:rFonts w:ascii="Times New Roman" w:hAnsi="Times New Roman" w:eastAsia="宋体" w:cs="Times New Roman"/>
                <w:color w:val="000000" w:themeColor="text1"/>
                <w:kern w:val="0"/>
                <w:sz w:val="21"/>
                <w:szCs w:val="20"/>
                <w:vertAlign w:val="superscript"/>
                <w14:textFill>
                  <w14:solidFill>
                    <w14:schemeClr w14:val="tx1"/>
                  </w14:solidFill>
                </w14:textFill>
              </w:rPr>
              <w:t>o</w:t>
            </w:r>
          </w:p>
        </w:tc>
        <w:tc>
          <w:tcPr>
            <w:tcW w:w="3685" w:type="dxa"/>
            <w:noWrap w:val="0"/>
            <w:vAlign w:val="center"/>
          </w:tcPr>
          <w:p w14:paraId="43EE6DDE">
            <w:pPr>
              <w:widowControl w:val="0"/>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w:t>
            </w:r>
          </w:p>
        </w:tc>
      </w:tr>
      <w:tr w14:paraId="49D0B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56" w:type="dxa"/>
            <w:gridSpan w:val="3"/>
            <w:noWrap w:val="0"/>
            <w:vAlign w:val="center"/>
          </w:tcPr>
          <w:p w14:paraId="20FD7112">
            <w:pPr>
              <w:widowControl w:val="0"/>
              <w:adjustRightInd w:val="0"/>
              <w:snapToGrid w:val="0"/>
              <w:jc w:val="left"/>
              <w:rPr>
                <w:rFonts w:hint="default" w:ascii="Times New Roman" w:hAnsi="Times New Roman" w:eastAsia="宋体" w:cs="Times New Roman"/>
                <w:color w:val="000000" w:themeColor="text1"/>
                <w:kern w:val="0"/>
                <w:sz w:val="21"/>
                <w:szCs w:val="20"/>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0"/>
                <w:lang w:val="en-US" w:eastAsia="zh-CN"/>
                <w14:textFill>
                  <w14:solidFill>
                    <w14:schemeClr w14:val="tx1"/>
                  </w14:solidFill>
                </w14:textFill>
              </w:rPr>
              <w:t>注：城市/农村选项取值：根据附录B.6.1，当项目周边3km半径范围内一半以上面积属于城市建成区或者规划区时，选择城市，否则选择农村。（根据片区土地利用现状图，本项目周边3km半径范围内城市建成区和规划区占地面积为一半以</w:t>
            </w:r>
            <w:r>
              <w:rPr>
                <w:rFonts w:hint="eastAsia" w:ascii="Times New Roman" w:hAnsi="Times New Roman" w:eastAsia="宋体" w:cs="Times New Roman"/>
                <w:color w:val="000000" w:themeColor="text1"/>
                <w:kern w:val="0"/>
                <w:sz w:val="21"/>
                <w:szCs w:val="20"/>
                <w:lang w:val="en-US" w:eastAsia="zh-CN"/>
                <w14:textFill>
                  <w14:solidFill>
                    <w14:schemeClr w14:val="tx1"/>
                  </w14:solidFill>
                </w14:textFill>
              </w:rPr>
              <w:t>下</w:t>
            </w:r>
            <w:r>
              <w:rPr>
                <w:rFonts w:hint="default" w:ascii="Times New Roman" w:hAnsi="Times New Roman" w:eastAsia="宋体" w:cs="Times New Roman"/>
                <w:color w:val="000000" w:themeColor="text1"/>
                <w:kern w:val="0"/>
                <w:sz w:val="21"/>
                <w:szCs w:val="20"/>
                <w:lang w:val="en-US" w:eastAsia="zh-CN"/>
                <w14:textFill>
                  <w14:solidFill>
                    <w14:schemeClr w14:val="tx1"/>
                  </w14:solidFill>
                </w14:textFill>
              </w:rPr>
              <w:t>，故选择</w:t>
            </w:r>
            <w:r>
              <w:rPr>
                <w:rFonts w:hint="eastAsia" w:ascii="Times New Roman" w:hAnsi="Times New Roman" w:eastAsia="宋体" w:cs="Times New Roman"/>
                <w:color w:val="000000" w:themeColor="text1"/>
                <w:kern w:val="0"/>
                <w:sz w:val="21"/>
                <w:szCs w:val="20"/>
                <w:lang w:val="en-US" w:eastAsia="zh-CN"/>
                <w14:textFill>
                  <w14:solidFill>
                    <w14:schemeClr w14:val="tx1"/>
                  </w14:solidFill>
                </w14:textFill>
              </w:rPr>
              <w:t>农村</w:t>
            </w:r>
            <w:r>
              <w:rPr>
                <w:rFonts w:hint="default" w:ascii="Times New Roman" w:hAnsi="Times New Roman" w:eastAsia="宋体" w:cs="Times New Roman"/>
                <w:color w:val="000000" w:themeColor="text1"/>
                <w:kern w:val="0"/>
                <w:sz w:val="21"/>
                <w:szCs w:val="20"/>
                <w:lang w:val="en-US" w:eastAsia="zh-CN"/>
                <w14:textFill>
                  <w14:solidFill>
                    <w14:schemeClr w14:val="tx1"/>
                  </w14:solidFill>
                </w14:textFill>
              </w:rPr>
              <w:t>）。</w:t>
            </w:r>
          </w:p>
          <w:p w14:paraId="15400406">
            <w:pPr>
              <w:widowControl w:val="0"/>
              <w:adjustRightInd w:val="0"/>
              <w:snapToGrid w:val="0"/>
              <w:jc w:val="left"/>
              <w:rPr>
                <w:rFonts w:ascii="Times New Roman" w:hAnsi="Times New Roman" w:eastAsia="宋体" w:cs="Times New Roman"/>
                <w:color w:val="000000" w:themeColor="text1"/>
                <w:kern w:val="0"/>
                <w:sz w:val="21"/>
                <w:szCs w:val="20"/>
                <w14:textFill>
                  <w14:solidFill>
                    <w14:schemeClr w14:val="tx1"/>
                  </w14:solidFill>
                </w14:textFill>
              </w:rPr>
            </w:pPr>
            <w:r>
              <w:rPr>
                <w:rFonts w:hint="default" w:ascii="Times New Roman" w:hAnsi="Times New Roman" w:eastAsia="宋体" w:cs="Times New Roman"/>
                <w:color w:val="000000" w:themeColor="text1"/>
                <w:kern w:val="0"/>
                <w:sz w:val="21"/>
                <w:szCs w:val="20"/>
                <w:lang w:val="en-US" w:eastAsia="zh-CN"/>
                <w14:textFill>
                  <w14:solidFill>
                    <w14:schemeClr w14:val="tx1"/>
                  </w14:solidFill>
                </w14:textFill>
              </w:rPr>
              <w:t>当选择城市时，城市人口数按项目所属城市市级人口或者规划的人口数输入。</w:t>
            </w:r>
          </w:p>
        </w:tc>
      </w:tr>
    </w:tbl>
    <w:p w14:paraId="47B05C5E">
      <w:pPr>
        <w:widowControl/>
        <w:adjustRightInd w:val="0"/>
        <w:snapToGrid w:val="0"/>
        <w:spacing w:line="360" w:lineRule="auto"/>
        <w:ind w:firstLine="422"/>
        <w:jc w:val="left"/>
        <w:rPr>
          <w:rFonts w:ascii="Times New Roman" w:hAnsi="Times New Roman" w:eastAsia="宋体" w:cs="Times New Roman"/>
          <w:b/>
          <w:bCs/>
          <w:color w:val="000000" w:themeColor="text1"/>
          <w:kern w:val="0"/>
          <w:sz w:val="24"/>
          <w:szCs w:val="20"/>
          <w14:textFill>
            <w14:solidFill>
              <w14:schemeClr w14:val="tx1"/>
            </w14:solidFill>
          </w14:textFill>
        </w:rPr>
      </w:pPr>
      <w:r>
        <w:rPr>
          <w:rFonts w:ascii="Times New Roman" w:hAnsi="Times New Roman" w:eastAsia="宋体" w:cs="Times New Roman"/>
          <w:b/>
          <w:bCs/>
          <w:color w:val="000000" w:themeColor="text1"/>
          <w:kern w:val="0"/>
          <w:sz w:val="24"/>
          <w:szCs w:val="20"/>
          <w14:textFill>
            <w14:solidFill>
              <w14:schemeClr w14:val="tx1"/>
            </w14:solidFill>
          </w14:textFill>
        </w:rPr>
        <w:t>（</w:t>
      </w:r>
      <w:r>
        <w:rPr>
          <w:rFonts w:hint="eastAsia" w:ascii="Times New Roman" w:hAnsi="Times New Roman" w:eastAsia="宋体" w:cs="Times New Roman"/>
          <w:b/>
          <w:bCs/>
          <w:color w:val="000000" w:themeColor="text1"/>
          <w:kern w:val="0"/>
          <w:sz w:val="24"/>
          <w:szCs w:val="20"/>
          <w:lang w:val="en-US" w:eastAsia="zh-CN"/>
          <w14:textFill>
            <w14:solidFill>
              <w14:schemeClr w14:val="tx1"/>
            </w14:solidFill>
          </w14:textFill>
        </w:rPr>
        <w:t>4</w:t>
      </w:r>
      <w:r>
        <w:rPr>
          <w:rFonts w:ascii="Times New Roman" w:hAnsi="Times New Roman" w:eastAsia="宋体" w:cs="Times New Roman"/>
          <w:b/>
          <w:bCs/>
          <w:color w:val="000000" w:themeColor="text1"/>
          <w:kern w:val="0"/>
          <w:sz w:val="24"/>
          <w:szCs w:val="20"/>
          <w14:textFill>
            <w14:solidFill>
              <w14:schemeClr w14:val="tx1"/>
            </w14:solidFill>
          </w14:textFill>
        </w:rPr>
        <w:t>）评级工作等级确定</w:t>
      </w:r>
    </w:p>
    <w:p w14:paraId="125E215B">
      <w:pPr>
        <w:widowControl/>
        <w:adjustRightInd w:val="0"/>
        <w:snapToGrid w:val="0"/>
        <w:spacing w:line="360" w:lineRule="auto"/>
        <w:ind w:firstLine="422"/>
        <w:jc w:val="left"/>
        <w:rPr>
          <w:rFonts w:ascii="Times New Roman" w:hAnsi="Times New Roman" w:eastAsia="宋体" w:cs="Times New Roman"/>
          <w:b/>
          <w:color w:val="000000" w:themeColor="text1"/>
          <w:kern w:val="2"/>
          <w:sz w:val="24"/>
          <w:szCs w:val="20"/>
          <w14:textFill>
            <w14:solidFill>
              <w14:schemeClr w14:val="tx1"/>
            </w14:solidFill>
          </w14:textFill>
        </w:rPr>
      </w:pPr>
      <w:r>
        <w:rPr>
          <w:rFonts w:ascii="Times New Roman" w:hAnsi="Times New Roman" w:eastAsia="宋体" w:cs="Times New Roman"/>
          <w:color w:val="000000" w:themeColor="text1"/>
          <w:kern w:val="0"/>
          <w:sz w:val="24"/>
          <w:szCs w:val="20"/>
          <w14:textFill>
            <w14:solidFill>
              <w14:schemeClr w14:val="tx1"/>
            </w14:solidFill>
          </w14:textFill>
        </w:rPr>
        <w:t>本项目所有污染源的正常排放的污染物的P</w:t>
      </w:r>
      <w:r>
        <w:rPr>
          <w:rFonts w:ascii="Times New Roman" w:hAnsi="Times New Roman" w:eastAsia="宋体" w:cs="Times New Roman"/>
          <w:color w:val="000000" w:themeColor="text1"/>
          <w:kern w:val="0"/>
          <w:sz w:val="24"/>
          <w:szCs w:val="20"/>
          <w:vertAlign w:val="subscript"/>
          <w14:textFill>
            <w14:solidFill>
              <w14:schemeClr w14:val="tx1"/>
            </w14:solidFill>
          </w14:textFill>
        </w:rPr>
        <w:t>max</w:t>
      </w:r>
      <w:r>
        <w:rPr>
          <w:rFonts w:ascii="Times New Roman" w:hAnsi="Times New Roman" w:eastAsia="宋体" w:cs="Times New Roman"/>
          <w:color w:val="000000" w:themeColor="text1"/>
          <w:kern w:val="0"/>
          <w:sz w:val="24"/>
          <w:szCs w:val="20"/>
          <w14:textFill>
            <w14:solidFill>
              <w14:schemeClr w14:val="tx1"/>
            </w14:solidFill>
          </w14:textFill>
        </w:rPr>
        <w:t>和D</w:t>
      </w:r>
      <w:r>
        <w:rPr>
          <w:rFonts w:ascii="Times New Roman" w:hAnsi="Times New Roman" w:eastAsia="宋体" w:cs="Times New Roman"/>
          <w:color w:val="000000" w:themeColor="text1"/>
          <w:kern w:val="0"/>
          <w:sz w:val="24"/>
          <w:szCs w:val="20"/>
          <w:vertAlign w:val="subscript"/>
          <w14:textFill>
            <w14:solidFill>
              <w14:schemeClr w14:val="tx1"/>
            </w14:solidFill>
          </w14:textFill>
        </w:rPr>
        <w:t>10%</w:t>
      </w:r>
      <w:r>
        <w:rPr>
          <w:rFonts w:ascii="Times New Roman" w:hAnsi="Times New Roman" w:eastAsia="宋体" w:cs="Times New Roman"/>
          <w:color w:val="000000" w:themeColor="text1"/>
          <w:kern w:val="0"/>
          <w:sz w:val="24"/>
          <w:szCs w:val="20"/>
          <w14:textFill>
            <w14:solidFill>
              <w14:schemeClr w14:val="tx1"/>
            </w14:solidFill>
          </w14:textFill>
        </w:rPr>
        <w:t>预测结果如下：</w:t>
      </w:r>
    </w:p>
    <w:p w14:paraId="603609E8">
      <w:pPr>
        <w:widowControl w:val="0"/>
        <w:adjustRightInd w:val="0"/>
        <w:snapToGrid w:val="0"/>
        <w:jc w:val="center"/>
        <w:rPr>
          <w:rFonts w:ascii="Times New Roman" w:hAnsi="Times New Roman" w:eastAsia="宋体" w:cs="Times New Roman"/>
          <w:b/>
          <w:color w:val="000000" w:themeColor="text1"/>
          <w:kern w:val="2"/>
          <w:sz w:val="21"/>
          <w:szCs w:val="16"/>
          <w14:textFill>
            <w14:solidFill>
              <w14:schemeClr w14:val="tx1"/>
            </w14:solidFill>
          </w14:textFill>
        </w:rPr>
      </w:pPr>
      <w:r>
        <w:rPr>
          <w:rFonts w:ascii="Times New Roman" w:hAnsi="Times New Roman" w:eastAsia="宋体" w:cs="Times New Roman"/>
          <w:b/>
          <w:color w:val="000000" w:themeColor="text1"/>
          <w:kern w:val="2"/>
          <w:sz w:val="21"/>
          <w:szCs w:val="16"/>
          <w14:textFill>
            <w14:solidFill>
              <w14:schemeClr w14:val="tx1"/>
            </w14:solidFill>
          </w14:textFill>
        </w:rPr>
        <w:t>表1.</w:t>
      </w:r>
      <w:r>
        <w:rPr>
          <w:rFonts w:hint="eastAsia" w:ascii="Times New Roman" w:hAnsi="Times New Roman" w:eastAsia="宋体" w:cs="Times New Roman"/>
          <w:b/>
          <w:color w:val="000000" w:themeColor="text1"/>
          <w:kern w:val="2"/>
          <w:sz w:val="21"/>
          <w:szCs w:val="16"/>
          <w:lang w:val="en-US" w:eastAsia="zh-CN"/>
          <w14:textFill>
            <w14:solidFill>
              <w14:schemeClr w14:val="tx1"/>
            </w14:solidFill>
          </w14:textFill>
        </w:rPr>
        <w:t>5</w:t>
      </w:r>
      <w:r>
        <w:rPr>
          <w:rFonts w:ascii="Times New Roman" w:hAnsi="Times New Roman" w:eastAsia="宋体" w:cs="Times New Roman"/>
          <w:b/>
          <w:color w:val="000000" w:themeColor="text1"/>
          <w:kern w:val="2"/>
          <w:sz w:val="21"/>
          <w:szCs w:val="16"/>
          <w14:textFill>
            <w14:solidFill>
              <w14:schemeClr w14:val="tx1"/>
            </w14:solidFill>
          </w14:textFill>
        </w:rPr>
        <w:t>-</w:t>
      </w:r>
      <w:r>
        <w:rPr>
          <w:rFonts w:hint="eastAsia" w:ascii="Times New Roman" w:hAnsi="Times New Roman" w:eastAsia="宋体" w:cs="Times New Roman"/>
          <w:b/>
          <w:color w:val="000000" w:themeColor="text1"/>
          <w:kern w:val="2"/>
          <w:sz w:val="21"/>
          <w:szCs w:val="16"/>
          <w:lang w:val="en-US" w:eastAsia="zh-CN"/>
          <w14:textFill>
            <w14:solidFill>
              <w14:schemeClr w14:val="tx1"/>
            </w14:solidFill>
          </w14:textFill>
        </w:rPr>
        <w:t>3</w:t>
      </w:r>
      <w:r>
        <w:rPr>
          <w:rFonts w:ascii="Times New Roman" w:hAnsi="Times New Roman" w:eastAsia="宋体" w:cs="Times New Roman"/>
          <w:b/>
          <w:color w:val="000000" w:themeColor="text1"/>
          <w:kern w:val="2"/>
          <w:sz w:val="21"/>
          <w:szCs w:val="16"/>
          <w14:textFill>
            <w14:solidFill>
              <w14:schemeClr w14:val="tx1"/>
            </w14:solidFill>
          </w14:textFill>
        </w:rPr>
        <w:t xml:space="preserve">  Pmax和D</w:t>
      </w:r>
      <w:r>
        <w:rPr>
          <w:rFonts w:ascii="Times New Roman" w:hAnsi="Times New Roman" w:eastAsia="宋体" w:cs="Times New Roman"/>
          <w:b/>
          <w:color w:val="000000" w:themeColor="text1"/>
          <w:kern w:val="2"/>
          <w:sz w:val="21"/>
          <w:szCs w:val="16"/>
          <w:vertAlign w:val="subscript"/>
          <w14:textFill>
            <w14:solidFill>
              <w14:schemeClr w14:val="tx1"/>
            </w14:solidFill>
          </w14:textFill>
        </w:rPr>
        <w:t>10%</w:t>
      </w:r>
      <w:r>
        <w:rPr>
          <w:rFonts w:ascii="Times New Roman" w:hAnsi="Times New Roman" w:eastAsia="宋体" w:cs="Times New Roman"/>
          <w:b/>
          <w:color w:val="000000" w:themeColor="text1"/>
          <w:kern w:val="2"/>
          <w:sz w:val="21"/>
          <w:szCs w:val="16"/>
          <w14:textFill>
            <w14:solidFill>
              <w14:schemeClr w14:val="tx1"/>
            </w14:solidFill>
          </w14:textFill>
        </w:rPr>
        <w:t>预测和计算结果一览表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1101"/>
        <w:gridCol w:w="1325"/>
        <w:gridCol w:w="1325"/>
        <w:gridCol w:w="1325"/>
        <w:gridCol w:w="1325"/>
        <w:gridCol w:w="1329"/>
      </w:tblGrid>
      <w:tr w14:paraId="46E8A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gridSpan w:val="2"/>
            <w:noWrap w:val="0"/>
            <w:vAlign w:val="center"/>
          </w:tcPr>
          <w:p w14:paraId="0B1D2FA1">
            <w:pPr>
              <w:widowControl w:val="0"/>
              <w:adjustRightInd w:val="0"/>
              <w:snapToGrid w:val="0"/>
              <w:jc w:val="center"/>
              <w:rPr>
                <w:rFonts w:ascii="Times New Roman" w:hAnsi="Times New Roman" w:eastAsia="宋体" w:cs="Times New Roman"/>
                <w:b/>
                <w:color w:val="000000" w:themeColor="text1"/>
                <w:kern w:val="0"/>
                <w:sz w:val="21"/>
                <w:szCs w:val="20"/>
                <w14:textFill>
                  <w14:solidFill>
                    <w14:schemeClr w14:val="tx1"/>
                  </w14:solidFill>
                </w14:textFill>
              </w:rPr>
            </w:pPr>
            <w:r>
              <w:rPr>
                <w:rFonts w:ascii="Times New Roman" w:hAnsi="Times New Roman" w:eastAsia="宋体" w:cs="Times New Roman"/>
                <w:b/>
                <w:color w:val="000000" w:themeColor="text1"/>
                <w:kern w:val="0"/>
                <w:sz w:val="21"/>
                <w:szCs w:val="20"/>
                <w14:textFill>
                  <w14:solidFill>
                    <w14:schemeClr w14:val="tx1"/>
                  </w14:solidFill>
                </w14:textFill>
              </w:rPr>
              <w:t>污染源名称</w:t>
            </w:r>
          </w:p>
        </w:tc>
        <w:tc>
          <w:tcPr>
            <w:tcW w:w="1325" w:type="dxa"/>
            <w:noWrap w:val="0"/>
            <w:vAlign w:val="center"/>
          </w:tcPr>
          <w:p w14:paraId="3D64D22B">
            <w:pPr>
              <w:widowControl w:val="0"/>
              <w:adjustRightInd w:val="0"/>
              <w:snapToGrid w:val="0"/>
              <w:jc w:val="center"/>
              <w:rPr>
                <w:rFonts w:ascii="Times New Roman" w:hAnsi="Times New Roman" w:eastAsia="宋体" w:cs="Times New Roman"/>
                <w:b/>
                <w:color w:val="000000" w:themeColor="text1"/>
                <w:kern w:val="0"/>
                <w:sz w:val="21"/>
                <w:szCs w:val="20"/>
                <w14:textFill>
                  <w14:solidFill>
                    <w14:schemeClr w14:val="tx1"/>
                  </w14:solidFill>
                </w14:textFill>
              </w:rPr>
            </w:pPr>
            <w:r>
              <w:rPr>
                <w:rFonts w:ascii="Times New Roman" w:hAnsi="Times New Roman" w:eastAsia="宋体" w:cs="Times New Roman"/>
                <w:b/>
                <w:color w:val="000000" w:themeColor="text1"/>
                <w:kern w:val="0"/>
                <w:sz w:val="21"/>
                <w:szCs w:val="20"/>
                <w14:textFill>
                  <w14:solidFill>
                    <w14:schemeClr w14:val="tx1"/>
                  </w14:solidFill>
                </w14:textFill>
              </w:rPr>
              <w:t>评价因子</w:t>
            </w:r>
          </w:p>
        </w:tc>
        <w:tc>
          <w:tcPr>
            <w:tcW w:w="1325" w:type="dxa"/>
            <w:noWrap w:val="0"/>
            <w:vAlign w:val="center"/>
          </w:tcPr>
          <w:p w14:paraId="6C85B7B5">
            <w:pPr>
              <w:widowControl w:val="0"/>
              <w:adjustRightInd w:val="0"/>
              <w:snapToGrid w:val="0"/>
              <w:jc w:val="center"/>
              <w:rPr>
                <w:rFonts w:hint="eastAsia" w:ascii="Times New Roman" w:hAnsi="Times New Roman" w:eastAsia="宋体" w:cs="Times New Roman"/>
                <w:b/>
                <w:color w:val="000000" w:themeColor="text1"/>
                <w:kern w:val="0"/>
                <w:sz w:val="21"/>
                <w:szCs w:val="20"/>
                <w:lang w:eastAsia="zh-CN"/>
                <w14:textFill>
                  <w14:solidFill>
                    <w14:schemeClr w14:val="tx1"/>
                  </w14:solidFill>
                </w14:textFill>
              </w:rPr>
            </w:pPr>
            <w:r>
              <w:rPr>
                <w:rFonts w:ascii="Times New Roman" w:hAnsi="Times New Roman" w:eastAsia="宋体" w:cs="Times New Roman"/>
                <w:b/>
                <w:color w:val="000000" w:themeColor="text1"/>
                <w:kern w:val="0"/>
                <w:sz w:val="21"/>
                <w:szCs w:val="20"/>
                <w14:textFill>
                  <w14:solidFill>
                    <w14:schemeClr w14:val="tx1"/>
                  </w14:solidFill>
                </w14:textFill>
              </w:rPr>
              <w:t>评价标准</w:t>
            </w:r>
            <w:r>
              <w:rPr>
                <w:rFonts w:hint="eastAsia" w:cs="Times New Roman"/>
                <w:b/>
                <w:color w:val="000000" w:themeColor="text1"/>
                <w:kern w:val="0"/>
                <w:sz w:val="21"/>
                <w:szCs w:val="20"/>
                <w:lang w:eastAsia="zh-CN"/>
                <w14:textFill>
                  <w14:solidFill>
                    <w14:schemeClr w14:val="tx1"/>
                  </w14:solidFill>
                </w14:textFill>
              </w:rPr>
              <w:t>（</w:t>
            </w:r>
            <w:r>
              <w:rPr>
                <w:rFonts w:ascii="Times New Roman" w:hAnsi="Times New Roman" w:eastAsia="宋体" w:cs="Times New Roman"/>
                <w:b/>
                <w:color w:val="000000" w:themeColor="text1"/>
                <w:kern w:val="0"/>
                <w:sz w:val="21"/>
                <w:szCs w:val="20"/>
                <w14:textFill>
                  <w14:solidFill>
                    <w14:schemeClr w14:val="tx1"/>
                  </w14:solidFill>
                </w14:textFill>
              </w:rPr>
              <w:t>μg/m</w:t>
            </w:r>
            <w:r>
              <w:rPr>
                <w:rFonts w:ascii="Times New Roman" w:hAnsi="Times New Roman" w:eastAsia="宋体" w:cs="Times New Roman"/>
                <w:b/>
                <w:color w:val="000000" w:themeColor="text1"/>
                <w:kern w:val="0"/>
                <w:sz w:val="21"/>
                <w:szCs w:val="20"/>
                <w:vertAlign w:val="superscript"/>
                <w14:textFill>
                  <w14:solidFill>
                    <w14:schemeClr w14:val="tx1"/>
                  </w14:solidFill>
                </w14:textFill>
              </w:rPr>
              <w:t>3</w:t>
            </w:r>
            <w:r>
              <w:rPr>
                <w:rFonts w:hint="eastAsia" w:cs="Times New Roman"/>
                <w:b/>
                <w:color w:val="000000" w:themeColor="text1"/>
                <w:kern w:val="0"/>
                <w:sz w:val="21"/>
                <w:szCs w:val="20"/>
                <w:lang w:eastAsia="zh-CN"/>
                <w14:textFill>
                  <w14:solidFill>
                    <w14:schemeClr w14:val="tx1"/>
                  </w14:solidFill>
                </w14:textFill>
              </w:rPr>
              <w:t>）</w:t>
            </w:r>
          </w:p>
        </w:tc>
        <w:tc>
          <w:tcPr>
            <w:tcW w:w="1325" w:type="dxa"/>
            <w:noWrap w:val="0"/>
            <w:vAlign w:val="center"/>
          </w:tcPr>
          <w:p w14:paraId="33D3F10D">
            <w:pPr>
              <w:widowControl w:val="0"/>
              <w:adjustRightInd w:val="0"/>
              <w:snapToGrid w:val="0"/>
              <w:jc w:val="center"/>
              <w:rPr>
                <w:rFonts w:ascii="Times New Roman" w:hAnsi="Times New Roman" w:eastAsia="宋体" w:cs="Times New Roman"/>
                <w:b/>
                <w:color w:val="000000" w:themeColor="text1"/>
                <w:kern w:val="0"/>
                <w:sz w:val="21"/>
                <w:szCs w:val="20"/>
                <w14:textFill>
                  <w14:solidFill>
                    <w14:schemeClr w14:val="tx1"/>
                  </w14:solidFill>
                </w14:textFill>
              </w:rPr>
            </w:pPr>
            <w:r>
              <w:rPr>
                <w:rFonts w:ascii="Times New Roman" w:hAnsi="Times New Roman" w:eastAsia="宋体" w:cs="Times New Roman"/>
                <w:b/>
                <w:color w:val="000000" w:themeColor="text1"/>
                <w:kern w:val="0"/>
                <w:sz w:val="21"/>
                <w:szCs w:val="20"/>
                <w14:textFill>
                  <w14:solidFill>
                    <w14:schemeClr w14:val="tx1"/>
                  </w14:solidFill>
                </w14:textFill>
              </w:rPr>
              <w:t>C</w:t>
            </w:r>
            <w:r>
              <w:rPr>
                <w:rFonts w:ascii="Times New Roman" w:hAnsi="Times New Roman" w:eastAsia="宋体" w:cs="Times New Roman"/>
                <w:b/>
                <w:color w:val="000000" w:themeColor="text1"/>
                <w:kern w:val="0"/>
                <w:sz w:val="21"/>
                <w:szCs w:val="20"/>
                <w:vertAlign w:val="subscript"/>
                <w14:textFill>
                  <w14:solidFill>
                    <w14:schemeClr w14:val="tx1"/>
                  </w14:solidFill>
                </w14:textFill>
              </w:rPr>
              <w:t>max</w:t>
            </w:r>
          </w:p>
          <w:p w14:paraId="20C5626B">
            <w:pPr>
              <w:widowControl w:val="0"/>
              <w:adjustRightInd w:val="0"/>
              <w:snapToGrid w:val="0"/>
              <w:jc w:val="center"/>
              <w:rPr>
                <w:rFonts w:hint="eastAsia" w:ascii="Times New Roman" w:hAnsi="Times New Roman" w:eastAsia="宋体" w:cs="Times New Roman"/>
                <w:b/>
                <w:color w:val="000000" w:themeColor="text1"/>
                <w:kern w:val="0"/>
                <w:sz w:val="21"/>
                <w:szCs w:val="20"/>
                <w:lang w:eastAsia="zh-CN"/>
                <w14:textFill>
                  <w14:solidFill>
                    <w14:schemeClr w14:val="tx1"/>
                  </w14:solidFill>
                </w14:textFill>
              </w:rPr>
            </w:pPr>
            <w:r>
              <w:rPr>
                <w:rFonts w:hint="eastAsia" w:cs="Times New Roman"/>
                <w:b/>
                <w:color w:val="000000" w:themeColor="text1"/>
                <w:kern w:val="0"/>
                <w:sz w:val="21"/>
                <w:szCs w:val="20"/>
                <w:lang w:eastAsia="zh-CN"/>
                <w14:textFill>
                  <w14:solidFill>
                    <w14:schemeClr w14:val="tx1"/>
                  </w14:solidFill>
                </w14:textFill>
              </w:rPr>
              <w:t>（</w:t>
            </w:r>
            <w:r>
              <w:rPr>
                <w:rFonts w:ascii="Times New Roman" w:hAnsi="Times New Roman" w:eastAsia="宋体" w:cs="Times New Roman"/>
                <w:b/>
                <w:color w:val="000000" w:themeColor="text1"/>
                <w:kern w:val="0"/>
                <w:sz w:val="21"/>
                <w:szCs w:val="20"/>
                <w14:textFill>
                  <w14:solidFill>
                    <w14:schemeClr w14:val="tx1"/>
                  </w14:solidFill>
                </w14:textFill>
              </w:rPr>
              <w:t>μg/m</w:t>
            </w:r>
            <w:r>
              <w:rPr>
                <w:rFonts w:ascii="Times New Roman" w:hAnsi="Times New Roman" w:eastAsia="宋体" w:cs="Times New Roman"/>
                <w:b/>
                <w:color w:val="000000" w:themeColor="text1"/>
                <w:kern w:val="0"/>
                <w:sz w:val="21"/>
                <w:szCs w:val="20"/>
                <w:vertAlign w:val="superscript"/>
                <w14:textFill>
                  <w14:solidFill>
                    <w14:schemeClr w14:val="tx1"/>
                  </w14:solidFill>
                </w14:textFill>
              </w:rPr>
              <w:t>3</w:t>
            </w:r>
            <w:r>
              <w:rPr>
                <w:rFonts w:hint="eastAsia" w:cs="Times New Roman"/>
                <w:b/>
                <w:color w:val="000000" w:themeColor="text1"/>
                <w:kern w:val="0"/>
                <w:sz w:val="21"/>
                <w:szCs w:val="20"/>
                <w:lang w:eastAsia="zh-CN"/>
                <w14:textFill>
                  <w14:solidFill>
                    <w14:schemeClr w14:val="tx1"/>
                  </w14:solidFill>
                </w14:textFill>
              </w:rPr>
              <w:t>）</w:t>
            </w:r>
          </w:p>
        </w:tc>
        <w:tc>
          <w:tcPr>
            <w:tcW w:w="1325" w:type="dxa"/>
            <w:noWrap w:val="0"/>
            <w:vAlign w:val="center"/>
          </w:tcPr>
          <w:p w14:paraId="64138105">
            <w:pPr>
              <w:widowControl w:val="0"/>
              <w:adjustRightInd w:val="0"/>
              <w:snapToGrid w:val="0"/>
              <w:jc w:val="center"/>
              <w:rPr>
                <w:rFonts w:ascii="Times New Roman" w:hAnsi="Times New Roman" w:eastAsia="宋体" w:cs="Times New Roman"/>
                <w:b/>
                <w:color w:val="000000" w:themeColor="text1"/>
                <w:kern w:val="0"/>
                <w:sz w:val="21"/>
                <w:szCs w:val="20"/>
                <w14:textFill>
                  <w14:solidFill>
                    <w14:schemeClr w14:val="tx1"/>
                  </w14:solidFill>
                </w14:textFill>
              </w:rPr>
            </w:pPr>
            <w:r>
              <w:rPr>
                <w:rFonts w:ascii="Times New Roman" w:hAnsi="Times New Roman" w:eastAsia="宋体" w:cs="Times New Roman"/>
                <w:b/>
                <w:color w:val="000000" w:themeColor="text1"/>
                <w:kern w:val="0"/>
                <w:sz w:val="21"/>
                <w:szCs w:val="20"/>
                <w14:textFill>
                  <w14:solidFill>
                    <w14:schemeClr w14:val="tx1"/>
                  </w14:solidFill>
                </w14:textFill>
              </w:rPr>
              <w:t>P</w:t>
            </w:r>
            <w:r>
              <w:rPr>
                <w:rFonts w:ascii="Times New Roman" w:hAnsi="Times New Roman" w:eastAsia="宋体" w:cs="Times New Roman"/>
                <w:b/>
                <w:color w:val="000000" w:themeColor="text1"/>
                <w:kern w:val="0"/>
                <w:sz w:val="21"/>
                <w:szCs w:val="20"/>
                <w:vertAlign w:val="subscript"/>
                <w14:textFill>
                  <w14:solidFill>
                    <w14:schemeClr w14:val="tx1"/>
                  </w14:solidFill>
                </w14:textFill>
              </w:rPr>
              <w:t>max</w:t>
            </w:r>
          </w:p>
          <w:p w14:paraId="7B975F4F">
            <w:pPr>
              <w:widowControl w:val="0"/>
              <w:adjustRightInd w:val="0"/>
              <w:snapToGrid w:val="0"/>
              <w:jc w:val="center"/>
              <w:rPr>
                <w:rFonts w:hint="eastAsia" w:ascii="Times New Roman" w:hAnsi="Times New Roman" w:eastAsia="宋体" w:cs="Times New Roman"/>
                <w:b/>
                <w:color w:val="000000" w:themeColor="text1"/>
                <w:kern w:val="0"/>
                <w:sz w:val="21"/>
                <w:szCs w:val="20"/>
                <w:lang w:eastAsia="zh-CN"/>
                <w14:textFill>
                  <w14:solidFill>
                    <w14:schemeClr w14:val="tx1"/>
                  </w14:solidFill>
                </w14:textFill>
              </w:rPr>
            </w:pPr>
            <w:r>
              <w:rPr>
                <w:rFonts w:hint="eastAsia" w:cs="Times New Roman"/>
                <w:b/>
                <w:color w:val="000000" w:themeColor="text1"/>
                <w:kern w:val="0"/>
                <w:sz w:val="21"/>
                <w:szCs w:val="20"/>
                <w:lang w:eastAsia="zh-CN"/>
                <w14:textFill>
                  <w14:solidFill>
                    <w14:schemeClr w14:val="tx1"/>
                  </w14:solidFill>
                </w14:textFill>
              </w:rPr>
              <w:t>（</w:t>
            </w:r>
            <w:r>
              <w:rPr>
                <w:rFonts w:ascii="Times New Roman" w:hAnsi="Times New Roman" w:eastAsia="宋体" w:cs="Times New Roman"/>
                <w:b/>
                <w:color w:val="000000" w:themeColor="text1"/>
                <w:kern w:val="0"/>
                <w:sz w:val="21"/>
                <w:szCs w:val="20"/>
                <w14:textFill>
                  <w14:solidFill>
                    <w14:schemeClr w14:val="tx1"/>
                  </w14:solidFill>
                </w14:textFill>
              </w:rPr>
              <w:t>%</w:t>
            </w:r>
            <w:r>
              <w:rPr>
                <w:rFonts w:hint="eastAsia" w:cs="Times New Roman"/>
                <w:b/>
                <w:color w:val="000000" w:themeColor="text1"/>
                <w:kern w:val="0"/>
                <w:sz w:val="21"/>
                <w:szCs w:val="20"/>
                <w:lang w:eastAsia="zh-CN"/>
                <w14:textFill>
                  <w14:solidFill>
                    <w14:schemeClr w14:val="tx1"/>
                  </w14:solidFill>
                </w14:textFill>
              </w:rPr>
              <w:t>）</w:t>
            </w:r>
          </w:p>
        </w:tc>
        <w:tc>
          <w:tcPr>
            <w:tcW w:w="1329" w:type="dxa"/>
            <w:noWrap w:val="0"/>
            <w:vAlign w:val="center"/>
          </w:tcPr>
          <w:p w14:paraId="6D1F063F">
            <w:pPr>
              <w:widowControl w:val="0"/>
              <w:adjustRightInd w:val="0"/>
              <w:snapToGrid w:val="0"/>
              <w:jc w:val="center"/>
              <w:rPr>
                <w:rFonts w:hint="eastAsia" w:ascii="Times New Roman" w:hAnsi="Times New Roman" w:eastAsia="宋体" w:cs="Times New Roman"/>
                <w:b/>
                <w:color w:val="000000" w:themeColor="text1"/>
                <w:kern w:val="0"/>
                <w:sz w:val="21"/>
                <w:szCs w:val="20"/>
                <w:lang w:eastAsia="zh-CN"/>
                <w14:textFill>
                  <w14:solidFill>
                    <w14:schemeClr w14:val="tx1"/>
                  </w14:solidFill>
                </w14:textFill>
              </w:rPr>
            </w:pPr>
            <w:r>
              <w:rPr>
                <w:rFonts w:hint="eastAsia" w:ascii="Times New Roman" w:hAnsi="Times New Roman" w:eastAsia="宋体" w:cs="Times New Roman"/>
                <w:b/>
                <w:color w:val="000000" w:themeColor="text1"/>
                <w:kern w:val="0"/>
                <w:sz w:val="21"/>
                <w:szCs w:val="20"/>
                <w:lang w:val="en-US" w:eastAsia="zh-CN"/>
                <w14:textFill>
                  <w14:solidFill>
                    <w14:schemeClr w14:val="tx1"/>
                  </w14:solidFill>
                </w14:textFill>
              </w:rPr>
              <w:t>评价等级</w:t>
            </w:r>
          </w:p>
        </w:tc>
      </w:tr>
      <w:tr w14:paraId="4A080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0" w:type="dxa"/>
            <w:vMerge w:val="restart"/>
            <w:noWrap w:val="0"/>
            <w:vAlign w:val="center"/>
          </w:tcPr>
          <w:p w14:paraId="3C180588">
            <w:pPr>
              <w:widowControl/>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有组织</w:t>
            </w:r>
          </w:p>
        </w:tc>
        <w:tc>
          <w:tcPr>
            <w:tcW w:w="1101" w:type="dxa"/>
            <w:vMerge w:val="restart"/>
            <w:noWrap w:val="0"/>
            <w:vAlign w:val="center"/>
          </w:tcPr>
          <w:p w14:paraId="17A51BB0">
            <w:pPr>
              <w:widowControl/>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DA001</w:t>
            </w:r>
          </w:p>
        </w:tc>
        <w:tc>
          <w:tcPr>
            <w:tcW w:w="1325" w:type="dxa"/>
            <w:noWrap w:val="0"/>
            <w:vAlign w:val="center"/>
          </w:tcPr>
          <w:p w14:paraId="20842C01">
            <w:pPr>
              <w:widowControl/>
              <w:adjustRightInd w:val="0"/>
              <w:snapToGrid w:val="0"/>
              <w:jc w:val="center"/>
              <w:rPr>
                <w:rFonts w:ascii="Times New Roman" w:hAnsi="Times New Roman" w:eastAsia="宋体" w:cs="Times New Roman"/>
                <w:b/>
                <w:bCs/>
                <w:color w:val="000000" w:themeColor="text1"/>
                <w:kern w:val="0"/>
                <w:sz w:val="21"/>
                <w:szCs w:val="24"/>
                <w14:textFill>
                  <w14:solidFill>
                    <w14:schemeClr w14:val="tx1"/>
                  </w14:solidFill>
                </w14:textFill>
              </w:rPr>
            </w:pPr>
            <w:r>
              <w:rPr>
                <w:rFonts w:ascii="Times New Roman" w:hAnsi="Times New Roman" w:eastAsia="宋体" w:cs="Times New Roman"/>
                <w:b/>
                <w:bCs/>
                <w:color w:val="000000" w:themeColor="text1"/>
                <w:kern w:val="0"/>
                <w:sz w:val="21"/>
                <w:szCs w:val="24"/>
                <w14:textFill>
                  <w14:solidFill>
                    <w14:schemeClr w14:val="tx1"/>
                  </w14:solidFill>
                </w14:textFill>
              </w:rPr>
              <w:t>TVOC</w:t>
            </w:r>
          </w:p>
        </w:tc>
        <w:tc>
          <w:tcPr>
            <w:tcW w:w="1325" w:type="dxa"/>
            <w:noWrap w:val="0"/>
            <w:vAlign w:val="center"/>
          </w:tcPr>
          <w:p w14:paraId="30246319">
            <w:pPr>
              <w:widowControl/>
              <w:adjustRightInd w:val="0"/>
              <w:snapToGrid w:val="0"/>
              <w:jc w:val="center"/>
              <w:rPr>
                <w:rFonts w:ascii="Times New Roman" w:hAnsi="Times New Roman" w:eastAsia="宋体" w:cs="Times New Roman"/>
                <w:b/>
                <w:bCs/>
                <w:color w:val="000000" w:themeColor="text1"/>
                <w:kern w:val="0"/>
                <w:sz w:val="21"/>
                <w:szCs w:val="24"/>
                <w14:textFill>
                  <w14:solidFill>
                    <w14:schemeClr w14:val="tx1"/>
                  </w14:solidFill>
                </w14:textFill>
              </w:rPr>
            </w:pPr>
            <w:r>
              <w:rPr>
                <w:rFonts w:ascii="Times New Roman" w:hAnsi="Times New Roman" w:eastAsia="宋体" w:cs="Times New Roman"/>
                <w:b/>
                <w:bCs/>
                <w:color w:val="000000" w:themeColor="text1"/>
                <w:kern w:val="0"/>
                <w:sz w:val="21"/>
                <w:szCs w:val="20"/>
                <w14:textFill>
                  <w14:solidFill>
                    <w14:schemeClr w14:val="tx1"/>
                  </w14:solidFill>
                </w14:textFill>
              </w:rPr>
              <w:t>1200.0</w:t>
            </w:r>
          </w:p>
        </w:tc>
        <w:tc>
          <w:tcPr>
            <w:tcW w:w="1325" w:type="dxa"/>
            <w:noWrap w:val="0"/>
            <w:vAlign w:val="center"/>
          </w:tcPr>
          <w:p w14:paraId="59401950">
            <w:pPr>
              <w:widowControl/>
              <w:adjustRightInd w:val="0"/>
              <w:snapToGrid w:val="0"/>
              <w:jc w:val="cente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cs="Times New Roman"/>
                <w:b/>
                <w:bCs/>
                <w:color w:val="000000" w:themeColor="text1"/>
                <w:kern w:val="0"/>
                <w:sz w:val="21"/>
                <w:szCs w:val="21"/>
                <w:lang w:val="en-US" w:eastAsia="zh-CN"/>
                <w14:textFill>
                  <w14:solidFill>
                    <w14:schemeClr w14:val="tx1"/>
                  </w14:solidFill>
                </w14:textFill>
              </w:rPr>
              <w:t>83.958</w:t>
            </w:r>
          </w:p>
        </w:tc>
        <w:tc>
          <w:tcPr>
            <w:tcW w:w="1325" w:type="dxa"/>
            <w:noWrap w:val="0"/>
            <w:vAlign w:val="center"/>
          </w:tcPr>
          <w:p w14:paraId="0EF8517B">
            <w:pPr>
              <w:widowControl/>
              <w:adjustRightInd w:val="0"/>
              <w:snapToGrid w:val="0"/>
              <w:jc w:val="cente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7.0</w:t>
            </w:r>
            <w:r>
              <w:rPr>
                <w:rFonts w:hint="eastAsia" w:cs="Times New Roman"/>
                <w:b/>
                <w:bCs/>
                <w:color w:val="000000" w:themeColor="text1"/>
                <w:kern w:val="0"/>
                <w:sz w:val="21"/>
                <w:szCs w:val="21"/>
                <w:lang w:val="en-US" w:eastAsia="zh-CN"/>
                <w14:textFill>
                  <w14:solidFill>
                    <w14:schemeClr w14:val="tx1"/>
                  </w14:solidFill>
                </w14:textFill>
              </w:rPr>
              <w:t>0</w:t>
            </w:r>
          </w:p>
        </w:tc>
        <w:tc>
          <w:tcPr>
            <w:tcW w:w="1329" w:type="dxa"/>
            <w:noWrap w:val="0"/>
            <w:vAlign w:val="center"/>
          </w:tcPr>
          <w:p w14:paraId="62FDF8BA">
            <w:pPr>
              <w:widowControl/>
              <w:adjustRightInd w:val="0"/>
              <w:snapToGrid w:val="0"/>
              <w:jc w:val="center"/>
              <w:rPr>
                <w:rFonts w:hint="default" w:ascii="Times New Roman" w:hAnsi="Times New Roman" w:eastAsia="宋体" w:cs="Times New Roman"/>
                <w:b/>
                <w:bCs/>
                <w:color w:val="000000" w:themeColor="text1"/>
                <w:kern w:val="0"/>
                <w:sz w:val="21"/>
                <w:szCs w:val="20"/>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0"/>
                <w:lang w:val="en-US" w:eastAsia="zh-CN"/>
                <w14:textFill>
                  <w14:solidFill>
                    <w14:schemeClr w14:val="tx1"/>
                  </w14:solidFill>
                </w14:textFill>
              </w:rPr>
              <w:t>二级</w:t>
            </w:r>
          </w:p>
        </w:tc>
      </w:tr>
      <w:tr w14:paraId="13142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0" w:type="dxa"/>
            <w:vMerge w:val="continue"/>
            <w:noWrap w:val="0"/>
            <w:vAlign w:val="center"/>
          </w:tcPr>
          <w:p w14:paraId="08EB1039">
            <w:pPr>
              <w:widowControl/>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p>
        </w:tc>
        <w:tc>
          <w:tcPr>
            <w:tcW w:w="1101" w:type="dxa"/>
            <w:vMerge w:val="continue"/>
            <w:noWrap w:val="0"/>
            <w:vAlign w:val="center"/>
          </w:tcPr>
          <w:p w14:paraId="3096828A">
            <w:pPr>
              <w:widowControl/>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p>
        </w:tc>
        <w:tc>
          <w:tcPr>
            <w:tcW w:w="1325" w:type="dxa"/>
            <w:noWrap w:val="0"/>
            <w:vAlign w:val="center"/>
          </w:tcPr>
          <w:p w14:paraId="2FA119D5">
            <w:pPr>
              <w:widowControl/>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hint="eastAsia" w:cs="Times New Roman"/>
                <w:color w:val="000000" w:themeColor="text1"/>
                <w:kern w:val="0"/>
                <w:sz w:val="21"/>
                <w:szCs w:val="24"/>
                <w:lang w:val="en-US" w:eastAsia="zh-CN"/>
                <w14:textFill>
                  <w14:solidFill>
                    <w14:schemeClr w14:val="tx1"/>
                  </w14:solidFill>
                </w14:textFill>
              </w:rPr>
              <w:t>甲醛</w:t>
            </w:r>
          </w:p>
        </w:tc>
        <w:tc>
          <w:tcPr>
            <w:tcW w:w="1325" w:type="dxa"/>
            <w:noWrap w:val="0"/>
            <w:vAlign w:val="center"/>
          </w:tcPr>
          <w:p w14:paraId="4A54440F">
            <w:pPr>
              <w:widowControl/>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hint="eastAsia" w:cs="Times New Roman"/>
                <w:color w:val="000000" w:themeColor="text1"/>
                <w:kern w:val="0"/>
                <w:sz w:val="21"/>
                <w:szCs w:val="20"/>
                <w:lang w:val="en-US" w:eastAsia="zh-CN"/>
                <w14:textFill>
                  <w14:solidFill>
                    <w14:schemeClr w14:val="tx1"/>
                  </w14:solidFill>
                </w14:textFill>
              </w:rPr>
              <w:t>50.0</w:t>
            </w:r>
          </w:p>
        </w:tc>
        <w:tc>
          <w:tcPr>
            <w:tcW w:w="1325" w:type="dxa"/>
            <w:noWrap w:val="0"/>
            <w:vAlign w:val="center"/>
          </w:tcPr>
          <w:p w14:paraId="6C039A5B">
            <w:pPr>
              <w:widowControl/>
              <w:adjustRightInd w:val="0"/>
              <w:snapToGrid w:val="0"/>
              <w:jc w:val="center"/>
              <w:rPr>
                <w:rFonts w:hint="default" w:ascii="Times New Roman" w:hAnsi="Times New Roman" w:eastAsia="宋体" w:cs="Times New Roman"/>
                <w:bCs/>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0.37</w:t>
            </w:r>
          </w:p>
        </w:tc>
        <w:tc>
          <w:tcPr>
            <w:tcW w:w="1325" w:type="dxa"/>
            <w:noWrap w:val="0"/>
            <w:vAlign w:val="center"/>
          </w:tcPr>
          <w:p w14:paraId="5B730ECC">
            <w:pPr>
              <w:widowControl/>
              <w:adjustRightInd w:val="0"/>
              <w:snapToGrid w:val="0"/>
              <w:jc w:val="center"/>
              <w:rPr>
                <w:rFonts w:hint="default" w:ascii="Times New Roman" w:hAnsi="Times New Roman" w:eastAsia="宋体" w:cs="Times New Roman"/>
                <w:bCs/>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0.75</w:t>
            </w:r>
          </w:p>
        </w:tc>
        <w:tc>
          <w:tcPr>
            <w:tcW w:w="1329" w:type="dxa"/>
            <w:noWrap w:val="0"/>
            <w:vAlign w:val="center"/>
          </w:tcPr>
          <w:p w14:paraId="266406C4">
            <w:pPr>
              <w:widowControl/>
              <w:adjustRightInd w:val="0"/>
              <w:snapToGrid w:val="0"/>
              <w:jc w:val="center"/>
              <w:rPr>
                <w:rFonts w:hint="eastAsia" w:ascii="Times New Roman" w:hAnsi="Times New Roman" w:eastAsia="宋体" w:cs="Times New Roman"/>
                <w:color w:val="000000" w:themeColor="text1"/>
                <w:kern w:val="0"/>
                <w:sz w:val="21"/>
                <w:szCs w:val="20"/>
                <w:lang w:val="en-US" w:eastAsia="zh-CN"/>
                <w14:textFill>
                  <w14:solidFill>
                    <w14:schemeClr w14:val="tx1"/>
                  </w14:solidFill>
                </w14:textFill>
              </w:rPr>
            </w:pPr>
            <w:r>
              <w:rPr>
                <w:rFonts w:hint="eastAsia" w:cs="Times New Roman"/>
                <w:color w:val="000000" w:themeColor="text1"/>
                <w:kern w:val="0"/>
                <w:sz w:val="21"/>
                <w:szCs w:val="20"/>
                <w:lang w:val="en-US" w:eastAsia="zh-CN"/>
                <w14:textFill>
                  <w14:solidFill>
                    <w14:schemeClr w14:val="tx1"/>
                  </w14:solidFill>
                </w14:textFill>
              </w:rPr>
              <w:t>/</w:t>
            </w:r>
          </w:p>
        </w:tc>
      </w:tr>
      <w:tr w14:paraId="08BD0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0" w:type="dxa"/>
            <w:vMerge w:val="continue"/>
            <w:noWrap w:val="0"/>
            <w:vAlign w:val="center"/>
          </w:tcPr>
          <w:p w14:paraId="79227A8E">
            <w:pPr>
              <w:widowControl/>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p>
        </w:tc>
        <w:tc>
          <w:tcPr>
            <w:tcW w:w="1101" w:type="dxa"/>
            <w:noWrap w:val="0"/>
            <w:vAlign w:val="center"/>
          </w:tcPr>
          <w:p w14:paraId="1041810C">
            <w:pPr>
              <w:widowControl/>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DA002</w:t>
            </w:r>
          </w:p>
        </w:tc>
        <w:tc>
          <w:tcPr>
            <w:tcW w:w="1325" w:type="dxa"/>
            <w:noWrap w:val="0"/>
            <w:vAlign w:val="center"/>
          </w:tcPr>
          <w:p w14:paraId="4A404A2A">
            <w:pPr>
              <w:widowControl/>
              <w:adjustRightInd w:val="0"/>
              <w:snapToGrid w:val="0"/>
              <w:jc w:val="center"/>
              <w:rPr>
                <w:rFonts w:hint="default" w:ascii="Times New Roman" w:hAnsi="Times New Roman" w:eastAsia="宋体" w:cs="Times New Roman"/>
                <w:color w:val="000000" w:themeColor="text1"/>
                <w:kern w:val="0"/>
                <w:sz w:val="21"/>
                <w:szCs w:val="20"/>
                <w:lang w:val="en-US"/>
                <w14:textFill>
                  <w14:solidFill>
                    <w14:schemeClr w14:val="tx1"/>
                  </w14:solidFill>
                </w14:textFill>
              </w:rPr>
            </w:pPr>
            <w:r>
              <w:rPr>
                <w:rFonts w:hint="eastAsia" w:cs="Times New Roman"/>
                <w:color w:val="000000" w:themeColor="text1"/>
                <w:kern w:val="0"/>
                <w:sz w:val="21"/>
                <w:szCs w:val="24"/>
                <w:lang w:val="en-US" w:eastAsia="zh-CN"/>
                <w14:textFill>
                  <w14:solidFill>
                    <w14:schemeClr w14:val="tx1"/>
                  </w14:solidFill>
                </w14:textFill>
              </w:rPr>
              <w:t>PM</w:t>
            </w:r>
            <w:r>
              <w:rPr>
                <w:rFonts w:hint="eastAsia" w:cs="Times New Roman"/>
                <w:color w:val="000000" w:themeColor="text1"/>
                <w:kern w:val="0"/>
                <w:sz w:val="21"/>
                <w:szCs w:val="24"/>
                <w:vertAlign w:val="subscript"/>
                <w:lang w:val="en-US" w:eastAsia="zh-CN"/>
                <w14:textFill>
                  <w14:solidFill>
                    <w14:schemeClr w14:val="tx1"/>
                  </w14:solidFill>
                </w14:textFill>
              </w:rPr>
              <w:t>10</w:t>
            </w:r>
          </w:p>
        </w:tc>
        <w:tc>
          <w:tcPr>
            <w:tcW w:w="1325" w:type="dxa"/>
            <w:noWrap w:val="0"/>
            <w:vAlign w:val="center"/>
          </w:tcPr>
          <w:p w14:paraId="3B5FC58F">
            <w:pPr>
              <w:widowControl/>
              <w:adjustRightInd w:val="0"/>
              <w:snapToGrid w:val="0"/>
              <w:jc w:val="center"/>
              <w:rPr>
                <w:rFonts w:hint="default" w:ascii="Times New Roman" w:hAnsi="Times New Roman" w:eastAsia="宋体" w:cs="Times New Roman"/>
                <w:color w:val="000000" w:themeColor="text1"/>
                <w:kern w:val="0"/>
                <w:sz w:val="21"/>
                <w:szCs w:val="20"/>
                <w:lang w:val="en-US" w:eastAsia="zh-CN"/>
                <w14:textFill>
                  <w14:solidFill>
                    <w14:schemeClr w14:val="tx1"/>
                  </w14:solidFill>
                </w14:textFill>
              </w:rPr>
            </w:pPr>
            <w:r>
              <w:rPr>
                <w:rFonts w:hint="eastAsia" w:cs="Times New Roman"/>
                <w:color w:val="000000" w:themeColor="text1"/>
                <w:kern w:val="0"/>
                <w:sz w:val="21"/>
                <w:szCs w:val="20"/>
                <w:lang w:val="en-US" w:eastAsia="zh-CN"/>
                <w14:textFill>
                  <w14:solidFill>
                    <w14:schemeClr w14:val="tx1"/>
                  </w14:solidFill>
                </w14:textFill>
              </w:rPr>
              <w:t>360</w:t>
            </w:r>
          </w:p>
        </w:tc>
        <w:tc>
          <w:tcPr>
            <w:tcW w:w="1325" w:type="dxa"/>
            <w:noWrap w:val="0"/>
            <w:vAlign w:val="center"/>
          </w:tcPr>
          <w:p w14:paraId="487A7025">
            <w:pPr>
              <w:widowControl/>
              <w:jc w:val="center"/>
              <w:rPr>
                <w:rFonts w:hint="default" w:ascii="Times New Roman" w:hAnsi="Times New Roman" w:eastAsia="宋体" w:cs="Times New Roman"/>
                <w:bCs/>
                <w:i/>
                <w:iCs/>
                <w:color w:val="000000" w:themeColor="text1"/>
                <w:kern w:val="0"/>
                <w:sz w:val="21"/>
                <w:szCs w:val="21"/>
                <w:lang w:val="en-US" w:eastAsia="zh-CN"/>
                <w14:textFill>
                  <w14:solidFill>
                    <w14:schemeClr w14:val="tx1"/>
                  </w14:solidFill>
                </w14:textFill>
              </w:rPr>
            </w:pPr>
            <w:r>
              <w:rPr>
                <w:rFonts w:hint="eastAsia" w:cs="Times New Roman"/>
                <w:bCs/>
                <w:color w:val="000000" w:themeColor="text1"/>
                <w:kern w:val="0"/>
                <w:sz w:val="21"/>
                <w:szCs w:val="21"/>
                <w:lang w:val="en-US" w:eastAsia="zh-CN"/>
                <w14:textFill>
                  <w14:solidFill>
                    <w14:schemeClr w14:val="tx1"/>
                  </w14:solidFill>
                </w14:textFill>
              </w:rPr>
              <w:t>9.33</w:t>
            </w:r>
          </w:p>
        </w:tc>
        <w:tc>
          <w:tcPr>
            <w:tcW w:w="1325" w:type="dxa"/>
            <w:noWrap w:val="0"/>
            <w:vAlign w:val="center"/>
          </w:tcPr>
          <w:p w14:paraId="5F864947">
            <w:pPr>
              <w:widowControl/>
              <w:jc w:val="center"/>
              <w:rPr>
                <w:rFonts w:hint="default" w:ascii="Times New Roman" w:hAnsi="Times New Roman" w:eastAsia="宋体" w:cs="Times New Roman"/>
                <w:bCs/>
                <w:color w:val="000000" w:themeColor="text1"/>
                <w:kern w:val="0"/>
                <w:sz w:val="21"/>
                <w:szCs w:val="21"/>
                <w:lang w:val="en-US" w:eastAsia="zh-CN"/>
                <w14:textFill>
                  <w14:solidFill>
                    <w14:schemeClr w14:val="tx1"/>
                  </w14:solidFill>
                </w14:textFill>
              </w:rPr>
            </w:pPr>
            <w:r>
              <w:rPr>
                <w:rFonts w:hint="eastAsia" w:cs="Times New Roman"/>
                <w:bCs/>
                <w:color w:val="000000" w:themeColor="text1"/>
                <w:kern w:val="0"/>
                <w:sz w:val="21"/>
                <w:szCs w:val="21"/>
                <w:lang w:val="en-US" w:eastAsia="zh-CN"/>
                <w14:textFill>
                  <w14:solidFill>
                    <w14:schemeClr w14:val="tx1"/>
                  </w14:solidFill>
                </w14:textFill>
              </w:rPr>
              <w:t>2.07</w:t>
            </w:r>
          </w:p>
        </w:tc>
        <w:tc>
          <w:tcPr>
            <w:tcW w:w="1329" w:type="dxa"/>
            <w:noWrap w:val="0"/>
            <w:vAlign w:val="center"/>
          </w:tcPr>
          <w:p w14:paraId="4DD323FD">
            <w:pPr>
              <w:widowControl/>
              <w:adjustRightInd w:val="0"/>
              <w:snapToGrid w:val="0"/>
              <w:jc w:val="center"/>
              <w:rPr>
                <w:rFonts w:hint="eastAsia" w:ascii="Times New Roman" w:hAnsi="Times New Roman" w:eastAsia="宋体" w:cs="Times New Roman"/>
                <w:color w:val="000000" w:themeColor="text1"/>
                <w:kern w:val="0"/>
                <w:sz w:val="21"/>
                <w:szCs w:val="20"/>
                <w:lang w:val="en-US" w:eastAsia="zh-CN"/>
                <w14:textFill>
                  <w14:solidFill>
                    <w14:schemeClr w14:val="tx1"/>
                  </w14:solidFill>
                </w14:textFill>
              </w:rPr>
            </w:pPr>
            <w:r>
              <w:rPr>
                <w:rFonts w:hint="eastAsia" w:cs="Times New Roman"/>
                <w:color w:val="000000" w:themeColor="text1"/>
                <w:kern w:val="0"/>
                <w:sz w:val="21"/>
                <w:szCs w:val="20"/>
                <w:lang w:val="en-US" w:eastAsia="zh-CN"/>
                <w14:textFill>
                  <w14:solidFill>
                    <w14:schemeClr w14:val="tx1"/>
                  </w14:solidFill>
                </w14:textFill>
              </w:rPr>
              <w:t>/</w:t>
            </w:r>
          </w:p>
        </w:tc>
      </w:tr>
      <w:tr w14:paraId="59849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951" w:type="dxa"/>
            <w:gridSpan w:val="2"/>
            <w:vMerge w:val="restart"/>
            <w:noWrap w:val="0"/>
            <w:vAlign w:val="center"/>
          </w:tcPr>
          <w:p w14:paraId="2FDF3EEA">
            <w:pPr>
              <w:widowControl/>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无组织</w:t>
            </w:r>
          </w:p>
        </w:tc>
        <w:tc>
          <w:tcPr>
            <w:tcW w:w="1325" w:type="dxa"/>
            <w:noWrap w:val="0"/>
            <w:vAlign w:val="center"/>
          </w:tcPr>
          <w:p w14:paraId="7AB3079C">
            <w:pPr>
              <w:widowControl/>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4"/>
                <w14:textFill>
                  <w14:solidFill>
                    <w14:schemeClr w14:val="tx1"/>
                  </w14:solidFill>
                </w14:textFill>
              </w:rPr>
              <w:t>TVOC</w:t>
            </w:r>
          </w:p>
        </w:tc>
        <w:tc>
          <w:tcPr>
            <w:tcW w:w="1325" w:type="dxa"/>
            <w:noWrap w:val="0"/>
            <w:vAlign w:val="center"/>
          </w:tcPr>
          <w:p w14:paraId="37A4BC86">
            <w:pPr>
              <w:widowControl/>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1200.0</w:t>
            </w:r>
          </w:p>
        </w:tc>
        <w:tc>
          <w:tcPr>
            <w:tcW w:w="1325" w:type="dxa"/>
            <w:noWrap w:val="0"/>
            <w:vAlign w:val="center"/>
          </w:tcPr>
          <w:p w14:paraId="788B974F">
            <w:pPr>
              <w:widowControl/>
              <w:jc w:val="center"/>
              <w:rPr>
                <w:rFonts w:hint="default" w:ascii="Times New Roman" w:hAnsi="Times New Roman" w:eastAsia="宋体" w:cs="Times New Roman"/>
                <w:bCs/>
                <w:color w:val="000000" w:themeColor="text1"/>
                <w:kern w:val="0"/>
                <w:sz w:val="21"/>
                <w:szCs w:val="21"/>
                <w:lang w:val="en-US" w:eastAsia="zh-CN"/>
                <w14:textFill>
                  <w14:solidFill>
                    <w14:schemeClr w14:val="tx1"/>
                  </w14:solidFill>
                </w14:textFill>
              </w:rPr>
            </w:pPr>
            <w:r>
              <w:rPr>
                <w:rFonts w:hint="eastAsia" w:cs="Times New Roman"/>
                <w:bCs/>
                <w:color w:val="000000" w:themeColor="text1"/>
                <w:kern w:val="0"/>
                <w:sz w:val="21"/>
                <w:szCs w:val="21"/>
                <w:lang w:val="en-US" w:eastAsia="zh-CN"/>
                <w14:textFill>
                  <w14:solidFill>
                    <w14:schemeClr w14:val="tx1"/>
                  </w14:solidFill>
                </w14:textFill>
              </w:rPr>
              <w:t>34.56</w:t>
            </w:r>
          </w:p>
        </w:tc>
        <w:tc>
          <w:tcPr>
            <w:tcW w:w="1325" w:type="dxa"/>
            <w:noWrap w:val="0"/>
            <w:vAlign w:val="center"/>
          </w:tcPr>
          <w:p w14:paraId="1F524E88">
            <w:pPr>
              <w:widowControl/>
              <w:jc w:val="center"/>
              <w:rPr>
                <w:rFonts w:hint="default" w:ascii="Times New Roman" w:hAnsi="Times New Roman" w:eastAsia="宋体" w:cs="Times New Roman"/>
                <w:bCs/>
                <w:color w:val="000000" w:themeColor="text1"/>
                <w:kern w:val="0"/>
                <w:sz w:val="21"/>
                <w:szCs w:val="21"/>
                <w:lang w:val="en-US" w:eastAsia="zh-CN"/>
                <w14:textFill>
                  <w14:solidFill>
                    <w14:schemeClr w14:val="tx1"/>
                  </w14:solidFill>
                </w14:textFill>
              </w:rPr>
            </w:pPr>
            <w:r>
              <w:rPr>
                <w:rFonts w:hint="eastAsia" w:cs="Times New Roman"/>
                <w:bCs/>
                <w:color w:val="000000" w:themeColor="text1"/>
                <w:kern w:val="0"/>
                <w:sz w:val="21"/>
                <w:szCs w:val="21"/>
                <w:lang w:val="en-US" w:eastAsia="zh-CN"/>
                <w14:textFill>
                  <w14:solidFill>
                    <w14:schemeClr w14:val="tx1"/>
                  </w14:solidFill>
                </w14:textFill>
              </w:rPr>
              <w:t>2.88</w:t>
            </w:r>
          </w:p>
        </w:tc>
        <w:tc>
          <w:tcPr>
            <w:tcW w:w="1329" w:type="dxa"/>
            <w:noWrap w:val="0"/>
            <w:vAlign w:val="center"/>
          </w:tcPr>
          <w:p w14:paraId="0E80EA64">
            <w:pPr>
              <w:widowControl/>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ascii="Times New Roman" w:hAnsi="Times New Roman" w:eastAsia="宋体" w:cs="Times New Roman"/>
                <w:color w:val="000000" w:themeColor="text1"/>
                <w:kern w:val="0"/>
                <w:sz w:val="21"/>
                <w:szCs w:val="20"/>
                <w14:textFill>
                  <w14:solidFill>
                    <w14:schemeClr w14:val="tx1"/>
                  </w14:solidFill>
                </w14:textFill>
              </w:rPr>
              <w:t>/</w:t>
            </w:r>
          </w:p>
        </w:tc>
      </w:tr>
      <w:tr w14:paraId="53B4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951" w:type="dxa"/>
            <w:gridSpan w:val="2"/>
            <w:vMerge w:val="continue"/>
            <w:noWrap w:val="0"/>
            <w:vAlign w:val="center"/>
          </w:tcPr>
          <w:p w14:paraId="246A5024">
            <w:pPr>
              <w:widowControl/>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p>
        </w:tc>
        <w:tc>
          <w:tcPr>
            <w:tcW w:w="1325" w:type="dxa"/>
            <w:noWrap w:val="0"/>
            <w:vAlign w:val="center"/>
          </w:tcPr>
          <w:p w14:paraId="7A86902D">
            <w:pPr>
              <w:widowControl/>
              <w:adjustRightInd w:val="0"/>
              <w:snapToGrid w:val="0"/>
              <w:jc w:val="center"/>
              <w:rPr>
                <w:rFonts w:hint="eastAsia" w:ascii="Times New Roman" w:hAnsi="Times New Roman" w:eastAsia="宋体" w:cs="Times New Roman"/>
                <w:color w:val="000000" w:themeColor="text1"/>
                <w:kern w:val="0"/>
                <w:sz w:val="21"/>
                <w:szCs w:val="20"/>
                <w:lang w:val="en-US" w:eastAsia="zh-CN"/>
                <w14:textFill>
                  <w14:solidFill>
                    <w14:schemeClr w14:val="tx1"/>
                  </w14:solidFill>
                </w14:textFill>
              </w:rPr>
            </w:pPr>
            <w:r>
              <w:rPr>
                <w:rFonts w:hint="eastAsia" w:cs="Times New Roman"/>
                <w:color w:val="000000" w:themeColor="text1"/>
                <w:kern w:val="0"/>
                <w:sz w:val="21"/>
                <w:szCs w:val="24"/>
                <w:lang w:val="en-US" w:eastAsia="zh-CN"/>
                <w14:textFill>
                  <w14:solidFill>
                    <w14:schemeClr w14:val="tx1"/>
                  </w14:solidFill>
                </w14:textFill>
              </w:rPr>
              <w:t>甲醛</w:t>
            </w:r>
          </w:p>
        </w:tc>
        <w:tc>
          <w:tcPr>
            <w:tcW w:w="1325" w:type="dxa"/>
            <w:noWrap w:val="0"/>
            <w:vAlign w:val="center"/>
          </w:tcPr>
          <w:p w14:paraId="5D99F8A4">
            <w:pPr>
              <w:widowControl/>
              <w:adjustRightInd w:val="0"/>
              <w:snapToGrid w:val="0"/>
              <w:jc w:val="center"/>
              <w:rPr>
                <w:rFonts w:hint="default" w:ascii="Times New Roman" w:hAnsi="Times New Roman" w:eastAsia="宋体" w:cs="Times New Roman"/>
                <w:color w:val="000000" w:themeColor="text1"/>
                <w:kern w:val="0"/>
                <w:sz w:val="21"/>
                <w:szCs w:val="20"/>
                <w:lang w:val="en-US" w:eastAsia="zh-CN"/>
                <w14:textFill>
                  <w14:solidFill>
                    <w14:schemeClr w14:val="tx1"/>
                  </w14:solidFill>
                </w14:textFill>
              </w:rPr>
            </w:pPr>
            <w:r>
              <w:rPr>
                <w:rFonts w:hint="eastAsia" w:cs="Times New Roman"/>
                <w:color w:val="000000" w:themeColor="text1"/>
                <w:kern w:val="0"/>
                <w:sz w:val="21"/>
                <w:szCs w:val="20"/>
                <w:lang w:val="en-US" w:eastAsia="zh-CN"/>
                <w14:textFill>
                  <w14:solidFill>
                    <w14:schemeClr w14:val="tx1"/>
                  </w14:solidFill>
                </w14:textFill>
              </w:rPr>
              <w:t>50.0</w:t>
            </w:r>
          </w:p>
        </w:tc>
        <w:tc>
          <w:tcPr>
            <w:tcW w:w="1325" w:type="dxa"/>
            <w:noWrap w:val="0"/>
            <w:vAlign w:val="center"/>
          </w:tcPr>
          <w:p w14:paraId="4614E993">
            <w:pPr>
              <w:widowControl/>
              <w:jc w:val="center"/>
              <w:rPr>
                <w:rFonts w:hint="default" w:ascii="Times New Roman" w:hAnsi="Times New Roman" w:eastAsia="宋体" w:cs="Times New Roman"/>
                <w:bCs/>
                <w:color w:val="000000" w:themeColor="text1"/>
                <w:kern w:val="0"/>
                <w:sz w:val="21"/>
                <w:szCs w:val="21"/>
                <w:lang w:val="en-US" w:eastAsia="zh-CN"/>
                <w14:textFill>
                  <w14:solidFill>
                    <w14:schemeClr w14:val="tx1"/>
                  </w14:solidFill>
                </w14:textFill>
              </w:rPr>
            </w:pPr>
            <w:r>
              <w:rPr>
                <w:rFonts w:hint="eastAsia" w:cs="Times New Roman"/>
                <w:bCs/>
                <w:color w:val="000000" w:themeColor="text1"/>
                <w:kern w:val="0"/>
                <w:sz w:val="21"/>
                <w:szCs w:val="21"/>
                <w:lang w:val="en-US" w:eastAsia="zh-CN"/>
                <w14:textFill>
                  <w14:solidFill>
                    <w14:schemeClr w14:val="tx1"/>
                  </w14:solidFill>
                </w14:textFill>
              </w:rPr>
              <w:t>0.11</w:t>
            </w:r>
          </w:p>
        </w:tc>
        <w:tc>
          <w:tcPr>
            <w:tcW w:w="1325" w:type="dxa"/>
            <w:noWrap w:val="0"/>
            <w:vAlign w:val="center"/>
          </w:tcPr>
          <w:p w14:paraId="72E7C0E4">
            <w:pPr>
              <w:widowControl/>
              <w:jc w:val="center"/>
              <w:rPr>
                <w:rFonts w:hint="default" w:ascii="Times New Roman" w:hAnsi="Times New Roman" w:eastAsia="宋体" w:cs="Times New Roman"/>
                <w:bCs/>
                <w:color w:val="000000" w:themeColor="text1"/>
                <w:kern w:val="0"/>
                <w:sz w:val="21"/>
                <w:szCs w:val="21"/>
                <w:lang w:val="en-US" w:eastAsia="zh-CN"/>
                <w14:textFill>
                  <w14:solidFill>
                    <w14:schemeClr w14:val="tx1"/>
                  </w14:solidFill>
                </w14:textFill>
              </w:rPr>
            </w:pPr>
            <w:r>
              <w:rPr>
                <w:rFonts w:hint="eastAsia" w:cs="Times New Roman"/>
                <w:bCs/>
                <w:color w:val="000000" w:themeColor="text1"/>
                <w:kern w:val="0"/>
                <w:sz w:val="21"/>
                <w:szCs w:val="21"/>
                <w:lang w:val="en-US" w:eastAsia="zh-CN"/>
                <w14:textFill>
                  <w14:solidFill>
                    <w14:schemeClr w14:val="tx1"/>
                  </w14:solidFill>
                </w14:textFill>
              </w:rPr>
              <w:t>0.23</w:t>
            </w:r>
          </w:p>
        </w:tc>
        <w:tc>
          <w:tcPr>
            <w:tcW w:w="1329" w:type="dxa"/>
            <w:noWrap w:val="0"/>
            <w:vAlign w:val="center"/>
          </w:tcPr>
          <w:p w14:paraId="7C5DA6AD">
            <w:pPr>
              <w:widowControl/>
              <w:adjustRightInd w:val="0"/>
              <w:snapToGrid w:val="0"/>
              <w:jc w:val="center"/>
              <w:rPr>
                <w:rFonts w:hint="eastAsia" w:ascii="Times New Roman" w:hAnsi="Times New Roman" w:eastAsia="宋体" w:cs="Times New Roman"/>
                <w:color w:val="000000" w:themeColor="text1"/>
                <w:kern w:val="0"/>
                <w:sz w:val="21"/>
                <w:szCs w:val="20"/>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14:textFill>
                  <w14:solidFill>
                    <w14:schemeClr w14:val="tx1"/>
                  </w14:solidFill>
                </w14:textFill>
              </w:rPr>
              <w:t>/</w:t>
            </w:r>
          </w:p>
        </w:tc>
      </w:tr>
      <w:tr w14:paraId="6F3B5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951" w:type="dxa"/>
            <w:gridSpan w:val="2"/>
            <w:vMerge w:val="continue"/>
            <w:noWrap w:val="0"/>
            <w:vAlign w:val="center"/>
          </w:tcPr>
          <w:p w14:paraId="499868A4">
            <w:pPr>
              <w:widowControl/>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p>
        </w:tc>
        <w:tc>
          <w:tcPr>
            <w:tcW w:w="1325" w:type="dxa"/>
            <w:noWrap w:val="0"/>
            <w:vAlign w:val="center"/>
          </w:tcPr>
          <w:p w14:paraId="5DD71447">
            <w:pPr>
              <w:widowControl/>
              <w:adjustRightInd w:val="0"/>
              <w:snapToGrid w:val="0"/>
              <w:jc w:val="center"/>
              <w:rPr>
                <w:rFonts w:hint="default" w:ascii="Times New Roman" w:hAnsi="Times New Roman" w:eastAsia="宋体" w:cs="Times New Roman"/>
                <w:color w:val="000000" w:themeColor="text1"/>
                <w:kern w:val="0"/>
                <w:sz w:val="21"/>
                <w:szCs w:val="20"/>
                <w:lang w:val="en-US" w:eastAsia="zh-CN"/>
                <w14:textFill>
                  <w14:solidFill>
                    <w14:schemeClr w14:val="tx1"/>
                  </w14:solidFill>
                </w14:textFill>
              </w:rPr>
            </w:pPr>
            <w:r>
              <w:rPr>
                <w:rFonts w:hint="eastAsia" w:cs="Times New Roman"/>
                <w:color w:val="000000" w:themeColor="text1"/>
                <w:kern w:val="0"/>
                <w:sz w:val="21"/>
                <w:szCs w:val="24"/>
                <w:lang w:val="en-US" w:eastAsia="zh-CN"/>
                <w14:textFill>
                  <w14:solidFill>
                    <w14:schemeClr w14:val="tx1"/>
                  </w14:solidFill>
                </w14:textFill>
              </w:rPr>
              <w:t>TSP</w:t>
            </w:r>
          </w:p>
        </w:tc>
        <w:tc>
          <w:tcPr>
            <w:tcW w:w="1325" w:type="dxa"/>
            <w:noWrap w:val="0"/>
            <w:vAlign w:val="center"/>
          </w:tcPr>
          <w:p w14:paraId="6270E392">
            <w:pPr>
              <w:widowControl/>
              <w:adjustRightInd w:val="0"/>
              <w:snapToGrid w:val="0"/>
              <w:jc w:val="center"/>
              <w:rPr>
                <w:rFonts w:ascii="Times New Roman" w:hAnsi="Times New Roman" w:eastAsia="宋体" w:cs="Times New Roman"/>
                <w:color w:val="000000" w:themeColor="text1"/>
                <w:kern w:val="0"/>
                <w:sz w:val="21"/>
                <w:szCs w:val="20"/>
                <w14:textFill>
                  <w14:solidFill>
                    <w14:schemeClr w14:val="tx1"/>
                  </w14:solidFill>
                </w14:textFill>
              </w:rPr>
            </w:pPr>
            <w:r>
              <w:rPr>
                <w:rFonts w:hint="eastAsia" w:cs="Times New Roman"/>
                <w:color w:val="000000" w:themeColor="text1"/>
                <w:kern w:val="0"/>
                <w:sz w:val="21"/>
                <w:szCs w:val="20"/>
                <w:lang w:val="en-US" w:eastAsia="zh-CN"/>
                <w14:textFill>
                  <w14:solidFill>
                    <w14:schemeClr w14:val="tx1"/>
                  </w14:solidFill>
                </w14:textFill>
              </w:rPr>
              <w:t>900.0</w:t>
            </w:r>
          </w:p>
        </w:tc>
        <w:tc>
          <w:tcPr>
            <w:tcW w:w="1325" w:type="dxa"/>
            <w:noWrap w:val="0"/>
            <w:vAlign w:val="center"/>
          </w:tcPr>
          <w:p w14:paraId="2506A838">
            <w:pPr>
              <w:widowControl/>
              <w:jc w:val="center"/>
              <w:rPr>
                <w:rFonts w:hint="default" w:ascii="Times New Roman" w:hAnsi="Times New Roman" w:eastAsia="宋体" w:cs="Times New Roman"/>
                <w:bCs/>
                <w:color w:val="000000" w:themeColor="text1"/>
                <w:kern w:val="0"/>
                <w:sz w:val="21"/>
                <w:szCs w:val="21"/>
                <w:lang w:val="en-US" w:eastAsia="zh-CN"/>
                <w14:textFill>
                  <w14:solidFill>
                    <w14:schemeClr w14:val="tx1"/>
                  </w14:solidFill>
                </w14:textFill>
              </w:rPr>
            </w:pPr>
            <w:r>
              <w:rPr>
                <w:rFonts w:hint="eastAsia" w:cs="Times New Roman"/>
                <w:bCs/>
                <w:color w:val="000000" w:themeColor="text1"/>
                <w:kern w:val="0"/>
                <w:sz w:val="21"/>
                <w:szCs w:val="21"/>
                <w:lang w:val="en-US" w:eastAsia="zh-CN"/>
                <w14:textFill>
                  <w14:solidFill>
                    <w14:schemeClr w14:val="tx1"/>
                  </w14:solidFill>
                </w14:textFill>
              </w:rPr>
              <w:t>22.365</w:t>
            </w:r>
          </w:p>
        </w:tc>
        <w:tc>
          <w:tcPr>
            <w:tcW w:w="1325" w:type="dxa"/>
            <w:noWrap w:val="0"/>
            <w:vAlign w:val="center"/>
          </w:tcPr>
          <w:p w14:paraId="35FB8A58">
            <w:pPr>
              <w:widowControl/>
              <w:jc w:val="center"/>
              <w:rPr>
                <w:rFonts w:hint="default" w:ascii="Times New Roman" w:hAnsi="Times New Roman" w:eastAsia="宋体" w:cs="Times New Roman"/>
                <w:bCs/>
                <w:color w:val="000000" w:themeColor="text1"/>
                <w:kern w:val="0"/>
                <w:sz w:val="21"/>
                <w:szCs w:val="21"/>
                <w:lang w:val="en-US" w:eastAsia="zh-CN"/>
                <w14:textFill>
                  <w14:solidFill>
                    <w14:schemeClr w14:val="tx1"/>
                  </w14:solidFill>
                </w14:textFill>
              </w:rPr>
            </w:pPr>
            <w:r>
              <w:rPr>
                <w:rFonts w:hint="eastAsia" w:cs="Times New Roman"/>
                <w:bCs/>
                <w:color w:val="000000" w:themeColor="text1"/>
                <w:kern w:val="0"/>
                <w:sz w:val="21"/>
                <w:szCs w:val="21"/>
                <w:lang w:val="en-US" w:eastAsia="zh-CN"/>
                <w14:textFill>
                  <w14:solidFill>
                    <w14:schemeClr w14:val="tx1"/>
                  </w14:solidFill>
                </w14:textFill>
              </w:rPr>
              <w:t>2.49</w:t>
            </w:r>
          </w:p>
        </w:tc>
        <w:tc>
          <w:tcPr>
            <w:tcW w:w="1329" w:type="dxa"/>
            <w:noWrap w:val="0"/>
            <w:vAlign w:val="center"/>
          </w:tcPr>
          <w:p w14:paraId="3CCB30CC">
            <w:pPr>
              <w:widowControl/>
              <w:adjustRightInd w:val="0"/>
              <w:snapToGrid w:val="0"/>
              <w:jc w:val="center"/>
              <w:rPr>
                <w:rFonts w:hint="eastAsia" w:ascii="Times New Roman" w:hAnsi="Times New Roman" w:eastAsia="宋体" w:cs="Times New Roman"/>
                <w:color w:val="000000" w:themeColor="text1"/>
                <w:kern w:val="0"/>
                <w:sz w:val="21"/>
                <w:szCs w:val="20"/>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0"/>
                <w:lang w:val="en-US" w:eastAsia="zh-CN"/>
                <w14:textFill>
                  <w14:solidFill>
                    <w14:schemeClr w14:val="tx1"/>
                  </w14:solidFill>
                </w14:textFill>
              </w:rPr>
              <w:t>/</w:t>
            </w:r>
          </w:p>
        </w:tc>
      </w:tr>
    </w:tbl>
    <w:p w14:paraId="3F577086">
      <w:pPr>
        <w:pStyle w:val="79"/>
        <w:bidi w:val="0"/>
        <w:rPr>
          <w:rFonts w:hint="default"/>
          <w:color w:val="000000" w:themeColor="text1"/>
          <w14:textFill>
            <w14:solidFill>
              <w14:schemeClr w14:val="tx1"/>
            </w14:solidFill>
          </w14:textFill>
        </w:rPr>
      </w:pPr>
      <w:r>
        <w:rPr>
          <w:rFonts w:ascii="Times New Roman" w:hAnsi="Times New Roman" w:eastAsia="宋体" w:cs="Times New Roman"/>
          <w:color w:val="000000" w:themeColor="text1"/>
          <w:kern w:val="0"/>
          <w:sz w:val="24"/>
          <w:szCs w:val="20"/>
          <w14:textFill>
            <w14:solidFill>
              <w14:schemeClr w14:val="tx1"/>
            </w14:solidFill>
          </w14:textFill>
        </w:rPr>
        <w:t>综合以上分析，本项目P</w:t>
      </w:r>
      <w:r>
        <w:rPr>
          <w:rFonts w:ascii="Times New Roman" w:hAnsi="Times New Roman" w:eastAsia="宋体" w:cs="Times New Roman"/>
          <w:color w:val="000000" w:themeColor="text1"/>
          <w:kern w:val="0"/>
          <w:sz w:val="24"/>
          <w:szCs w:val="20"/>
          <w:vertAlign w:val="subscript"/>
          <w14:textFill>
            <w14:solidFill>
              <w14:schemeClr w14:val="tx1"/>
            </w14:solidFill>
          </w14:textFill>
        </w:rPr>
        <w:t>max</w:t>
      </w:r>
      <w:r>
        <w:rPr>
          <w:rFonts w:ascii="Times New Roman" w:hAnsi="Times New Roman" w:eastAsia="宋体" w:cs="Times New Roman"/>
          <w:color w:val="000000" w:themeColor="text1"/>
          <w:kern w:val="0"/>
          <w:sz w:val="24"/>
          <w:szCs w:val="20"/>
          <w14:textFill>
            <w14:solidFill>
              <w14:schemeClr w14:val="tx1"/>
            </w14:solidFill>
          </w14:textFill>
        </w:rPr>
        <w:t>最大值出现为DA001点源排放的非甲烷总烃，P</w:t>
      </w:r>
      <w:r>
        <w:rPr>
          <w:rFonts w:ascii="Times New Roman" w:hAnsi="Times New Roman" w:eastAsia="宋体" w:cs="Times New Roman"/>
          <w:color w:val="000000" w:themeColor="text1"/>
          <w:kern w:val="0"/>
          <w:sz w:val="24"/>
          <w:szCs w:val="20"/>
          <w:vertAlign w:val="subscript"/>
          <w14:textFill>
            <w14:solidFill>
              <w14:schemeClr w14:val="tx1"/>
            </w14:solidFill>
          </w14:textFill>
        </w:rPr>
        <w:t>max</w:t>
      </w:r>
      <w:r>
        <w:rPr>
          <w:rFonts w:ascii="Times New Roman" w:hAnsi="Times New Roman" w:eastAsia="宋体" w:cs="Times New Roman"/>
          <w:color w:val="000000" w:themeColor="text1"/>
          <w:kern w:val="0"/>
          <w:sz w:val="24"/>
          <w:szCs w:val="20"/>
          <w14:textFill>
            <w14:solidFill>
              <w14:schemeClr w14:val="tx1"/>
            </w14:solidFill>
          </w14:textFill>
        </w:rPr>
        <w:t>值</w:t>
      </w:r>
      <w:r>
        <w:rPr>
          <w:rFonts w:ascii="Times New Roman" w:hAnsi="Times New Roman" w:eastAsia="宋体" w:cs="Times New Roman"/>
          <w:color w:val="000000" w:themeColor="text1"/>
          <w:kern w:val="0"/>
          <w:sz w:val="24"/>
          <w:szCs w:val="24"/>
          <w14:textFill>
            <w14:solidFill>
              <w14:schemeClr w14:val="tx1"/>
            </w14:solidFill>
          </w14:textFill>
        </w:rPr>
        <w:t>为1%＜P</w:t>
      </w:r>
      <w:r>
        <w:rPr>
          <w:rFonts w:ascii="Times New Roman" w:hAnsi="Times New Roman" w:eastAsia="宋体" w:cs="Times New Roman"/>
          <w:color w:val="000000" w:themeColor="text1"/>
          <w:kern w:val="0"/>
          <w:sz w:val="24"/>
          <w:szCs w:val="24"/>
          <w:vertAlign w:val="subscript"/>
          <w14:textFill>
            <w14:solidFill>
              <w14:schemeClr w14:val="tx1"/>
            </w14:solidFill>
          </w14:textFill>
        </w:rPr>
        <w:t>max</w:t>
      </w:r>
      <w:r>
        <w:rPr>
          <w:rFonts w:ascii="Times New Roman" w:hAnsi="Times New Roman" w:eastAsia="宋体" w:cs="Times New Roman"/>
          <w:color w:val="000000" w:themeColor="text1"/>
          <w:kern w:val="0"/>
          <w:sz w:val="24"/>
          <w:szCs w:val="24"/>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7.0</w:t>
      </w:r>
      <w:r>
        <w:rPr>
          <w:rFonts w:hint="eastAsia" w:cs="Times New Roman"/>
          <w:color w:val="000000" w:themeColor="text1"/>
          <w:kern w:val="0"/>
          <w:sz w:val="24"/>
          <w:szCs w:val="24"/>
          <w:lang w:val="en-US" w:eastAsia="zh-CN"/>
          <w14:textFill>
            <w14:solidFill>
              <w14:schemeClr w14:val="tx1"/>
            </w14:solidFill>
          </w14:textFill>
        </w:rPr>
        <w:t>0</w:t>
      </w:r>
      <w:r>
        <w:rPr>
          <w:rFonts w:ascii="Times New Roman" w:hAnsi="Times New Roman" w:eastAsia="宋体" w:cs="Times New Roman"/>
          <w:color w:val="000000" w:themeColor="text1"/>
          <w:kern w:val="0"/>
          <w:sz w:val="24"/>
          <w:szCs w:val="24"/>
          <w14:textFill>
            <w14:solidFill>
              <w14:schemeClr w14:val="tx1"/>
            </w14:solidFill>
          </w14:textFill>
        </w:rPr>
        <w:t>%＜10%，C</w:t>
      </w:r>
      <w:r>
        <w:rPr>
          <w:rFonts w:ascii="Times New Roman" w:hAnsi="Times New Roman" w:eastAsia="宋体" w:cs="Times New Roman"/>
          <w:color w:val="000000" w:themeColor="text1"/>
          <w:kern w:val="0"/>
          <w:sz w:val="24"/>
          <w:szCs w:val="24"/>
          <w:vertAlign w:val="subscript"/>
          <w14:textFill>
            <w14:solidFill>
              <w14:schemeClr w14:val="tx1"/>
            </w14:solidFill>
          </w14:textFill>
        </w:rPr>
        <w:t>max</w:t>
      </w:r>
      <w:r>
        <w:rPr>
          <w:rFonts w:ascii="Times New Roman" w:hAnsi="Times New Roman" w:eastAsia="宋体" w:cs="Times New Roman"/>
          <w:color w:val="000000" w:themeColor="text1"/>
          <w:kern w:val="0"/>
          <w:sz w:val="24"/>
          <w:szCs w:val="24"/>
          <w14:textFill>
            <w14:solidFill>
              <w14:schemeClr w14:val="tx1"/>
            </w14:solidFill>
          </w14:textFill>
        </w:rPr>
        <w:t>为</w:t>
      </w:r>
      <w:r>
        <w:rPr>
          <w:rFonts w:hint="eastAsia" w:cs="Times New Roman"/>
          <w:color w:val="000000" w:themeColor="text1"/>
          <w:kern w:val="0"/>
          <w:sz w:val="24"/>
          <w:szCs w:val="24"/>
          <w:lang w:val="en-US" w:eastAsia="zh-CN"/>
          <w14:textFill>
            <w14:solidFill>
              <w14:schemeClr w14:val="tx1"/>
            </w14:solidFill>
          </w14:textFill>
        </w:rPr>
        <w:t>83.958</w:t>
      </w:r>
      <w:r>
        <w:rPr>
          <w:rFonts w:ascii="Times New Roman" w:hAnsi="Times New Roman" w:eastAsia="宋体" w:cs="Times New Roman"/>
          <w:color w:val="000000" w:themeColor="text1"/>
          <w:kern w:val="0"/>
          <w:sz w:val="24"/>
          <w:szCs w:val="24"/>
          <w14:textFill>
            <w14:solidFill>
              <w14:schemeClr w14:val="tx1"/>
            </w14:solidFill>
          </w14:textFill>
        </w:rPr>
        <w:t>ug/m</w:t>
      </w:r>
      <w:r>
        <w:rPr>
          <w:rFonts w:ascii="Times New Roman" w:hAnsi="Times New Roman" w:eastAsia="宋体" w:cs="Times New Roman"/>
          <w:color w:val="000000" w:themeColor="text1"/>
          <w:kern w:val="0"/>
          <w:sz w:val="24"/>
          <w:szCs w:val="24"/>
          <w:vertAlign w:val="superscript"/>
          <w14:textFill>
            <w14:solidFill>
              <w14:schemeClr w14:val="tx1"/>
            </w14:solidFill>
          </w14:textFill>
        </w:rPr>
        <w:t>3</w:t>
      </w:r>
      <w:r>
        <w:rPr>
          <w:rFonts w:ascii="Times New Roman" w:hAnsi="Times New Roman" w:eastAsia="宋体" w:cs="Times New Roman"/>
          <w:color w:val="000000" w:themeColor="text1"/>
          <w:kern w:val="0"/>
          <w:sz w:val="24"/>
          <w:szCs w:val="24"/>
          <w14:textFill>
            <w14:solidFill>
              <w14:schemeClr w14:val="tx1"/>
            </w14:solidFill>
          </w14:textFill>
        </w:rPr>
        <w:t>，</w:t>
      </w:r>
      <w:r>
        <w:rPr>
          <w:rFonts w:ascii="Times New Roman" w:hAnsi="Times New Roman" w:eastAsia="宋体" w:cs="Times New Roman"/>
          <w:color w:val="000000" w:themeColor="text1"/>
          <w:kern w:val="0"/>
          <w:sz w:val="24"/>
          <w:szCs w:val="20"/>
          <w14:textFill>
            <w14:solidFill>
              <w14:schemeClr w14:val="tx1"/>
            </w14:solidFill>
          </w14:textFill>
        </w:rPr>
        <w:t>根据《环境影响评价技术导则 大气环境》</w:t>
      </w:r>
      <w:r>
        <w:rPr>
          <w:rFonts w:hint="eastAsia" w:cs="Times New Roman"/>
          <w:color w:val="000000" w:themeColor="text1"/>
          <w:kern w:val="0"/>
          <w:sz w:val="24"/>
          <w:szCs w:val="20"/>
          <w:lang w:eastAsia="zh-CN"/>
          <w14:textFill>
            <w14:solidFill>
              <w14:schemeClr w14:val="tx1"/>
            </w14:solidFill>
          </w14:textFill>
        </w:rPr>
        <w:t>（</w:t>
      </w:r>
      <w:r>
        <w:rPr>
          <w:rFonts w:ascii="Times New Roman" w:hAnsi="Times New Roman" w:eastAsia="宋体" w:cs="Times New Roman"/>
          <w:color w:val="000000" w:themeColor="text1"/>
          <w:kern w:val="0"/>
          <w:sz w:val="24"/>
          <w:szCs w:val="20"/>
          <w14:textFill>
            <w14:solidFill>
              <w14:schemeClr w14:val="tx1"/>
            </w14:solidFill>
          </w14:textFill>
        </w:rPr>
        <w:t>HJ2.2-2018</w:t>
      </w:r>
      <w:r>
        <w:rPr>
          <w:rFonts w:hint="eastAsia" w:cs="Times New Roman"/>
          <w:color w:val="000000" w:themeColor="text1"/>
          <w:kern w:val="0"/>
          <w:sz w:val="24"/>
          <w:szCs w:val="20"/>
          <w:lang w:eastAsia="zh-CN"/>
          <w14:textFill>
            <w14:solidFill>
              <w14:schemeClr w14:val="tx1"/>
            </w14:solidFill>
          </w14:textFill>
        </w:rPr>
        <w:t>）</w:t>
      </w:r>
      <w:r>
        <w:rPr>
          <w:rFonts w:ascii="Times New Roman" w:hAnsi="Times New Roman" w:eastAsia="宋体" w:cs="Times New Roman"/>
          <w:color w:val="000000" w:themeColor="text1"/>
          <w:kern w:val="0"/>
          <w:sz w:val="24"/>
          <w:szCs w:val="20"/>
          <w14:textFill>
            <w14:solidFill>
              <w14:schemeClr w14:val="tx1"/>
            </w14:solidFill>
          </w14:textFill>
        </w:rPr>
        <w:t>分级判据，确定本项目大气环境影响评价工作等级为二级。</w:t>
      </w:r>
    </w:p>
    <w:p w14:paraId="5819F36A">
      <w:pPr>
        <w:pStyle w:val="5"/>
        <w:bidi w:val="0"/>
        <w:rPr>
          <w:rFonts w:hint="eastAsia"/>
          <w:color w:val="000000" w:themeColor="text1"/>
          <w:lang w:val="en-US" w:eastAsia="zh-CN"/>
          <w14:textFill>
            <w14:solidFill>
              <w14:schemeClr w14:val="tx1"/>
            </w14:solidFill>
          </w14:textFill>
        </w:rPr>
      </w:pPr>
      <w:bookmarkStart w:id="325" w:name="_Toc6220"/>
      <w:bookmarkStart w:id="326" w:name="_Toc25890"/>
      <w:r>
        <w:rPr>
          <w:rFonts w:hint="eastAsia"/>
          <w:color w:val="000000" w:themeColor="text1"/>
          <w:lang w:val="en-US" w:eastAsia="zh-CN"/>
          <w14:textFill>
            <w14:solidFill>
              <w14:schemeClr w14:val="tx1"/>
            </w14:solidFill>
          </w14:textFill>
        </w:rPr>
        <w:t>1.5.2 评价范围</w:t>
      </w:r>
      <w:bookmarkEnd w:id="325"/>
      <w:bookmarkEnd w:id="326"/>
    </w:p>
    <w:p w14:paraId="44F9CE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color w:val="000000" w:themeColor="text1"/>
          <w:sz w:val="24"/>
          <w:szCs w:val="32"/>
          <w:lang w:val="en-US" w:eastAsia="zh-CN"/>
          <w14:textFill>
            <w14:solidFill>
              <w14:schemeClr w14:val="tx1"/>
            </w14:solidFill>
          </w14:textFill>
        </w:rPr>
      </w:pPr>
      <w:r>
        <w:rPr>
          <w:rFonts w:hint="default" w:ascii="Times New Roman"/>
          <w:color w:val="000000" w:themeColor="text1"/>
          <w:sz w:val="24"/>
          <w:szCs w:val="32"/>
          <w14:textFill>
            <w14:solidFill>
              <w14:schemeClr w14:val="tx1"/>
            </w14:solidFill>
          </w14:textFill>
        </w:rPr>
        <w:t>根据《环境影响评价技术导则-大气环境》（HJ2.2-2018）的要求</w:t>
      </w:r>
      <w:r>
        <w:rPr>
          <w:rFonts w:hint="eastAsia" w:ascii="Times New Roman"/>
          <w:color w:val="000000" w:themeColor="text1"/>
          <w:sz w:val="24"/>
          <w:szCs w:val="32"/>
          <w:lang w:val="en-US" w:eastAsia="zh-CN"/>
          <w14:textFill>
            <w14:solidFill>
              <w14:schemeClr w14:val="tx1"/>
            </w14:solidFill>
          </w14:textFill>
        </w:rPr>
        <w:t>与估算结果，本项目大气评价范围为以项目厂址为中心区域，自厂界外延，边长5km的矩形区域。</w:t>
      </w:r>
    </w:p>
    <w:p w14:paraId="1793FB1C">
      <w:pPr>
        <w:pStyle w:val="3"/>
        <w:bidi w:val="0"/>
        <w:rPr>
          <w:rFonts w:hint="eastAsia"/>
          <w:color w:val="000000" w:themeColor="text1"/>
          <w:lang w:val="en-US" w:eastAsia="zh-CN"/>
          <w14:textFill>
            <w14:solidFill>
              <w14:schemeClr w14:val="tx1"/>
            </w14:solidFill>
          </w14:textFill>
        </w:rPr>
      </w:pPr>
      <w:bookmarkStart w:id="327" w:name="_Toc19985"/>
      <w:bookmarkStart w:id="328" w:name="_Toc20541"/>
      <w:bookmarkStart w:id="329" w:name="_Toc3718"/>
      <w:r>
        <w:rPr>
          <w:rFonts w:hint="eastAsia"/>
          <w:color w:val="000000" w:themeColor="text1"/>
          <w:lang w:val="en-US" w:eastAsia="zh-CN"/>
          <w14:textFill>
            <w14:solidFill>
              <w14:schemeClr w14:val="tx1"/>
            </w14:solidFill>
          </w14:textFill>
        </w:rPr>
        <w:t>1.6 环境空气保护目标</w:t>
      </w:r>
      <w:bookmarkEnd w:id="327"/>
      <w:bookmarkEnd w:id="328"/>
      <w:bookmarkEnd w:id="329"/>
    </w:p>
    <w:p w14:paraId="3C8B1C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32"/>
          <w:lang w:val="en-US" w:eastAsia="zh-CN"/>
          <w14:textFill>
            <w14:solidFill>
              <w14:schemeClr w14:val="tx1"/>
            </w14:solidFill>
          </w14:textFill>
        </w:rPr>
      </w:pPr>
      <w:r>
        <w:rPr>
          <w:rFonts w:hint="default"/>
          <w:color w:val="000000" w:themeColor="text1"/>
          <w:sz w:val="24"/>
          <w:szCs w:val="32"/>
          <w:lang w:val="en-US" w:eastAsia="zh-CN"/>
          <w14:textFill>
            <w14:solidFill>
              <w14:schemeClr w14:val="tx1"/>
            </w14:solidFill>
          </w14:textFill>
        </w:rPr>
        <w:t>根据现场调查，大气评价范围以厂址为中心，边长为5km矩形范围内分布有</w:t>
      </w:r>
      <w:r>
        <w:rPr>
          <w:rFonts w:hint="eastAsia"/>
          <w:color w:val="000000" w:themeColor="text1"/>
          <w:sz w:val="24"/>
          <w:szCs w:val="32"/>
          <w:lang w:val="en-US" w:eastAsia="zh-CN"/>
          <w14:textFill>
            <w14:solidFill>
              <w14:schemeClr w14:val="tx1"/>
            </w14:solidFill>
          </w14:textFill>
        </w:rPr>
        <w:t>翠柏自然保护区、</w:t>
      </w:r>
      <w:r>
        <w:rPr>
          <w:rFonts w:hint="default"/>
          <w:color w:val="000000" w:themeColor="text1"/>
          <w:sz w:val="24"/>
          <w:szCs w:val="32"/>
          <w:lang w:val="en-US" w:eastAsia="zh-CN"/>
          <w14:textFill>
            <w14:solidFill>
              <w14:schemeClr w14:val="tx1"/>
            </w14:solidFill>
          </w14:textFill>
        </w:rPr>
        <w:t>麦子田村、马家箐、瓦家箐、杨宝庒村等大气环境保护目标</w:t>
      </w:r>
      <w:r>
        <w:rPr>
          <w:rFonts w:hint="eastAsia"/>
          <w:color w:val="000000" w:themeColor="text1"/>
          <w:sz w:val="24"/>
          <w:szCs w:val="32"/>
          <w:lang w:val="en-US" w:eastAsia="zh-CN"/>
          <w14:textFill>
            <w14:solidFill>
              <w14:schemeClr w14:val="tx1"/>
            </w14:solidFill>
          </w14:textFill>
        </w:rPr>
        <w:t>，项目环境空气保护目标见下表：</w:t>
      </w:r>
    </w:p>
    <w:p w14:paraId="03C37B8B">
      <w:pPr>
        <w:bidi w:val="0"/>
        <w:jc w:val="center"/>
        <w:rPr>
          <w:rFonts w:hint="default"/>
          <w:b/>
          <w:bCs/>
          <w:color w:val="000000" w:themeColor="text1"/>
          <w:lang w:val="en-US" w:eastAsia="zh-CN"/>
          <w14:textFill>
            <w14:solidFill>
              <w14:schemeClr w14:val="tx1"/>
            </w14:solidFill>
          </w14:textFill>
        </w:rPr>
      </w:pPr>
      <w:r>
        <w:rPr>
          <w:rFonts w:hint="default"/>
          <w:b/>
          <w:bCs/>
          <w:color w:val="000000" w:themeColor="text1"/>
          <w:lang w:val="en-US" w:eastAsia="zh-CN"/>
          <w14:textFill>
            <w14:solidFill>
              <w14:schemeClr w14:val="tx1"/>
            </w14:solidFill>
          </w14:textFill>
        </w:rPr>
        <w:t>表</w:t>
      </w:r>
      <w:r>
        <w:rPr>
          <w:rFonts w:hint="eastAsia"/>
          <w:b/>
          <w:bCs/>
          <w:color w:val="000000" w:themeColor="text1"/>
          <w:lang w:val="en-US" w:eastAsia="zh-CN"/>
          <w14:textFill>
            <w14:solidFill>
              <w14:schemeClr w14:val="tx1"/>
            </w14:solidFill>
          </w14:textFill>
        </w:rPr>
        <w:t>1.6-1</w:t>
      </w:r>
      <w:r>
        <w:rPr>
          <w:rFonts w:hint="default"/>
          <w:b/>
          <w:bCs/>
          <w:color w:val="000000" w:themeColor="text1"/>
          <w:lang w:val="en-US" w:eastAsia="zh-CN"/>
          <w14:textFill>
            <w14:solidFill>
              <w14:schemeClr w14:val="tx1"/>
            </w14:solidFill>
          </w14:textFill>
        </w:rPr>
        <w:t xml:space="preserve">  项目周边主要环境保护目标</w:t>
      </w:r>
    </w:p>
    <w:tbl>
      <w:tblPr>
        <w:tblStyle w:val="31"/>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572"/>
        <w:gridCol w:w="1149"/>
        <w:gridCol w:w="1139"/>
        <w:gridCol w:w="2276"/>
        <w:gridCol w:w="751"/>
        <w:gridCol w:w="890"/>
        <w:gridCol w:w="2073"/>
      </w:tblGrid>
      <w:tr w14:paraId="208256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15" w:hRule="atLeast"/>
          <w:jc w:val="center"/>
        </w:trPr>
        <w:tc>
          <w:tcPr>
            <w:tcW w:w="323" w:type="pct"/>
            <w:vMerge w:val="restart"/>
            <w:tcBorders>
              <w:tl2br w:val="nil"/>
              <w:tr2bl w:val="nil"/>
            </w:tcBorders>
            <w:vAlign w:val="center"/>
          </w:tcPr>
          <w:p w14:paraId="3AB191A0">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b/>
                <w:bCs/>
                <w:snapToGrid w:val="0"/>
                <w:color w:val="000000" w:themeColor="text1"/>
                <w:kern w:val="2"/>
                <w:sz w:val="21"/>
                <w:szCs w:val="21"/>
                <w:vertAlign w:val="baseline"/>
                <w:lang w:val="en-US" w:eastAsia="zh-CN" w:bidi="ar-SA"/>
                <w14:textFill>
                  <w14:solidFill>
                    <w14:schemeClr w14:val="tx1"/>
                  </w14:solidFill>
                </w14:textFill>
              </w:rPr>
            </w:pPr>
            <w:bookmarkStart w:id="330" w:name="_Toc26823"/>
            <w:bookmarkStart w:id="331" w:name="_Toc16723"/>
            <w:bookmarkStart w:id="332" w:name="_Toc31916"/>
            <w:r>
              <w:rPr>
                <w:rFonts w:hint="default" w:ascii="Times New Roman" w:hAnsi="Times New Roman" w:eastAsia="宋体" w:cs="Times New Roman"/>
                <w:b/>
                <w:bCs/>
                <w:snapToGrid w:val="0"/>
                <w:color w:val="000000" w:themeColor="text1"/>
                <w:kern w:val="2"/>
                <w:sz w:val="21"/>
                <w:szCs w:val="21"/>
                <w:vertAlign w:val="baseline"/>
                <w:lang w:val="en-US" w:eastAsia="zh-CN" w:bidi="ar-SA"/>
                <w14:textFill>
                  <w14:solidFill>
                    <w14:schemeClr w14:val="tx1"/>
                  </w14:solidFill>
                </w14:textFill>
              </w:rPr>
              <w:t>环境要素</w:t>
            </w:r>
            <w:bookmarkEnd w:id="330"/>
            <w:bookmarkEnd w:id="331"/>
            <w:bookmarkEnd w:id="332"/>
          </w:p>
        </w:tc>
        <w:tc>
          <w:tcPr>
            <w:tcW w:w="1292" w:type="pct"/>
            <w:gridSpan w:val="2"/>
            <w:tcBorders>
              <w:tl2br w:val="nil"/>
              <w:tr2bl w:val="nil"/>
            </w:tcBorders>
            <w:vAlign w:val="center"/>
          </w:tcPr>
          <w:p w14:paraId="27473474">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b/>
                <w:bCs/>
                <w:snapToGrid w:val="0"/>
                <w:color w:val="000000" w:themeColor="text1"/>
                <w:kern w:val="2"/>
                <w:sz w:val="21"/>
                <w:szCs w:val="21"/>
                <w:vertAlign w:val="baseline"/>
                <w:lang w:val="en-US" w:eastAsia="zh-CN" w:bidi="ar-SA"/>
                <w14:textFill>
                  <w14:solidFill>
                    <w14:schemeClr w14:val="tx1"/>
                  </w14:solidFill>
                </w14:textFill>
              </w:rPr>
            </w:pPr>
            <w:bookmarkStart w:id="333" w:name="_Toc556"/>
            <w:bookmarkStart w:id="334" w:name="_Toc7634"/>
            <w:bookmarkStart w:id="335" w:name="_Toc13765"/>
            <w:r>
              <w:rPr>
                <w:rFonts w:hint="default" w:ascii="Times New Roman" w:hAnsi="Times New Roman" w:eastAsia="宋体" w:cs="Times New Roman"/>
                <w:b/>
                <w:bCs/>
                <w:snapToGrid w:val="0"/>
                <w:color w:val="000000" w:themeColor="text1"/>
                <w:kern w:val="2"/>
                <w:sz w:val="21"/>
                <w:szCs w:val="21"/>
                <w:vertAlign w:val="baseline"/>
                <w:lang w:val="en-US" w:eastAsia="zh-CN" w:bidi="ar-SA"/>
                <w14:textFill>
                  <w14:solidFill>
                    <w14:schemeClr w14:val="tx1"/>
                  </w14:solidFill>
                </w14:textFill>
              </w:rPr>
              <w:t>坐标</w:t>
            </w:r>
            <w:bookmarkEnd w:id="333"/>
            <w:bookmarkEnd w:id="334"/>
            <w:bookmarkEnd w:id="335"/>
          </w:p>
        </w:tc>
        <w:tc>
          <w:tcPr>
            <w:tcW w:w="1286" w:type="pct"/>
            <w:vMerge w:val="restart"/>
            <w:tcBorders>
              <w:tl2br w:val="nil"/>
              <w:tr2bl w:val="nil"/>
            </w:tcBorders>
            <w:vAlign w:val="center"/>
          </w:tcPr>
          <w:p w14:paraId="1CC254AD">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b/>
                <w:bCs/>
                <w:snapToGrid w:val="0"/>
                <w:color w:val="000000" w:themeColor="text1"/>
                <w:kern w:val="2"/>
                <w:sz w:val="21"/>
                <w:szCs w:val="21"/>
                <w:vertAlign w:val="baseline"/>
                <w:lang w:val="en-US" w:eastAsia="zh-CN" w:bidi="ar-SA"/>
                <w14:textFill>
                  <w14:solidFill>
                    <w14:schemeClr w14:val="tx1"/>
                  </w14:solidFill>
                </w14:textFill>
              </w:rPr>
            </w:pPr>
            <w:bookmarkStart w:id="336" w:name="_Toc14316"/>
            <w:bookmarkStart w:id="337" w:name="_Toc16103"/>
            <w:bookmarkStart w:id="338" w:name="_Toc9937"/>
            <w:r>
              <w:rPr>
                <w:rFonts w:hint="default" w:ascii="Times New Roman" w:hAnsi="Times New Roman" w:eastAsia="宋体" w:cs="Times New Roman"/>
                <w:b/>
                <w:bCs/>
                <w:snapToGrid w:val="0"/>
                <w:color w:val="000000" w:themeColor="text1"/>
                <w:kern w:val="2"/>
                <w:sz w:val="21"/>
                <w:szCs w:val="21"/>
                <w:vertAlign w:val="baseline"/>
                <w:lang w:val="en-US" w:eastAsia="zh-CN" w:bidi="ar-SA"/>
                <w14:textFill>
                  <w14:solidFill>
                    <w14:schemeClr w14:val="tx1"/>
                  </w14:solidFill>
                </w14:textFill>
              </w:rPr>
              <w:t>保护目标名称</w:t>
            </w:r>
            <w:bookmarkEnd w:id="336"/>
            <w:bookmarkEnd w:id="337"/>
            <w:bookmarkEnd w:id="338"/>
          </w:p>
        </w:tc>
        <w:tc>
          <w:tcPr>
            <w:tcW w:w="424" w:type="pct"/>
            <w:vMerge w:val="restart"/>
            <w:tcBorders>
              <w:tl2br w:val="nil"/>
              <w:tr2bl w:val="nil"/>
            </w:tcBorders>
            <w:vAlign w:val="center"/>
          </w:tcPr>
          <w:p w14:paraId="7D965924">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b/>
                <w:bCs/>
                <w:snapToGrid w:val="0"/>
                <w:color w:val="000000" w:themeColor="text1"/>
                <w:kern w:val="2"/>
                <w:sz w:val="21"/>
                <w:szCs w:val="21"/>
                <w:vertAlign w:val="baseline"/>
                <w:lang w:val="en-US" w:eastAsia="zh-CN" w:bidi="ar-SA"/>
                <w14:textFill>
                  <w14:solidFill>
                    <w14:schemeClr w14:val="tx1"/>
                  </w14:solidFill>
                </w14:textFill>
              </w:rPr>
            </w:pPr>
            <w:bookmarkStart w:id="339" w:name="_Toc9127"/>
            <w:bookmarkStart w:id="340" w:name="_Toc27267"/>
            <w:bookmarkStart w:id="341" w:name="_Toc30560"/>
            <w:r>
              <w:rPr>
                <w:rFonts w:hint="default" w:ascii="Times New Roman" w:hAnsi="Times New Roman" w:eastAsia="宋体" w:cs="Times New Roman"/>
                <w:b/>
                <w:bCs/>
                <w:snapToGrid w:val="0"/>
                <w:color w:val="000000" w:themeColor="text1"/>
                <w:kern w:val="2"/>
                <w:sz w:val="21"/>
                <w:szCs w:val="21"/>
                <w:vertAlign w:val="baseline"/>
                <w:lang w:val="en-US" w:eastAsia="zh-CN" w:bidi="ar-SA"/>
                <w14:textFill>
                  <w14:solidFill>
                    <w14:schemeClr w14:val="tx1"/>
                  </w14:solidFill>
                </w14:textFill>
              </w:rPr>
              <w:t>方位</w:t>
            </w:r>
            <w:bookmarkEnd w:id="339"/>
            <w:bookmarkEnd w:id="340"/>
            <w:bookmarkEnd w:id="341"/>
          </w:p>
        </w:tc>
        <w:tc>
          <w:tcPr>
            <w:tcW w:w="502" w:type="pct"/>
            <w:vMerge w:val="restart"/>
            <w:tcBorders>
              <w:tl2br w:val="nil"/>
              <w:tr2bl w:val="nil"/>
            </w:tcBorders>
            <w:vAlign w:val="center"/>
          </w:tcPr>
          <w:p w14:paraId="6BD79862">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b/>
                <w:bCs/>
                <w:snapToGrid w:val="0"/>
                <w:color w:val="000000" w:themeColor="text1"/>
                <w:kern w:val="2"/>
                <w:sz w:val="21"/>
                <w:szCs w:val="21"/>
                <w:vertAlign w:val="baseline"/>
                <w:lang w:val="en-US" w:eastAsia="zh-CN" w:bidi="ar-SA"/>
                <w14:textFill>
                  <w14:solidFill>
                    <w14:schemeClr w14:val="tx1"/>
                  </w14:solidFill>
                </w14:textFill>
              </w:rPr>
            </w:pPr>
            <w:bookmarkStart w:id="342" w:name="_Toc5375"/>
            <w:bookmarkStart w:id="343" w:name="_Toc9675"/>
            <w:bookmarkStart w:id="344" w:name="_Toc23115"/>
            <w:r>
              <w:rPr>
                <w:rFonts w:hint="default" w:ascii="Times New Roman" w:hAnsi="Times New Roman" w:eastAsia="宋体" w:cs="Times New Roman"/>
                <w:b/>
                <w:bCs/>
                <w:snapToGrid w:val="0"/>
                <w:color w:val="000000" w:themeColor="text1"/>
                <w:kern w:val="2"/>
                <w:sz w:val="21"/>
                <w:szCs w:val="21"/>
                <w:vertAlign w:val="baseline"/>
                <w:lang w:val="en-US" w:eastAsia="zh-CN" w:bidi="ar-SA"/>
                <w14:textFill>
                  <w14:solidFill>
                    <w14:schemeClr w14:val="tx1"/>
                  </w14:solidFill>
                </w14:textFill>
              </w:rPr>
              <w:t>与项目厂界最近距离</w:t>
            </w:r>
            <w:bookmarkEnd w:id="342"/>
            <w:bookmarkEnd w:id="343"/>
            <w:bookmarkEnd w:id="344"/>
          </w:p>
        </w:tc>
        <w:tc>
          <w:tcPr>
            <w:tcW w:w="1171" w:type="pct"/>
            <w:vMerge w:val="restart"/>
            <w:tcBorders>
              <w:tl2br w:val="nil"/>
              <w:tr2bl w:val="nil"/>
            </w:tcBorders>
            <w:vAlign w:val="center"/>
          </w:tcPr>
          <w:p w14:paraId="042B9206">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b/>
                <w:bCs/>
                <w:snapToGrid w:val="0"/>
                <w:color w:val="000000" w:themeColor="text1"/>
                <w:kern w:val="2"/>
                <w:sz w:val="21"/>
                <w:szCs w:val="21"/>
                <w:vertAlign w:val="baseline"/>
                <w:lang w:val="en-US" w:eastAsia="zh-CN" w:bidi="ar-SA"/>
                <w14:textFill>
                  <w14:solidFill>
                    <w14:schemeClr w14:val="tx1"/>
                  </w14:solidFill>
                </w14:textFill>
              </w:rPr>
            </w:pPr>
            <w:bookmarkStart w:id="345" w:name="_Toc4372"/>
            <w:bookmarkStart w:id="346" w:name="_Toc22712"/>
            <w:bookmarkStart w:id="347" w:name="_Toc21897"/>
            <w:r>
              <w:rPr>
                <w:rFonts w:hint="default" w:ascii="Times New Roman" w:hAnsi="Times New Roman" w:eastAsia="宋体" w:cs="Times New Roman"/>
                <w:b/>
                <w:bCs/>
                <w:snapToGrid w:val="0"/>
                <w:color w:val="000000" w:themeColor="text1"/>
                <w:kern w:val="2"/>
                <w:sz w:val="21"/>
                <w:szCs w:val="21"/>
                <w:vertAlign w:val="baseline"/>
                <w:lang w:val="en-US" w:eastAsia="zh-CN" w:bidi="ar-SA"/>
                <w14:textFill>
                  <w14:solidFill>
                    <w14:schemeClr w14:val="tx1"/>
                  </w14:solidFill>
                </w14:textFill>
              </w:rPr>
              <w:t>保护要求</w:t>
            </w:r>
            <w:bookmarkEnd w:id="345"/>
            <w:bookmarkEnd w:id="346"/>
            <w:bookmarkEnd w:id="347"/>
          </w:p>
        </w:tc>
      </w:tr>
      <w:tr w14:paraId="17B425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60" w:hRule="exact"/>
          <w:jc w:val="center"/>
        </w:trPr>
        <w:tc>
          <w:tcPr>
            <w:tcW w:w="323" w:type="pct"/>
            <w:vMerge w:val="continue"/>
            <w:tcBorders>
              <w:tl2br w:val="nil"/>
              <w:tr2bl w:val="nil"/>
            </w:tcBorders>
            <w:vAlign w:val="center"/>
          </w:tcPr>
          <w:p w14:paraId="3DFBC819">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p>
        </w:tc>
        <w:tc>
          <w:tcPr>
            <w:tcW w:w="648" w:type="pct"/>
            <w:tcBorders>
              <w:tl2br w:val="nil"/>
              <w:tr2bl w:val="nil"/>
            </w:tcBorders>
            <w:vAlign w:val="center"/>
          </w:tcPr>
          <w:p w14:paraId="6DF8291F">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b/>
                <w:bCs/>
                <w:snapToGrid w:val="0"/>
                <w:color w:val="000000" w:themeColor="text1"/>
                <w:kern w:val="2"/>
                <w:sz w:val="21"/>
                <w:szCs w:val="21"/>
                <w:vertAlign w:val="baseline"/>
                <w:lang w:val="en-US" w:eastAsia="zh-CN" w:bidi="ar-SA"/>
                <w14:textFill>
                  <w14:solidFill>
                    <w14:schemeClr w14:val="tx1"/>
                  </w14:solidFill>
                </w14:textFill>
              </w:rPr>
            </w:pPr>
            <w:bookmarkStart w:id="348" w:name="_Toc12766"/>
            <w:bookmarkStart w:id="349" w:name="_Toc29781"/>
            <w:bookmarkStart w:id="350" w:name="_Toc17424"/>
            <w:r>
              <w:rPr>
                <w:rFonts w:hint="default" w:ascii="Times New Roman" w:hAnsi="Times New Roman" w:eastAsia="宋体" w:cs="Times New Roman"/>
                <w:b/>
                <w:bCs/>
                <w:snapToGrid w:val="0"/>
                <w:color w:val="000000" w:themeColor="text1"/>
                <w:kern w:val="2"/>
                <w:sz w:val="21"/>
                <w:szCs w:val="21"/>
                <w:vertAlign w:val="baseline"/>
                <w:lang w:val="en-US" w:eastAsia="zh-CN" w:bidi="ar-SA"/>
                <w14:textFill>
                  <w14:solidFill>
                    <w14:schemeClr w14:val="tx1"/>
                  </w14:solidFill>
                </w14:textFill>
              </w:rPr>
              <w:t>经度</w:t>
            </w:r>
            <w:bookmarkEnd w:id="348"/>
            <w:bookmarkEnd w:id="349"/>
            <w:bookmarkEnd w:id="350"/>
          </w:p>
        </w:tc>
        <w:tc>
          <w:tcPr>
            <w:tcW w:w="643" w:type="pct"/>
            <w:tcBorders>
              <w:tl2br w:val="nil"/>
              <w:tr2bl w:val="nil"/>
            </w:tcBorders>
            <w:vAlign w:val="center"/>
          </w:tcPr>
          <w:p w14:paraId="5E7B56A4">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b/>
                <w:bCs/>
                <w:snapToGrid w:val="0"/>
                <w:color w:val="000000" w:themeColor="text1"/>
                <w:kern w:val="2"/>
                <w:sz w:val="21"/>
                <w:szCs w:val="21"/>
                <w:vertAlign w:val="baseline"/>
                <w:lang w:val="en-US" w:eastAsia="zh-CN" w:bidi="ar-SA"/>
                <w14:textFill>
                  <w14:solidFill>
                    <w14:schemeClr w14:val="tx1"/>
                  </w14:solidFill>
                </w14:textFill>
              </w:rPr>
            </w:pPr>
            <w:bookmarkStart w:id="351" w:name="_Toc30597"/>
            <w:bookmarkStart w:id="352" w:name="_Toc11974"/>
            <w:bookmarkStart w:id="353" w:name="_Toc26933"/>
            <w:r>
              <w:rPr>
                <w:rFonts w:hint="default" w:ascii="Times New Roman" w:hAnsi="Times New Roman" w:eastAsia="宋体" w:cs="Times New Roman"/>
                <w:b/>
                <w:bCs/>
                <w:snapToGrid w:val="0"/>
                <w:color w:val="000000" w:themeColor="text1"/>
                <w:kern w:val="2"/>
                <w:sz w:val="21"/>
                <w:szCs w:val="21"/>
                <w:vertAlign w:val="baseline"/>
                <w:lang w:val="en-US" w:eastAsia="zh-CN" w:bidi="ar-SA"/>
                <w14:textFill>
                  <w14:solidFill>
                    <w14:schemeClr w14:val="tx1"/>
                  </w14:solidFill>
                </w14:textFill>
              </w:rPr>
              <w:t>纬度</w:t>
            </w:r>
            <w:bookmarkEnd w:id="351"/>
            <w:bookmarkEnd w:id="352"/>
            <w:bookmarkEnd w:id="353"/>
          </w:p>
        </w:tc>
        <w:tc>
          <w:tcPr>
            <w:tcW w:w="1286" w:type="pct"/>
            <w:vMerge w:val="continue"/>
            <w:tcBorders>
              <w:tl2br w:val="nil"/>
              <w:tr2bl w:val="nil"/>
            </w:tcBorders>
            <w:vAlign w:val="center"/>
          </w:tcPr>
          <w:p w14:paraId="1472B314">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p>
        </w:tc>
        <w:tc>
          <w:tcPr>
            <w:tcW w:w="424" w:type="pct"/>
            <w:vMerge w:val="continue"/>
            <w:tcBorders>
              <w:tl2br w:val="nil"/>
              <w:tr2bl w:val="nil"/>
            </w:tcBorders>
            <w:vAlign w:val="center"/>
          </w:tcPr>
          <w:p w14:paraId="5C59DB93">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p>
        </w:tc>
        <w:tc>
          <w:tcPr>
            <w:tcW w:w="502" w:type="pct"/>
            <w:vMerge w:val="continue"/>
            <w:tcBorders>
              <w:tl2br w:val="nil"/>
              <w:tr2bl w:val="nil"/>
            </w:tcBorders>
            <w:vAlign w:val="center"/>
          </w:tcPr>
          <w:p w14:paraId="5D43F66D">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p>
        </w:tc>
        <w:tc>
          <w:tcPr>
            <w:tcW w:w="1171" w:type="pct"/>
            <w:vMerge w:val="continue"/>
            <w:tcBorders>
              <w:tl2br w:val="nil"/>
              <w:tr2bl w:val="nil"/>
            </w:tcBorders>
            <w:vAlign w:val="center"/>
          </w:tcPr>
          <w:p w14:paraId="75E9B912">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p>
        </w:tc>
      </w:tr>
      <w:tr w14:paraId="0C1044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256" w:hRule="exact"/>
          <w:jc w:val="center"/>
        </w:trPr>
        <w:tc>
          <w:tcPr>
            <w:tcW w:w="323" w:type="pct"/>
            <w:vMerge w:val="restart"/>
            <w:tcBorders>
              <w:tl2br w:val="nil"/>
              <w:tr2bl w:val="nil"/>
            </w:tcBorders>
            <w:vAlign w:val="center"/>
          </w:tcPr>
          <w:p w14:paraId="43A67C51">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354" w:name="_Toc21071"/>
            <w:bookmarkStart w:id="355" w:name="_Toc11169"/>
            <w:bookmarkStart w:id="356" w:name="_Toc1680"/>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空气环境</w:t>
            </w:r>
            <w:bookmarkEnd w:id="354"/>
            <w:bookmarkEnd w:id="355"/>
            <w:bookmarkEnd w:id="356"/>
          </w:p>
        </w:tc>
        <w:tc>
          <w:tcPr>
            <w:tcW w:w="648" w:type="pct"/>
            <w:tcBorders>
              <w:tl2br w:val="nil"/>
              <w:tr2bl w:val="nil"/>
            </w:tcBorders>
            <w:vAlign w:val="center"/>
          </w:tcPr>
          <w:p w14:paraId="376EF5BF">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357" w:name="_Toc693"/>
            <w:bookmarkStart w:id="358" w:name="_Toc8592"/>
            <w:bookmarkStart w:id="359" w:name="_Toc3742"/>
            <w:r>
              <w:rPr>
                <w:rFonts w:hint="eastAsia"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w:t>
            </w:r>
            <w:bookmarkEnd w:id="357"/>
            <w:bookmarkEnd w:id="358"/>
            <w:bookmarkEnd w:id="359"/>
          </w:p>
        </w:tc>
        <w:tc>
          <w:tcPr>
            <w:tcW w:w="643" w:type="pct"/>
            <w:tcBorders>
              <w:tl2br w:val="nil"/>
              <w:tr2bl w:val="nil"/>
            </w:tcBorders>
            <w:vAlign w:val="center"/>
          </w:tcPr>
          <w:p w14:paraId="673CF943">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360" w:name="_Toc672"/>
            <w:bookmarkStart w:id="361" w:name="_Toc12003"/>
            <w:bookmarkStart w:id="362" w:name="_Toc23388"/>
            <w:r>
              <w:rPr>
                <w:rFonts w:hint="eastAsia"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w:t>
            </w:r>
            <w:bookmarkEnd w:id="360"/>
            <w:bookmarkEnd w:id="361"/>
            <w:bookmarkEnd w:id="362"/>
          </w:p>
        </w:tc>
        <w:tc>
          <w:tcPr>
            <w:tcW w:w="1286" w:type="pct"/>
            <w:tcBorders>
              <w:tl2br w:val="nil"/>
              <w:tr2bl w:val="nil"/>
            </w:tcBorders>
            <w:vAlign w:val="center"/>
          </w:tcPr>
          <w:p w14:paraId="0023A057">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363" w:name="_Toc4807"/>
            <w:bookmarkStart w:id="364" w:name="_Toc19693"/>
            <w:bookmarkStart w:id="365" w:name="_Toc2006"/>
            <w:r>
              <w:rPr>
                <w:rFonts w:hint="eastAsia"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翠柏自然保护区</w:t>
            </w:r>
            <w:bookmarkEnd w:id="363"/>
            <w:bookmarkEnd w:id="364"/>
            <w:bookmarkEnd w:id="365"/>
          </w:p>
        </w:tc>
        <w:tc>
          <w:tcPr>
            <w:tcW w:w="424" w:type="pct"/>
            <w:tcBorders>
              <w:tl2br w:val="nil"/>
              <w:tr2bl w:val="nil"/>
            </w:tcBorders>
            <w:vAlign w:val="center"/>
          </w:tcPr>
          <w:p w14:paraId="62DFCD72">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366" w:name="_Toc11201"/>
            <w:bookmarkStart w:id="367" w:name="_Toc25513"/>
            <w:bookmarkStart w:id="368" w:name="_Toc1564"/>
            <w:r>
              <w:rPr>
                <w:rFonts w:hint="eastAsia"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西北、东北</w:t>
            </w:r>
            <w:bookmarkEnd w:id="366"/>
            <w:bookmarkEnd w:id="367"/>
            <w:bookmarkEnd w:id="368"/>
          </w:p>
        </w:tc>
        <w:tc>
          <w:tcPr>
            <w:tcW w:w="502" w:type="pct"/>
            <w:tcBorders>
              <w:tl2br w:val="nil"/>
              <w:tr2bl w:val="nil"/>
            </w:tcBorders>
            <w:vAlign w:val="center"/>
          </w:tcPr>
          <w:p w14:paraId="2FB78BDE">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r>
              <w:rPr>
                <w:rFonts w:hint="eastAsia" w:cs="Times New Roman"/>
                <w:snapToGrid w:val="0"/>
                <w:color w:val="000000" w:themeColor="text1"/>
                <w:kern w:val="2"/>
                <w:sz w:val="21"/>
                <w:szCs w:val="21"/>
                <w:highlight w:val="none"/>
                <w:vertAlign w:val="baseline"/>
                <w:lang w:val="en-US" w:eastAsia="zh-CN" w:bidi="ar-SA"/>
                <w14:textFill>
                  <w14:solidFill>
                    <w14:schemeClr w14:val="tx1"/>
                  </w14:solidFill>
                </w14:textFill>
              </w:rPr>
              <w:t>1800m</w:t>
            </w:r>
          </w:p>
        </w:tc>
        <w:tc>
          <w:tcPr>
            <w:tcW w:w="1171" w:type="pct"/>
            <w:tcBorders>
              <w:tl2br w:val="nil"/>
              <w:tr2bl w:val="nil"/>
            </w:tcBorders>
            <w:vAlign w:val="center"/>
          </w:tcPr>
          <w:p w14:paraId="310FD794">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369" w:name="_Toc7597"/>
            <w:bookmarkStart w:id="370" w:name="_Toc30678"/>
            <w:bookmarkStart w:id="371" w:name="_Toc12605"/>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《环境空气质量标准》（GB3095-2026）表1过渡阶段</w:t>
            </w:r>
            <w:r>
              <w:rPr>
                <w:rFonts w:hint="eastAsia"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一</w:t>
            </w:r>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级浓度限值和表2</w:t>
            </w:r>
            <w:r>
              <w:rPr>
                <w:rFonts w:hint="eastAsia"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一</w:t>
            </w:r>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级浓度限值</w:t>
            </w:r>
            <w:bookmarkEnd w:id="369"/>
            <w:bookmarkEnd w:id="370"/>
            <w:bookmarkEnd w:id="371"/>
          </w:p>
        </w:tc>
      </w:tr>
      <w:tr w14:paraId="231645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3" w:hRule="atLeast"/>
          <w:jc w:val="center"/>
        </w:trPr>
        <w:tc>
          <w:tcPr>
            <w:tcW w:w="323" w:type="pct"/>
            <w:vMerge w:val="continue"/>
            <w:tcBorders>
              <w:tl2br w:val="nil"/>
              <w:tr2bl w:val="nil"/>
            </w:tcBorders>
            <w:vAlign w:val="center"/>
          </w:tcPr>
          <w:p w14:paraId="3948542E">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p>
        </w:tc>
        <w:tc>
          <w:tcPr>
            <w:tcW w:w="648" w:type="pct"/>
            <w:tcBorders>
              <w:tl2br w:val="nil"/>
              <w:tr2bl w:val="nil"/>
            </w:tcBorders>
            <w:vAlign w:val="center"/>
          </w:tcPr>
          <w:p w14:paraId="5D3C3B02">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372" w:name="_Toc27908"/>
            <w:bookmarkStart w:id="373" w:name="_Toc19552"/>
            <w:bookmarkStart w:id="374" w:name="_Toc17698"/>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102.2042E</w:t>
            </w:r>
            <w:bookmarkEnd w:id="372"/>
            <w:bookmarkEnd w:id="373"/>
            <w:bookmarkEnd w:id="374"/>
          </w:p>
        </w:tc>
        <w:tc>
          <w:tcPr>
            <w:tcW w:w="643" w:type="pct"/>
            <w:tcBorders>
              <w:tl2br w:val="nil"/>
              <w:tr2bl w:val="nil"/>
            </w:tcBorders>
            <w:vAlign w:val="center"/>
          </w:tcPr>
          <w:p w14:paraId="28D8F86B">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375" w:name="_Toc24349"/>
            <w:bookmarkStart w:id="376" w:name="_Toc27011"/>
            <w:bookmarkStart w:id="377" w:name="_Toc20183"/>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24.7766N</w:t>
            </w:r>
            <w:bookmarkEnd w:id="375"/>
            <w:bookmarkEnd w:id="376"/>
            <w:bookmarkEnd w:id="377"/>
          </w:p>
        </w:tc>
        <w:tc>
          <w:tcPr>
            <w:tcW w:w="1286" w:type="pct"/>
            <w:tcBorders>
              <w:tl2br w:val="nil"/>
              <w:tr2bl w:val="nil"/>
            </w:tcBorders>
            <w:vAlign w:val="center"/>
          </w:tcPr>
          <w:p w14:paraId="67D76E54">
            <w:pPr>
              <w:spacing w:line="240" w:lineRule="auto"/>
              <w:ind w:firstLine="0" w:firstLineChars="0"/>
              <w:jc w:val="cente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麦子田村</w:t>
            </w:r>
          </w:p>
          <w:p w14:paraId="1D265AF9">
            <w:pPr>
              <w:spacing w:line="240" w:lineRule="auto"/>
              <w:ind w:firstLine="0" w:firstLineChars="0"/>
              <w:jc w:val="center"/>
              <w:rPr>
                <w:rFonts w:hint="default" w:ascii="Times New Roman" w:hAnsi="Times New Roman" w:eastAsia="宋体"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（150户、525人）</w:t>
            </w:r>
          </w:p>
        </w:tc>
        <w:tc>
          <w:tcPr>
            <w:tcW w:w="424" w:type="pct"/>
            <w:tcBorders>
              <w:tl2br w:val="nil"/>
              <w:tr2bl w:val="nil"/>
            </w:tcBorders>
            <w:vAlign w:val="center"/>
          </w:tcPr>
          <w:p w14:paraId="1E8744A7">
            <w:pPr>
              <w:spacing w:line="240" w:lineRule="auto"/>
              <w:ind w:firstLine="0" w:firstLineChars="0"/>
              <w:jc w:val="center"/>
              <w:rPr>
                <w:rFonts w:hint="default" w:ascii="Times New Roman" w:hAnsi="Times New Roman" w:eastAsia="宋体"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西南侧</w:t>
            </w:r>
          </w:p>
        </w:tc>
        <w:tc>
          <w:tcPr>
            <w:tcW w:w="502" w:type="pct"/>
            <w:tcBorders>
              <w:tl2br w:val="nil"/>
              <w:tr2bl w:val="nil"/>
            </w:tcBorders>
            <w:vAlign w:val="center"/>
          </w:tcPr>
          <w:p w14:paraId="256427B1">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378" w:name="_Toc28968"/>
            <w:bookmarkStart w:id="379" w:name="_Toc28068"/>
            <w:bookmarkStart w:id="380" w:name="_Toc12956"/>
            <w:r>
              <w:rPr>
                <w:rFonts w:hint="eastAsia" w:ascii="Times New Roman" w:hAnsi="Times New Roman" w:eastAsia="宋体" w:cs="Times New Roman"/>
                <w:smallCaps w:val="0"/>
                <w:color w:val="000000" w:themeColor="text1"/>
                <w:kern w:val="2"/>
                <w:sz w:val="21"/>
                <w:szCs w:val="21"/>
                <w:highlight w:val="none"/>
                <w:lang w:val="en-US" w:eastAsia="zh-CN" w:bidi="ar-SA"/>
                <w14:textFill>
                  <w14:solidFill>
                    <w14:schemeClr w14:val="tx1"/>
                  </w14:solidFill>
                </w14:textFill>
              </w:rPr>
              <w:t>1500</w:t>
            </w:r>
            <w:r>
              <w:rPr>
                <w:rFonts w:hint="default" w:ascii="Times New Roman" w:hAnsi="Times New Roman" w:eastAsia="宋体" w:cs="Times New Roman"/>
                <w:smallCaps w:val="0"/>
                <w:color w:val="000000" w:themeColor="text1"/>
                <w:kern w:val="2"/>
                <w:sz w:val="21"/>
                <w:szCs w:val="21"/>
                <w:highlight w:val="none"/>
                <w:lang w:val="en-US" w:eastAsia="zh-CN" w:bidi="ar-SA"/>
                <w14:textFill>
                  <w14:solidFill>
                    <w14:schemeClr w14:val="tx1"/>
                  </w14:solidFill>
                </w14:textFill>
              </w:rPr>
              <w:t>m</w:t>
            </w:r>
            <w:bookmarkEnd w:id="378"/>
            <w:bookmarkEnd w:id="379"/>
            <w:bookmarkEnd w:id="380"/>
          </w:p>
        </w:tc>
        <w:tc>
          <w:tcPr>
            <w:tcW w:w="1171" w:type="pct"/>
            <w:vMerge w:val="restart"/>
            <w:tcBorders>
              <w:tl2br w:val="nil"/>
              <w:tr2bl w:val="nil"/>
            </w:tcBorders>
            <w:vAlign w:val="center"/>
          </w:tcPr>
          <w:p w14:paraId="2690D479">
            <w:pPr>
              <w:keepNext w:val="0"/>
              <w:keepLines w:val="0"/>
              <w:pageBreakBefore w:val="0"/>
              <w:widowControl/>
              <w:kinsoku/>
              <w:wordWrap/>
              <w:overflowPunct/>
              <w:topLinePunct w:val="0"/>
              <w:autoSpaceDE/>
              <w:autoSpaceDN/>
              <w:bidi w:val="0"/>
              <w:adjustRightInd/>
              <w:snapToGrid/>
              <w:spacing w:before="0" w:beforeAutospacing="0" w:after="0" w:afterAutospacing="0"/>
              <w:jc w:val="both"/>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381" w:name="_Toc31997"/>
            <w:bookmarkStart w:id="382" w:name="_Toc17420"/>
            <w:bookmarkStart w:id="383" w:name="_Toc17299"/>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《环境空气质量标准》（GB3095-2026）表1过渡阶段二级浓度限值和表2二级浓度限值</w:t>
            </w:r>
            <w:bookmarkEnd w:id="381"/>
            <w:bookmarkEnd w:id="382"/>
            <w:bookmarkEnd w:id="383"/>
          </w:p>
        </w:tc>
      </w:tr>
      <w:tr w14:paraId="62AA2E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3" w:hRule="atLeast"/>
          <w:jc w:val="center"/>
        </w:trPr>
        <w:tc>
          <w:tcPr>
            <w:tcW w:w="323" w:type="pct"/>
            <w:vMerge w:val="continue"/>
            <w:tcBorders>
              <w:tl2br w:val="nil"/>
              <w:tr2bl w:val="nil"/>
            </w:tcBorders>
            <w:vAlign w:val="center"/>
          </w:tcPr>
          <w:p w14:paraId="214D6C6D">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p>
        </w:tc>
        <w:tc>
          <w:tcPr>
            <w:tcW w:w="648" w:type="pct"/>
            <w:tcBorders>
              <w:tl2br w:val="nil"/>
              <w:tr2bl w:val="nil"/>
            </w:tcBorders>
            <w:vAlign w:val="center"/>
          </w:tcPr>
          <w:p w14:paraId="24986E4B">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384" w:name="_Toc24329"/>
            <w:bookmarkStart w:id="385" w:name="_Toc27024"/>
            <w:bookmarkStart w:id="386" w:name="_Toc29030"/>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102.2045E</w:t>
            </w:r>
            <w:bookmarkEnd w:id="384"/>
            <w:bookmarkEnd w:id="385"/>
            <w:bookmarkEnd w:id="386"/>
          </w:p>
        </w:tc>
        <w:tc>
          <w:tcPr>
            <w:tcW w:w="643" w:type="pct"/>
            <w:tcBorders>
              <w:tl2br w:val="nil"/>
              <w:tr2bl w:val="nil"/>
            </w:tcBorders>
            <w:vAlign w:val="center"/>
          </w:tcPr>
          <w:p w14:paraId="6C159481">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387" w:name="_Toc22533"/>
            <w:bookmarkStart w:id="388" w:name="_Toc12992"/>
            <w:bookmarkStart w:id="389" w:name="_Toc3039"/>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24.7803N</w:t>
            </w:r>
            <w:bookmarkEnd w:id="387"/>
            <w:bookmarkEnd w:id="388"/>
            <w:bookmarkEnd w:id="389"/>
          </w:p>
        </w:tc>
        <w:tc>
          <w:tcPr>
            <w:tcW w:w="1286" w:type="pct"/>
            <w:tcBorders>
              <w:tl2br w:val="nil"/>
              <w:tr2bl w:val="nil"/>
            </w:tcBorders>
            <w:vAlign w:val="center"/>
          </w:tcPr>
          <w:p w14:paraId="111936CE">
            <w:pPr>
              <w:spacing w:line="240" w:lineRule="auto"/>
              <w:ind w:firstLine="0" w:firstLineChars="0"/>
              <w:jc w:val="cente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马家箐</w:t>
            </w:r>
          </w:p>
          <w:p w14:paraId="56A71AF6">
            <w:pPr>
              <w:spacing w:line="240" w:lineRule="auto"/>
              <w:ind w:firstLine="0" w:firstLineChars="0"/>
              <w:jc w:val="center"/>
              <w:rPr>
                <w:rFonts w:hint="default" w:ascii="Times New Roman" w:hAnsi="Times New Roman" w:eastAsia="宋体"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（30户，约105人）</w:t>
            </w:r>
          </w:p>
        </w:tc>
        <w:tc>
          <w:tcPr>
            <w:tcW w:w="424" w:type="pct"/>
            <w:tcBorders>
              <w:tl2br w:val="nil"/>
              <w:tr2bl w:val="nil"/>
            </w:tcBorders>
            <w:vAlign w:val="center"/>
          </w:tcPr>
          <w:p w14:paraId="6A87EAF3">
            <w:pPr>
              <w:spacing w:line="240" w:lineRule="auto"/>
              <w:ind w:firstLine="0" w:firstLineChars="0"/>
              <w:jc w:val="center"/>
              <w:rPr>
                <w:rFonts w:hint="default" w:ascii="Times New Roman" w:hAnsi="Times New Roman" w:eastAsia="宋体"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西南侧</w:t>
            </w:r>
          </w:p>
        </w:tc>
        <w:tc>
          <w:tcPr>
            <w:tcW w:w="502" w:type="pct"/>
            <w:tcBorders>
              <w:tl2br w:val="nil"/>
              <w:tr2bl w:val="nil"/>
            </w:tcBorders>
            <w:vAlign w:val="center"/>
          </w:tcPr>
          <w:p w14:paraId="0DE01479">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390" w:name="_Toc10148"/>
            <w:bookmarkStart w:id="391" w:name="_Toc22278"/>
            <w:bookmarkStart w:id="392" w:name="_Toc20014"/>
            <w:r>
              <w:rPr>
                <w:rFonts w:hint="eastAsia" w:ascii="Times New Roman" w:hAnsi="Times New Roman" w:eastAsia="宋体" w:cs="Times New Roman"/>
                <w:smallCaps w:val="0"/>
                <w:color w:val="000000" w:themeColor="text1"/>
                <w:kern w:val="2"/>
                <w:sz w:val="21"/>
                <w:szCs w:val="21"/>
                <w:highlight w:val="none"/>
                <w:lang w:val="en-US" w:eastAsia="zh-CN" w:bidi="ar-SA"/>
                <w14:textFill>
                  <w14:solidFill>
                    <w14:schemeClr w14:val="tx1"/>
                  </w14:solidFill>
                </w14:textFill>
              </w:rPr>
              <w:t>1300</w:t>
            </w:r>
            <w:r>
              <w:rPr>
                <w:rFonts w:hint="default" w:ascii="Times New Roman" w:hAnsi="Times New Roman" w:eastAsia="宋体" w:cs="Times New Roman"/>
                <w:smallCaps w:val="0"/>
                <w:color w:val="000000" w:themeColor="text1"/>
                <w:kern w:val="2"/>
                <w:sz w:val="21"/>
                <w:szCs w:val="21"/>
                <w:highlight w:val="none"/>
                <w:lang w:val="en-US" w:eastAsia="zh-CN" w:bidi="ar-SA"/>
                <w14:textFill>
                  <w14:solidFill>
                    <w14:schemeClr w14:val="tx1"/>
                  </w14:solidFill>
                </w14:textFill>
              </w:rPr>
              <w:t>m</w:t>
            </w:r>
            <w:bookmarkEnd w:id="390"/>
            <w:bookmarkEnd w:id="391"/>
            <w:bookmarkEnd w:id="392"/>
          </w:p>
        </w:tc>
        <w:tc>
          <w:tcPr>
            <w:tcW w:w="1171" w:type="pct"/>
            <w:vMerge w:val="continue"/>
            <w:tcBorders>
              <w:tl2br w:val="nil"/>
              <w:tr2bl w:val="nil"/>
            </w:tcBorders>
            <w:vAlign w:val="center"/>
          </w:tcPr>
          <w:p w14:paraId="60955FAC">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p>
        </w:tc>
      </w:tr>
      <w:tr w14:paraId="2963EE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3" w:hRule="atLeast"/>
          <w:jc w:val="center"/>
        </w:trPr>
        <w:tc>
          <w:tcPr>
            <w:tcW w:w="323" w:type="pct"/>
            <w:vMerge w:val="continue"/>
            <w:tcBorders>
              <w:tl2br w:val="nil"/>
              <w:tr2bl w:val="nil"/>
            </w:tcBorders>
            <w:vAlign w:val="center"/>
          </w:tcPr>
          <w:p w14:paraId="13EC602E">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p>
        </w:tc>
        <w:tc>
          <w:tcPr>
            <w:tcW w:w="648" w:type="pct"/>
            <w:tcBorders>
              <w:tl2br w:val="nil"/>
              <w:tr2bl w:val="nil"/>
            </w:tcBorders>
            <w:vAlign w:val="center"/>
          </w:tcPr>
          <w:p w14:paraId="6DFA6C85">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393" w:name="_Toc27225"/>
            <w:bookmarkStart w:id="394" w:name="_Toc24780"/>
            <w:bookmarkStart w:id="395" w:name="_Toc29442"/>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102.2189E</w:t>
            </w:r>
            <w:bookmarkEnd w:id="393"/>
            <w:bookmarkEnd w:id="394"/>
            <w:bookmarkEnd w:id="395"/>
          </w:p>
        </w:tc>
        <w:tc>
          <w:tcPr>
            <w:tcW w:w="643" w:type="pct"/>
            <w:tcBorders>
              <w:tl2br w:val="nil"/>
              <w:tr2bl w:val="nil"/>
            </w:tcBorders>
            <w:vAlign w:val="center"/>
          </w:tcPr>
          <w:p w14:paraId="633BB679">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396" w:name="_Toc25703"/>
            <w:bookmarkStart w:id="397" w:name="_Toc4347"/>
            <w:bookmarkStart w:id="398" w:name="_Toc4133"/>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24.7809N</w:t>
            </w:r>
            <w:bookmarkEnd w:id="396"/>
            <w:bookmarkEnd w:id="397"/>
            <w:bookmarkEnd w:id="398"/>
          </w:p>
        </w:tc>
        <w:tc>
          <w:tcPr>
            <w:tcW w:w="1286" w:type="pct"/>
            <w:tcBorders>
              <w:tl2br w:val="nil"/>
              <w:tr2bl w:val="nil"/>
            </w:tcBorders>
            <w:vAlign w:val="center"/>
          </w:tcPr>
          <w:p w14:paraId="476DB5AB">
            <w:pPr>
              <w:widowControl w:val="0"/>
              <w:spacing w:before="20" w:after="0"/>
              <w:ind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瓦</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家箐</w:t>
            </w:r>
          </w:p>
          <w:p w14:paraId="3BB97534">
            <w:pPr>
              <w:widowControl w:val="0"/>
              <w:spacing w:before="20" w:after="0"/>
              <w:ind w:firstLine="0" w:firstLineChars="0"/>
              <w:jc w:val="center"/>
              <w:rPr>
                <w:rFonts w:hint="eastAsia"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（15户，约53人）</w:t>
            </w:r>
          </w:p>
        </w:tc>
        <w:tc>
          <w:tcPr>
            <w:tcW w:w="424" w:type="pct"/>
            <w:tcBorders>
              <w:tl2br w:val="nil"/>
              <w:tr2bl w:val="nil"/>
            </w:tcBorders>
            <w:vAlign w:val="center"/>
          </w:tcPr>
          <w:p w14:paraId="4421E3D7">
            <w:pPr>
              <w:spacing w:line="240" w:lineRule="auto"/>
              <w:ind w:firstLine="0" w:firstLineChars="0"/>
              <w:jc w:val="center"/>
              <w:rPr>
                <w:rFonts w:hint="default" w:ascii="Times New Roman" w:hAnsi="Times New Roman" w:eastAsia="宋体"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东南侧</w:t>
            </w:r>
          </w:p>
        </w:tc>
        <w:tc>
          <w:tcPr>
            <w:tcW w:w="502" w:type="pct"/>
            <w:tcBorders>
              <w:tl2br w:val="nil"/>
              <w:tr2bl w:val="nil"/>
            </w:tcBorders>
            <w:vAlign w:val="center"/>
          </w:tcPr>
          <w:p w14:paraId="326DD250">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399" w:name="_Toc7878"/>
            <w:bookmarkStart w:id="400" w:name="_Toc20266"/>
            <w:bookmarkStart w:id="401" w:name="_Toc10841"/>
            <w:r>
              <w:rPr>
                <w:rFonts w:hint="eastAsia" w:ascii="Times New Roman" w:hAnsi="Times New Roman" w:eastAsia="宋体" w:cs="Times New Roman"/>
                <w:smallCaps w:val="0"/>
                <w:color w:val="000000" w:themeColor="text1"/>
                <w:kern w:val="2"/>
                <w:sz w:val="21"/>
                <w:szCs w:val="21"/>
                <w:highlight w:val="none"/>
                <w:lang w:val="en-US" w:eastAsia="zh-CN" w:bidi="ar-SA"/>
                <w14:textFill>
                  <w14:solidFill>
                    <w14:schemeClr w14:val="tx1"/>
                  </w14:solidFill>
                </w14:textFill>
              </w:rPr>
              <w:t>580</w:t>
            </w:r>
            <w:r>
              <w:rPr>
                <w:rFonts w:hint="default" w:ascii="Times New Roman" w:hAnsi="Times New Roman" w:eastAsia="宋体" w:cs="Times New Roman"/>
                <w:smallCaps w:val="0"/>
                <w:color w:val="000000" w:themeColor="text1"/>
                <w:kern w:val="2"/>
                <w:sz w:val="21"/>
                <w:szCs w:val="21"/>
                <w:highlight w:val="none"/>
                <w:lang w:val="en-US" w:eastAsia="zh-CN" w:bidi="ar-SA"/>
                <w14:textFill>
                  <w14:solidFill>
                    <w14:schemeClr w14:val="tx1"/>
                  </w14:solidFill>
                </w14:textFill>
              </w:rPr>
              <w:t>m</w:t>
            </w:r>
            <w:bookmarkEnd w:id="399"/>
            <w:bookmarkEnd w:id="400"/>
            <w:bookmarkEnd w:id="401"/>
          </w:p>
        </w:tc>
        <w:tc>
          <w:tcPr>
            <w:tcW w:w="1171" w:type="pct"/>
            <w:vMerge w:val="continue"/>
            <w:tcBorders>
              <w:tl2br w:val="nil"/>
              <w:tr2bl w:val="nil"/>
            </w:tcBorders>
            <w:vAlign w:val="center"/>
          </w:tcPr>
          <w:p w14:paraId="0E52ED62">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p>
        </w:tc>
      </w:tr>
      <w:tr w14:paraId="0A2347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3" w:hRule="atLeast"/>
          <w:jc w:val="center"/>
        </w:trPr>
        <w:tc>
          <w:tcPr>
            <w:tcW w:w="323" w:type="pct"/>
            <w:vMerge w:val="continue"/>
            <w:tcBorders>
              <w:tl2br w:val="nil"/>
              <w:tr2bl w:val="nil"/>
            </w:tcBorders>
            <w:vAlign w:val="center"/>
          </w:tcPr>
          <w:p w14:paraId="40A278F5">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p>
        </w:tc>
        <w:tc>
          <w:tcPr>
            <w:tcW w:w="648" w:type="pct"/>
            <w:tcBorders>
              <w:tl2br w:val="nil"/>
              <w:tr2bl w:val="nil"/>
            </w:tcBorders>
            <w:vAlign w:val="center"/>
          </w:tcPr>
          <w:p w14:paraId="57791041">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402" w:name="_Toc26120"/>
            <w:bookmarkStart w:id="403" w:name="_Toc26927"/>
            <w:bookmarkStart w:id="404" w:name="_Toc8796"/>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102.2210E</w:t>
            </w:r>
            <w:bookmarkEnd w:id="402"/>
            <w:bookmarkEnd w:id="403"/>
            <w:bookmarkEnd w:id="404"/>
          </w:p>
        </w:tc>
        <w:tc>
          <w:tcPr>
            <w:tcW w:w="643" w:type="pct"/>
            <w:tcBorders>
              <w:tl2br w:val="nil"/>
              <w:tr2bl w:val="nil"/>
            </w:tcBorders>
            <w:vAlign w:val="center"/>
          </w:tcPr>
          <w:p w14:paraId="19491581">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405" w:name="_Toc12746"/>
            <w:bookmarkStart w:id="406" w:name="_Toc7485"/>
            <w:bookmarkStart w:id="407" w:name="_Toc7332"/>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24.7703N</w:t>
            </w:r>
            <w:bookmarkEnd w:id="405"/>
            <w:bookmarkEnd w:id="406"/>
            <w:bookmarkEnd w:id="407"/>
          </w:p>
        </w:tc>
        <w:tc>
          <w:tcPr>
            <w:tcW w:w="1286" w:type="pct"/>
            <w:tcBorders>
              <w:tl2br w:val="nil"/>
              <w:tr2bl w:val="nil"/>
            </w:tcBorders>
            <w:vAlign w:val="center"/>
          </w:tcPr>
          <w:p w14:paraId="61C7125C">
            <w:pPr>
              <w:widowControl w:val="0"/>
              <w:spacing w:before="20" w:after="0"/>
              <w:ind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杨宝庄村</w:t>
            </w:r>
          </w:p>
          <w:p w14:paraId="2D793D66">
            <w:pPr>
              <w:widowControl w:val="0"/>
              <w:spacing w:before="20" w:after="0"/>
              <w:ind w:firstLine="0" w:firstLineChars="0"/>
              <w:jc w:val="center"/>
              <w:rPr>
                <w:rFonts w:hint="eastAsia"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（200户，约700人）</w:t>
            </w:r>
          </w:p>
        </w:tc>
        <w:tc>
          <w:tcPr>
            <w:tcW w:w="424" w:type="pct"/>
            <w:tcBorders>
              <w:tl2br w:val="nil"/>
              <w:tr2bl w:val="nil"/>
            </w:tcBorders>
            <w:vAlign w:val="center"/>
          </w:tcPr>
          <w:p w14:paraId="2F57AF3C">
            <w:pPr>
              <w:spacing w:line="240" w:lineRule="auto"/>
              <w:ind w:firstLine="0" w:firstLineChars="0"/>
              <w:jc w:val="center"/>
              <w:rPr>
                <w:rFonts w:hint="default" w:ascii="Times New Roman" w:hAnsi="Times New Roman" w:eastAsia="宋体"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东侧</w:t>
            </w:r>
          </w:p>
        </w:tc>
        <w:tc>
          <w:tcPr>
            <w:tcW w:w="502" w:type="pct"/>
            <w:tcBorders>
              <w:tl2br w:val="nil"/>
              <w:tr2bl w:val="nil"/>
            </w:tcBorders>
            <w:vAlign w:val="center"/>
          </w:tcPr>
          <w:p w14:paraId="6155E9AB">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408" w:name="_Toc23901"/>
            <w:bookmarkStart w:id="409" w:name="_Toc5840"/>
            <w:bookmarkStart w:id="410" w:name="_Toc18906"/>
            <w:r>
              <w:rPr>
                <w:rFonts w:hint="eastAsia" w:ascii="Times New Roman" w:hAnsi="Times New Roman" w:eastAsia="宋体" w:cs="Times New Roman"/>
                <w:smallCaps w:val="0"/>
                <w:color w:val="000000" w:themeColor="text1"/>
                <w:kern w:val="2"/>
                <w:sz w:val="21"/>
                <w:szCs w:val="21"/>
                <w:highlight w:val="none"/>
                <w:lang w:val="en-US" w:eastAsia="zh-CN" w:bidi="ar-SA"/>
                <w14:textFill>
                  <w14:solidFill>
                    <w14:schemeClr w14:val="tx1"/>
                  </w14:solidFill>
                </w14:textFill>
              </w:rPr>
              <w:t>1160</w:t>
            </w:r>
            <w:r>
              <w:rPr>
                <w:rFonts w:hint="default" w:ascii="Times New Roman" w:hAnsi="Times New Roman" w:eastAsia="宋体" w:cs="Times New Roman"/>
                <w:smallCaps w:val="0"/>
                <w:color w:val="000000" w:themeColor="text1"/>
                <w:kern w:val="2"/>
                <w:sz w:val="21"/>
                <w:szCs w:val="21"/>
                <w:highlight w:val="none"/>
                <w:lang w:val="en-US" w:eastAsia="zh-CN" w:bidi="ar-SA"/>
                <w14:textFill>
                  <w14:solidFill>
                    <w14:schemeClr w14:val="tx1"/>
                  </w14:solidFill>
                </w14:textFill>
              </w:rPr>
              <w:t>m</w:t>
            </w:r>
            <w:bookmarkEnd w:id="408"/>
            <w:bookmarkEnd w:id="409"/>
            <w:bookmarkEnd w:id="410"/>
          </w:p>
        </w:tc>
        <w:tc>
          <w:tcPr>
            <w:tcW w:w="1171" w:type="pct"/>
            <w:vMerge w:val="continue"/>
            <w:tcBorders>
              <w:tl2br w:val="nil"/>
              <w:tr2bl w:val="nil"/>
            </w:tcBorders>
            <w:vAlign w:val="center"/>
          </w:tcPr>
          <w:p w14:paraId="30A8A925">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p>
        </w:tc>
      </w:tr>
      <w:tr w14:paraId="0DDCFC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3" w:hRule="atLeast"/>
          <w:jc w:val="center"/>
        </w:trPr>
        <w:tc>
          <w:tcPr>
            <w:tcW w:w="323" w:type="pct"/>
            <w:vMerge w:val="continue"/>
            <w:tcBorders>
              <w:tl2br w:val="nil"/>
              <w:tr2bl w:val="nil"/>
            </w:tcBorders>
            <w:vAlign w:val="center"/>
          </w:tcPr>
          <w:p w14:paraId="1581F74A">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p>
        </w:tc>
        <w:tc>
          <w:tcPr>
            <w:tcW w:w="648" w:type="pct"/>
            <w:tcBorders>
              <w:tl2br w:val="nil"/>
              <w:tr2bl w:val="nil"/>
            </w:tcBorders>
            <w:vAlign w:val="center"/>
          </w:tcPr>
          <w:p w14:paraId="28B8D001">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411" w:name="_Toc10425"/>
            <w:bookmarkStart w:id="412" w:name="_Toc172"/>
            <w:bookmarkStart w:id="413" w:name="_Toc1459"/>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102.2236E</w:t>
            </w:r>
            <w:bookmarkEnd w:id="411"/>
            <w:bookmarkEnd w:id="412"/>
            <w:bookmarkEnd w:id="413"/>
          </w:p>
        </w:tc>
        <w:tc>
          <w:tcPr>
            <w:tcW w:w="643" w:type="pct"/>
            <w:tcBorders>
              <w:tl2br w:val="nil"/>
              <w:tr2bl w:val="nil"/>
            </w:tcBorders>
            <w:vAlign w:val="center"/>
          </w:tcPr>
          <w:p w14:paraId="607D1115">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414" w:name="_Toc26756"/>
            <w:bookmarkStart w:id="415" w:name="_Toc14337"/>
            <w:bookmarkStart w:id="416" w:name="_Toc17597"/>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24.7843N</w:t>
            </w:r>
            <w:bookmarkEnd w:id="414"/>
            <w:bookmarkEnd w:id="415"/>
            <w:bookmarkEnd w:id="416"/>
          </w:p>
        </w:tc>
        <w:tc>
          <w:tcPr>
            <w:tcW w:w="1286" w:type="pct"/>
            <w:tcBorders>
              <w:tl2br w:val="nil"/>
              <w:tr2bl w:val="nil"/>
            </w:tcBorders>
            <w:vAlign w:val="center"/>
          </w:tcPr>
          <w:p w14:paraId="143FF31B">
            <w:pPr>
              <w:widowControl w:val="0"/>
              <w:spacing w:before="20" w:after="0"/>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小山凹</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村</w:t>
            </w:r>
          </w:p>
          <w:p w14:paraId="04DB8A01">
            <w:pPr>
              <w:widowControl w:val="0"/>
              <w:spacing w:before="20" w:after="0"/>
              <w:ind w:firstLine="0" w:firstLineChars="0"/>
              <w:jc w:val="cente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（70户，约245人）</w:t>
            </w:r>
          </w:p>
        </w:tc>
        <w:tc>
          <w:tcPr>
            <w:tcW w:w="424" w:type="pct"/>
            <w:tcBorders>
              <w:tl2br w:val="nil"/>
              <w:tr2bl w:val="nil"/>
            </w:tcBorders>
            <w:vAlign w:val="center"/>
          </w:tcPr>
          <w:p w14:paraId="77109AD3">
            <w:pPr>
              <w:spacing w:line="240" w:lineRule="auto"/>
              <w:ind w:firstLine="0" w:firstLineChars="0"/>
              <w:jc w:val="center"/>
              <w:rPr>
                <w:rFonts w:hint="default" w:ascii="Times New Roman" w:hAnsi="Times New Roman" w:eastAsia="宋体"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东侧</w:t>
            </w:r>
          </w:p>
        </w:tc>
        <w:tc>
          <w:tcPr>
            <w:tcW w:w="502" w:type="pct"/>
            <w:tcBorders>
              <w:tl2br w:val="nil"/>
              <w:tr2bl w:val="nil"/>
            </w:tcBorders>
            <w:vAlign w:val="center"/>
          </w:tcPr>
          <w:p w14:paraId="30F7B3E5">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417" w:name="_Toc9248"/>
            <w:bookmarkStart w:id="418" w:name="_Toc13361"/>
            <w:bookmarkStart w:id="419" w:name="_Toc18669"/>
            <w:r>
              <w:rPr>
                <w:rFonts w:hint="eastAsia" w:ascii="Times New Roman" w:hAnsi="Times New Roman" w:eastAsia="宋体" w:cs="Times New Roman"/>
                <w:smallCaps w:val="0"/>
                <w:color w:val="000000" w:themeColor="text1"/>
                <w:kern w:val="2"/>
                <w:sz w:val="21"/>
                <w:szCs w:val="21"/>
                <w:highlight w:val="none"/>
                <w:lang w:val="en-US" w:eastAsia="zh-CN" w:bidi="ar-SA"/>
                <w14:textFill>
                  <w14:solidFill>
                    <w14:schemeClr w14:val="tx1"/>
                  </w14:solidFill>
                </w14:textFill>
              </w:rPr>
              <w:t>350</w:t>
            </w:r>
            <w:r>
              <w:rPr>
                <w:rFonts w:hint="default" w:ascii="Times New Roman" w:hAnsi="Times New Roman" w:eastAsia="宋体" w:cs="Times New Roman"/>
                <w:smallCaps w:val="0"/>
                <w:color w:val="000000" w:themeColor="text1"/>
                <w:kern w:val="2"/>
                <w:sz w:val="21"/>
                <w:szCs w:val="21"/>
                <w:highlight w:val="none"/>
                <w:lang w:val="en-US" w:eastAsia="zh-CN" w:bidi="ar-SA"/>
                <w14:textFill>
                  <w14:solidFill>
                    <w14:schemeClr w14:val="tx1"/>
                  </w14:solidFill>
                </w14:textFill>
              </w:rPr>
              <w:t>m</w:t>
            </w:r>
            <w:bookmarkEnd w:id="417"/>
            <w:bookmarkEnd w:id="418"/>
            <w:bookmarkEnd w:id="419"/>
          </w:p>
        </w:tc>
        <w:tc>
          <w:tcPr>
            <w:tcW w:w="1171" w:type="pct"/>
            <w:vMerge w:val="continue"/>
            <w:tcBorders>
              <w:tl2br w:val="nil"/>
              <w:tr2bl w:val="nil"/>
            </w:tcBorders>
            <w:vAlign w:val="center"/>
          </w:tcPr>
          <w:p w14:paraId="3E02612F">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p>
        </w:tc>
      </w:tr>
      <w:tr w14:paraId="2A3C1B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3" w:hRule="atLeast"/>
          <w:jc w:val="center"/>
        </w:trPr>
        <w:tc>
          <w:tcPr>
            <w:tcW w:w="323" w:type="pct"/>
            <w:vMerge w:val="continue"/>
            <w:tcBorders>
              <w:tl2br w:val="nil"/>
              <w:tr2bl w:val="nil"/>
            </w:tcBorders>
            <w:vAlign w:val="center"/>
          </w:tcPr>
          <w:p w14:paraId="3411300D">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p>
        </w:tc>
        <w:tc>
          <w:tcPr>
            <w:tcW w:w="648" w:type="pct"/>
            <w:tcBorders>
              <w:tl2br w:val="nil"/>
              <w:tr2bl w:val="nil"/>
            </w:tcBorders>
            <w:vAlign w:val="center"/>
          </w:tcPr>
          <w:p w14:paraId="1BDBEB7C">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420" w:name="_Toc5706"/>
            <w:bookmarkStart w:id="421" w:name="_Toc31781"/>
            <w:bookmarkStart w:id="422" w:name="_Toc4036"/>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102.2229E</w:t>
            </w:r>
            <w:bookmarkEnd w:id="420"/>
            <w:bookmarkEnd w:id="421"/>
            <w:bookmarkEnd w:id="422"/>
          </w:p>
        </w:tc>
        <w:tc>
          <w:tcPr>
            <w:tcW w:w="643" w:type="pct"/>
            <w:tcBorders>
              <w:tl2br w:val="nil"/>
              <w:tr2bl w:val="nil"/>
            </w:tcBorders>
            <w:vAlign w:val="center"/>
          </w:tcPr>
          <w:p w14:paraId="2173A417">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423" w:name="_Toc22547"/>
            <w:bookmarkStart w:id="424" w:name="_Toc29816"/>
            <w:bookmarkStart w:id="425" w:name="_Toc797"/>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24.7996N</w:t>
            </w:r>
            <w:bookmarkEnd w:id="423"/>
            <w:bookmarkEnd w:id="424"/>
            <w:bookmarkEnd w:id="425"/>
          </w:p>
        </w:tc>
        <w:tc>
          <w:tcPr>
            <w:tcW w:w="1286" w:type="pct"/>
            <w:tcBorders>
              <w:tl2br w:val="nil"/>
              <w:tr2bl w:val="nil"/>
            </w:tcBorders>
            <w:vAlign w:val="center"/>
          </w:tcPr>
          <w:p w14:paraId="000FB2B4">
            <w:pPr>
              <w:widowControl w:val="0"/>
              <w:spacing w:before="20" w:after="0"/>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村东</w:t>
            </w:r>
          </w:p>
          <w:p w14:paraId="5AF8CD62">
            <w:pPr>
              <w:widowControl w:val="0"/>
              <w:spacing w:before="20" w:after="0"/>
              <w:ind w:firstLine="0" w:firstLineChars="0"/>
              <w:jc w:val="cente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（74户，约297人）</w:t>
            </w:r>
          </w:p>
        </w:tc>
        <w:tc>
          <w:tcPr>
            <w:tcW w:w="424" w:type="pct"/>
            <w:tcBorders>
              <w:tl2br w:val="nil"/>
              <w:tr2bl w:val="nil"/>
            </w:tcBorders>
            <w:vAlign w:val="center"/>
          </w:tcPr>
          <w:p w14:paraId="782A69C3">
            <w:pPr>
              <w:spacing w:line="240" w:lineRule="auto"/>
              <w:ind w:firstLine="0" w:firstLineChars="0"/>
              <w:jc w:val="center"/>
              <w:rPr>
                <w:rFonts w:hint="default" w:ascii="Times New Roman" w:hAnsi="Times New Roman" w:eastAsia="宋体"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北侧</w:t>
            </w:r>
          </w:p>
        </w:tc>
        <w:tc>
          <w:tcPr>
            <w:tcW w:w="502" w:type="pct"/>
            <w:tcBorders>
              <w:tl2br w:val="nil"/>
              <w:tr2bl w:val="nil"/>
            </w:tcBorders>
            <w:vAlign w:val="center"/>
          </w:tcPr>
          <w:p w14:paraId="36FD27A1">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426" w:name="_Toc29487"/>
            <w:bookmarkStart w:id="427" w:name="_Toc4402"/>
            <w:bookmarkStart w:id="428" w:name="_Toc1208"/>
            <w:r>
              <w:rPr>
                <w:rFonts w:hint="eastAsia" w:ascii="Times New Roman" w:hAnsi="Times New Roman" w:eastAsia="宋体" w:cs="Times New Roman"/>
                <w:smallCaps w:val="0"/>
                <w:color w:val="000000" w:themeColor="text1"/>
                <w:kern w:val="2"/>
                <w:sz w:val="21"/>
                <w:szCs w:val="21"/>
                <w:highlight w:val="none"/>
                <w:lang w:val="en-US" w:eastAsia="zh-CN" w:bidi="ar-SA"/>
                <w14:textFill>
                  <w14:solidFill>
                    <w14:schemeClr w14:val="tx1"/>
                  </w14:solidFill>
                </w14:textFill>
              </w:rPr>
              <w:t>1150m</w:t>
            </w:r>
            <w:bookmarkEnd w:id="426"/>
            <w:bookmarkEnd w:id="427"/>
            <w:bookmarkEnd w:id="428"/>
          </w:p>
        </w:tc>
        <w:tc>
          <w:tcPr>
            <w:tcW w:w="1171" w:type="pct"/>
            <w:vMerge w:val="continue"/>
            <w:tcBorders>
              <w:tl2br w:val="nil"/>
              <w:tr2bl w:val="nil"/>
            </w:tcBorders>
            <w:vAlign w:val="center"/>
          </w:tcPr>
          <w:p w14:paraId="6EF32766">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p>
        </w:tc>
      </w:tr>
      <w:tr w14:paraId="5C4906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3" w:hRule="atLeast"/>
          <w:jc w:val="center"/>
        </w:trPr>
        <w:tc>
          <w:tcPr>
            <w:tcW w:w="323" w:type="pct"/>
            <w:vMerge w:val="continue"/>
            <w:tcBorders>
              <w:tl2br w:val="nil"/>
              <w:tr2bl w:val="nil"/>
            </w:tcBorders>
            <w:vAlign w:val="center"/>
          </w:tcPr>
          <w:p w14:paraId="1AD2E577">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p>
        </w:tc>
        <w:tc>
          <w:tcPr>
            <w:tcW w:w="648" w:type="pct"/>
            <w:tcBorders>
              <w:tl2br w:val="nil"/>
              <w:tr2bl w:val="nil"/>
            </w:tcBorders>
            <w:vAlign w:val="center"/>
          </w:tcPr>
          <w:p w14:paraId="3B0959C4">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429" w:name="_Toc30517"/>
            <w:bookmarkStart w:id="430" w:name="_Toc6643"/>
            <w:bookmarkStart w:id="431" w:name="_Toc19914"/>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102.2297E</w:t>
            </w:r>
            <w:bookmarkEnd w:id="429"/>
            <w:bookmarkEnd w:id="430"/>
            <w:bookmarkEnd w:id="431"/>
          </w:p>
        </w:tc>
        <w:tc>
          <w:tcPr>
            <w:tcW w:w="643" w:type="pct"/>
            <w:tcBorders>
              <w:tl2br w:val="nil"/>
              <w:tr2bl w:val="nil"/>
            </w:tcBorders>
            <w:vAlign w:val="center"/>
          </w:tcPr>
          <w:p w14:paraId="73E897B5">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432" w:name="_Toc17904"/>
            <w:bookmarkStart w:id="433" w:name="_Toc18135"/>
            <w:bookmarkStart w:id="434" w:name="_Toc13167"/>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24.8036N</w:t>
            </w:r>
            <w:bookmarkEnd w:id="432"/>
            <w:bookmarkEnd w:id="433"/>
            <w:bookmarkEnd w:id="434"/>
          </w:p>
        </w:tc>
        <w:tc>
          <w:tcPr>
            <w:tcW w:w="1286" w:type="pct"/>
            <w:tcBorders>
              <w:tl2br w:val="nil"/>
              <w:tr2bl w:val="nil"/>
            </w:tcBorders>
            <w:vAlign w:val="center"/>
          </w:tcPr>
          <w:p w14:paraId="65FED014">
            <w:pPr>
              <w:widowControl w:val="0"/>
              <w:spacing w:before="20" w:after="0"/>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大山凹村</w:t>
            </w:r>
          </w:p>
          <w:p w14:paraId="53952D48">
            <w:pPr>
              <w:widowControl w:val="0"/>
              <w:spacing w:before="20" w:after="0"/>
              <w:ind w:firstLine="0" w:firstLineChars="0"/>
              <w:jc w:val="cente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（80户，约280人）</w:t>
            </w:r>
          </w:p>
        </w:tc>
        <w:tc>
          <w:tcPr>
            <w:tcW w:w="424" w:type="pct"/>
            <w:tcBorders>
              <w:tl2br w:val="nil"/>
              <w:tr2bl w:val="nil"/>
            </w:tcBorders>
            <w:vAlign w:val="center"/>
          </w:tcPr>
          <w:p w14:paraId="04B48FAF">
            <w:pPr>
              <w:spacing w:line="240" w:lineRule="auto"/>
              <w:ind w:firstLine="0" w:firstLineChars="0"/>
              <w:jc w:val="center"/>
              <w:rPr>
                <w:rFonts w:hint="default" w:ascii="Times New Roman" w:hAnsi="Times New Roman" w:eastAsia="宋体"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北侧</w:t>
            </w:r>
          </w:p>
        </w:tc>
        <w:tc>
          <w:tcPr>
            <w:tcW w:w="502" w:type="pct"/>
            <w:tcBorders>
              <w:tl2br w:val="nil"/>
              <w:tr2bl w:val="nil"/>
            </w:tcBorders>
            <w:vAlign w:val="center"/>
          </w:tcPr>
          <w:p w14:paraId="32FE33F4">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435" w:name="_Toc28739"/>
            <w:bookmarkStart w:id="436" w:name="_Toc27745"/>
            <w:bookmarkStart w:id="437" w:name="_Toc7005"/>
            <w:r>
              <w:rPr>
                <w:rFonts w:hint="eastAsia" w:ascii="Times New Roman" w:hAnsi="Times New Roman" w:eastAsia="宋体" w:cs="Times New Roman"/>
                <w:smallCaps w:val="0"/>
                <w:color w:val="000000" w:themeColor="text1"/>
                <w:kern w:val="2"/>
                <w:sz w:val="21"/>
                <w:szCs w:val="21"/>
                <w:highlight w:val="none"/>
                <w:lang w:val="en-US" w:eastAsia="zh-CN" w:bidi="ar-SA"/>
                <w14:textFill>
                  <w14:solidFill>
                    <w14:schemeClr w14:val="tx1"/>
                  </w14:solidFill>
                </w14:textFill>
              </w:rPr>
              <w:t>1800m</w:t>
            </w:r>
            <w:bookmarkEnd w:id="435"/>
            <w:bookmarkEnd w:id="436"/>
            <w:bookmarkEnd w:id="437"/>
          </w:p>
        </w:tc>
        <w:tc>
          <w:tcPr>
            <w:tcW w:w="1171" w:type="pct"/>
            <w:vMerge w:val="continue"/>
            <w:tcBorders>
              <w:tl2br w:val="nil"/>
              <w:tr2bl w:val="nil"/>
            </w:tcBorders>
            <w:vAlign w:val="center"/>
          </w:tcPr>
          <w:p w14:paraId="70147E7D">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p>
        </w:tc>
      </w:tr>
      <w:tr w14:paraId="031D0C5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3" w:hRule="atLeast"/>
          <w:jc w:val="center"/>
        </w:trPr>
        <w:tc>
          <w:tcPr>
            <w:tcW w:w="323" w:type="pct"/>
            <w:vMerge w:val="continue"/>
            <w:tcBorders>
              <w:tl2br w:val="nil"/>
              <w:tr2bl w:val="nil"/>
            </w:tcBorders>
            <w:vAlign w:val="center"/>
          </w:tcPr>
          <w:p w14:paraId="44483329">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p>
        </w:tc>
        <w:tc>
          <w:tcPr>
            <w:tcW w:w="648" w:type="pct"/>
            <w:tcBorders>
              <w:tl2br w:val="nil"/>
              <w:tr2bl w:val="nil"/>
            </w:tcBorders>
            <w:vAlign w:val="center"/>
          </w:tcPr>
          <w:p w14:paraId="7CC7C3DB">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438" w:name="_Toc16976"/>
            <w:bookmarkStart w:id="439" w:name="_Toc26806"/>
            <w:bookmarkStart w:id="440" w:name="_Toc18077"/>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102.2180E</w:t>
            </w:r>
            <w:bookmarkEnd w:id="438"/>
            <w:bookmarkEnd w:id="439"/>
            <w:bookmarkEnd w:id="440"/>
          </w:p>
        </w:tc>
        <w:tc>
          <w:tcPr>
            <w:tcW w:w="643" w:type="pct"/>
            <w:tcBorders>
              <w:tl2br w:val="nil"/>
              <w:tr2bl w:val="nil"/>
            </w:tcBorders>
            <w:vAlign w:val="center"/>
          </w:tcPr>
          <w:p w14:paraId="1FFCFD6B">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441" w:name="_Toc17134"/>
            <w:bookmarkStart w:id="442" w:name="_Toc10286"/>
            <w:bookmarkStart w:id="443" w:name="_Toc23345"/>
            <w: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t>24.8002N</w:t>
            </w:r>
            <w:bookmarkEnd w:id="441"/>
            <w:bookmarkEnd w:id="442"/>
            <w:bookmarkEnd w:id="443"/>
          </w:p>
        </w:tc>
        <w:tc>
          <w:tcPr>
            <w:tcW w:w="1286" w:type="pct"/>
            <w:tcBorders>
              <w:tl2br w:val="nil"/>
              <w:tr2bl w:val="nil"/>
            </w:tcBorders>
            <w:vAlign w:val="center"/>
          </w:tcPr>
          <w:p w14:paraId="1A9BFD90">
            <w:pPr>
              <w:widowControl w:val="0"/>
              <w:spacing w:before="20" w:after="0"/>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摩所村</w:t>
            </w:r>
          </w:p>
          <w:p w14:paraId="55E3AD2F">
            <w:pPr>
              <w:widowControl w:val="0"/>
              <w:spacing w:before="20" w:after="0"/>
              <w:ind w:firstLine="0" w:firstLineChars="0"/>
              <w:jc w:val="center"/>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（170户，约595人）</w:t>
            </w:r>
          </w:p>
        </w:tc>
        <w:tc>
          <w:tcPr>
            <w:tcW w:w="424" w:type="pct"/>
            <w:tcBorders>
              <w:tl2br w:val="nil"/>
              <w:tr2bl w:val="nil"/>
            </w:tcBorders>
            <w:vAlign w:val="center"/>
          </w:tcPr>
          <w:p w14:paraId="0878D600">
            <w:pPr>
              <w:spacing w:line="240" w:lineRule="auto"/>
              <w:ind w:firstLine="0" w:firstLineChars="0"/>
              <w:jc w:val="center"/>
              <w:rPr>
                <w:rFonts w:hint="default" w:ascii="Times New Roman" w:hAnsi="Times New Roman" w:eastAsia="宋体" w:cs="Times New Roman"/>
                <w:snapToGrid w:val="0"/>
                <w:color w:val="000000" w:themeColor="text1"/>
                <w:sz w:val="21"/>
                <w:szCs w:val="21"/>
                <w:vertAlign w:val="baseline"/>
                <w14:textFill>
                  <w14:solidFill>
                    <w14:schemeClr w14:val="tx1"/>
                  </w14:solidFill>
                </w14:textFill>
              </w:rPr>
            </w:pPr>
            <w:r>
              <w:rPr>
                <w:rFonts w:hint="eastAsia" w:ascii="Times New Roman" w:hAnsi="Times New Roman" w:eastAsia="宋体" w:cs="Times New Roman"/>
                <w:smallCaps w:val="0"/>
                <w:color w:val="000000" w:themeColor="text1"/>
                <w:sz w:val="21"/>
                <w:szCs w:val="21"/>
                <w:highlight w:val="none"/>
                <w:lang w:val="en-US" w:eastAsia="zh-CN"/>
                <w14:textFill>
                  <w14:solidFill>
                    <w14:schemeClr w14:val="tx1"/>
                  </w14:solidFill>
                </w14:textFill>
              </w:rPr>
              <w:t>北侧</w:t>
            </w:r>
          </w:p>
        </w:tc>
        <w:tc>
          <w:tcPr>
            <w:tcW w:w="502" w:type="pct"/>
            <w:tcBorders>
              <w:tl2br w:val="nil"/>
              <w:tr2bl w:val="nil"/>
            </w:tcBorders>
            <w:vAlign w:val="center"/>
          </w:tcPr>
          <w:p w14:paraId="1A149BE9">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bookmarkStart w:id="444" w:name="_Toc23592"/>
            <w:bookmarkStart w:id="445" w:name="_Toc6787"/>
            <w:bookmarkStart w:id="446" w:name="_Toc24389"/>
            <w:r>
              <w:rPr>
                <w:rFonts w:hint="eastAsia" w:ascii="Times New Roman" w:hAnsi="Times New Roman" w:eastAsia="宋体" w:cs="Times New Roman"/>
                <w:smallCaps w:val="0"/>
                <w:color w:val="000000" w:themeColor="text1"/>
                <w:kern w:val="2"/>
                <w:sz w:val="21"/>
                <w:szCs w:val="21"/>
                <w:highlight w:val="none"/>
                <w:lang w:val="en-US" w:eastAsia="zh-CN" w:bidi="ar-SA"/>
                <w14:textFill>
                  <w14:solidFill>
                    <w14:schemeClr w14:val="tx1"/>
                  </w14:solidFill>
                </w14:textFill>
              </w:rPr>
              <w:t>1000m</w:t>
            </w:r>
            <w:bookmarkEnd w:id="444"/>
            <w:bookmarkEnd w:id="445"/>
            <w:bookmarkEnd w:id="446"/>
          </w:p>
        </w:tc>
        <w:tc>
          <w:tcPr>
            <w:tcW w:w="1171" w:type="pct"/>
            <w:vMerge w:val="continue"/>
            <w:tcBorders>
              <w:tl2br w:val="nil"/>
              <w:tr2bl w:val="nil"/>
            </w:tcBorders>
            <w:vAlign w:val="center"/>
          </w:tcPr>
          <w:p w14:paraId="65A578E5">
            <w:pPr>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snapToGrid w:val="0"/>
                <w:color w:val="000000" w:themeColor="text1"/>
                <w:kern w:val="2"/>
                <w:sz w:val="21"/>
                <w:szCs w:val="21"/>
                <w:vertAlign w:val="baseline"/>
                <w:lang w:val="en-US" w:eastAsia="zh-CN" w:bidi="ar-SA"/>
                <w14:textFill>
                  <w14:solidFill>
                    <w14:schemeClr w14:val="tx1"/>
                  </w14:solidFill>
                </w14:textFill>
              </w:rPr>
            </w:pPr>
          </w:p>
        </w:tc>
      </w:tr>
    </w:tbl>
    <w:p w14:paraId="1CA5B4BC">
      <w:pPr>
        <w:pStyle w:val="3"/>
        <w:bidi w:val="0"/>
        <w:rPr>
          <w:rFonts w:hint="eastAsia"/>
          <w:color w:val="000000" w:themeColor="text1"/>
          <w:lang w:val="en-US" w:eastAsia="zh-CN"/>
          <w14:textFill>
            <w14:solidFill>
              <w14:schemeClr w14:val="tx1"/>
            </w14:solidFill>
          </w14:textFill>
        </w:rPr>
      </w:pPr>
      <w:bookmarkStart w:id="447" w:name="_Toc32606"/>
      <w:bookmarkStart w:id="448" w:name="_Toc28605"/>
      <w:bookmarkStart w:id="449" w:name="_Toc22557"/>
      <w:r>
        <w:rPr>
          <w:rFonts w:hint="eastAsia"/>
          <w:color w:val="000000" w:themeColor="text1"/>
          <w:lang w:val="en-US" w:eastAsia="zh-CN"/>
          <w14:textFill>
            <w14:solidFill>
              <w14:schemeClr w14:val="tx1"/>
            </w14:solidFill>
          </w14:textFill>
        </w:rPr>
        <w:t>1.7 环境影响评价工作程序</w:t>
      </w:r>
      <w:bookmarkEnd w:id="447"/>
      <w:bookmarkEnd w:id="448"/>
      <w:bookmarkEnd w:id="449"/>
    </w:p>
    <w:p w14:paraId="496194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000000" w:themeColor="text1"/>
          <w:sz w:val="24"/>
          <w:szCs w:val="32"/>
          <w:lang w:val="en-US" w:eastAsia="zh-CN"/>
          <w14:textFill>
            <w14:solidFill>
              <w14:schemeClr w14:val="tx1"/>
            </w14:solidFill>
          </w14:textFill>
        </w:rPr>
      </w:pPr>
      <w:r>
        <w:rPr>
          <w:rFonts w:hint="default"/>
          <w:color w:val="000000" w:themeColor="text1"/>
          <w:sz w:val="24"/>
          <w:szCs w:val="32"/>
          <w:lang w:val="en-US" w:eastAsia="zh-CN"/>
          <w14:textFill>
            <w14:solidFill>
              <w14:schemeClr w14:val="tx1"/>
            </w14:solidFill>
          </w14:textFill>
        </w:rPr>
        <w:t>根据《环境影响评价技术导则 大气环境》（HJ2.2-2018），本项目大气环境影响专项评价工作程序为：</w:t>
      </w:r>
      <w:bookmarkStart w:id="450" w:name="_Toc176367194"/>
      <w:bookmarkStart w:id="451" w:name="_Toc231029427"/>
      <w:bookmarkStart w:id="452" w:name="_Toc494266536"/>
      <w:bookmarkStart w:id="453" w:name="_Toc495811869"/>
      <w:bookmarkStart w:id="454" w:name="_Toc495832620"/>
      <w:bookmarkStart w:id="455" w:name="_Toc495639102"/>
      <w:bookmarkStart w:id="456" w:name="_Toc231030254"/>
      <w:bookmarkStart w:id="457" w:name="_Toc231029622"/>
      <w:bookmarkStart w:id="458" w:name="_Toc496784167"/>
      <w:bookmarkStart w:id="459" w:name="_Toc177464413"/>
      <w:bookmarkStart w:id="460" w:name="_Toc495391537"/>
    </w:p>
    <w:bookmarkEnd w:id="450"/>
    <w:bookmarkEnd w:id="451"/>
    <w:bookmarkEnd w:id="452"/>
    <w:bookmarkEnd w:id="453"/>
    <w:bookmarkEnd w:id="454"/>
    <w:bookmarkEnd w:id="455"/>
    <w:bookmarkEnd w:id="456"/>
    <w:bookmarkEnd w:id="457"/>
    <w:bookmarkEnd w:id="458"/>
    <w:bookmarkEnd w:id="459"/>
    <w:bookmarkEnd w:id="460"/>
    <w:p w14:paraId="728F54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000000" w:themeColor="text1"/>
          <w:sz w:val="24"/>
          <w:szCs w:val="32"/>
          <w:lang w:val="en-US" w:eastAsia="zh-CN"/>
          <w14:textFill>
            <w14:solidFill>
              <w14:schemeClr w14:val="tx1"/>
            </w14:solidFill>
          </w14:textFill>
        </w:rPr>
      </w:pPr>
      <w:r>
        <w:rPr>
          <w:rFonts w:hint="default"/>
          <w:color w:val="000000" w:themeColor="text1"/>
          <w:sz w:val="24"/>
          <w:szCs w:val="32"/>
          <w:lang w:val="en-US" w:eastAsia="zh-CN"/>
          <w14:textFill>
            <w14:solidFill>
              <w14:schemeClr w14:val="tx1"/>
            </w14:solidFill>
          </w14:textFill>
        </w:rPr>
        <w:t>第一阶段。主要工作包括研究有关文件，项目污染源调查，环境空气保护目标调查，评价因子筛选与评价标准确定，区域气象与地表特征调查，收集区域地形参数，确定评价等级和评价范围等。</w:t>
      </w:r>
    </w:p>
    <w:p w14:paraId="259DB2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000000" w:themeColor="text1"/>
          <w:sz w:val="24"/>
          <w:szCs w:val="32"/>
          <w:lang w:val="en-US" w:eastAsia="zh-CN"/>
          <w14:textFill>
            <w14:solidFill>
              <w14:schemeClr w14:val="tx1"/>
            </w14:solidFill>
          </w14:textFill>
        </w:rPr>
      </w:pPr>
      <w:r>
        <w:rPr>
          <w:rFonts w:hint="default"/>
          <w:color w:val="000000" w:themeColor="text1"/>
          <w:sz w:val="24"/>
          <w:szCs w:val="32"/>
          <w:lang w:val="en-US" w:eastAsia="zh-CN"/>
          <w14:textFill>
            <w14:solidFill>
              <w14:schemeClr w14:val="tx1"/>
            </w14:solidFill>
          </w14:textFill>
        </w:rPr>
        <w:t>第二阶段。主要工作依据评价等级要求开展，包括与项目评价相关污染源调查与核实，选择合适的预测模型，环境质量现状调查或补充监测，收集建立模型所需气象、地表参数等基础数据，确定预测内容与预测方案，开展大气环境影响预测与评价工作等。</w:t>
      </w:r>
    </w:p>
    <w:p w14:paraId="2C32CC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000000" w:themeColor="text1"/>
          <w:sz w:val="24"/>
          <w:szCs w:val="32"/>
          <w:lang w:val="en-US" w:eastAsia="zh-CN"/>
          <w14:textFill>
            <w14:solidFill>
              <w14:schemeClr w14:val="tx1"/>
            </w14:solidFill>
          </w14:textFill>
        </w:rPr>
      </w:pPr>
      <w:r>
        <w:rPr>
          <w:rFonts w:hint="default"/>
          <w:color w:val="000000" w:themeColor="text1"/>
          <w:sz w:val="24"/>
          <w:szCs w:val="32"/>
          <w:lang w:val="en-US" w:eastAsia="zh-CN"/>
          <w14:textFill>
            <w14:solidFill>
              <w14:schemeClr w14:val="tx1"/>
            </w14:solidFill>
          </w14:textFill>
        </w:rPr>
        <w:t>第三阶段。主要工作包括制定环境监测计划，明确大气环境影响评价结论与建议，完成环境影响评价文件的编写等。大气环境影响评价的工作程序见图1.7-1。</w:t>
      </w:r>
    </w:p>
    <w:p w14:paraId="02577996">
      <w:pPr>
        <w:keepNext w:val="0"/>
        <w:keepLines w:val="0"/>
        <w:pageBreakBefore w:val="0"/>
        <w:widowControl w:val="0"/>
        <w:kinsoku/>
        <w:wordWrap/>
        <w:overflowPunct/>
        <w:topLinePunct w:val="0"/>
        <w:autoSpaceDE/>
        <w:autoSpaceDN/>
        <w:bidi w:val="0"/>
        <w:adjustRightInd/>
        <w:snapToGrid/>
        <w:jc w:val="both"/>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drawing>
          <wp:inline distT="0" distB="0" distL="114300" distR="114300">
            <wp:extent cx="5877560" cy="6113145"/>
            <wp:effectExtent l="0" t="0" r="8890" b="1905"/>
            <wp:docPr id="31" name="图片 31" descr="cbe1dffce0e6142118d3485bf14805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be1dffce0e6142118d3485bf14805ac"/>
                    <pic:cNvPicPr>
                      <a:picLocks noChangeAspect="1"/>
                    </pic:cNvPicPr>
                  </pic:nvPicPr>
                  <pic:blipFill>
                    <a:blip r:embed="rId31"/>
                    <a:stretch>
                      <a:fillRect/>
                    </a:stretch>
                  </pic:blipFill>
                  <pic:spPr>
                    <a:xfrm>
                      <a:off x="0" y="0"/>
                      <a:ext cx="5877560" cy="6113145"/>
                    </a:xfrm>
                    <a:prstGeom prst="rect">
                      <a:avLst/>
                    </a:prstGeom>
                  </pic:spPr>
                </pic:pic>
              </a:graphicData>
            </a:graphic>
          </wp:inline>
        </w:drawing>
      </w:r>
    </w:p>
    <w:p w14:paraId="3CB3284E">
      <w:pPr>
        <w:bidi w:val="0"/>
        <w:jc w:val="center"/>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图1.7-1 大气环境影响评价工作程序图</w:t>
      </w:r>
    </w:p>
    <w:p w14:paraId="07F2E7F2">
      <w:pPr>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br w:type="page"/>
      </w:r>
    </w:p>
    <w:p w14:paraId="46552B88">
      <w:pPr>
        <w:pStyle w:val="2"/>
        <w:numPr>
          <w:ilvl w:val="0"/>
          <w:numId w:val="0"/>
        </w:numPr>
        <w:bidi w:val="0"/>
        <w:rPr>
          <w:rFonts w:hint="eastAsia"/>
          <w:color w:val="000000" w:themeColor="text1"/>
          <w:lang w:val="en-US" w:eastAsia="zh-CN"/>
          <w14:textFill>
            <w14:solidFill>
              <w14:schemeClr w14:val="tx1"/>
            </w14:solidFill>
          </w14:textFill>
        </w:rPr>
      </w:pPr>
      <w:bookmarkStart w:id="461" w:name="_Toc4260"/>
      <w:bookmarkStart w:id="462" w:name="_Toc28690"/>
      <w:bookmarkStart w:id="463" w:name="_Toc30432"/>
      <w:r>
        <w:rPr>
          <w:rFonts w:hint="eastAsia" w:ascii="Times New Roman" w:hAnsi="Times New Roman" w:eastAsia="宋体" w:cs="Times New Roman"/>
          <w:b/>
          <w:bCs/>
          <w:color w:val="000000" w:themeColor="text1"/>
          <w:kern w:val="44"/>
          <w:sz w:val="32"/>
          <w:szCs w:val="30"/>
          <w:lang w:val="en-US" w:eastAsia="zh-CN" w:bidi="ar-SA"/>
          <w14:textFill>
            <w14:solidFill>
              <w14:schemeClr w14:val="tx1"/>
            </w14:solidFill>
          </w14:textFill>
        </w:rPr>
        <w:t>2、</w:t>
      </w:r>
      <w:r>
        <w:rPr>
          <w:rFonts w:hint="eastAsia"/>
          <w:color w:val="000000" w:themeColor="text1"/>
          <w:lang w:val="en-US" w:eastAsia="zh-CN"/>
          <w14:textFill>
            <w14:solidFill>
              <w14:schemeClr w14:val="tx1"/>
            </w14:solidFill>
          </w14:textFill>
        </w:rPr>
        <w:t>环境空气质量现状调查与评价</w:t>
      </w:r>
      <w:bookmarkEnd w:id="461"/>
      <w:bookmarkEnd w:id="462"/>
      <w:bookmarkEnd w:id="463"/>
    </w:p>
    <w:p w14:paraId="6486B706">
      <w:pPr>
        <w:pStyle w:val="3"/>
        <w:bidi w:val="0"/>
        <w:rPr>
          <w:rFonts w:hint="eastAsia"/>
          <w:color w:val="000000" w:themeColor="text1"/>
          <w:lang w:val="en-US" w:eastAsia="zh-CN"/>
          <w14:textFill>
            <w14:solidFill>
              <w14:schemeClr w14:val="tx1"/>
            </w14:solidFill>
          </w14:textFill>
        </w:rPr>
      </w:pPr>
      <w:bookmarkStart w:id="464" w:name="_Toc8440"/>
      <w:bookmarkStart w:id="465" w:name="_Toc21838"/>
      <w:bookmarkStart w:id="466" w:name="_Toc29987"/>
      <w:r>
        <w:rPr>
          <w:rFonts w:hint="eastAsia"/>
          <w:color w:val="000000" w:themeColor="text1"/>
          <w:lang w:val="en-US" w:eastAsia="zh-CN"/>
          <w14:textFill>
            <w14:solidFill>
              <w14:schemeClr w14:val="tx1"/>
            </w14:solidFill>
          </w14:textFill>
        </w:rPr>
        <w:t>2.1 二类区区域环境质量现状</w:t>
      </w:r>
      <w:bookmarkEnd w:id="464"/>
      <w:bookmarkEnd w:id="465"/>
      <w:bookmarkEnd w:id="466"/>
    </w:p>
    <w:p w14:paraId="059AEAD0">
      <w:pPr>
        <w:pStyle w:val="5"/>
        <w:bidi w:val="0"/>
        <w:rPr>
          <w:rFonts w:hint="default"/>
          <w:color w:val="000000" w:themeColor="text1"/>
          <w:lang w:val="en-US" w:eastAsia="zh-CN"/>
          <w14:textFill>
            <w14:solidFill>
              <w14:schemeClr w14:val="tx1"/>
            </w14:solidFill>
          </w14:textFill>
        </w:rPr>
      </w:pPr>
      <w:bookmarkStart w:id="467" w:name="_Toc29546"/>
      <w:bookmarkStart w:id="468" w:name="_Toc30286"/>
      <w:r>
        <w:rPr>
          <w:rFonts w:hint="eastAsia"/>
          <w:color w:val="000000" w:themeColor="text1"/>
          <w:lang w:val="en-US" w:eastAsia="zh-CN"/>
          <w14:textFill>
            <w14:solidFill>
              <w14:schemeClr w14:val="tx1"/>
            </w14:solidFill>
          </w14:textFill>
        </w:rPr>
        <w:t>2.1.1 基本污染物环境质量现状</w:t>
      </w:r>
      <w:bookmarkEnd w:id="467"/>
      <w:bookmarkEnd w:id="468"/>
    </w:p>
    <w:p w14:paraId="630177DF">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项目所在地为易门产业园区麦子田片区，根据大气环境功能区划，区域环境空气为《环境空气质量标准》（GB3095-2026）中的二类区，执行《环境空气质量标准》（GB3095-2026）表1过渡阶段二级浓度限值和表2二级浓度限值。易门县布设有一个环境空气自动监测站点，位于易门县中医院，位于项目区西南侧约14.25km处，根据易门县人民政府网发布的《2024年易门县生态环境状况公报》（易门县人民政府 2025年6月24日），2024年县城区（中医院楼顶监测点）共开展空气环境质量监测36 天，其中达一级：252天，占70%；二级：107天，占29.7%，超标1天（O3超标1天），占0.3%，环境空气质量优良率为99.7%，与2023年98.7%相比上升0.8%。各监测指标类别均为二级及以上，空气质量达标。根据《环境空气质量标准》（GB3095-2026），该标准于2026年3月1日起实施，项目达标区判定引用生态环境状况公报数据，监测数据时间为2024年，该标准尚未实施，因此本次评价采用《环境空气质量标准》（GB3095-2012）及2018年修改单进行评价。项目所在地易门县在评价基准年2024年为环境空气质量达标区。</w:t>
      </w:r>
    </w:p>
    <w:p w14:paraId="57AD59B8">
      <w:pPr>
        <w:pStyle w:val="5"/>
        <w:bidi w:val="0"/>
        <w:rPr>
          <w:rFonts w:hint="eastAsia"/>
          <w:color w:val="000000" w:themeColor="text1"/>
          <w:lang w:val="en-US" w:eastAsia="zh-CN"/>
          <w14:textFill>
            <w14:solidFill>
              <w14:schemeClr w14:val="tx1"/>
            </w14:solidFill>
          </w14:textFill>
        </w:rPr>
      </w:pPr>
      <w:bookmarkStart w:id="469" w:name="_Toc32004"/>
      <w:bookmarkStart w:id="470" w:name="_Toc13138"/>
      <w:r>
        <w:rPr>
          <w:rFonts w:hint="eastAsia"/>
          <w:color w:val="000000" w:themeColor="text1"/>
          <w:lang w:val="en-US" w:eastAsia="zh-CN"/>
          <w14:textFill>
            <w14:solidFill>
              <w14:schemeClr w14:val="tx1"/>
            </w14:solidFill>
          </w14:textFill>
        </w:rPr>
        <w:t>2.1.2 特征污染物补充监测</w:t>
      </w:r>
      <w:bookmarkEnd w:id="469"/>
      <w:bookmarkEnd w:id="470"/>
    </w:p>
    <w:p w14:paraId="51E38317">
      <w:pPr>
        <w:pStyle w:val="79"/>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（1）监测结果</w:t>
      </w:r>
    </w:p>
    <w:p w14:paraId="5A2816CE">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根据本项目产污特点，项目的特征污染物为颗粒物、非甲烷总烃与甲醛。项目评价范围内未收集到国家或地方环境空气质量监测网中评价基准年的连续1年的监测数据，也未收集到评价范围内近3年与项目排放的污染物有关的历史监测资料。</w:t>
      </w:r>
    </w:p>
    <w:p w14:paraId="1FA8805A">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本项目委托</w:t>
      </w:r>
      <w:r>
        <w:rPr>
          <w:rFonts w:hint="eastAsia"/>
          <w:color w:val="000000" w:themeColor="text1"/>
          <w:lang w:val="en-US" w:eastAsia="zh-CN"/>
          <w14:textFill>
            <w14:solidFill>
              <w14:schemeClr w14:val="tx1"/>
            </w14:solidFill>
          </w14:textFill>
        </w:rPr>
        <w:t>云南天倪检测有限公司</w:t>
      </w:r>
      <w:r>
        <w:rPr>
          <w:rFonts w:hint="default"/>
          <w:color w:val="000000" w:themeColor="text1"/>
          <w:lang w:val="en-US" w:eastAsia="zh-CN"/>
          <w14:textFill>
            <w14:solidFill>
              <w14:schemeClr w14:val="tx1"/>
            </w14:solidFill>
          </w14:textFill>
        </w:rPr>
        <w:t>对项目区其他污染物环境质量现状进行监测，具体如下：</w:t>
      </w:r>
    </w:p>
    <w:p w14:paraId="7C4AB7C7">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监测项目：TSP、非甲烷总烃、甲醛，共3项；</w:t>
      </w:r>
    </w:p>
    <w:p w14:paraId="3E64F615">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采样地点：厂区下风向设置1个监测点（厂界下风向村东（1200m）处），共1个监测点；</w:t>
      </w:r>
    </w:p>
    <w:p w14:paraId="10E5DEE3">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监测时间：2026.6.27～2026.7.3，共7天；</w:t>
      </w:r>
    </w:p>
    <w:p w14:paraId="7D6A7963">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采样频率：1个监测点对总悬浮颗粒物提供至少24小时监测结果；甲醛与非甲烷总烃提供1小时监测结果，具体监测结果如下表所示。</w:t>
      </w:r>
    </w:p>
    <w:p w14:paraId="10C91753">
      <w:pPr>
        <w:widowControl/>
        <w:ind w:firstLine="422" w:firstLineChars="200"/>
        <w:jc w:val="center"/>
        <w:rPr>
          <w:rFonts w:ascii="宋体" w:hAnsi="Times New Roman" w:eastAsia="宋体" w:cs="Times New Roman"/>
          <w:color w:val="000000" w:themeColor="text1"/>
          <w:kern w:val="0"/>
          <w:sz w:val="24"/>
          <w:szCs w:val="20"/>
          <w14:textFill>
            <w14:solidFill>
              <w14:schemeClr w14:val="tx1"/>
            </w14:solidFill>
          </w14:textFill>
        </w:rPr>
      </w:pPr>
      <w:r>
        <w:rPr>
          <w:rFonts w:ascii="Times New Roman" w:hAnsi="Times New Roman" w:eastAsia="宋体" w:cs="Times New Roman"/>
          <w:b/>
          <w:color w:val="000000" w:themeColor="text1"/>
          <w:kern w:val="0"/>
          <w:sz w:val="21"/>
          <w:szCs w:val="21"/>
          <w14:textFill>
            <w14:solidFill>
              <w14:schemeClr w14:val="tx1"/>
            </w14:solidFill>
          </w14:textFill>
        </w:rPr>
        <w:t>表</w:t>
      </w:r>
      <w:r>
        <w:rPr>
          <w:rFonts w:hint="eastAsia" w:ascii="Times New Roman" w:hAnsi="Times New Roman" w:eastAsia="宋体" w:cs="Times New Roman"/>
          <w:b/>
          <w:color w:val="000000" w:themeColor="text1"/>
          <w:kern w:val="0"/>
          <w:sz w:val="21"/>
          <w:szCs w:val="21"/>
          <w:lang w:val="en-US" w:eastAsia="zh-CN"/>
          <w14:textFill>
            <w14:solidFill>
              <w14:schemeClr w14:val="tx1"/>
            </w14:solidFill>
          </w14:textFill>
        </w:rPr>
        <w:t>2.1-1</w:t>
      </w:r>
      <w:r>
        <w:rPr>
          <w:rFonts w:ascii="Times New Roman" w:hAnsi="Times New Roman" w:eastAsia="宋体" w:cs="Times New Roman"/>
          <w:b/>
          <w:color w:val="000000" w:themeColor="text1"/>
          <w:kern w:val="0"/>
          <w:sz w:val="21"/>
          <w:szCs w:val="21"/>
          <w14:textFill>
            <w14:solidFill>
              <w14:schemeClr w14:val="tx1"/>
            </w14:solidFill>
          </w14:textFill>
        </w:rPr>
        <w:t xml:space="preserve">   </w:t>
      </w:r>
      <w:r>
        <w:rPr>
          <w:rFonts w:hint="eastAsia" w:ascii="Times New Roman" w:hAnsi="Times New Roman" w:eastAsia="宋体" w:cs="Times New Roman"/>
          <w:b/>
          <w:color w:val="000000" w:themeColor="text1"/>
          <w:kern w:val="0"/>
          <w:sz w:val="21"/>
          <w:szCs w:val="21"/>
          <w14:textFill>
            <w14:solidFill>
              <w14:schemeClr w14:val="tx1"/>
            </w14:solidFill>
          </w14:textFill>
        </w:rPr>
        <w:t>TSP 24小时均值监测结果统计表</w:t>
      </w:r>
    </w:p>
    <w:tbl>
      <w:tblPr>
        <w:tblStyle w:val="31"/>
        <w:tblW w:w="50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9"/>
        <w:gridCol w:w="4672"/>
      </w:tblGrid>
      <w:tr w14:paraId="6DE8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430" w:type="pct"/>
            <w:vMerge w:val="restart"/>
            <w:noWrap w:val="0"/>
            <w:tcMar>
              <w:top w:w="0" w:type="dxa"/>
              <w:left w:w="57" w:type="dxa"/>
              <w:bottom w:w="0" w:type="dxa"/>
              <w:right w:w="57" w:type="dxa"/>
            </w:tcMar>
            <w:vAlign w:val="center"/>
          </w:tcPr>
          <w:p w14:paraId="5A44F2D9">
            <w:pPr>
              <w:widowControl/>
              <w:spacing w:line="380" w:lineRule="exact"/>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监测时间</w:t>
            </w:r>
          </w:p>
        </w:tc>
        <w:tc>
          <w:tcPr>
            <w:tcW w:w="2569" w:type="pct"/>
            <w:noWrap w:val="0"/>
            <w:tcMar>
              <w:top w:w="0" w:type="dxa"/>
              <w:left w:w="57" w:type="dxa"/>
              <w:bottom w:w="0" w:type="dxa"/>
              <w:right w:w="57" w:type="dxa"/>
            </w:tcMar>
            <w:vAlign w:val="center"/>
          </w:tcPr>
          <w:p w14:paraId="0923B045">
            <w:pPr>
              <w:widowControl w:val="0"/>
              <w:jc w:val="center"/>
              <w:rPr>
                <w:rFonts w:ascii="Times New Roman" w:hAnsi="Times New Roman" w:eastAsia="宋体" w:cs="Times New Roman"/>
                <w:b/>
                <w:bCs/>
                <w:color w:val="000000" w:themeColor="text1"/>
                <w:kern w:val="2"/>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采样点位及监测结果（</w:t>
            </w:r>
            <w:r>
              <w:rPr>
                <w:rFonts w:hint="eastAsia" w:ascii="Times New Roman" w:hAnsi="Times New Roman" w:eastAsia="宋体" w:cs="Times New Roman"/>
                <w:b/>
                <w:bCs/>
                <w:color w:val="000000" w:themeColor="text1"/>
                <w:kern w:val="0"/>
                <w:sz w:val="21"/>
                <w:szCs w:val="21"/>
                <w14:textFill>
                  <w14:solidFill>
                    <w14:schemeClr w14:val="tx1"/>
                  </w14:solidFill>
                </w14:textFill>
              </w:rPr>
              <w:t>m</w:t>
            </w:r>
            <w:r>
              <w:rPr>
                <w:rFonts w:ascii="Times New Roman" w:hAnsi="Times New Roman" w:eastAsia="宋体" w:cs="Times New Roman"/>
                <w:b/>
                <w:bCs/>
                <w:color w:val="000000" w:themeColor="text1"/>
                <w:kern w:val="0"/>
                <w:sz w:val="21"/>
                <w:szCs w:val="21"/>
                <w14:textFill>
                  <w14:solidFill>
                    <w14:schemeClr w14:val="tx1"/>
                  </w14:solidFill>
                </w14:textFill>
              </w:rPr>
              <w:t>g/m</w:t>
            </w:r>
            <w:r>
              <w:rPr>
                <w:rFonts w:ascii="Times New Roman" w:hAnsi="Times New Roman" w:eastAsia="宋体" w:cs="Times New Roman"/>
                <w:b/>
                <w:bCs/>
                <w:color w:val="000000" w:themeColor="text1"/>
                <w:kern w:val="0"/>
                <w:sz w:val="21"/>
                <w:szCs w:val="21"/>
                <w:vertAlign w:val="superscript"/>
                <w14:textFill>
                  <w14:solidFill>
                    <w14:schemeClr w14:val="tx1"/>
                  </w14:solidFill>
                </w14:textFill>
              </w:rPr>
              <w:t>3</w:t>
            </w:r>
            <w:r>
              <w:rPr>
                <w:rFonts w:ascii="Times New Roman" w:hAnsi="Times New Roman" w:eastAsia="宋体" w:cs="Times New Roman"/>
                <w:b/>
                <w:bCs/>
                <w:color w:val="000000" w:themeColor="text1"/>
                <w:kern w:val="0"/>
                <w:sz w:val="21"/>
                <w:szCs w:val="21"/>
                <w14:textFill>
                  <w14:solidFill>
                    <w14:schemeClr w14:val="tx1"/>
                  </w14:solidFill>
                </w14:textFill>
              </w:rPr>
              <w:t>）</w:t>
            </w:r>
          </w:p>
        </w:tc>
      </w:tr>
      <w:tr w14:paraId="16320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30" w:type="pct"/>
            <w:vMerge w:val="continue"/>
            <w:noWrap w:val="0"/>
            <w:tcMar>
              <w:top w:w="0" w:type="dxa"/>
              <w:left w:w="57" w:type="dxa"/>
              <w:bottom w:w="0" w:type="dxa"/>
              <w:right w:w="57" w:type="dxa"/>
            </w:tcMar>
            <w:vAlign w:val="center"/>
          </w:tcPr>
          <w:p w14:paraId="3CA384C8">
            <w:pPr>
              <w:widowControl/>
              <w:spacing w:line="380" w:lineRule="exact"/>
              <w:jc w:val="center"/>
              <w:rPr>
                <w:rFonts w:ascii="Times New Roman" w:hAnsi="Times New Roman" w:eastAsia="宋体" w:cs="Times New Roman"/>
                <w:b/>
                <w:bCs/>
                <w:color w:val="000000" w:themeColor="text1"/>
                <w:kern w:val="0"/>
                <w:sz w:val="21"/>
                <w:szCs w:val="21"/>
                <w14:textFill>
                  <w14:solidFill>
                    <w14:schemeClr w14:val="tx1"/>
                  </w14:solidFill>
                </w14:textFill>
              </w:rPr>
            </w:pPr>
          </w:p>
        </w:tc>
        <w:tc>
          <w:tcPr>
            <w:tcW w:w="2569" w:type="pct"/>
            <w:noWrap w:val="0"/>
            <w:tcMar>
              <w:top w:w="0" w:type="dxa"/>
              <w:left w:w="57" w:type="dxa"/>
              <w:bottom w:w="0" w:type="dxa"/>
              <w:right w:w="57" w:type="dxa"/>
            </w:tcMar>
            <w:vAlign w:val="center"/>
          </w:tcPr>
          <w:p w14:paraId="582BD45B">
            <w:pPr>
              <w:widowControl/>
              <w:spacing w:line="380" w:lineRule="exact"/>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厂界下风向村东（</w:t>
            </w: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12</w:t>
            </w:r>
            <w:r>
              <w:rPr>
                <w:rFonts w:ascii="Times New Roman" w:hAnsi="Times New Roman" w:eastAsia="宋体" w:cs="Times New Roman"/>
                <w:b/>
                <w:bCs/>
                <w:color w:val="000000" w:themeColor="text1"/>
                <w:kern w:val="0"/>
                <w:sz w:val="21"/>
                <w:szCs w:val="21"/>
                <w14:textFill>
                  <w14:solidFill>
                    <w14:schemeClr w14:val="tx1"/>
                  </w14:solidFill>
                </w14:textFill>
              </w:rPr>
              <w:t>00m）</w:t>
            </w:r>
          </w:p>
        </w:tc>
      </w:tr>
      <w:tr w14:paraId="44DF0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0" w:type="pct"/>
            <w:noWrap w:val="0"/>
            <w:tcMar>
              <w:top w:w="0" w:type="dxa"/>
              <w:left w:w="57" w:type="dxa"/>
              <w:bottom w:w="0" w:type="dxa"/>
              <w:right w:w="57" w:type="dxa"/>
            </w:tcMar>
            <w:vAlign w:val="center"/>
          </w:tcPr>
          <w:p w14:paraId="763F64EB">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2026.06.27</w:t>
            </w:r>
          </w:p>
        </w:tc>
        <w:tc>
          <w:tcPr>
            <w:tcW w:w="2569" w:type="pct"/>
            <w:noWrap w:val="0"/>
            <w:tcMar>
              <w:top w:w="0" w:type="dxa"/>
              <w:left w:w="57" w:type="dxa"/>
              <w:bottom w:w="0" w:type="dxa"/>
              <w:right w:w="57" w:type="dxa"/>
            </w:tcMar>
            <w:vAlign w:val="center"/>
          </w:tcPr>
          <w:p w14:paraId="5486C1FE">
            <w:pPr>
              <w:widowControl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0.116</w:t>
            </w:r>
          </w:p>
        </w:tc>
      </w:tr>
      <w:tr w14:paraId="7BD53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0" w:type="pct"/>
            <w:noWrap w:val="0"/>
            <w:tcMar>
              <w:top w:w="0" w:type="dxa"/>
              <w:left w:w="57" w:type="dxa"/>
              <w:bottom w:w="0" w:type="dxa"/>
              <w:right w:w="57" w:type="dxa"/>
            </w:tcMar>
            <w:vAlign w:val="center"/>
          </w:tcPr>
          <w:p w14:paraId="1E6F1DC0">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2026.06.28</w:t>
            </w:r>
          </w:p>
        </w:tc>
        <w:tc>
          <w:tcPr>
            <w:tcW w:w="2569" w:type="pct"/>
            <w:noWrap w:val="0"/>
            <w:tcMar>
              <w:top w:w="0" w:type="dxa"/>
              <w:left w:w="57" w:type="dxa"/>
              <w:bottom w:w="0" w:type="dxa"/>
              <w:right w:w="57" w:type="dxa"/>
            </w:tcMar>
            <w:vAlign w:val="center"/>
          </w:tcPr>
          <w:p w14:paraId="1B705561">
            <w:pPr>
              <w:widowControl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0.111</w:t>
            </w:r>
          </w:p>
        </w:tc>
      </w:tr>
      <w:tr w14:paraId="79D2C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30" w:type="pct"/>
            <w:noWrap w:val="0"/>
            <w:tcMar>
              <w:top w:w="0" w:type="dxa"/>
              <w:left w:w="57" w:type="dxa"/>
              <w:bottom w:w="0" w:type="dxa"/>
              <w:right w:w="57" w:type="dxa"/>
            </w:tcMar>
            <w:vAlign w:val="center"/>
          </w:tcPr>
          <w:p w14:paraId="4AC6330E">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2026.06.29</w:t>
            </w:r>
          </w:p>
        </w:tc>
        <w:tc>
          <w:tcPr>
            <w:tcW w:w="2569" w:type="pct"/>
            <w:noWrap w:val="0"/>
            <w:tcMar>
              <w:top w:w="0" w:type="dxa"/>
              <w:left w:w="57" w:type="dxa"/>
              <w:bottom w:w="0" w:type="dxa"/>
              <w:right w:w="57" w:type="dxa"/>
            </w:tcMar>
            <w:vAlign w:val="center"/>
          </w:tcPr>
          <w:p w14:paraId="2826BB5F">
            <w:pPr>
              <w:widowControl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0.099</w:t>
            </w:r>
          </w:p>
        </w:tc>
      </w:tr>
      <w:tr w14:paraId="5BFA4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0" w:type="pct"/>
            <w:noWrap w:val="0"/>
            <w:tcMar>
              <w:top w:w="0" w:type="dxa"/>
              <w:left w:w="57" w:type="dxa"/>
              <w:bottom w:w="0" w:type="dxa"/>
              <w:right w:w="57" w:type="dxa"/>
            </w:tcMar>
            <w:vAlign w:val="center"/>
          </w:tcPr>
          <w:p w14:paraId="159B2064">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2026.06.30</w:t>
            </w:r>
          </w:p>
        </w:tc>
        <w:tc>
          <w:tcPr>
            <w:tcW w:w="2569" w:type="pct"/>
            <w:noWrap w:val="0"/>
            <w:tcMar>
              <w:top w:w="0" w:type="dxa"/>
              <w:left w:w="57" w:type="dxa"/>
              <w:bottom w:w="0" w:type="dxa"/>
              <w:right w:w="57" w:type="dxa"/>
            </w:tcMar>
            <w:vAlign w:val="center"/>
          </w:tcPr>
          <w:p w14:paraId="503AEFBE">
            <w:pPr>
              <w:widowControl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0.104</w:t>
            </w:r>
          </w:p>
        </w:tc>
      </w:tr>
      <w:tr w14:paraId="20C6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0" w:type="pct"/>
            <w:noWrap w:val="0"/>
            <w:tcMar>
              <w:top w:w="0" w:type="dxa"/>
              <w:left w:w="57" w:type="dxa"/>
              <w:bottom w:w="0" w:type="dxa"/>
              <w:right w:w="57" w:type="dxa"/>
            </w:tcMar>
            <w:vAlign w:val="center"/>
          </w:tcPr>
          <w:p w14:paraId="76582C51">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2026.07.01</w:t>
            </w:r>
          </w:p>
        </w:tc>
        <w:tc>
          <w:tcPr>
            <w:tcW w:w="2569" w:type="pct"/>
            <w:noWrap w:val="0"/>
            <w:tcMar>
              <w:top w:w="0" w:type="dxa"/>
              <w:left w:w="57" w:type="dxa"/>
              <w:bottom w:w="0" w:type="dxa"/>
              <w:right w:w="57" w:type="dxa"/>
            </w:tcMar>
            <w:vAlign w:val="center"/>
          </w:tcPr>
          <w:p w14:paraId="2E158187">
            <w:pPr>
              <w:widowControl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0.110</w:t>
            </w:r>
          </w:p>
        </w:tc>
      </w:tr>
      <w:tr w14:paraId="1C54F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0" w:type="pct"/>
            <w:noWrap w:val="0"/>
            <w:tcMar>
              <w:top w:w="0" w:type="dxa"/>
              <w:left w:w="57" w:type="dxa"/>
              <w:bottom w:w="0" w:type="dxa"/>
              <w:right w:w="57" w:type="dxa"/>
            </w:tcMar>
            <w:vAlign w:val="center"/>
          </w:tcPr>
          <w:p w14:paraId="2C777AAB">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2026.07.02</w:t>
            </w:r>
          </w:p>
        </w:tc>
        <w:tc>
          <w:tcPr>
            <w:tcW w:w="2569" w:type="pct"/>
            <w:noWrap w:val="0"/>
            <w:tcMar>
              <w:top w:w="0" w:type="dxa"/>
              <w:left w:w="57" w:type="dxa"/>
              <w:bottom w:w="0" w:type="dxa"/>
              <w:right w:w="57" w:type="dxa"/>
            </w:tcMar>
            <w:vAlign w:val="center"/>
          </w:tcPr>
          <w:p w14:paraId="2E6BDE27">
            <w:pPr>
              <w:widowControl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0.100</w:t>
            </w:r>
          </w:p>
        </w:tc>
      </w:tr>
      <w:tr w14:paraId="4DD5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0" w:type="pct"/>
            <w:noWrap w:val="0"/>
            <w:tcMar>
              <w:top w:w="0" w:type="dxa"/>
              <w:left w:w="57" w:type="dxa"/>
              <w:bottom w:w="0" w:type="dxa"/>
              <w:right w:w="57" w:type="dxa"/>
            </w:tcMar>
            <w:vAlign w:val="center"/>
          </w:tcPr>
          <w:p w14:paraId="467A97A0">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2026.07.03</w:t>
            </w:r>
          </w:p>
        </w:tc>
        <w:tc>
          <w:tcPr>
            <w:tcW w:w="2569" w:type="pct"/>
            <w:noWrap w:val="0"/>
            <w:tcMar>
              <w:top w:w="0" w:type="dxa"/>
              <w:left w:w="57" w:type="dxa"/>
              <w:bottom w:w="0" w:type="dxa"/>
              <w:right w:w="57" w:type="dxa"/>
            </w:tcMar>
            <w:vAlign w:val="center"/>
          </w:tcPr>
          <w:p w14:paraId="00509A75">
            <w:pPr>
              <w:widowControl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0.117</w:t>
            </w:r>
          </w:p>
        </w:tc>
      </w:tr>
      <w:tr w14:paraId="2B38D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30" w:type="pct"/>
            <w:noWrap w:val="0"/>
            <w:tcMar>
              <w:top w:w="0" w:type="dxa"/>
              <w:left w:w="57" w:type="dxa"/>
              <w:bottom w:w="0" w:type="dxa"/>
              <w:right w:w="57" w:type="dxa"/>
            </w:tcMar>
            <w:vAlign w:val="center"/>
          </w:tcPr>
          <w:p w14:paraId="1CC4C329">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标准值</w:t>
            </w:r>
          </w:p>
        </w:tc>
        <w:tc>
          <w:tcPr>
            <w:tcW w:w="2569" w:type="pct"/>
            <w:noWrap w:val="0"/>
            <w:tcMar>
              <w:top w:w="0" w:type="dxa"/>
              <w:left w:w="57" w:type="dxa"/>
              <w:bottom w:w="0" w:type="dxa"/>
              <w:right w:w="57" w:type="dxa"/>
            </w:tcMar>
            <w:vAlign w:val="center"/>
          </w:tcPr>
          <w:p w14:paraId="14D1351C">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0.</w:t>
            </w:r>
            <w:r>
              <w:rPr>
                <w:rFonts w:ascii="Times New Roman" w:hAnsi="Times New Roman" w:eastAsia="宋体" w:cs="Times New Roman"/>
                <w:color w:val="000000" w:themeColor="text1"/>
                <w:kern w:val="0"/>
                <w:sz w:val="21"/>
                <w:szCs w:val="21"/>
                <w14:textFill>
                  <w14:solidFill>
                    <w14:schemeClr w14:val="tx1"/>
                  </w14:solidFill>
                </w14:textFill>
              </w:rPr>
              <w:t>300</w:t>
            </w:r>
          </w:p>
        </w:tc>
      </w:tr>
      <w:tr w14:paraId="38873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jc w:val="center"/>
        </w:trPr>
        <w:tc>
          <w:tcPr>
            <w:tcW w:w="2430" w:type="pct"/>
            <w:noWrap w:val="0"/>
            <w:tcMar>
              <w:top w:w="0" w:type="dxa"/>
              <w:left w:w="57" w:type="dxa"/>
              <w:bottom w:w="0" w:type="dxa"/>
              <w:right w:w="57" w:type="dxa"/>
            </w:tcMar>
            <w:vAlign w:val="center"/>
          </w:tcPr>
          <w:p w14:paraId="39B04E13">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达标情况</w:t>
            </w:r>
          </w:p>
        </w:tc>
        <w:tc>
          <w:tcPr>
            <w:tcW w:w="2569" w:type="pct"/>
            <w:noWrap w:val="0"/>
            <w:tcMar>
              <w:top w:w="0" w:type="dxa"/>
              <w:left w:w="57" w:type="dxa"/>
              <w:bottom w:w="0" w:type="dxa"/>
              <w:right w:w="57" w:type="dxa"/>
            </w:tcMar>
            <w:vAlign w:val="center"/>
          </w:tcPr>
          <w:p w14:paraId="78E27564">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达标</w:t>
            </w:r>
          </w:p>
        </w:tc>
      </w:tr>
    </w:tbl>
    <w:p w14:paraId="50D399AC">
      <w:pPr>
        <w:widowControl/>
        <w:spacing w:line="240" w:lineRule="auto"/>
        <w:jc w:val="center"/>
        <w:rPr>
          <w:rFonts w:ascii="宋体" w:hAnsi="Courier New" w:eastAsia="宋体" w:cs="Courier New"/>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表</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2.1-2</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非甲烷总烃 1小时均值监测结果统计表</w:t>
      </w:r>
    </w:p>
    <w:tbl>
      <w:tblPr>
        <w:tblStyle w:val="31"/>
        <w:tblW w:w="90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21"/>
        <w:gridCol w:w="4866"/>
      </w:tblGrid>
      <w:tr w14:paraId="54C2C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pct"/>
            <w:vMerge w:val="restart"/>
            <w:noWrap w:val="0"/>
            <w:tcMar>
              <w:top w:w="0" w:type="dxa"/>
              <w:left w:w="57" w:type="dxa"/>
              <w:bottom w:w="0" w:type="dxa"/>
              <w:right w:w="57" w:type="dxa"/>
            </w:tcMar>
            <w:vAlign w:val="center"/>
          </w:tcPr>
          <w:p w14:paraId="617A2DCC">
            <w:pPr>
              <w:widowControl/>
              <w:spacing w:line="380" w:lineRule="exact"/>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监测时间</w:t>
            </w:r>
          </w:p>
        </w:tc>
        <w:tc>
          <w:tcPr>
            <w:tcW w:w="2677" w:type="pct"/>
            <w:noWrap w:val="0"/>
            <w:tcMar>
              <w:top w:w="0" w:type="dxa"/>
              <w:left w:w="57" w:type="dxa"/>
              <w:bottom w:w="0" w:type="dxa"/>
              <w:right w:w="57" w:type="dxa"/>
            </w:tcMar>
            <w:vAlign w:val="center"/>
          </w:tcPr>
          <w:p w14:paraId="2B0BC280">
            <w:pPr>
              <w:widowControl w:val="0"/>
              <w:jc w:val="center"/>
              <w:rPr>
                <w:rFonts w:ascii="Times New Roman" w:hAnsi="Times New Roman" w:eastAsia="宋体" w:cs="Times New Roman"/>
                <w:b/>
                <w:bCs/>
                <w:color w:val="000000" w:themeColor="text1"/>
                <w:kern w:val="2"/>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采样点位及监测结果（</w:t>
            </w: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m</w:t>
            </w:r>
            <w:r>
              <w:rPr>
                <w:rFonts w:ascii="Times New Roman" w:hAnsi="Times New Roman" w:eastAsia="宋体" w:cs="Times New Roman"/>
                <w:b/>
                <w:bCs/>
                <w:color w:val="000000" w:themeColor="text1"/>
                <w:kern w:val="0"/>
                <w:sz w:val="21"/>
                <w:szCs w:val="21"/>
                <w14:textFill>
                  <w14:solidFill>
                    <w14:schemeClr w14:val="tx1"/>
                  </w14:solidFill>
                </w14:textFill>
              </w:rPr>
              <w:t>g/m</w:t>
            </w:r>
            <w:r>
              <w:rPr>
                <w:rFonts w:ascii="Times New Roman" w:hAnsi="Times New Roman" w:eastAsia="宋体" w:cs="Times New Roman"/>
                <w:b/>
                <w:bCs/>
                <w:color w:val="000000" w:themeColor="text1"/>
                <w:kern w:val="0"/>
                <w:sz w:val="21"/>
                <w:szCs w:val="21"/>
                <w:vertAlign w:val="superscript"/>
                <w14:textFill>
                  <w14:solidFill>
                    <w14:schemeClr w14:val="tx1"/>
                  </w14:solidFill>
                </w14:textFill>
              </w:rPr>
              <w:t>3</w:t>
            </w:r>
            <w:r>
              <w:rPr>
                <w:rFonts w:ascii="Times New Roman" w:hAnsi="Times New Roman" w:eastAsia="宋体" w:cs="Times New Roman"/>
                <w:b/>
                <w:bCs/>
                <w:color w:val="000000" w:themeColor="text1"/>
                <w:kern w:val="0"/>
                <w:sz w:val="21"/>
                <w:szCs w:val="21"/>
                <w14:textFill>
                  <w14:solidFill>
                    <w14:schemeClr w14:val="tx1"/>
                  </w14:solidFill>
                </w14:textFill>
              </w:rPr>
              <w:t>）</w:t>
            </w:r>
          </w:p>
        </w:tc>
      </w:tr>
      <w:tr w14:paraId="6661F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22" w:type="pct"/>
            <w:vMerge w:val="continue"/>
            <w:noWrap w:val="0"/>
            <w:tcMar>
              <w:top w:w="0" w:type="dxa"/>
              <w:left w:w="57" w:type="dxa"/>
              <w:bottom w:w="0" w:type="dxa"/>
              <w:right w:w="57" w:type="dxa"/>
            </w:tcMar>
            <w:vAlign w:val="center"/>
          </w:tcPr>
          <w:p w14:paraId="7FA472DC">
            <w:pPr>
              <w:widowControl/>
              <w:spacing w:line="380" w:lineRule="exact"/>
              <w:jc w:val="center"/>
              <w:rPr>
                <w:rFonts w:ascii="Times New Roman" w:hAnsi="Times New Roman" w:eastAsia="宋体" w:cs="Times New Roman"/>
                <w:b/>
                <w:bCs/>
                <w:color w:val="000000" w:themeColor="text1"/>
                <w:kern w:val="0"/>
                <w:sz w:val="21"/>
                <w:szCs w:val="21"/>
                <w14:textFill>
                  <w14:solidFill>
                    <w14:schemeClr w14:val="tx1"/>
                  </w14:solidFill>
                </w14:textFill>
              </w:rPr>
            </w:pPr>
          </w:p>
        </w:tc>
        <w:tc>
          <w:tcPr>
            <w:tcW w:w="2677" w:type="pct"/>
            <w:noWrap w:val="0"/>
            <w:tcMar>
              <w:top w:w="0" w:type="dxa"/>
              <w:left w:w="57" w:type="dxa"/>
              <w:bottom w:w="0" w:type="dxa"/>
              <w:right w:w="57" w:type="dxa"/>
            </w:tcMar>
            <w:vAlign w:val="center"/>
          </w:tcPr>
          <w:p w14:paraId="1CE251BA">
            <w:pPr>
              <w:widowControl/>
              <w:spacing w:line="380" w:lineRule="exact"/>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厂界下风向村东（</w:t>
            </w: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12</w:t>
            </w:r>
            <w:r>
              <w:rPr>
                <w:rFonts w:ascii="Times New Roman" w:hAnsi="Times New Roman" w:eastAsia="宋体" w:cs="Times New Roman"/>
                <w:b/>
                <w:bCs/>
                <w:color w:val="000000" w:themeColor="text1"/>
                <w:kern w:val="0"/>
                <w:sz w:val="21"/>
                <w:szCs w:val="21"/>
                <w14:textFill>
                  <w14:solidFill>
                    <w14:schemeClr w14:val="tx1"/>
                  </w14:solidFill>
                </w14:textFill>
              </w:rPr>
              <w:t>00m）</w:t>
            </w:r>
          </w:p>
        </w:tc>
      </w:tr>
      <w:tr w14:paraId="3322F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pct"/>
            <w:vMerge w:val="restart"/>
            <w:noWrap w:val="0"/>
            <w:tcMar>
              <w:top w:w="0" w:type="dxa"/>
              <w:left w:w="57" w:type="dxa"/>
              <w:bottom w:w="0" w:type="dxa"/>
              <w:right w:w="57" w:type="dxa"/>
            </w:tcMar>
            <w:vAlign w:val="center"/>
          </w:tcPr>
          <w:p w14:paraId="69A15670">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2026.06.27</w:t>
            </w:r>
          </w:p>
        </w:tc>
        <w:tc>
          <w:tcPr>
            <w:tcW w:w="2677" w:type="pct"/>
            <w:noWrap w:val="0"/>
            <w:tcMar>
              <w:top w:w="0" w:type="dxa"/>
              <w:left w:w="57" w:type="dxa"/>
              <w:bottom w:w="0" w:type="dxa"/>
              <w:right w:w="57" w:type="dxa"/>
            </w:tcMar>
            <w:vAlign w:val="center"/>
          </w:tcPr>
          <w:p w14:paraId="7BE716B0">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0.99</w:t>
            </w:r>
          </w:p>
        </w:tc>
      </w:tr>
      <w:tr w14:paraId="62082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pct"/>
            <w:vMerge w:val="continue"/>
            <w:noWrap w:val="0"/>
            <w:tcMar>
              <w:top w:w="0" w:type="dxa"/>
              <w:left w:w="57" w:type="dxa"/>
              <w:bottom w:w="0" w:type="dxa"/>
              <w:right w:w="57" w:type="dxa"/>
            </w:tcMar>
            <w:vAlign w:val="center"/>
          </w:tcPr>
          <w:p w14:paraId="5130C463">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2677" w:type="pct"/>
            <w:noWrap w:val="0"/>
            <w:tcMar>
              <w:top w:w="0" w:type="dxa"/>
              <w:left w:w="57" w:type="dxa"/>
              <w:bottom w:w="0" w:type="dxa"/>
              <w:right w:w="57" w:type="dxa"/>
            </w:tcMar>
            <w:vAlign w:val="center"/>
          </w:tcPr>
          <w:p w14:paraId="1FC0070E">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0.93</w:t>
            </w:r>
          </w:p>
        </w:tc>
      </w:tr>
      <w:tr w14:paraId="539C6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pct"/>
            <w:vMerge w:val="continue"/>
            <w:noWrap w:val="0"/>
            <w:tcMar>
              <w:top w:w="0" w:type="dxa"/>
              <w:left w:w="57" w:type="dxa"/>
              <w:bottom w:w="0" w:type="dxa"/>
              <w:right w:w="57" w:type="dxa"/>
            </w:tcMar>
            <w:vAlign w:val="center"/>
          </w:tcPr>
          <w:p w14:paraId="489C1761">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2677" w:type="pct"/>
            <w:noWrap w:val="0"/>
            <w:tcMar>
              <w:top w:w="0" w:type="dxa"/>
              <w:left w:w="57" w:type="dxa"/>
              <w:bottom w:w="0" w:type="dxa"/>
              <w:right w:w="57" w:type="dxa"/>
            </w:tcMar>
            <w:vAlign w:val="center"/>
          </w:tcPr>
          <w:p w14:paraId="4E98463E">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0.89</w:t>
            </w:r>
          </w:p>
        </w:tc>
      </w:tr>
      <w:tr w14:paraId="315C6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pct"/>
            <w:vMerge w:val="continue"/>
            <w:noWrap w:val="0"/>
            <w:tcMar>
              <w:top w:w="0" w:type="dxa"/>
              <w:left w:w="57" w:type="dxa"/>
              <w:bottom w:w="0" w:type="dxa"/>
              <w:right w:w="57" w:type="dxa"/>
            </w:tcMar>
            <w:vAlign w:val="center"/>
          </w:tcPr>
          <w:p w14:paraId="34CB50CB">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2677" w:type="pct"/>
            <w:noWrap w:val="0"/>
            <w:tcMar>
              <w:top w:w="0" w:type="dxa"/>
              <w:left w:w="57" w:type="dxa"/>
              <w:bottom w:w="0" w:type="dxa"/>
              <w:right w:w="57" w:type="dxa"/>
            </w:tcMar>
            <w:vAlign w:val="center"/>
          </w:tcPr>
          <w:p w14:paraId="0D99ABB9">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0.86</w:t>
            </w:r>
          </w:p>
        </w:tc>
      </w:tr>
      <w:tr w14:paraId="66C28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pct"/>
            <w:vMerge w:val="restart"/>
            <w:noWrap w:val="0"/>
            <w:tcMar>
              <w:top w:w="0" w:type="dxa"/>
              <w:left w:w="57" w:type="dxa"/>
              <w:bottom w:w="0" w:type="dxa"/>
              <w:right w:w="57" w:type="dxa"/>
            </w:tcMar>
            <w:vAlign w:val="center"/>
          </w:tcPr>
          <w:p w14:paraId="7A939377">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2026.06.28</w:t>
            </w:r>
          </w:p>
        </w:tc>
        <w:tc>
          <w:tcPr>
            <w:tcW w:w="2677" w:type="pct"/>
            <w:noWrap w:val="0"/>
            <w:tcMar>
              <w:top w:w="0" w:type="dxa"/>
              <w:left w:w="57" w:type="dxa"/>
              <w:bottom w:w="0" w:type="dxa"/>
              <w:right w:w="57" w:type="dxa"/>
            </w:tcMar>
            <w:vAlign w:val="center"/>
          </w:tcPr>
          <w:p w14:paraId="62B3DF1E">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0.78</w:t>
            </w:r>
          </w:p>
        </w:tc>
      </w:tr>
      <w:tr w14:paraId="36428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pct"/>
            <w:vMerge w:val="continue"/>
            <w:noWrap w:val="0"/>
            <w:tcMar>
              <w:top w:w="0" w:type="dxa"/>
              <w:left w:w="57" w:type="dxa"/>
              <w:bottom w:w="0" w:type="dxa"/>
              <w:right w:w="57" w:type="dxa"/>
            </w:tcMar>
            <w:vAlign w:val="center"/>
          </w:tcPr>
          <w:p w14:paraId="5D8B826E">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77" w:type="pct"/>
            <w:noWrap w:val="0"/>
            <w:tcMar>
              <w:top w:w="0" w:type="dxa"/>
              <w:left w:w="57" w:type="dxa"/>
              <w:bottom w:w="0" w:type="dxa"/>
              <w:right w:w="57" w:type="dxa"/>
            </w:tcMar>
            <w:vAlign w:val="center"/>
          </w:tcPr>
          <w:p w14:paraId="38908811">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0.87</w:t>
            </w:r>
          </w:p>
        </w:tc>
      </w:tr>
      <w:tr w14:paraId="503BE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pct"/>
            <w:vMerge w:val="continue"/>
            <w:noWrap w:val="0"/>
            <w:tcMar>
              <w:top w:w="0" w:type="dxa"/>
              <w:left w:w="57" w:type="dxa"/>
              <w:bottom w:w="0" w:type="dxa"/>
              <w:right w:w="57" w:type="dxa"/>
            </w:tcMar>
            <w:vAlign w:val="center"/>
          </w:tcPr>
          <w:p w14:paraId="2C966A58">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77" w:type="pct"/>
            <w:noWrap w:val="0"/>
            <w:tcMar>
              <w:top w:w="0" w:type="dxa"/>
              <w:left w:w="57" w:type="dxa"/>
              <w:bottom w:w="0" w:type="dxa"/>
              <w:right w:w="57" w:type="dxa"/>
            </w:tcMar>
            <w:vAlign w:val="center"/>
          </w:tcPr>
          <w:p w14:paraId="0C95F436">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0.75</w:t>
            </w:r>
          </w:p>
        </w:tc>
      </w:tr>
      <w:tr w14:paraId="2ECAE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pct"/>
            <w:vMerge w:val="continue"/>
            <w:noWrap w:val="0"/>
            <w:tcMar>
              <w:top w:w="0" w:type="dxa"/>
              <w:left w:w="57" w:type="dxa"/>
              <w:bottom w:w="0" w:type="dxa"/>
              <w:right w:w="57" w:type="dxa"/>
            </w:tcMar>
            <w:vAlign w:val="center"/>
          </w:tcPr>
          <w:p w14:paraId="46784D2E">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77" w:type="pct"/>
            <w:noWrap w:val="0"/>
            <w:tcMar>
              <w:top w:w="0" w:type="dxa"/>
              <w:left w:w="57" w:type="dxa"/>
              <w:bottom w:w="0" w:type="dxa"/>
              <w:right w:w="57" w:type="dxa"/>
            </w:tcMar>
            <w:vAlign w:val="center"/>
          </w:tcPr>
          <w:p w14:paraId="2F0F2DCC">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0.70</w:t>
            </w:r>
          </w:p>
        </w:tc>
      </w:tr>
      <w:tr w14:paraId="5B20F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22" w:type="pct"/>
            <w:vMerge w:val="restart"/>
            <w:noWrap w:val="0"/>
            <w:tcMar>
              <w:top w:w="0" w:type="dxa"/>
              <w:left w:w="57" w:type="dxa"/>
              <w:bottom w:w="0" w:type="dxa"/>
              <w:right w:w="57" w:type="dxa"/>
            </w:tcMar>
            <w:vAlign w:val="center"/>
          </w:tcPr>
          <w:p w14:paraId="16F09899">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2026.06.29</w:t>
            </w:r>
          </w:p>
        </w:tc>
        <w:tc>
          <w:tcPr>
            <w:tcW w:w="2677" w:type="pct"/>
            <w:noWrap w:val="0"/>
            <w:tcMar>
              <w:top w:w="0" w:type="dxa"/>
              <w:left w:w="57" w:type="dxa"/>
              <w:bottom w:w="0" w:type="dxa"/>
              <w:right w:w="57" w:type="dxa"/>
            </w:tcMar>
            <w:vAlign w:val="center"/>
          </w:tcPr>
          <w:p w14:paraId="6B36ACE0">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0.76</w:t>
            </w:r>
          </w:p>
        </w:tc>
      </w:tr>
      <w:tr w14:paraId="0646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22" w:type="pct"/>
            <w:vMerge w:val="continue"/>
            <w:noWrap w:val="0"/>
            <w:tcMar>
              <w:top w:w="0" w:type="dxa"/>
              <w:left w:w="57" w:type="dxa"/>
              <w:bottom w:w="0" w:type="dxa"/>
              <w:right w:w="57" w:type="dxa"/>
            </w:tcMar>
            <w:vAlign w:val="center"/>
          </w:tcPr>
          <w:p w14:paraId="2ED29471">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77" w:type="pct"/>
            <w:noWrap w:val="0"/>
            <w:tcMar>
              <w:top w:w="0" w:type="dxa"/>
              <w:left w:w="57" w:type="dxa"/>
              <w:bottom w:w="0" w:type="dxa"/>
              <w:right w:w="57" w:type="dxa"/>
            </w:tcMar>
            <w:vAlign w:val="center"/>
          </w:tcPr>
          <w:p w14:paraId="7DDBE9D3">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0.74</w:t>
            </w:r>
          </w:p>
        </w:tc>
      </w:tr>
      <w:tr w14:paraId="1ECAA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22" w:type="pct"/>
            <w:vMerge w:val="continue"/>
            <w:noWrap w:val="0"/>
            <w:tcMar>
              <w:top w:w="0" w:type="dxa"/>
              <w:left w:w="57" w:type="dxa"/>
              <w:bottom w:w="0" w:type="dxa"/>
              <w:right w:w="57" w:type="dxa"/>
            </w:tcMar>
            <w:vAlign w:val="center"/>
          </w:tcPr>
          <w:p w14:paraId="42BE52DC">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77" w:type="pct"/>
            <w:noWrap w:val="0"/>
            <w:tcMar>
              <w:top w:w="0" w:type="dxa"/>
              <w:left w:w="57" w:type="dxa"/>
              <w:bottom w:w="0" w:type="dxa"/>
              <w:right w:w="57" w:type="dxa"/>
            </w:tcMar>
            <w:vAlign w:val="center"/>
          </w:tcPr>
          <w:p w14:paraId="2CC9C231">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0.68</w:t>
            </w:r>
          </w:p>
        </w:tc>
      </w:tr>
      <w:tr w14:paraId="27B06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22" w:type="pct"/>
            <w:vMerge w:val="continue"/>
            <w:noWrap w:val="0"/>
            <w:tcMar>
              <w:top w:w="0" w:type="dxa"/>
              <w:left w:w="57" w:type="dxa"/>
              <w:bottom w:w="0" w:type="dxa"/>
              <w:right w:w="57" w:type="dxa"/>
            </w:tcMar>
            <w:vAlign w:val="center"/>
          </w:tcPr>
          <w:p w14:paraId="1C21F38F">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77" w:type="pct"/>
            <w:noWrap w:val="0"/>
            <w:tcMar>
              <w:top w:w="0" w:type="dxa"/>
              <w:left w:w="57" w:type="dxa"/>
              <w:bottom w:w="0" w:type="dxa"/>
              <w:right w:w="57" w:type="dxa"/>
            </w:tcMar>
            <w:vAlign w:val="center"/>
          </w:tcPr>
          <w:p w14:paraId="4F0EFD20">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0.64</w:t>
            </w:r>
          </w:p>
        </w:tc>
      </w:tr>
      <w:tr w14:paraId="56271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pct"/>
            <w:vMerge w:val="restart"/>
            <w:noWrap w:val="0"/>
            <w:tcMar>
              <w:top w:w="0" w:type="dxa"/>
              <w:left w:w="57" w:type="dxa"/>
              <w:bottom w:w="0" w:type="dxa"/>
              <w:right w:w="57" w:type="dxa"/>
            </w:tcMar>
            <w:vAlign w:val="center"/>
          </w:tcPr>
          <w:p w14:paraId="4A9110DF">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2026.06.30</w:t>
            </w:r>
          </w:p>
        </w:tc>
        <w:tc>
          <w:tcPr>
            <w:tcW w:w="2677" w:type="pct"/>
            <w:noWrap w:val="0"/>
            <w:tcMar>
              <w:top w:w="0" w:type="dxa"/>
              <w:left w:w="57" w:type="dxa"/>
              <w:bottom w:w="0" w:type="dxa"/>
              <w:right w:w="57" w:type="dxa"/>
            </w:tcMar>
            <w:vAlign w:val="center"/>
          </w:tcPr>
          <w:p w14:paraId="60639118">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0.69</w:t>
            </w:r>
          </w:p>
        </w:tc>
      </w:tr>
      <w:tr w14:paraId="7DF68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pct"/>
            <w:vMerge w:val="continue"/>
            <w:noWrap w:val="0"/>
            <w:tcMar>
              <w:top w:w="0" w:type="dxa"/>
              <w:left w:w="57" w:type="dxa"/>
              <w:bottom w:w="0" w:type="dxa"/>
              <w:right w:w="57" w:type="dxa"/>
            </w:tcMar>
            <w:vAlign w:val="center"/>
          </w:tcPr>
          <w:p w14:paraId="5AC4ED5C">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77" w:type="pct"/>
            <w:noWrap w:val="0"/>
            <w:tcMar>
              <w:top w:w="0" w:type="dxa"/>
              <w:left w:w="57" w:type="dxa"/>
              <w:bottom w:w="0" w:type="dxa"/>
              <w:right w:w="57" w:type="dxa"/>
            </w:tcMar>
            <w:vAlign w:val="center"/>
          </w:tcPr>
          <w:p w14:paraId="5A89E814">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0.62</w:t>
            </w:r>
          </w:p>
        </w:tc>
      </w:tr>
      <w:tr w14:paraId="77C9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pct"/>
            <w:vMerge w:val="continue"/>
            <w:noWrap w:val="0"/>
            <w:tcMar>
              <w:top w:w="0" w:type="dxa"/>
              <w:left w:w="57" w:type="dxa"/>
              <w:bottom w:w="0" w:type="dxa"/>
              <w:right w:w="57" w:type="dxa"/>
            </w:tcMar>
            <w:vAlign w:val="center"/>
          </w:tcPr>
          <w:p w14:paraId="368E6334">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77" w:type="pct"/>
            <w:noWrap w:val="0"/>
            <w:tcMar>
              <w:top w:w="0" w:type="dxa"/>
              <w:left w:w="57" w:type="dxa"/>
              <w:bottom w:w="0" w:type="dxa"/>
              <w:right w:w="57" w:type="dxa"/>
            </w:tcMar>
            <w:vAlign w:val="center"/>
          </w:tcPr>
          <w:p w14:paraId="63BF4ADF">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0.56</w:t>
            </w:r>
          </w:p>
        </w:tc>
      </w:tr>
      <w:tr w14:paraId="658F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pct"/>
            <w:vMerge w:val="continue"/>
            <w:noWrap w:val="0"/>
            <w:tcMar>
              <w:top w:w="0" w:type="dxa"/>
              <w:left w:w="57" w:type="dxa"/>
              <w:bottom w:w="0" w:type="dxa"/>
              <w:right w:w="57" w:type="dxa"/>
            </w:tcMar>
            <w:vAlign w:val="center"/>
          </w:tcPr>
          <w:p w14:paraId="766DDB63">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77" w:type="pct"/>
            <w:noWrap w:val="0"/>
            <w:tcMar>
              <w:top w:w="0" w:type="dxa"/>
              <w:left w:w="57" w:type="dxa"/>
              <w:bottom w:w="0" w:type="dxa"/>
              <w:right w:w="57" w:type="dxa"/>
            </w:tcMar>
            <w:vAlign w:val="center"/>
          </w:tcPr>
          <w:p w14:paraId="4FC3377A">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0.55</w:t>
            </w:r>
          </w:p>
        </w:tc>
      </w:tr>
      <w:tr w14:paraId="6A7E1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pct"/>
            <w:vMerge w:val="restart"/>
            <w:noWrap w:val="0"/>
            <w:tcMar>
              <w:top w:w="0" w:type="dxa"/>
              <w:left w:w="57" w:type="dxa"/>
              <w:bottom w:w="0" w:type="dxa"/>
              <w:right w:w="57" w:type="dxa"/>
            </w:tcMar>
            <w:vAlign w:val="center"/>
          </w:tcPr>
          <w:p w14:paraId="4595F167">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2026.07.01</w:t>
            </w:r>
          </w:p>
        </w:tc>
        <w:tc>
          <w:tcPr>
            <w:tcW w:w="2677" w:type="pct"/>
            <w:noWrap w:val="0"/>
            <w:tcMar>
              <w:top w:w="0" w:type="dxa"/>
              <w:left w:w="57" w:type="dxa"/>
              <w:bottom w:w="0" w:type="dxa"/>
              <w:right w:w="57" w:type="dxa"/>
            </w:tcMar>
            <w:vAlign w:val="center"/>
          </w:tcPr>
          <w:p w14:paraId="7B736A56">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0.79</w:t>
            </w:r>
          </w:p>
        </w:tc>
      </w:tr>
      <w:tr w14:paraId="287FB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pct"/>
            <w:vMerge w:val="continue"/>
            <w:noWrap w:val="0"/>
            <w:tcMar>
              <w:top w:w="0" w:type="dxa"/>
              <w:left w:w="57" w:type="dxa"/>
              <w:bottom w:w="0" w:type="dxa"/>
              <w:right w:w="57" w:type="dxa"/>
            </w:tcMar>
            <w:vAlign w:val="center"/>
          </w:tcPr>
          <w:p w14:paraId="12B041CD">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77" w:type="pct"/>
            <w:noWrap w:val="0"/>
            <w:tcMar>
              <w:top w:w="0" w:type="dxa"/>
              <w:left w:w="57" w:type="dxa"/>
              <w:bottom w:w="0" w:type="dxa"/>
              <w:right w:w="57" w:type="dxa"/>
            </w:tcMar>
            <w:vAlign w:val="center"/>
          </w:tcPr>
          <w:p w14:paraId="370E136F">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0.83</w:t>
            </w:r>
          </w:p>
        </w:tc>
      </w:tr>
      <w:tr w14:paraId="3DE30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pct"/>
            <w:vMerge w:val="continue"/>
            <w:noWrap w:val="0"/>
            <w:tcMar>
              <w:top w:w="0" w:type="dxa"/>
              <w:left w:w="57" w:type="dxa"/>
              <w:bottom w:w="0" w:type="dxa"/>
              <w:right w:w="57" w:type="dxa"/>
            </w:tcMar>
            <w:vAlign w:val="center"/>
          </w:tcPr>
          <w:p w14:paraId="49ED2E64">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77" w:type="pct"/>
            <w:noWrap w:val="0"/>
            <w:tcMar>
              <w:top w:w="0" w:type="dxa"/>
              <w:left w:w="57" w:type="dxa"/>
              <w:bottom w:w="0" w:type="dxa"/>
              <w:right w:w="57" w:type="dxa"/>
            </w:tcMar>
            <w:vAlign w:val="center"/>
          </w:tcPr>
          <w:p w14:paraId="065A40ED">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0.72</w:t>
            </w:r>
          </w:p>
        </w:tc>
      </w:tr>
      <w:tr w14:paraId="0DC6D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pct"/>
            <w:vMerge w:val="continue"/>
            <w:noWrap w:val="0"/>
            <w:tcMar>
              <w:top w:w="0" w:type="dxa"/>
              <w:left w:w="57" w:type="dxa"/>
              <w:bottom w:w="0" w:type="dxa"/>
              <w:right w:w="57" w:type="dxa"/>
            </w:tcMar>
            <w:vAlign w:val="center"/>
          </w:tcPr>
          <w:p w14:paraId="19A2B288">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77" w:type="pct"/>
            <w:noWrap w:val="0"/>
            <w:tcMar>
              <w:top w:w="0" w:type="dxa"/>
              <w:left w:w="57" w:type="dxa"/>
              <w:bottom w:w="0" w:type="dxa"/>
              <w:right w:w="57" w:type="dxa"/>
            </w:tcMar>
            <w:vAlign w:val="center"/>
          </w:tcPr>
          <w:p w14:paraId="0A76B03C">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0.74</w:t>
            </w:r>
          </w:p>
        </w:tc>
      </w:tr>
      <w:tr w14:paraId="444B1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pct"/>
            <w:vMerge w:val="restart"/>
            <w:noWrap w:val="0"/>
            <w:tcMar>
              <w:top w:w="0" w:type="dxa"/>
              <w:left w:w="57" w:type="dxa"/>
              <w:bottom w:w="0" w:type="dxa"/>
              <w:right w:w="57" w:type="dxa"/>
            </w:tcMar>
            <w:vAlign w:val="center"/>
          </w:tcPr>
          <w:p w14:paraId="37E3F906">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2026.07.02</w:t>
            </w:r>
          </w:p>
        </w:tc>
        <w:tc>
          <w:tcPr>
            <w:tcW w:w="2677" w:type="pct"/>
            <w:noWrap w:val="0"/>
            <w:tcMar>
              <w:top w:w="0" w:type="dxa"/>
              <w:left w:w="57" w:type="dxa"/>
              <w:bottom w:w="0" w:type="dxa"/>
              <w:right w:w="57" w:type="dxa"/>
            </w:tcMar>
            <w:vAlign w:val="center"/>
          </w:tcPr>
          <w:p w14:paraId="5454697A">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0.86</w:t>
            </w:r>
          </w:p>
        </w:tc>
      </w:tr>
      <w:tr w14:paraId="2EBAD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pct"/>
            <w:vMerge w:val="continue"/>
            <w:noWrap w:val="0"/>
            <w:tcMar>
              <w:top w:w="0" w:type="dxa"/>
              <w:left w:w="57" w:type="dxa"/>
              <w:bottom w:w="0" w:type="dxa"/>
              <w:right w:w="57" w:type="dxa"/>
            </w:tcMar>
            <w:vAlign w:val="center"/>
          </w:tcPr>
          <w:p w14:paraId="5A3F7B90">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77" w:type="pct"/>
            <w:noWrap w:val="0"/>
            <w:tcMar>
              <w:top w:w="0" w:type="dxa"/>
              <w:left w:w="57" w:type="dxa"/>
              <w:bottom w:w="0" w:type="dxa"/>
              <w:right w:w="57" w:type="dxa"/>
            </w:tcMar>
            <w:vAlign w:val="center"/>
          </w:tcPr>
          <w:p w14:paraId="60EB5E25">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0.83</w:t>
            </w:r>
          </w:p>
        </w:tc>
      </w:tr>
      <w:tr w14:paraId="351EA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pct"/>
            <w:vMerge w:val="continue"/>
            <w:noWrap w:val="0"/>
            <w:tcMar>
              <w:top w:w="0" w:type="dxa"/>
              <w:left w:w="57" w:type="dxa"/>
              <w:bottom w:w="0" w:type="dxa"/>
              <w:right w:w="57" w:type="dxa"/>
            </w:tcMar>
            <w:vAlign w:val="center"/>
          </w:tcPr>
          <w:p w14:paraId="54313A49">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77" w:type="pct"/>
            <w:noWrap w:val="0"/>
            <w:tcMar>
              <w:top w:w="0" w:type="dxa"/>
              <w:left w:w="57" w:type="dxa"/>
              <w:bottom w:w="0" w:type="dxa"/>
              <w:right w:w="57" w:type="dxa"/>
            </w:tcMar>
            <w:vAlign w:val="center"/>
          </w:tcPr>
          <w:p w14:paraId="564FAA6E">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0.71</w:t>
            </w:r>
          </w:p>
        </w:tc>
      </w:tr>
      <w:tr w14:paraId="495F2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pct"/>
            <w:vMerge w:val="continue"/>
            <w:noWrap w:val="0"/>
            <w:tcMar>
              <w:top w:w="0" w:type="dxa"/>
              <w:left w:w="57" w:type="dxa"/>
              <w:bottom w:w="0" w:type="dxa"/>
              <w:right w:w="57" w:type="dxa"/>
            </w:tcMar>
            <w:vAlign w:val="center"/>
          </w:tcPr>
          <w:p w14:paraId="40F6A1D0">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77" w:type="pct"/>
            <w:noWrap w:val="0"/>
            <w:tcMar>
              <w:top w:w="0" w:type="dxa"/>
              <w:left w:w="57" w:type="dxa"/>
              <w:bottom w:w="0" w:type="dxa"/>
              <w:right w:w="57" w:type="dxa"/>
            </w:tcMar>
            <w:vAlign w:val="center"/>
          </w:tcPr>
          <w:p w14:paraId="38395543">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0.80</w:t>
            </w:r>
          </w:p>
        </w:tc>
      </w:tr>
      <w:tr w14:paraId="69A0C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22" w:type="pct"/>
            <w:vMerge w:val="restart"/>
            <w:noWrap w:val="0"/>
            <w:tcMar>
              <w:top w:w="0" w:type="dxa"/>
              <w:left w:w="57" w:type="dxa"/>
              <w:bottom w:w="0" w:type="dxa"/>
              <w:right w:w="57" w:type="dxa"/>
            </w:tcMar>
            <w:vAlign w:val="center"/>
          </w:tcPr>
          <w:p w14:paraId="4E352CEA">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2026.07.03</w:t>
            </w:r>
          </w:p>
        </w:tc>
        <w:tc>
          <w:tcPr>
            <w:tcW w:w="2677" w:type="pct"/>
            <w:noWrap w:val="0"/>
            <w:tcMar>
              <w:top w:w="0" w:type="dxa"/>
              <w:left w:w="57" w:type="dxa"/>
              <w:bottom w:w="0" w:type="dxa"/>
              <w:right w:w="57" w:type="dxa"/>
            </w:tcMar>
            <w:vAlign w:val="center"/>
          </w:tcPr>
          <w:p w14:paraId="20AA48BE">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0.90</w:t>
            </w:r>
          </w:p>
        </w:tc>
      </w:tr>
      <w:tr w14:paraId="07EC6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22" w:type="pct"/>
            <w:vMerge w:val="continue"/>
            <w:noWrap w:val="0"/>
            <w:tcMar>
              <w:top w:w="0" w:type="dxa"/>
              <w:left w:w="57" w:type="dxa"/>
              <w:bottom w:w="0" w:type="dxa"/>
              <w:right w:w="57" w:type="dxa"/>
            </w:tcMar>
            <w:vAlign w:val="center"/>
          </w:tcPr>
          <w:p w14:paraId="399E6404">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77" w:type="pct"/>
            <w:noWrap w:val="0"/>
            <w:tcMar>
              <w:top w:w="0" w:type="dxa"/>
              <w:left w:w="57" w:type="dxa"/>
              <w:bottom w:w="0" w:type="dxa"/>
              <w:right w:w="57" w:type="dxa"/>
            </w:tcMar>
            <w:vAlign w:val="center"/>
          </w:tcPr>
          <w:p w14:paraId="5B31EB2A">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0.84</w:t>
            </w:r>
          </w:p>
        </w:tc>
      </w:tr>
      <w:tr w14:paraId="2E6E9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22" w:type="pct"/>
            <w:vMerge w:val="continue"/>
            <w:noWrap w:val="0"/>
            <w:tcMar>
              <w:top w:w="0" w:type="dxa"/>
              <w:left w:w="57" w:type="dxa"/>
              <w:bottom w:w="0" w:type="dxa"/>
              <w:right w:w="57" w:type="dxa"/>
            </w:tcMar>
            <w:vAlign w:val="center"/>
          </w:tcPr>
          <w:p w14:paraId="42DCACCC">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77" w:type="pct"/>
            <w:noWrap w:val="0"/>
            <w:tcMar>
              <w:top w:w="0" w:type="dxa"/>
              <w:left w:w="57" w:type="dxa"/>
              <w:bottom w:w="0" w:type="dxa"/>
              <w:right w:w="57" w:type="dxa"/>
            </w:tcMar>
            <w:vAlign w:val="center"/>
          </w:tcPr>
          <w:p w14:paraId="6C7A2E80">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0.88</w:t>
            </w:r>
          </w:p>
        </w:tc>
      </w:tr>
      <w:tr w14:paraId="7D51A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22" w:type="pct"/>
            <w:vMerge w:val="continue"/>
            <w:noWrap w:val="0"/>
            <w:tcMar>
              <w:top w:w="0" w:type="dxa"/>
              <w:left w:w="57" w:type="dxa"/>
              <w:bottom w:w="0" w:type="dxa"/>
              <w:right w:w="57" w:type="dxa"/>
            </w:tcMar>
            <w:vAlign w:val="center"/>
          </w:tcPr>
          <w:p w14:paraId="7C3629CD">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77" w:type="pct"/>
            <w:noWrap w:val="0"/>
            <w:tcMar>
              <w:top w:w="0" w:type="dxa"/>
              <w:left w:w="57" w:type="dxa"/>
              <w:bottom w:w="0" w:type="dxa"/>
              <w:right w:w="57" w:type="dxa"/>
            </w:tcMar>
            <w:vAlign w:val="center"/>
          </w:tcPr>
          <w:p w14:paraId="05339492">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0.72</w:t>
            </w:r>
          </w:p>
        </w:tc>
      </w:tr>
      <w:tr w14:paraId="447A8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22" w:type="pct"/>
            <w:noWrap w:val="0"/>
            <w:tcMar>
              <w:top w:w="0" w:type="dxa"/>
              <w:left w:w="57" w:type="dxa"/>
              <w:bottom w:w="0" w:type="dxa"/>
              <w:right w:w="57" w:type="dxa"/>
            </w:tcMar>
            <w:vAlign w:val="center"/>
          </w:tcPr>
          <w:p w14:paraId="7196AC9D">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标准值</w:t>
            </w:r>
          </w:p>
        </w:tc>
        <w:tc>
          <w:tcPr>
            <w:tcW w:w="2677" w:type="pct"/>
            <w:noWrap w:val="0"/>
            <w:tcMar>
              <w:top w:w="0" w:type="dxa"/>
              <w:left w:w="57" w:type="dxa"/>
              <w:bottom w:w="0" w:type="dxa"/>
              <w:right w:w="57" w:type="dxa"/>
            </w:tcMar>
            <w:vAlign w:val="center"/>
          </w:tcPr>
          <w:p w14:paraId="663768A6">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2.00</w:t>
            </w:r>
          </w:p>
        </w:tc>
      </w:tr>
      <w:tr w14:paraId="3CC0E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jc w:val="center"/>
        </w:trPr>
        <w:tc>
          <w:tcPr>
            <w:tcW w:w="2322" w:type="pct"/>
            <w:noWrap w:val="0"/>
            <w:tcMar>
              <w:top w:w="0" w:type="dxa"/>
              <w:left w:w="57" w:type="dxa"/>
              <w:bottom w:w="0" w:type="dxa"/>
              <w:right w:w="57" w:type="dxa"/>
            </w:tcMar>
            <w:vAlign w:val="center"/>
          </w:tcPr>
          <w:p w14:paraId="5BD0595A">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达标情况</w:t>
            </w:r>
          </w:p>
        </w:tc>
        <w:tc>
          <w:tcPr>
            <w:tcW w:w="2677" w:type="pct"/>
            <w:noWrap w:val="0"/>
            <w:tcMar>
              <w:top w:w="0" w:type="dxa"/>
              <w:left w:w="57" w:type="dxa"/>
              <w:bottom w:w="0" w:type="dxa"/>
              <w:right w:w="57" w:type="dxa"/>
            </w:tcMar>
            <w:vAlign w:val="center"/>
          </w:tcPr>
          <w:p w14:paraId="7BFF65B4">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达标</w:t>
            </w:r>
          </w:p>
        </w:tc>
      </w:tr>
    </w:tbl>
    <w:p w14:paraId="4197A8F9">
      <w:pPr>
        <w:widowControl/>
        <w:spacing w:line="240" w:lineRule="auto"/>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2B34661E">
      <w:pPr>
        <w:widowControl/>
        <w:spacing w:line="240" w:lineRule="auto"/>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3C8CC3E4">
      <w:pPr>
        <w:widowControl/>
        <w:spacing w:line="240" w:lineRule="auto"/>
        <w:jc w:val="center"/>
        <w:rPr>
          <w:rFonts w:ascii="宋体" w:hAnsi="Courier New" w:eastAsia="宋体" w:cs="Courier New"/>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表</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2.1-3</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甲醛 1小时均值监测结果统计表</w:t>
      </w:r>
    </w:p>
    <w:tbl>
      <w:tblPr>
        <w:tblStyle w:val="31"/>
        <w:tblW w:w="50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02"/>
        <w:gridCol w:w="4885"/>
      </w:tblGrid>
      <w:tr w14:paraId="27373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312" w:type="pct"/>
            <w:vMerge w:val="restart"/>
            <w:noWrap w:val="0"/>
            <w:tcMar>
              <w:top w:w="0" w:type="dxa"/>
              <w:left w:w="57" w:type="dxa"/>
              <w:bottom w:w="0" w:type="dxa"/>
              <w:right w:w="57" w:type="dxa"/>
            </w:tcMar>
            <w:vAlign w:val="center"/>
          </w:tcPr>
          <w:p w14:paraId="0E5E4135">
            <w:pPr>
              <w:widowControl/>
              <w:spacing w:line="380" w:lineRule="exact"/>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监测时间</w:t>
            </w:r>
          </w:p>
        </w:tc>
        <w:tc>
          <w:tcPr>
            <w:tcW w:w="2687" w:type="pct"/>
            <w:noWrap w:val="0"/>
            <w:tcMar>
              <w:top w:w="0" w:type="dxa"/>
              <w:left w:w="57" w:type="dxa"/>
              <w:bottom w:w="0" w:type="dxa"/>
              <w:right w:w="57" w:type="dxa"/>
            </w:tcMar>
            <w:vAlign w:val="center"/>
          </w:tcPr>
          <w:p w14:paraId="6F381E20">
            <w:pPr>
              <w:widowControl w:val="0"/>
              <w:jc w:val="center"/>
              <w:rPr>
                <w:rFonts w:ascii="Times New Roman" w:hAnsi="Times New Roman" w:eastAsia="宋体" w:cs="Times New Roman"/>
                <w:b/>
                <w:bCs/>
                <w:color w:val="000000" w:themeColor="text1"/>
                <w:kern w:val="2"/>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采样点位及监测结果（</w:t>
            </w: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m</w:t>
            </w:r>
            <w:r>
              <w:rPr>
                <w:rFonts w:ascii="Times New Roman" w:hAnsi="Times New Roman" w:eastAsia="宋体" w:cs="Times New Roman"/>
                <w:b/>
                <w:bCs/>
                <w:color w:val="000000" w:themeColor="text1"/>
                <w:kern w:val="0"/>
                <w:sz w:val="21"/>
                <w:szCs w:val="21"/>
                <w14:textFill>
                  <w14:solidFill>
                    <w14:schemeClr w14:val="tx1"/>
                  </w14:solidFill>
                </w14:textFill>
              </w:rPr>
              <w:t>g/m</w:t>
            </w:r>
            <w:r>
              <w:rPr>
                <w:rFonts w:ascii="Times New Roman" w:hAnsi="Times New Roman" w:eastAsia="宋体" w:cs="Times New Roman"/>
                <w:b/>
                <w:bCs/>
                <w:color w:val="000000" w:themeColor="text1"/>
                <w:kern w:val="0"/>
                <w:sz w:val="21"/>
                <w:szCs w:val="21"/>
                <w:vertAlign w:val="superscript"/>
                <w14:textFill>
                  <w14:solidFill>
                    <w14:schemeClr w14:val="tx1"/>
                  </w14:solidFill>
                </w14:textFill>
              </w:rPr>
              <w:t>3</w:t>
            </w:r>
            <w:r>
              <w:rPr>
                <w:rFonts w:ascii="Times New Roman" w:hAnsi="Times New Roman" w:eastAsia="宋体" w:cs="Times New Roman"/>
                <w:b/>
                <w:bCs/>
                <w:color w:val="000000" w:themeColor="text1"/>
                <w:kern w:val="0"/>
                <w:sz w:val="21"/>
                <w:szCs w:val="21"/>
                <w14:textFill>
                  <w14:solidFill>
                    <w14:schemeClr w14:val="tx1"/>
                  </w14:solidFill>
                </w14:textFill>
              </w:rPr>
              <w:t>）</w:t>
            </w:r>
          </w:p>
        </w:tc>
      </w:tr>
      <w:tr w14:paraId="77B98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2" w:type="pct"/>
            <w:vMerge w:val="continue"/>
            <w:noWrap w:val="0"/>
            <w:tcMar>
              <w:top w:w="0" w:type="dxa"/>
              <w:left w:w="57" w:type="dxa"/>
              <w:bottom w:w="0" w:type="dxa"/>
              <w:right w:w="57" w:type="dxa"/>
            </w:tcMar>
            <w:vAlign w:val="center"/>
          </w:tcPr>
          <w:p w14:paraId="1CB63528">
            <w:pPr>
              <w:widowControl/>
              <w:spacing w:line="380" w:lineRule="exact"/>
              <w:jc w:val="center"/>
              <w:rPr>
                <w:rFonts w:ascii="Times New Roman" w:hAnsi="Times New Roman" w:eastAsia="宋体" w:cs="Times New Roman"/>
                <w:b/>
                <w:bCs/>
                <w:color w:val="000000" w:themeColor="text1"/>
                <w:kern w:val="0"/>
                <w:sz w:val="21"/>
                <w:szCs w:val="21"/>
                <w14:textFill>
                  <w14:solidFill>
                    <w14:schemeClr w14:val="tx1"/>
                  </w14:solidFill>
                </w14:textFill>
              </w:rPr>
            </w:pPr>
          </w:p>
        </w:tc>
        <w:tc>
          <w:tcPr>
            <w:tcW w:w="2687" w:type="pct"/>
            <w:noWrap w:val="0"/>
            <w:tcMar>
              <w:top w:w="0" w:type="dxa"/>
              <w:left w:w="57" w:type="dxa"/>
              <w:bottom w:w="0" w:type="dxa"/>
              <w:right w:w="57" w:type="dxa"/>
            </w:tcMar>
            <w:vAlign w:val="center"/>
          </w:tcPr>
          <w:p w14:paraId="00517C4C">
            <w:pPr>
              <w:widowControl/>
              <w:spacing w:line="380" w:lineRule="exact"/>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厂界下风向村东（</w:t>
            </w: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12</w:t>
            </w:r>
            <w:r>
              <w:rPr>
                <w:rFonts w:ascii="Times New Roman" w:hAnsi="Times New Roman" w:eastAsia="宋体" w:cs="Times New Roman"/>
                <w:b/>
                <w:bCs/>
                <w:color w:val="000000" w:themeColor="text1"/>
                <w:kern w:val="0"/>
                <w:sz w:val="21"/>
                <w:szCs w:val="21"/>
                <w14:textFill>
                  <w14:solidFill>
                    <w14:schemeClr w14:val="tx1"/>
                  </w14:solidFill>
                </w14:textFill>
              </w:rPr>
              <w:t>00m）</w:t>
            </w:r>
          </w:p>
        </w:tc>
      </w:tr>
      <w:tr w14:paraId="0C78C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pct"/>
            <w:vMerge w:val="restart"/>
            <w:noWrap w:val="0"/>
            <w:tcMar>
              <w:top w:w="0" w:type="dxa"/>
              <w:left w:w="57" w:type="dxa"/>
              <w:bottom w:w="0" w:type="dxa"/>
              <w:right w:w="57" w:type="dxa"/>
            </w:tcMar>
            <w:vAlign w:val="center"/>
          </w:tcPr>
          <w:p w14:paraId="69B2049A">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2026.06.27</w:t>
            </w:r>
          </w:p>
        </w:tc>
        <w:tc>
          <w:tcPr>
            <w:tcW w:w="2687" w:type="pct"/>
            <w:noWrap w:val="0"/>
            <w:tcMar>
              <w:top w:w="0" w:type="dxa"/>
              <w:left w:w="57" w:type="dxa"/>
              <w:bottom w:w="0" w:type="dxa"/>
              <w:right w:w="57" w:type="dxa"/>
            </w:tcMar>
            <w:vAlign w:val="center"/>
          </w:tcPr>
          <w:p w14:paraId="1C6CF568">
            <w:pPr>
              <w:widowControl/>
              <w:jc w:val="center"/>
              <w:textAlignment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42CAE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pct"/>
            <w:vMerge w:val="continue"/>
            <w:noWrap w:val="0"/>
            <w:tcMar>
              <w:top w:w="0" w:type="dxa"/>
              <w:left w:w="57" w:type="dxa"/>
              <w:bottom w:w="0" w:type="dxa"/>
              <w:right w:w="57" w:type="dxa"/>
            </w:tcMar>
            <w:vAlign w:val="center"/>
          </w:tcPr>
          <w:p w14:paraId="244B19F5">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2687" w:type="pct"/>
            <w:noWrap w:val="0"/>
            <w:tcMar>
              <w:top w:w="0" w:type="dxa"/>
              <w:left w:w="57" w:type="dxa"/>
              <w:bottom w:w="0" w:type="dxa"/>
              <w:right w:w="57" w:type="dxa"/>
            </w:tcMar>
            <w:vAlign w:val="center"/>
          </w:tcPr>
          <w:p w14:paraId="2E63EDA6">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34C4E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pct"/>
            <w:vMerge w:val="continue"/>
            <w:noWrap w:val="0"/>
            <w:tcMar>
              <w:top w:w="0" w:type="dxa"/>
              <w:left w:w="57" w:type="dxa"/>
              <w:bottom w:w="0" w:type="dxa"/>
              <w:right w:w="57" w:type="dxa"/>
            </w:tcMar>
            <w:vAlign w:val="center"/>
          </w:tcPr>
          <w:p w14:paraId="2081581A">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2687" w:type="pct"/>
            <w:shd w:val="clear" w:color="auto" w:fill="auto"/>
            <w:noWrap w:val="0"/>
            <w:tcMar>
              <w:top w:w="0" w:type="dxa"/>
              <w:left w:w="57" w:type="dxa"/>
              <w:bottom w:w="0" w:type="dxa"/>
              <w:right w:w="57" w:type="dxa"/>
            </w:tcMar>
            <w:vAlign w:val="center"/>
          </w:tcPr>
          <w:p w14:paraId="3386546C">
            <w:pPr>
              <w:widowControl/>
              <w:jc w:val="center"/>
              <w:textAlignment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10DB1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pct"/>
            <w:vMerge w:val="continue"/>
            <w:noWrap w:val="0"/>
            <w:tcMar>
              <w:top w:w="0" w:type="dxa"/>
              <w:left w:w="57" w:type="dxa"/>
              <w:bottom w:w="0" w:type="dxa"/>
              <w:right w:w="57" w:type="dxa"/>
            </w:tcMar>
            <w:vAlign w:val="center"/>
          </w:tcPr>
          <w:p w14:paraId="47FA0BAB">
            <w:pPr>
              <w:widowControl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2687" w:type="pct"/>
            <w:shd w:val="clear" w:color="auto" w:fill="auto"/>
            <w:noWrap w:val="0"/>
            <w:tcMar>
              <w:top w:w="0" w:type="dxa"/>
              <w:left w:w="57" w:type="dxa"/>
              <w:bottom w:w="0" w:type="dxa"/>
              <w:right w:w="57" w:type="dxa"/>
            </w:tcMar>
            <w:vAlign w:val="center"/>
          </w:tcPr>
          <w:p w14:paraId="6A5DD049">
            <w:pPr>
              <w:widowControl/>
              <w:jc w:val="center"/>
              <w:textAlignment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0EF89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pct"/>
            <w:vMerge w:val="restart"/>
            <w:noWrap w:val="0"/>
            <w:tcMar>
              <w:top w:w="0" w:type="dxa"/>
              <w:left w:w="57" w:type="dxa"/>
              <w:bottom w:w="0" w:type="dxa"/>
              <w:right w:w="57" w:type="dxa"/>
            </w:tcMar>
            <w:vAlign w:val="center"/>
          </w:tcPr>
          <w:p w14:paraId="43E8C9B4">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2026.06.28</w:t>
            </w:r>
          </w:p>
        </w:tc>
        <w:tc>
          <w:tcPr>
            <w:tcW w:w="2687" w:type="pct"/>
            <w:shd w:val="clear" w:color="auto" w:fill="auto"/>
            <w:noWrap w:val="0"/>
            <w:tcMar>
              <w:top w:w="0" w:type="dxa"/>
              <w:left w:w="57" w:type="dxa"/>
              <w:bottom w:w="0" w:type="dxa"/>
              <w:right w:w="57" w:type="dxa"/>
            </w:tcMar>
            <w:vAlign w:val="center"/>
          </w:tcPr>
          <w:p w14:paraId="65093201">
            <w:pPr>
              <w:widowControl/>
              <w:jc w:val="center"/>
              <w:textAlignment w:val="center"/>
              <w:rPr>
                <w:rFonts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63E0C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pct"/>
            <w:vMerge w:val="continue"/>
            <w:noWrap w:val="0"/>
            <w:tcMar>
              <w:top w:w="0" w:type="dxa"/>
              <w:left w:w="57" w:type="dxa"/>
              <w:bottom w:w="0" w:type="dxa"/>
              <w:right w:w="57" w:type="dxa"/>
            </w:tcMar>
            <w:vAlign w:val="center"/>
          </w:tcPr>
          <w:p w14:paraId="237CDD7B">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87" w:type="pct"/>
            <w:noWrap w:val="0"/>
            <w:tcMar>
              <w:top w:w="0" w:type="dxa"/>
              <w:left w:w="57" w:type="dxa"/>
              <w:bottom w:w="0" w:type="dxa"/>
              <w:right w:w="57" w:type="dxa"/>
            </w:tcMar>
            <w:vAlign w:val="center"/>
          </w:tcPr>
          <w:p w14:paraId="7321EE51">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0FFE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pct"/>
            <w:vMerge w:val="continue"/>
            <w:noWrap w:val="0"/>
            <w:tcMar>
              <w:top w:w="0" w:type="dxa"/>
              <w:left w:w="57" w:type="dxa"/>
              <w:bottom w:w="0" w:type="dxa"/>
              <w:right w:w="57" w:type="dxa"/>
            </w:tcMar>
            <w:vAlign w:val="center"/>
          </w:tcPr>
          <w:p w14:paraId="50BE29FB">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87" w:type="pct"/>
            <w:noWrap w:val="0"/>
            <w:tcMar>
              <w:top w:w="0" w:type="dxa"/>
              <w:left w:w="57" w:type="dxa"/>
              <w:bottom w:w="0" w:type="dxa"/>
              <w:right w:w="57" w:type="dxa"/>
            </w:tcMar>
            <w:vAlign w:val="center"/>
          </w:tcPr>
          <w:p w14:paraId="6B6CD625">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62188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pct"/>
            <w:vMerge w:val="continue"/>
            <w:noWrap w:val="0"/>
            <w:tcMar>
              <w:top w:w="0" w:type="dxa"/>
              <w:left w:w="57" w:type="dxa"/>
              <w:bottom w:w="0" w:type="dxa"/>
              <w:right w:w="57" w:type="dxa"/>
            </w:tcMar>
            <w:vAlign w:val="center"/>
          </w:tcPr>
          <w:p w14:paraId="3B91DC30">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87" w:type="pct"/>
            <w:noWrap w:val="0"/>
            <w:tcMar>
              <w:top w:w="0" w:type="dxa"/>
              <w:left w:w="57" w:type="dxa"/>
              <w:bottom w:w="0" w:type="dxa"/>
              <w:right w:w="57" w:type="dxa"/>
            </w:tcMar>
            <w:vAlign w:val="center"/>
          </w:tcPr>
          <w:p w14:paraId="35081F2F">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1DAD7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2" w:type="pct"/>
            <w:vMerge w:val="restart"/>
            <w:noWrap w:val="0"/>
            <w:tcMar>
              <w:top w:w="0" w:type="dxa"/>
              <w:left w:w="57" w:type="dxa"/>
              <w:bottom w:w="0" w:type="dxa"/>
              <w:right w:w="57" w:type="dxa"/>
            </w:tcMar>
            <w:vAlign w:val="center"/>
          </w:tcPr>
          <w:p w14:paraId="621F1442">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2026.06.29</w:t>
            </w:r>
          </w:p>
        </w:tc>
        <w:tc>
          <w:tcPr>
            <w:tcW w:w="2687" w:type="pct"/>
            <w:noWrap w:val="0"/>
            <w:tcMar>
              <w:top w:w="0" w:type="dxa"/>
              <w:left w:w="57" w:type="dxa"/>
              <w:bottom w:w="0" w:type="dxa"/>
              <w:right w:w="57" w:type="dxa"/>
            </w:tcMar>
            <w:vAlign w:val="center"/>
          </w:tcPr>
          <w:p w14:paraId="350D349E">
            <w:pPr>
              <w:widowControl/>
              <w:jc w:val="center"/>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0BCA3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2" w:type="pct"/>
            <w:vMerge w:val="continue"/>
            <w:noWrap w:val="0"/>
            <w:tcMar>
              <w:top w:w="0" w:type="dxa"/>
              <w:left w:w="57" w:type="dxa"/>
              <w:bottom w:w="0" w:type="dxa"/>
              <w:right w:w="57" w:type="dxa"/>
            </w:tcMar>
            <w:vAlign w:val="center"/>
          </w:tcPr>
          <w:p w14:paraId="5A58383C">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87" w:type="pct"/>
            <w:noWrap w:val="0"/>
            <w:tcMar>
              <w:top w:w="0" w:type="dxa"/>
              <w:left w:w="57" w:type="dxa"/>
              <w:bottom w:w="0" w:type="dxa"/>
              <w:right w:w="57" w:type="dxa"/>
            </w:tcMar>
            <w:vAlign w:val="center"/>
          </w:tcPr>
          <w:p w14:paraId="1F2E7F2A">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06869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2" w:type="pct"/>
            <w:vMerge w:val="continue"/>
            <w:noWrap w:val="0"/>
            <w:tcMar>
              <w:top w:w="0" w:type="dxa"/>
              <w:left w:w="57" w:type="dxa"/>
              <w:bottom w:w="0" w:type="dxa"/>
              <w:right w:w="57" w:type="dxa"/>
            </w:tcMar>
            <w:vAlign w:val="center"/>
          </w:tcPr>
          <w:p w14:paraId="7AABB3E6">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87" w:type="pct"/>
            <w:noWrap w:val="0"/>
            <w:tcMar>
              <w:top w:w="0" w:type="dxa"/>
              <w:left w:w="57" w:type="dxa"/>
              <w:bottom w:w="0" w:type="dxa"/>
              <w:right w:w="57" w:type="dxa"/>
            </w:tcMar>
            <w:vAlign w:val="center"/>
          </w:tcPr>
          <w:p w14:paraId="7D3922B0">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28577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2" w:type="pct"/>
            <w:vMerge w:val="continue"/>
            <w:noWrap w:val="0"/>
            <w:tcMar>
              <w:top w:w="0" w:type="dxa"/>
              <w:left w:w="57" w:type="dxa"/>
              <w:bottom w:w="0" w:type="dxa"/>
              <w:right w:w="57" w:type="dxa"/>
            </w:tcMar>
            <w:vAlign w:val="center"/>
          </w:tcPr>
          <w:p w14:paraId="5CA69291">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87" w:type="pct"/>
            <w:noWrap w:val="0"/>
            <w:tcMar>
              <w:top w:w="0" w:type="dxa"/>
              <w:left w:w="57" w:type="dxa"/>
              <w:bottom w:w="0" w:type="dxa"/>
              <w:right w:w="57" w:type="dxa"/>
            </w:tcMar>
            <w:vAlign w:val="center"/>
          </w:tcPr>
          <w:p w14:paraId="0A435A5D">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3C68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pct"/>
            <w:vMerge w:val="restart"/>
            <w:noWrap w:val="0"/>
            <w:tcMar>
              <w:top w:w="0" w:type="dxa"/>
              <w:left w:w="57" w:type="dxa"/>
              <w:bottom w:w="0" w:type="dxa"/>
              <w:right w:w="57" w:type="dxa"/>
            </w:tcMar>
            <w:vAlign w:val="center"/>
          </w:tcPr>
          <w:p w14:paraId="3EEEB263">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2026.06.30</w:t>
            </w:r>
          </w:p>
        </w:tc>
        <w:tc>
          <w:tcPr>
            <w:tcW w:w="2687" w:type="pct"/>
            <w:noWrap w:val="0"/>
            <w:tcMar>
              <w:top w:w="0" w:type="dxa"/>
              <w:left w:w="57" w:type="dxa"/>
              <w:bottom w:w="0" w:type="dxa"/>
              <w:right w:w="57" w:type="dxa"/>
            </w:tcMar>
            <w:vAlign w:val="center"/>
          </w:tcPr>
          <w:p w14:paraId="3A9247BD">
            <w:pPr>
              <w:widowControl/>
              <w:jc w:val="center"/>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22880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pct"/>
            <w:vMerge w:val="continue"/>
            <w:noWrap w:val="0"/>
            <w:tcMar>
              <w:top w:w="0" w:type="dxa"/>
              <w:left w:w="57" w:type="dxa"/>
              <w:bottom w:w="0" w:type="dxa"/>
              <w:right w:w="57" w:type="dxa"/>
            </w:tcMar>
            <w:vAlign w:val="center"/>
          </w:tcPr>
          <w:p w14:paraId="289D4886">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87" w:type="pct"/>
            <w:noWrap w:val="0"/>
            <w:tcMar>
              <w:top w:w="0" w:type="dxa"/>
              <w:left w:w="57" w:type="dxa"/>
              <w:bottom w:w="0" w:type="dxa"/>
              <w:right w:w="57" w:type="dxa"/>
            </w:tcMar>
            <w:vAlign w:val="center"/>
          </w:tcPr>
          <w:p w14:paraId="079B3946">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1D7C8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pct"/>
            <w:vMerge w:val="continue"/>
            <w:noWrap w:val="0"/>
            <w:tcMar>
              <w:top w:w="0" w:type="dxa"/>
              <w:left w:w="57" w:type="dxa"/>
              <w:bottom w:w="0" w:type="dxa"/>
              <w:right w:w="57" w:type="dxa"/>
            </w:tcMar>
            <w:vAlign w:val="center"/>
          </w:tcPr>
          <w:p w14:paraId="6F1EDC61">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87" w:type="pct"/>
            <w:noWrap w:val="0"/>
            <w:tcMar>
              <w:top w:w="0" w:type="dxa"/>
              <w:left w:w="57" w:type="dxa"/>
              <w:bottom w:w="0" w:type="dxa"/>
              <w:right w:w="57" w:type="dxa"/>
            </w:tcMar>
            <w:vAlign w:val="center"/>
          </w:tcPr>
          <w:p w14:paraId="3CE58F4B">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23180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pct"/>
            <w:vMerge w:val="continue"/>
            <w:noWrap w:val="0"/>
            <w:tcMar>
              <w:top w:w="0" w:type="dxa"/>
              <w:left w:w="57" w:type="dxa"/>
              <w:bottom w:w="0" w:type="dxa"/>
              <w:right w:w="57" w:type="dxa"/>
            </w:tcMar>
            <w:vAlign w:val="center"/>
          </w:tcPr>
          <w:p w14:paraId="63BF0576">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87" w:type="pct"/>
            <w:noWrap w:val="0"/>
            <w:tcMar>
              <w:top w:w="0" w:type="dxa"/>
              <w:left w:w="57" w:type="dxa"/>
              <w:bottom w:w="0" w:type="dxa"/>
              <w:right w:w="57" w:type="dxa"/>
            </w:tcMar>
            <w:vAlign w:val="center"/>
          </w:tcPr>
          <w:p w14:paraId="65612437">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75D01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pct"/>
            <w:vMerge w:val="restart"/>
            <w:noWrap w:val="0"/>
            <w:tcMar>
              <w:top w:w="0" w:type="dxa"/>
              <w:left w:w="57" w:type="dxa"/>
              <w:bottom w:w="0" w:type="dxa"/>
              <w:right w:w="57" w:type="dxa"/>
            </w:tcMar>
            <w:vAlign w:val="center"/>
          </w:tcPr>
          <w:p w14:paraId="0A3C1512">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2026.07.01</w:t>
            </w:r>
          </w:p>
        </w:tc>
        <w:tc>
          <w:tcPr>
            <w:tcW w:w="2687" w:type="pct"/>
            <w:noWrap w:val="0"/>
            <w:tcMar>
              <w:top w:w="0" w:type="dxa"/>
              <w:left w:w="57" w:type="dxa"/>
              <w:bottom w:w="0" w:type="dxa"/>
              <w:right w:w="57" w:type="dxa"/>
            </w:tcMar>
            <w:vAlign w:val="center"/>
          </w:tcPr>
          <w:p w14:paraId="23C0B30B">
            <w:pPr>
              <w:widowControl/>
              <w:jc w:val="center"/>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458F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pct"/>
            <w:vMerge w:val="continue"/>
            <w:noWrap w:val="0"/>
            <w:tcMar>
              <w:top w:w="0" w:type="dxa"/>
              <w:left w:w="57" w:type="dxa"/>
              <w:bottom w:w="0" w:type="dxa"/>
              <w:right w:w="57" w:type="dxa"/>
            </w:tcMar>
            <w:vAlign w:val="center"/>
          </w:tcPr>
          <w:p w14:paraId="7946A594">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87" w:type="pct"/>
            <w:noWrap w:val="0"/>
            <w:tcMar>
              <w:top w:w="0" w:type="dxa"/>
              <w:left w:w="57" w:type="dxa"/>
              <w:bottom w:w="0" w:type="dxa"/>
              <w:right w:w="57" w:type="dxa"/>
            </w:tcMar>
            <w:vAlign w:val="center"/>
          </w:tcPr>
          <w:p w14:paraId="67E52632">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206D0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pct"/>
            <w:vMerge w:val="continue"/>
            <w:noWrap w:val="0"/>
            <w:tcMar>
              <w:top w:w="0" w:type="dxa"/>
              <w:left w:w="57" w:type="dxa"/>
              <w:bottom w:w="0" w:type="dxa"/>
              <w:right w:w="57" w:type="dxa"/>
            </w:tcMar>
            <w:vAlign w:val="center"/>
          </w:tcPr>
          <w:p w14:paraId="3DE07095">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87" w:type="pct"/>
            <w:noWrap w:val="0"/>
            <w:tcMar>
              <w:top w:w="0" w:type="dxa"/>
              <w:left w:w="57" w:type="dxa"/>
              <w:bottom w:w="0" w:type="dxa"/>
              <w:right w:w="57" w:type="dxa"/>
            </w:tcMar>
            <w:vAlign w:val="center"/>
          </w:tcPr>
          <w:p w14:paraId="2C386D5A">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092E4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pct"/>
            <w:vMerge w:val="continue"/>
            <w:noWrap w:val="0"/>
            <w:tcMar>
              <w:top w:w="0" w:type="dxa"/>
              <w:left w:w="57" w:type="dxa"/>
              <w:bottom w:w="0" w:type="dxa"/>
              <w:right w:w="57" w:type="dxa"/>
            </w:tcMar>
            <w:vAlign w:val="center"/>
          </w:tcPr>
          <w:p w14:paraId="65B643C5">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87" w:type="pct"/>
            <w:noWrap w:val="0"/>
            <w:tcMar>
              <w:top w:w="0" w:type="dxa"/>
              <w:left w:w="57" w:type="dxa"/>
              <w:bottom w:w="0" w:type="dxa"/>
              <w:right w:w="57" w:type="dxa"/>
            </w:tcMar>
            <w:vAlign w:val="center"/>
          </w:tcPr>
          <w:p w14:paraId="647B8F87">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76E2F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pct"/>
            <w:vMerge w:val="restart"/>
            <w:noWrap w:val="0"/>
            <w:tcMar>
              <w:top w:w="0" w:type="dxa"/>
              <w:left w:w="57" w:type="dxa"/>
              <w:bottom w:w="0" w:type="dxa"/>
              <w:right w:w="57" w:type="dxa"/>
            </w:tcMar>
            <w:vAlign w:val="center"/>
          </w:tcPr>
          <w:p w14:paraId="5418438D">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2026.07.02</w:t>
            </w:r>
          </w:p>
        </w:tc>
        <w:tc>
          <w:tcPr>
            <w:tcW w:w="2687" w:type="pct"/>
            <w:noWrap w:val="0"/>
            <w:tcMar>
              <w:top w:w="0" w:type="dxa"/>
              <w:left w:w="57" w:type="dxa"/>
              <w:bottom w:w="0" w:type="dxa"/>
              <w:right w:w="57" w:type="dxa"/>
            </w:tcMar>
            <w:vAlign w:val="center"/>
          </w:tcPr>
          <w:p w14:paraId="2FF6A233">
            <w:pPr>
              <w:widowControl/>
              <w:jc w:val="center"/>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2B2CE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pct"/>
            <w:vMerge w:val="continue"/>
            <w:noWrap w:val="0"/>
            <w:tcMar>
              <w:top w:w="0" w:type="dxa"/>
              <w:left w:w="57" w:type="dxa"/>
              <w:bottom w:w="0" w:type="dxa"/>
              <w:right w:w="57" w:type="dxa"/>
            </w:tcMar>
            <w:vAlign w:val="center"/>
          </w:tcPr>
          <w:p w14:paraId="6D38A334">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87" w:type="pct"/>
            <w:noWrap w:val="0"/>
            <w:tcMar>
              <w:top w:w="0" w:type="dxa"/>
              <w:left w:w="57" w:type="dxa"/>
              <w:bottom w:w="0" w:type="dxa"/>
              <w:right w:w="57" w:type="dxa"/>
            </w:tcMar>
            <w:vAlign w:val="center"/>
          </w:tcPr>
          <w:p w14:paraId="7800199C">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09A5C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pct"/>
            <w:vMerge w:val="continue"/>
            <w:noWrap w:val="0"/>
            <w:tcMar>
              <w:top w:w="0" w:type="dxa"/>
              <w:left w:w="57" w:type="dxa"/>
              <w:bottom w:w="0" w:type="dxa"/>
              <w:right w:w="57" w:type="dxa"/>
            </w:tcMar>
            <w:vAlign w:val="center"/>
          </w:tcPr>
          <w:p w14:paraId="195C73DD">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87" w:type="pct"/>
            <w:noWrap w:val="0"/>
            <w:tcMar>
              <w:top w:w="0" w:type="dxa"/>
              <w:left w:w="57" w:type="dxa"/>
              <w:bottom w:w="0" w:type="dxa"/>
              <w:right w:w="57" w:type="dxa"/>
            </w:tcMar>
            <w:vAlign w:val="center"/>
          </w:tcPr>
          <w:p w14:paraId="6CE9ECDE">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708D7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2" w:type="pct"/>
            <w:vMerge w:val="continue"/>
            <w:noWrap w:val="0"/>
            <w:tcMar>
              <w:top w:w="0" w:type="dxa"/>
              <w:left w:w="57" w:type="dxa"/>
              <w:bottom w:w="0" w:type="dxa"/>
              <w:right w:w="57" w:type="dxa"/>
            </w:tcMar>
            <w:vAlign w:val="center"/>
          </w:tcPr>
          <w:p w14:paraId="6FC9B304">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87" w:type="pct"/>
            <w:noWrap w:val="0"/>
            <w:tcMar>
              <w:top w:w="0" w:type="dxa"/>
              <w:left w:w="57" w:type="dxa"/>
              <w:bottom w:w="0" w:type="dxa"/>
              <w:right w:w="57" w:type="dxa"/>
            </w:tcMar>
            <w:vAlign w:val="center"/>
          </w:tcPr>
          <w:p w14:paraId="0F6E57F7">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626E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2" w:type="pct"/>
            <w:vMerge w:val="restart"/>
            <w:noWrap w:val="0"/>
            <w:tcMar>
              <w:top w:w="0" w:type="dxa"/>
              <w:left w:w="57" w:type="dxa"/>
              <w:bottom w:w="0" w:type="dxa"/>
              <w:right w:w="57" w:type="dxa"/>
            </w:tcMar>
            <w:vAlign w:val="center"/>
          </w:tcPr>
          <w:p w14:paraId="42A2E19A">
            <w:pPr>
              <w:widowControl w:val="0"/>
              <w:autoSpaceDE w:val="0"/>
              <w:autoSpaceDN w:val="0"/>
              <w:adjustRightIn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2026.07.03</w:t>
            </w:r>
          </w:p>
        </w:tc>
        <w:tc>
          <w:tcPr>
            <w:tcW w:w="2687" w:type="pct"/>
            <w:noWrap w:val="0"/>
            <w:tcMar>
              <w:top w:w="0" w:type="dxa"/>
              <w:left w:w="57" w:type="dxa"/>
              <w:bottom w:w="0" w:type="dxa"/>
              <w:right w:w="57" w:type="dxa"/>
            </w:tcMar>
            <w:vAlign w:val="center"/>
          </w:tcPr>
          <w:p w14:paraId="5248358B">
            <w:pPr>
              <w:widowControl/>
              <w:jc w:val="center"/>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07AA1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2" w:type="pct"/>
            <w:vMerge w:val="continue"/>
            <w:noWrap w:val="0"/>
            <w:tcMar>
              <w:top w:w="0" w:type="dxa"/>
              <w:left w:w="57" w:type="dxa"/>
              <w:bottom w:w="0" w:type="dxa"/>
              <w:right w:w="57" w:type="dxa"/>
            </w:tcMar>
            <w:vAlign w:val="center"/>
          </w:tcPr>
          <w:p w14:paraId="106838C6">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87" w:type="pct"/>
            <w:noWrap w:val="0"/>
            <w:tcMar>
              <w:top w:w="0" w:type="dxa"/>
              <w:left w:w="57" w:type="dxa"/>
              <w:bottom w:w="0" w:type="dxa"/>
              <w:right w:w="57" w:type="dxa"/>
            </w:tcMar>
            <w:vAlign w:val="center"/>
          </w:tcPr>
          <w:p w14:paraId="5DA8D5E5">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4F137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2" w:type="pct"/>
            <w:vMerge w:val="continue"/>
            <w:noWrap w:val="0"/>
            <w:tcMar>
              <w:top w:w="0" w:type="dxa"/>
              <w:left w:w="57" w:type="dxa"/>
              <w:bottom w:w="0" w:type="dxa"/>
              <w:right w:w="57" w:type="dxa"/>
            </w:tcMar>
            <w:vAlign w:val="center"/>
          </w:tcPr>
          <w:p w14:paraId="6955A584">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87" w:type="pct"/>
            <w:noWrap w:val="0"/>
            <w:tcMar>
              <w:top w:w="0" w:type="dxa"/>
              <w:left w:w="57" w:type="dxa"/>
              <w:bottom w:w="0" w:type="dxa"/>
              <w:right w:w="57" w:type="dxa"/>
            </w:tcMar>
            <w:vAlign w:val="center"/>
          </w:tcPr>
          <w:p w14:paraId="65CC895C">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11B70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2" w:type="pct"/>
            <w:vMerge w:val="continue"/>
            <w:noWrap w:val="0"/>
            <w:tcMar>
              <w:top w:w="0" w:type="dxa"/>
              <w:left w:w="57" w:type="dxa"/>
              <w:bottom w:w="0" w:type="dxa"/>
              <w:right w:w="57" w:type="dxa"/>
            </w:tcMar>
            <w:vAlign w:val="center"/>
          </w:tcPr>
          <w:p w14:paraId="55FCF9D0">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2687" w:type="pct"/>
            <w:noWrap w:val="0"/>
            <w:tcMar>
              <w:top w:w="0" w:type="dxa"/>
              <w:left w:w="57" w:type="dxa"/>
              <w:bottom w:w="0" w:type="dxa"/>
              <w:right w:w="57" w:type="dxa"/>
            </w:tcMar>
            <w:vAlign w:val="center"/>
          </w:tcPr>
          <w:p w14:paraId="741439D4">
            <w:pPr>
              <w:widowControl/>
              <w:jc w:val="center"/>
              <w:textAlignment w:val="center"/>
              <w:rPr>
                <w:rFonts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ND</w:t>
            </w:r>
          </w:p>
        </w:tc>
      </w:tr>
      <w:tr w14:paraId="421D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2" w:type="pct"/>
            <w:noWrap w:val="0"/>
            <w:tcMar>
              <w:top w:w="0" w:type="dxa"/>
              <w:left w:w="57" w:type="dxa"/>
              <w:bottom w:w="0" w:type="dxa"/>
              <w:right w:w="57" w:type="dxa"/>
            </w:tcMar>
            <w:vAlign w:val="center"/>
          </w:tcPr>
          <w:p w14:paraId="3C522641">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标准值</w:t>
            </w:r>
          </w:p>
        </w:tc>
        <w:tc>
          <w:tcPr>
            <w:tcW w:w="2687" w:type="pct"/>
            <w:noWrap w:val="0"/>
            <w:tcMar>
              <w:top w:w="0" w:type="dxa"/>
              <w:left w:w="57" w:type="dxa"/>
              <w:bottom w:w="0" w:type="dxa"/>
              <w:right w:w="57" w:type="dxa"/>
            </w:tcMar>
            <w:vAlign w:val="center"/>
          </w:tcPr>
          <w:p w14:paraId="4BED4C3E">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0.0</w:t>
            </w:r>
            <w:r>
              <w:rPr>
                <w:rFonts w:hint="eastAsia" w:ascii="Times New Roman" w:hAnsi="Times New Roman" w:eastAsia="宋体" w:cs="Times New Roman"/>
                <w:color w:val="000000" w:themeColor="text1"/>
                <w:kern w:val="0"/>
                <w:sz w:val="21"/>
                <w:szCs w:val="21"/>
                <w14:textFill>
                  <w14:solidFill>
                    <w14:schemeClr w14:val="tx1"/>
                  </w14:solidFill>
                </w14:textFill>
              </w:rPr>
              <w:t>5</w:t>
            </w:r>
          </w:p>
        </w:tc>
      </w:tr>
      <w:tr w14:paraId="72398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jc w:val="center"/>
        </w:trPr>
        <w:tc>
          <w:tcPr>
            <w:tcW w:w="2312" w:type="pct"/>
            <w:noWrap w:val="0"/>
            <w:tcMar>
              <w:top w:w="0" w:type="dxa"/>
              <w:left w:w="57" w:type="dxa"/>
              <w:bottom w:w="0" w:type="dxa"/>
              <w:right w:w="57" w:type="dxa"/>
            </w:tcMar>
            <w:vAlign w:val="center"/>
          </w:tcPr>
          <w:p w14:paraId="7E7DE404">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达标情况</w:t>
            </w:r>
          </w:p>
        </w:tc>
        <w:tc>
          <w:tcPr>
            <w:tcW w:w="2687" w:type="pct"/>
            <w:noWrap w:val="0"/>
            <w:tcMar>
              <w:top w:w="0" w:type="dxa"/>
              <w:left w:w="57" w:type="dxa"/>
              <w:bottom w:w="0" w:type="dxa"/>
              <w:right w:w="57" w:type="dxa"/>
            </w:tcMar>
            <w:vAlign w:val="center"/>
          </w:tcPr>
          <w:p w14:paraId="743BF3DC">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达标</w:t>
            </w:r>
          </w:p>
        </w:tc>
      </w:tr>
      <w:tr w14:paraId="4135B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jc w:val="center"/>
        </w:trPr>
        <w:tc>
          <w:tcPr>
            <w:tcW w:w="5000" w:type="pct"/>
            <w:gridSpan w:val="2"/>
            <w:noWrap w:val="0"/>
            <w:tcMar>
              <w:top w:w="0" w:type="dxa"/>
              <w:left w:w="57" w:type="dxa"/>
              <w:bottom w:w="0" w:type="dxa"/>
              <w:right w:w="57" w:type="dxa"/>
            </w:tcMar>
            <w:vAlign w:val="center"/>
          </w:tcPr>
          <w:p w14:paraId="23AA5083">
            <w:pPr>
              <w:widowControl/>
              <w:jc w:val="left"/>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注：</w:t>
            </w:r>
            <w:r>
              <w:rPr>
                <w:rFonts w:hint="eastAsia" w:cs="Times New Roman"/>
                <w:color w:val="000000" w:themeColor="text1"/>
                <w:kern w:val="0"/>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ND</w:t>
            </w:r>
            <w:r>
              <w:rPr>
                <w:rFonts w:hint="eastAsia" w:cs="Times New Roman"/>
                <w:color w:val="000000" w:themeColor="text1"/>
                <w:kern w:val="0"/>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表明未检出</w:t>
            </w:r>
          </w:p>
        </w:tc>
      </w:tr>
    </w:tbl>
    <w:p w14:paraId="064A56AF">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（2）评价标准及结论</w:t>
      </w:r>
    </w:p>
    <w:p w14:paraId="19B0E654">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采用单因子指数法进行环境空气质量现状评价。单因子指数法的数学表达式为：</w:t>
      </w:r>
    </w:p>
    <w:p w14:paraId="0DBC7C7C">
      <w:pPr>
        <w:pStyle w:val="79"/>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i/>
          <w:iCs/>
          <w:color w:val="000000" w:themeColor="text1"/>
          <w:lang w:val="en-US" w:eastAsia="zh-CN"/>
          <w14:textFill>
            <w14:solidFill>
              <w14:schemeClr w14:val="tx1"/>
            </w14:solidFill>
          </w14:textFill>
        </w:rPr>
      </w:pPr>
      <w:r>
        <w:rPr>
          <w:rFonts w:hint="default"/>
          <w:i/>
          <w:iCs/>
          <w:color w:val="000000" w:themeColor="text1"/>
          <w:lang w:val="en-US" w:eastAsia="zh-CN"/>
          <w14:textFill>
            <w14:solidFill>
              <w14:schemeClr w14:val="tx1"/>
            </w14:solidFill>
          </w14:textFill>
        </w:rPr>
        <w:t>P</w:t>
      </w:r>
      <w:r>
        <w:rPr>
          <w:rFonts w:hint="default"/>
          <w:i/>
          <w:iCs/>
          <w:color w:val="000000" w:themeColor="text1"/>
          <w:vertAlign w:val="subscript"/>
          <w:lang w:val="en-US" w:eastAsia="zh-CN"/>
          <w14:textFill>
            <w14:solidFill>
              <w14:schemeClr w14:val="tx1"/>
            </w14:solidFill>
          </w14:textFill>
        </w:rPr>
        <w:t>i</w:t>
      </w:r>
      <w:r>
        <w:rPr>
          <w:rFonts w:hint="default"/>
          <w:i/>
          <w:iCs/>
          <w:color w:val="000000" w:themeColor="text1"/>
          <w:lang w:val="en-US" w:eastAsia="zh-CN"/>
          <w14:textFill>
            <w14:solidFill>
              <w14:schemeClr w14:val="tx1"/>
            </w14:solidFill>
          </w14:textFill>
        </w:rPr>
        <w:t>=C</w:t>
      </w:r>
      <w:r>
        <w:rPr>
          <w:rFonts w:hint="default"/>
          <w:i/>
          <w:iCs/>
          <w:color w:val="000000" w:themeColor="text1"/>
          <w:vertAlign w:val="subscript"/>
          <w:lang w:val="en-US" w:eastAsia="zh-CN"/>
          <w14:textFill>
            <w14:solidFill>
              <w14:schemeClr w14:val="tx1"/>
            </w14:solidFill>
          </w14:textFill>
        </w:rPr>
        <w:t>i</w:t>
      </w:r>
      <w:r>
        <w:rPr>
          <w:rFonts w:hint="default"/>
          <w:i/>
          <w:iCs/>
          <w:color w:val="000000" w:themeColor="text1"/>
          <w:lang w:val="en-US" w:eastAsia="zh-CN"/>
          <w14:textFill>
            <w14:solidFill>
              <w14:schemeClr w14:val="tx1"/>
            </w14:solidFill>
          </w14:textFill>
        </w:rPr>
        <w:t>/S</w:t>
      </w:r>
      <w:r>
        <w:rPr>
          <w:rFonts w:hint="default"/>
          <w:i/>
          <w:iCs/>
          <w:color w:val="000000" w:themeColor="text1"/>
          <w:vertAlign w:val="subscript"/>
          <w:lang w:val="en-US" w:eastAsia="zh-CN"/>
          <w14:textFill>
            <w14:solidFill>
              <w14:schemeClr w14:val="tx1"/>
            </w14:solidFill>
          </w14:textFill>
        </w:rPr>
        <w:t>i</w:t>
      </w:r>
    </w:p>
    <w:p w14:paraId="43411E4A">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式中：P</w:t>
      </w:r>
      <w:r>
        <w:rPr>
          <w:rFonts w:hint="default"/>
          <w:color w:val="000000" w:themeColor="text1"/>
          <w:vertAlign w:val="subscript"/>
          <w:lang w:val="en-US" w:eastAsia="zh-CN"/>
          <w14:textFill>
            <w14:solidFill>
              <w14:schemeClr w14:val="tx1"/>
            </w14:solidFill>
          </w14:textFill>
        </w:rPr>
        <w:t>i</w:t>
      </w:r>
      <w:r>
        <w:rPr>
          <w:rFonts w:hint="default"/>
          <w:color w:val="000000" w:themeColor="text1"/>
          <w:lang w:val="en-US" w:eastAsia="zh-CN"/>
          <w14:textFill>
            <w14:solidFill>
              <w14:schemeClr w14:val="tx1"/>
            </w14:solidFill>
          </w14:textFill>
        </w:rPr>
        <w:t>—某污染物i的单因子标准指数；</w:t>
      </w:r>
    </w:p>
    <w:p w14:paraId="4B3D41C8">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 xml:space="preserve">      C</w:t>
      </w:r>
      <w:r>
        <w:rPr>
          <w:rFonts w:hint="default"/>
          <w:color w:val="000000" w:themeColor="text1"/>
          <w:vertAlign w:val="subscript"/>
          <w:lang w:val="en-US" w:eastAsia="zh-CN"/>
          <w14:textFill>
            <w14:solidFill>
              <w14:schemeClr w14:val="tx1"/>
            </w14:solidFill>
          </w14:textFill>
        </w:rPr>
        <w:t>i—i</w:t>
      </w:r>
      <w:r>
        <w:rPr>
          <w:rFonts w:hint="default"/>
          <w:color w:val="000000" w:themeColor="text1"/>
          <w:lang w:val="en-US" w:eastAsia="zh-CN"/>
          <w14:textFill>
            <w14:solidFill>
              <w14:schemeClr w14:val="tx1"/>
            </w14:solidFill>
          </w14:textFill>
        </w:rPr>
        <w:t>污染物的监测浓度值；</w:t>
      </w:r>
    </w:p>
    <w:p w14:paraId="05EACE2F">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 xml:space="preserve">      S</w:t>
      </w:r>
      <w:r>
        <w:rPr>
          <w:rFonts w:hint="default"/>
          <w:color w:val="000000" w:themeColor="text1"/>
          <w:vertAlign w:val="subscript"/>
          <w:lang w:val="en-US" w:eastAsia="zh-CN"/>
          <w14:textFill>
            <w14:solidFill>
              <w14:schemeClr w14:val="tx1"/>
            </w14:solidFill>
          </w14:textFill>
        </w:rPr>
        <w:t>i—i</w:t>
      </w:r>
      <w:r>
        <w:rPr>
          <w:rFonts w:hint="default"/>
          <w:color w:val="000000" w:themeColor="text1"/>
          <w:lang w:val="en-US" w:eastAsia="zh-CN"/>
          <w14:textFill>
            <w14:solidFill>
              <w14:schemeClr w14:val="tx1"/>
            </w14:solidFill>
          </w14:textFill>
        </w:rPr>
        <w:t>污染物相应的环境质量标准值。</w:t>
      </w:r>
    </w:p>
    <w:p w14:paraId="019209C9">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各监测项目的环境监测结果标准指数列于表</w:t>
      </w: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w:t>
      </w:r>
    </w:p>
    <w:p w14:paraId="13B6D1E8">
      <w:pPr>
        <w:widowControl/>
        <w:jc w:val="center"/>
        <w:rPr>
          <w:rFonts w:ascii="Times New Roman" w:hAnsi="Times New Roman" w:eastAsia="宋体" w:cs="Times New Roman"/>
          <w:b/>
          <w:color w:val="000000" w:themeColor="text1"/>
          <w:kern w:val="2"/>
          <w:sz w:val="21"/>
          <w:szCs w:val="21"/>
          <w14:textFill>
            <w14:solidFill>
              <w14:schemeClr w14:val="tx1"/>
            </w14:solidFill>
          </w14:textFill>
        </w:rPr>
      </w:pPr>
      <w:r>
        <w:rPr>
          <w:rFonts w:ascii="Times New Roman" w:hAnsi="Times New Roman" w:eastAsia="宋体" w:cs="Times New Roman"/>
          <w:b/>
          <w:color w:val="000000" w:themeColor="text1"/>
          <w:kern w:val="2"/>
          <w:sz w:val="21"/>
          <w:szCs w:val="21"/>
          <w14:textFill>
            <w14:solidFill>
              <w14:schemeClr w14:val="tx1"/>
            </w14:solidFill>
          </w14:textFill>
        </w:rPr>
        <w:t>表</w:t>
      </w:r>
      <w:r>
        <w:rPr>
          <w:rFonts w:hint="eastAsia" w:ascii="Times New Roman" w:hAnsi="Times New Roman" w:eastAsia="宋体" w:cs="Times New Roman"/>
          <w:b/>
          <w:color w:val="000000" w:themeColor="text1"/>
          <w:kern w:val="2"/>
          <w:sz w:val="21"/>
          <w:szCs w:val="21"/>
          <w:lang w:val="en-US" w:eastAsia="zh-CN"/>
          <w14:textFill>
            <w14:solidFill>
              <w14:schemeClr w14:val="tx1"/>
            </w14:solidFill>
          </w14:textFill>
        </w:rPr>
        <w:t>2</w:t>
      </w:r>
      <w:r>
        <w:rPr>
          <w:rFonts w:ascii="Times New Roman" w:hAnsi="Times New Roman" w:eastAsia="宋体" w:cs="Times New Roman"/>
          <w:b/>
          <w:color w:val="000000" w:themeColor="text1"/>
          <w:kern w:val="2"/>
          <w:sz w:val="21"/>
          <w:szCs w:val="21"/>
          <w14:textFill>
            <w14:solidFill>
              <w14:schemeClr w14:val="tx1"/>
            </w14:solidFill>
          </w14:textFill>
        </w:rPr>
        <w:t>.</w:t>
      </w:r>
      <w:r>
        <w:rPr>
          <w:rFonts w:hint="eastAsia" w:ascii="Times New Roman" w:hAnsi="Times New Roman" w:eastAsia="宋体" w:cs="Times New Roman"/>
          <w:b/>
          <w:color w:val="000000" w:themeColor="text1"/>
          <w:kern w:val="2"/>
          <w:sz w:val="21"/>
          <w:szCs w:val="21"/>
          <w:lang w:val="en-US" w:eastAsia="zh-CN"/>
          <w14:textFill>
            <w14:solidFill>
              <w14:schemeClr w14:val="tx1"/>
            </w14:solidFill>
          </w14:textFill>
        </w:rPr>
        <w:t>1</w:t>
      </w:r>
      <w:r>
        <w:rPr>
          <w:rFonts w:ascii="Times New Roman" w:hAnsi="Times New Roman" w:eastAsia="宋体" w:cs="Times New Roman"/>
          <w:b/>
          <w:color w:val="000000" w:themeColor="text1"/>
          <w:kern w:val="2"/>
          <w:sz w:val="21"/>
          <w:szCs w:val="21"/>
          <w14:textFill>
            <w14:solidFill>
              <w14:schemeClr w14:val="tx1"/>
            </w14:solidFill>
          </w14:textFill>
        </w:rPr>
        <w:t>-</w:t>
      </w:r>
      <w:r>
        <w:rPr>
          <w:rFonts w:hint="eastAsia" w:ascii="Times New Roman" w:hAnsi="Times New Roman" w:eastAsia="宋体" w:cs="Times New Roman"/>
          <w:b/>
          <w:color w:val="000000" w:themeColor="text1"/>
          <w:kern w:val="2"/>
          <w:sz w:val="21"/>
          <w:szCs w:val="21"/>
          <w:lang w:val="en-US" w:eastAsia="zh-CN"/>
          <w14:textFill>
            <w14:solidFill>
              <w14:schemeClr w14:val="tx1"/>
            </w14:solidFill>
          </w14:textFill>
        </w:rPr>
        <w:t>4</w:t>
      </w:r>
      <w:r>
        <w:rPr>
          <w:rFonts w:ascii="Times New Roman" w:hAnsi="Times New Roman" w:eastAsia="宋体" w:cs="Times New Roman"/>
          <w:b/>
          <w:color w:val="000000" w:themeColor="text1"/>
          <w:kern w:val="2"/>
          <w:sz w:val="21"/>
          <w:szCs w:val="21"/>
          <w14:textFill>
            <w14:solidFill>
              <w14:schemeClr w14:val="tx1"/>
            </w14:solidFill>
          </w14:textFill>
        </w:rPr>
        <w:t xml:space="preserve"> 现状评价结果</w:t>
      </w:r>
    </w:p>
    <w:tbl>
      <w:tblPr>
        <w:tblStyle w:val="3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793"/>
        <w:gridCol w:w="750"/>
        <w:gridCol w:w="878"/>
        <w:gridCol w:w="675"/>
        <w:gridCol w:w="815"/>
        <w:gridCol w:w="1360"/>
        <w:gridCol w:w="1275"/>
        <w:gridCol w:w="943"/>
        <w:gridCol w:w="790"/>
      </w:tblGrid>
      <w:tr w14:paraId="7D74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28" w:type="pct"/>
            <w:vMerge w:val="restart"/>
            <w:noWrap w:val="0"/>
            <w:vAlign w:val="center"/>
          </w:tcPr>
          <w:p w14:paraId="44112735">
            <w:pPr>
              <w:spacing w:after="0" w:line="240" w:lineRule="auto"/>
              <w:ind w:left="0" w:firstLine="0" w:firstLineChars="0"/>
              <w:jc w:val="center"/>
              <w:rPr>
                <w:rFonts w:ascii="Times New Roman" w:hAnsi="Times New Roman" w:eastAsia="宋体" w:cs="Times New Roman"/>
                <w:b/>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bidi="ar-SA"/>
                <w14:textFill>
                  <w14:solidFill>
                    <w14:schemeClr w14:val="tx1"/>
                  </w14:solidFill>
                </w14:textFill>
              </w:rPr>
              <w:t>监测点位</w:t>
            </w:r>
          </w:p>
        </w:tc>
        <w:tc>
          <w:tcPr>
            <w:tcW w:w="852" w:type="pct"/>
            <w:gridSpan w:val="2"/>
            <w:noWrap w:val="0"/>
            <w:vAlign w:val="center"/>
          </w:tcPr>
          <w:p w14:paraId="69532A6D">
            <w:pPr>
              <w:pStyle w:val="30"/>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eastAsia" w:ascii="Times New Roman" w:hAnsi="Times New Roman" w:eastAsia="宋体" w:cs="Times New Roman"/>
                <w:b/>
                <w:color w:val="000000" w:themeColor="text1"/>
                <w:sz w:val="21"/>
                <w:szCs w:val="21"/>
                <w:lang w:val="en-US" w:eastAsia="zh-CN" w:bidi="ar-SA"/>
                <w14:textFill>
                  <w14:solidFill>
                    <w14:schemeClr w14:val="tx1"/>
                  </w14:solidFill>
                </w14:textFill>
              </w:rPr>
            </w:pPr>
            <w:r>
              <w:rPr>
                <w:rFonts w:hint="eastAsia"/>
                <w:b/>
                <w:color w:val="000000" w:themeColor="text1"/>
                <w:sz w:val="21"/>
                <w:szCs w:val="21"/>
                <w14:textFill>
                  <w14:solidFill>
                    <w14:schemeClr w14:val="tx1"/>
                  </w14:solidFill>
                </w14:textFill>
              </w:rPr>
              <w:t>监测点坐标/m</w:t>
            </w:r>
          </w:p>
        </w:tc>
        <w:tc>
          <w:tcPr>
            <w:tcW w:w="484" w:type="pct"/>
            <w:vMerge w:val="restart"/>
            <w:noWrap w:val="0"/>
            <w:vAlign w:val="center"/>
          </w:tcPr>
          <w:p w14:paraId="0E5D668B">
            <w:pPr>
              <w:spacing w:after="0" w:line="240" w:lineRule="auto"/>
              <w:ind w:left="0" w:firstLine="0" w:firstLineChars="0"/>
              <w:jc w:val="center"/>
              <w:rPr>
                <w:rFonts w:ascii="Times New Roman" w:hAnsi="Times New Roman" w:eastAsia="宋体" w:cs="Times New Roman"/>
                <w:b/>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bidi="ar-SA"/>
                <w14:textFill>
                  <w14:solidFill>
                    <w14:schemeClr w14:val="tx1"/>
                  </w14:solidFill>
                </w14:textFill>
              </w:rPr>
              <w:t>污染物</w:t>
            </w:r>
          </w:p>
        </w:tc>
        <w:tc>
          <w:tcPr>
            <w:tcW w:w="372" w:type="pct"/>
            <w:vMerge w:val="restart"/>
            <w:noWrap w:val="0"/>
            <w:vAlign w:val="center"/>
          </w:tcPr>
          <w:p w14:paraId="503BA8DD">
            <w:pPr>
              <w:spacing w:after="0" w:line="240" w:lineRule="auto"/>
              <w:ind w:left="0" w:firstLine="0" w:firstLineChars="0"/>
              <w:jc w:val="center"/>
              <w:rPr>
                <w:rFonts w:ascii="Times New Roman" w:hAnsi="Times New Roman" w:eastAsia="宋体" w:cs="Times New Roman"/>
                <w:b/>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bidi="ar-SA"/>
                <w14:textFill>
                  <w14:solidFill>
                    <w14:schemeClr w14:val="tx1"/>
                  </w14:solidFill>
                </w14:textFill>
              </w:rPr>
              <w:t>平均时间</w:t>
            </w:r>
          </w:p>
        </w:tc>
        <w:tc>
          <w:tcPr>
            <w:tcW w:w="450" w:type="pct"/>
            <w:vMerge w:val="restart"/>
            <w:noWrap w:val="0"/>
            <w:vAlign w:val="center"/>
          </w:tcPr>
          <w:p w14:paraId="30E35759">
            <w:pPr>
              <w:spacing w:after="0" w:line="240" w:lineRule="auto"/>
              <w:ind w:left="0" w:firstLine="0" w:firstLineChars="0"/>
              <w:jc w:val="center"/>
              <w:rPr>
                <w:rFonts w:ascii="Times New Roman" w:hAnsi="Times New Roman" w:eastAsia="宋体" w:cs="Times New Roman"/>
                <w:b/>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bidi="ar-SA"/>
                <w14:textFill>
                  <w14:solidFill>
                    <w14:schemeClr w14:val="tx1"/>
                  </w14:solidFill>
                </w14:textFill>
              </w:rPr>
              <w:t>评价标准</w:t>
            </w:r>
          </w:p>
        </w:tc>
        <w:tc>
          <w:tcPr>
            <w:tcW w:w="750" w:type="pct"/>
            <w:vMerge w:val="restart"/>
            <w:noWrap w:val="0"/>
            <w:vAlign w:val="center"/>
          </w:tcPr>
          <w:p w14:paraId="0402FC82">
            <w:pPr>
              <w:spacing w:after="0" w:line="240" w:lineRule="auto"/>
              <w:ind w:left="0" w:firstLine="0" w:firstLineChars="0"/>
              <w:jc w:val="center"/>
              <w:rPr>
                <w:rFonts w:hint="eastAsia" w:ascii="Times New Roman" w:hAnsi="Times New Roman" w:eastAsia="宋体" w:cs="Times New Roman"/>
                <w:b/>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bidi="ar-SA"/>
                <w14:textFill>
                  <w14:solidFill>
                    <w14:schemeClr w14:val="tx1"/>
                  </w14:solidFill>
                </w14:textFill>
              </w:rPr>
              <w:t>监测浓度</w:t>
            </w:r>
          </w:p>
          <w:p w14:paraId="6EEC6649">
            <w:pPr>
              <w:spacing w:after="0" w:line="240" w:lineRule="auto"/>
              <w:ind w:left="0" w:firstLine="0" w:firstLineChars="0"/>
              <w:jc w:val="center"/>
              <w:rPr>
                <w:rFonts w:ascii="Times New Roman" w:hAnsi="Times New Roman" w:eastAsia="宋体" w:cs="Times New Roman"/>
                <w:b/>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bidi="ar-SA"/>
                <w14:textFill>
                  <w14:solidFill>
                    <w14:schemeClr w14:val="tx1"/>
                  </w14:solidFill>
                </w14:textFill>
              </w:rPr>
              <w:t>最大范围</w:t>
            </w:r>
          </w:p>
        </w:tc>
        <w:tc>
          <w:tcPr>
            <w:tcW w:w="704" w:type="pct"/>
            <w:vMerge w:val="restart"/>
            <w:noWrap w:val="0"/>
            <w:vAlign w:val="center"/>
          </w:tcPr>
          <w:p w14:paraId="4F7A088A">
            <w:pPr>
              <w:spacing w:after="0" w:line="240" w:lineRule="auto"/>
              <w:ind w:left="0" w:firstLine="0" w:firstLineChars="0"/>
              <w:jc w:val="center"/>
              <w:rPr>
                <w:rFonts w:ascii="Times New Roman" w:hAnsi="Times New Roman" w:eastAsia="宋体" w:cs="Times New Roman"/>
                <w:b/>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bidi="ar-SA"/>
                <w14:textFill>
                  <w14:solidFill>
                    <w14:schemeClr w14:val="tx1"/>
                  </w14:solidFill>
                </w14:textFill>
              </w:rPr>
              <w:t>最大浓度占标率/%</w:t>
            </w:r>
          </w:p>
        </w:tc>
        <w:tc>
          <w:tcPr>
            <w:tcW w:w="520" w:type="pct"/>
            <w:vMerge w:val="restart"/>
            <w:noWrap w:val="0"/>
            <w:vAlign w:val="center"/>
          </w:tcPr>
          <w:p w14:paraId="313F776D">
            <w:pPr>
              <w:spacing w:after="0" w:line="240" w:lineRule="auto"/>
              <w:ind w:left="0" w:firstLine="0" w:firstLineChars="0"/>
              <w:jc w:val="center"/>
              <w:rPr>
                <w:rFonts w:ascii="Times New Roman" w:hAnsi="Times New Roman" w:eastAsia="宋体" w:cs="Times New Roman"/>
                <w:b/>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bidi="ar-SA"/>
                <w14:textFill>
                  <w14:solidFill>
                    <w14:schemeClr w14:val="tx1"/>
                  </w14:solidFill>
                </w14:textFill>
              </w:rPr>
              <w:t>超标率/（%）</w:t>
            </w:r>
          </w:p>
        </w:tc>
        <w:tc>
          <w:tcPr>
            <w:tcW w:w="436" w:type="pct"/>
            <w:vMerge w:val="restart"/>
            <w:noWrap w:val="0"/>
            <w:vAlign w:val="center"/>
          </w:tcPr>
          <w:p w14:paraId="523354AF">
            <w:pPr>
              <w:spacing w:after="0" w:line="240" w:lineRule="auto"/>
              <w:ind w:left="0" w:firstLine="0" w:firstLineChars="0"/>
              <w:jc w:val="center"/>
              <w:rPr>
                <w:rFonts w:ascii="Times New Roman" w:hAnsi="Times New Roman" w:eastAsia="宋体" w:cs="Times New Roman"/>
                <w:b/>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bidi="ar-SA"/>
                <w14:textFill>
                  <w14:solidFill>
                    <w14:schemeClr w14:val="tx1"/>
                  </w14:solidFill>
                </w14:textFill>
              </w:rPr>
              <w:t>达标情况</w:t>
            </w:r>
          </w:p>
        </w:tc>
      </w:tr>
      <w:tr w14:paraId="51C25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28" w:type="pct"/>
            <w:vMerge w:val="continue"/>
            <w:noWrap w:val="0"/>
            <w:vAlign w:val="center"/>
          </w:tcPr>
          <w:p w14:paraId="7392F5C9">
            <w:pPr>
              <w:spacing w:after="0" w:line="240" w:lineRule="auto"/>
              <w:ind w:left="0" w:firstLine="0" w:firstLineChars="0"/>
              <w:jc w:val="center"/>
              <w:rPr>
                <w:rFonts w:ascii="Times New Roman" w:hAnsi="Times New Roman" w:eastAsia="宋体" w:cs="Times New Roman"/>
                <w:color w:val="000000" w:themeColor="text1"/>
                <w:sz w:val="21"/>
                <w:szCs w:val="21"/>
                <w:lang w:val="en-US" w:eastAsia="zh-CN" w:bidi="ar-SA"/>
                <w14:textFill>
                  <w14:solidFill>
                    <w14:schemeClr w14:val="tx1"/>
                  </w14:solidFill>
                </w14:textFill>
              </w:rPr>
            </w:pPr>
          </w:p>
        </w:tc>
        <w:tc>
          <w:tcPr>
            <w:tcW w:w="437" w:type="pct"/>
            <w:noWrap w:val="0"/>
            <w:vAlign w:val="center"/>
          </w:tcPr>
          <w:p w14:paraId="3E565710">
            <w:pPr>
              <w:pStyle w:val="30"/>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ascii="Times New Roman" w:hAnsi="Times New Roman" w:eastAsia="宋体" w:cs="Times New Roman"/>
                <w:b/>
                <w:color w:val="000000" w:themeColor="text1"/>
                <w:sz w:val="21"/>
                <w:szCs w:val="21"/>
                <w:lang w:val="en-US" w:eastAsia="zh-CN" w:bidi="ar-SA"/>
                <w14:textFill>
                  <w14:solidFill>
                    <w14:schemeClr w14:val="tx1"/>
                  </w14:solidFill>
                </w14:textFill>
              </w:rPr>
            </w:pPr>
            <w:r>
              <w:rPr>
                <w:rFonts w:hint="eastAsia"/>
                <w:b/>
                <w:color w:val="000000" w:themeColor="text1"/>
                <w:sz w:val="21"/>
                <w:szCs w:val="21"/>
                <w14:textFill>
                  <w14:solidFill>
                    <w14:schemeClr w14:val="tx1"/>
                  </w14:solidFill>
                </w14:textFill>
              </w:rPr>
              <w:t>X</w:t>
            </w:r>
          </w:p>
        </w:tc>
        <w:tc>
          <w:tcPr>
            <w:tcW w:w="414" w:type="pct"/>
            <w:noWrap w:val="0"/>
            <w:vAlign w:val="center"/>
          </w:tcPr>
          <w:p w14:paraId="6D55D5F1">
            <w:pPr>
              <w:pStyle w:val="30"/>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ascii="Times New Roman" w:hAnsi="Times New Roman" w:eastAsia="宋体" w:cs="Times New Roman"/>
                <w:b/>
                <w:color w:val="000000" w:themeColor="text1"/>
                <w:sz w:val="21"/>
                <w:szCs w:val="21"/>
                <w:lang w:val="en-US" w:eastAsia="zh-CN" w:bidi="ar-SA"/>
                <w14:textFill>
                  <w14:solidFill>
                    <w14:schemeClr w14:val="tx1"/>
                  </w14:solidFill>
                </w14:textFill>
              </w:rPr>
            </w:pPr>
            <w:r>
              <w:rPr>
                <w:rFonts w:hint="eastAsia"/>
                <w:b/>
                <w:color w:val="000000" w:themeColor="text1"/>
                <w:sz w:val="21"/>
                <w:szCs w:val="21"/>
                <w14:textFill>
                  <w14:solidFill>
                    <w14:schemeClr w14:val="tx1"/>
                  </w14:solidFill>
                </w14:textFill>
              </w:rPr>
              <w:t>Y</w:t>
            </w:r>
          </w:p>
        </w:tc>
        <w:tc>
          <w:tcPr>
            <w:tcW w:w="484" w:type="pct"/>
            <w:vMerge w:val="continue"/>
            <w:noWrap w:val="0"/>
            <w:vAlign w:val="center"/>
          </w:tcPr>
          <w:p w14:paraId="17BF9BE1">
            <w:pPr>
              <w:spacing w:after="0" w:line="240" w:lineRule="auto"/>
              <w:ind w:left="0" w:firstLine="0" w:firstLineChars="0"/>
              <w:jc w:val="center"/>
              <w:rPr>
                <w:rFonts w:ascii="Times New Roman" w:hAnsi="Times New Roman" w:eastAsia="宋体" w:cs="Times New Roman"/>
                <w:b/>
                <w:color w:val="000000" w:themeColor="text1"/>
                <w:sz w:val="21"/>
                <w:szCs w:val="21"/>
                <w:lang w:val="en-US" w:eastAsia="zh-CN" w:bidi="ar-SA"/>
                <w14:textFill>
                  <w14:solidFill>
                    <w14:schemeClr w14:val="tx1"/>
                  </w14:solidFill>
                </w14:textFill>
              </w:rPr>
            </w:pPr>
          </w:p>
        </w:tc>
        <w:tc>
          <w:tcPr>
            <w:tcW w:w="372" w:type="pct"/>
            <w:vMerge w:val="continue"/>
            <w:noWrap w:val="0"/>
            <w:vAlign w:val="center"/>
          </w:tcPr>
          <w:p w14:paraId="794D54DA">
            <w:pPr>
              <w:spacing w:after="0" w:line="240" w:lineRule="auto"/>
              <w:ind w:left="0" w:firstLine="0" w:firstLineChars="0"/>
              <w:jc w:val="center"/>
              <w:rPr>
                <w:rFonts w:ascii="Times New Roman" w:hAnsi="Times New Roman" w:eastAsia="宋体" w:cs="Times New Roman"/>
                <w:b/>
                <w:color w:val="000000" w:themeColor="text1"/>
                <w:sz w:val="21"/>
                <w:szCs w:val="21"/>
                <w:lang w:val="en-US" w:eastAsia="zh-CN" w:bidi="ar-SA"/>
                <w14:textFill>
                  <w14:solidFill>
                    <w14:schemeClr w14:val="tx1"/>
                  </w14:solidFill>
                </w14:textFill>
              </w:rPr>
            </w:pPr>
          </w:p>
        </w:tc>
        <w:tc>
          <w:tcPr>
            <w:tcW w:w="450" w:type="pct"/>
            <w:vMerge w:val="continue"/>
            <w:noWrap w:val="0"/>
            <w:vAlign w:val="center"/>
          </w:tcPr>
          <w:p w14:paraId="3C9ED433">
            <w:pPr>
              <w:spacing w:after="0" w:line="240" w:lineRule="auto"/>
              <w:ind w:left="0" w:firstLine="0" w:firstLineChars="0"/>
              <w:jc w:val="center"/>
              <w:rPr>
                <w:rFonts w:ascii="Times New Roman" w:hAnsi="Times New Roman" w:eastAsia="宋体" w:cs="Times New Roman"/>
                <w:b/>
                <w:color w:val="000000" w:themeColor="text1"/>
                <w:sz w:val="21"/>
                <w:szCs w:val="21"/>
                <w:lang w:val="en-US" w:eastAsia="zh-CN" w:bidi="ar-SA"/>
                <w14:textFill>
                  <w14:solidFill>
                    <w14:schemeClr w14:val="tx1"/>
                  </w14:solidFill>
                </w14:textFill>
              </w:rPr>
            </w:pPr>
          </w:p>
        </w:tc>
        <w:tc>
          <w:tcPr>
            <w:tcW w:w="750" w:type="pct"/>
            <w:vMerge w:val="continue"/>
            <w:noWrap w:val="0"/>
            <w:vAlign w:val="center"/>
          </w:tcPr>
          <w:p w14:paraId="5D0E7832">
            <w:pPr>
              <w:spacing w:after="0" w:line="240" w:lineRule="auto"/>
              <w:ind w:left="0" w:firstLine="0" w:firstLineChars="0"/>
              <w:jc w:val="center"/>
              <w:rPr>
                <w:rFonts w:ascii="Times New Roman" w:hAnsi="Times New Roman" w:eastAsia="宋体" w:cs="Times New Roman"/>
                <w:b/>
                <w:color w:val="000000" w:themeColor="text1"/>
                <w:sz w:val="21"/>
                <w:szCs w:val="21"/>
                <w:lang w:val="en-US" w:eastAsia="zh-CN" w:bidi="ar-SA"/>
                <w14:textFill>
                  <w14:solidFill>
                    <w14:schemeClr w14:val="tx1"/>
                  </w14:solidFill>
                </w14:textFill>
              </w:rPr>
            </w:pPr>
          </w:p>
        </w:tc>
        <w:tc>
          <w:tcPr>
            <w:tcW w:w="704" w:type="pct"/>
            <w:vMerge w:val="continue"/>
            <w:noWrap w:val="0"/>
            <w:vAlign w:val="center"/>
          </w:tcPr>
          <w:p w14:paraId="4A03BA06">
            <w:pPr>
              <w:spacing w:after="0" w:line="240" w:lineRule="auto"/>
              <w:ind w:left="0" w:firstLine="0" w:firstLineChars="0"/>
              <w:jc w:val="center"/>
              <w:rPr>
                <w:rFonts w:ascii="Times New Roman" w:hAnsi="Times New Roman" w:eastAsia="宋体" w:cs="Times New Roman"/>
                <w:b/>
                <w:color w:val="000000" w:themeColor="text1"/>
                <w:sz w:val="21"/>
                <w:szCs w:val="21"/>
                <w:lang w:val="en-US" w:eastAsia="zh-CN" w:bidi="ar-SA"/>
                <w14:textFill>
                  <w14:solidFill>
                    <w14:schemeClr w14:val="tx1"/>
                  </w14:solidFill>
                </w14:textFill>
              </w:rPr>
            </w:pPr>
          </w:p>
        </w:tc>
        <w:tc>
          <w:tcPr>
            <w:tcW w:w="520" w:type="pct"/>
            <w:vMerge w:val="continue"/>
            <w:noWrap w:val="0"/>
            <w:vAlign w:val="center"/>
          </w:tcPr>
          <w:p w14:paraId="6E78EF86">
            <w:pPr>
              <w:spacing w:after="0" w:line="240" w:lineRule="auto"/>
              <w:ind w:left="0" w:firstLine="0" w:firstLineChars="0"/>
              <w:jc w:val="center"/>
              <w:rPr>
                <w:rFonts w:ascii="Times New Roman" w:hAnsi="Times New Roman" w:eastAsia="宋体" w:cs="Times New Roman"/>
                <w:b/>
                <w:color w:val="000000" w:themeColor="text1"/>
                <w:sz w:val="21"/>
                <w:szCs w:val="21"/>
                <w:lang w:val="en-US" w:eastAsia="zh-CN" w:bidi="ar-SA"/>
                <w14:textFill>
                  <w14:solidFill>
                    <w14:schemeClr w14:val="tx1"/>
                  </w14:solidFill>
                </w14:textFill>
              </w:rPr>
            </w:pPr>
          </w:p>
        </w:tc>
        <w:tc>
          <w:tcPr>
            <w:tcW w:w="436" w:type="pct"/>
            <w:vMerge w:val="continue"/>
            <w:noWrap w:val="0"/>
            <w:vAlign w:val="center"/>
          </w:tcPr>
          <w:p w14:paraId="5F038DEF">
            <w:pPr>
              <w:spacing w:after="0" w:line="240" w:lineRule="auto"/>
              <w:ind w:left="0" w:firstLine="0" w:firstLineChars="0"/>
              <w:jc w:val="center"/>
              <w:rPr>
                <w:rFonts w:ascii="Times New Roman" w:hAnsi="Times New Roman" w:eastAsia="宋体" w:cs="Times New Roman"/>
                <w:b/>
                <w:color w:val="000000" w:themeColor="text1"/>
                <w:sz w:val="21"/>
                <w:szCs w:val="21"/>
                <w:lang w:val="en-US" w:eastAsia="zh-CN" w:bidi="ar-SA"/>
                <w14:textFill>
                  <w14:solidFill>
                    <w14:schemeClr w14:val="tx1"/>
                  </w14:solidFill>
                </w14:textFill>
              </w:rPr>
            </w:pPr>
          </w:p>
        </w:tc>
      </w:tr>
      <w:tr w14:paraId="68F3B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428" w:type="pct"/>
            <w:vMerge w:val="restart"/>
            <w:noWrap w:val="0"/>
            <w:vAlign w:val="center"/>
          </w:tcPr>
          <w:p w14:paraId="1B911D69">
            <w:pPr>
              <w:spacing w:after="0" w:line="240" w:lineRule="auto"/>
              <w:ind w:left="0" w:firstLine="0" w:firstLineChars="0"/>
              <w:jc w:val="center"/>
              <w:rPr>
                <w:rFonts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ascii="Times New Roman" w:hAnsi="Times New Roman" w:eastAsia="宋体" w:cs="Times New Roman"/>
                <w:bCs/>
                <w:color w:val="000000" w:themeColor="text1"/>
                <w:sz w:val="21"/>
                <w:szCs w:val="21"/>
                <w:lang w:val="en-US" w:eastAsia="zh-CN" w:bidi="ar-SA"/>
                <w14:textFill>
                  <w14:solidFill>
                    <w14:schemeClr w14:val="tx1"/>
                  </w14:solidFill>
                </w14:textFill>
              </w:rPr>
              <w:t>厂界下风向村东（</w:t>
            </w:r>
            <w: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t>12</w:t>
            </w:r>
            <w:r>
              <w:rPr>
                <w:rFonts w:ascii="Times New Roman" w:hAnsi="Times New Roman" w:eastAsia="宋体" w:cs="Times New Roman"/>
                <w:bCs/>
                <w:color w:val="000000" w:themeColor="text1"/>
                <w:sz w:val="21"/>
                <w:szCs w:val="21"/>
                <w:lang w:val="en-US" w:eastAsia="zh-CN" w:bidi="ar-SA"/>
                <w14:textFill>
                  <w14:solidFill>
                    <w14:schemeClr w14:val="tx1"/>
                  </w14:solidFill>
                </w14:textFill>
              </w:rPr>
              <w:t>00m）</w:t>
            </w:r>
          </w:p>
        </w:tc>
        <w:tc>
          <w:tcPr>
            <w:tcW w:w="437" w:type="pct"/>
            <w:vMerge w:val="restart"/>
            <w:noWrap w:val="0"/>
            <w:vAlign w:val="center"/>
          </w:tcPr>
          <w:p w14:paraId="52064B0D">
            <w:pPr>
              <w:spacing w:after="0" w:line="240" w:lineRule="auto"/>
              <w:ind w:left="0" w:firstLine="0" w:firstLineChars="0"/>
              <w:jc w:val="center"/>
              <w:rPr>
                <w:rFonts w:hint="default"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t>535</w:t>
            </w:r>
          </w:p>
        </w:tc>
        <w:tc>
          <w:tcPr>
            <w:tcW w:w="414" w:type="pct"/>
            <w:vMerge w:val="restart"/>
            <w:noWrap w:val="0"/>
            <w:vAlign w:val="center"/>
          </w:tcPr>
          <w:p w14:paraId="20BF88A6">
            <w:pPr>
              <w:spacing w:after="0" w:line="240" w:lineRule="auto"/>
              <w:ind w:left="0" w:firstLine="0" w:firstLineChars="0"/>
              <w:jc w:val="center"/>
              <w:rPr>
                <w:rFonts w:hint="default"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t>1147</w:t>
            </w:r>
          </w:p>
        </w:tc>
        <w:tc>
          <w:tcPr>
            <w:tcW w:w="484" w:type="pct"/>
            <w:noWrap w:val="0"/>
            <w:vAlign w:val="center"/>
          </w:tcPr>
          <w:p w14:paraId="6000EC6C">
            <w:pPr>
              <w:spacing w:after="0" w:line="240" w:lineRule="auto"/>
              <w:ind w:left="0" w:firstLine="0" w:firstLineChars="0"/>
              <w:jc w:val="center"/>
              <w:rPr>
                <w:rFonts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ascii="Times New Roman" w:hAnsi="Times New Roman" w:eastAsia="宋体" w:cs="Times New Roman"/>
                <w:bCs/>
                <w:color w:val="000000" w:themeColor="text1"/>
                <w:sz w:val="21"/>
                <w:szCs w:val="21"/>
                <w:lang w:val="en-US" w:eastAsia="zh-CN" w:bidi="ar-SA"/>
                <w14:textFill>
                  <w14:solidFill>
                    <w14:schemeClr w14:val="tx1"/>
                  </w14:solidFill>
                </w14:textFill>
              </w:rPr>
              <w:t>TSP</w:t>
            </w:r>
          </w:p>
        </w:tc>
        <w:tc>
          <w:tcPr>
            <w:tcW w:w="372" w:type="pct"/>
            <w:noWrap w:val="0"/>
            <w:vAlign w:val="center"/>
          </w:tcPr>
          <w:p w14:paraId="057D94C2">
            <w:pPr>
              <w:spacing w:after="0" w:line="240" w:lineRule="auto"/>
              <w:ind w:left="0" w:firstLine="0" w:firstLineChars="0"/>
              <w:jc w:val="center"/>
              <w:rPr>
                <w:rFonts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t>24h</w:t>
            </w:r>
          </w:p>
        </w:tc>
        <w:tc>
          <w:tcPr>
            <w:tcW w:w="450" w:type="pct"/>
            <w:noWrap w:val="0"/>
            <w:vAlign w:val="center"/>
          </w:tcPr>
          <w:p w14:paraId="15D4486A">
            <w:pPr>
              <w:spacing w:after="0" w:line="240" w:lineRule="auto"/>
              <w:ind w:left="0" w:firstLine="0" w:firstLineChars="0"/>
              <w:jc w:val="center"/>
              <w:rPr>
                <w:rFonts w:ascii="Times New Roman" w:hAnsi="Times New Roman" w:eastAsia="宋体" w:cs="Times New Roman"/>
                <w:b w:val="0"/>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bidi="ar-SA"/>
                <w14:textFill>
                  <w14:solidFill>
                    <w14:schemeClr w14:val="tx1"/>
                  </w14:solidFill>
                </w14:textFill>
              </w:rPr>
              <w:t>0.300</w:t>
            </w:r>
          </w:p>
        </w:tc>
        <w:tc>
          <w:tcPr>
            <w:tcW w:w="750" w:type="pct"/>
            <w:noWrap w:val="0"/>
            <w:vAlign w:val="center"/>
          </w:tcPr>
          <w:p w14:paraId="48FF07DA">
            <w:pPr>
              <w:spacing w:after="0" w:line="240" w:lineRule="auto"/>
              <w:ind w:left="0" w:firstLine="0" w:firstLineChars="0"/>
              <w:jc w:val="center"/>
              <w:rPr>
                <w:rFonts w:hint="default"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t>0.099</w:t>
            </w:r>
            <w:r>
              <w:rPr>
                <w:rFonts w:ascii="Times New Roman" w:hAnsi="Times New Roman" w:eastAsia="宋体" w:cs="Times New Roman"/>
                <w:bCs/>
                <w:color w:val="000000" w:themeColor="text1"/>
                <w:sz w:val="21"/>
                <w:szCs w:val="21"/>
                <w:lang w:val="en-US" w:eastAsia="zh-CN" w:bidi="ar-SA"/>
                <w14:textFill>
                  <w14:solidFill>
                    <w14:schemeClr w14:val="tx1"/>
                  </w14:solidFill>
                </w14:textFill>
              </w:rPr>
              <w:t>~</w:t>
            </w:r>
            <w: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t>0.117</w:t>
            </w:r>
          </w:p>
        </w:tc>
        <w:tc>
          <w:tcPr>
            <w:tcW w:w="704" w:type="pct"/>
            <w:noWrap w:val="0"/>
            <w:vAlign w:val="center"/>
          </w:tcPr>
          <w:p w14:paraId="00E2CA93">
            <w:pPr>
              <w:spacing w:after="0" w:line="240" w:lineRule="auto"/>
              <w:ind w:left="0" w:firstLine="0" w:firstLineChars="0"/>
              <w:jc w:val="center"/>
              <w:rPr>
                <w:rFonts w:hint="default"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t>33.0~39.0</w:t>
            </w:r>
          </w:p>
        </w:tc>
        <w:tc>
          <w:tcPr>
            <w:tcW w:w="520" w:type="pct"/>
            <w:noWrap w:val="0"/>
            <w:vAlign w:val="center"/>
          </w:tcPr>
          <w:p w14:paraId="42E325EE">
            <w:pPr>
              <w:spacing w:after="0" w:line="240" w:lineRule="auto"/>
              <w:ind w:left="0" w:firstLine="0" w:firstLineChars="0"/>
              <w:jc w:val="cente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t>0</w:t>
            </w:r>
          </w:p>
        </w:tc>
        <w:tc>
          <w:tcPr>
            <w:tcW w:w="436" w:type="pct"/>
            <w:noWrap w:val="0"/>
            <w:vAlign w:val="center"/>
          </w:tcPr>
          <w:p w14:paraId="4E769107">
            <w:pPr>
              <w:spacing w:after="0" w:line="240" w:lineRule="auto"/>
              <w:ind w:left="0" w:firstLine="0" w:firstLineChars="0"/>
              <w:jc w:val="cente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t>达标</w:t>
            </w:r>
          </w:p>
        </w:tc>
      </w:tr>
      <w:tr w14:paraId="407EF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428" w:type="pct"/>
            <w:vMerge w:val="continue"/>
            <w:noWrap w:val="0"/>
            <w:vAlign w:val="center"/>
          </w:tcPr>
          <w:p w14:paraId="66552168">
            <w:pPr>
              <w:spacing w:after="0" w:line="240" w:lineRule="auto"/>
              <w:ind w:left="0" w:firstLine="0" w:firstLineChars="0"/>
              <w:jc w:val="center"/>
              <w:rPr>
                <w:rFonts w:ascii="Times New Roman" w:hAnsi="Times New Roman" w:eastAsia="宋体" w:cs="Times New Roman"/>
                <w:bCs/>
                <w:color w:val="000000" w:themeColor="text1"/>
                <w:sz w:val="21"/>
                <w:szCs w:val="21"/>
                <w:lang w:val="en-US" w:eastAsia="zh-CN" w:bidi="ar-SA"/>
                <w14:textFill>
                  <w14:solidFill>
                    <w14:schemeClr w14:val="tx1"/>
                  </w14:solidFill>
                </w14:textFill>
              </w:rPr>
            </w:pPr>
          </w:p>
        </w:tc>
        <w:tc>
          <w:tcPr>
            <w:tcW w:w="437" w:type="pct"/>
            <w:vMerge w:val="continue"/>
            <w:noWrap w:val="0"/>
            <w:vAlign w:val="center"/>
          </w:tcPr>
          <w:p w14:paraId="146398BF">
            <w:pPr>
              <w:spacing w:after="0" w:line="240" w:lineRule="auto"/>
              <w:ind w:left="0" w:firstLine="0" w:firstLineChars="0"/>
              <w:jc w:val="cente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pPr>
          </w:p>
        </w:tc>
        <w:tc>
          <w:tcPr>
            <w:tcW w:w="414" w:type="pct"/>
            <w:vMerge w:val="continue"/>
            <w:noWrap w:val="0"/>
            <w:vAlign w:val="center"/>
          </w:tcPr>
          <w:p w14:paraId="75B5197D">
            <w:pPr>
              <w:spacing w:after="0" w:line="240" w:lineRule="auto"/>
              <w:ind w:left="0" w:firstLine="0" w:firstLineChars="0"/>
              <w:jc w:val="cente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pPr>
          </w:p>
        </w:tc>
        <w:tc>
          <w:tcPr>
            <w:tcW w:w="484" w:type="pct"/>
            <w:noWrap w:val="0"/>
            <w:vAlign w:val="center"/>
          </w:tcPr>
          <w:p w14:paraId="46E4408B">
            <w:pPr>
              <w:spacing w:after="0" w:line="240" w:lineRule="auto"/>
              <w:ind w:left="0" w:firstLine="0" w:firstLineChars="0"/>
              <w:jc w:val="center"/>
              <w:rPr>
                <w:rFonts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t>非甲烷总烃</w:t>
            </w:r>
          </w:p>
        </w:tc>
        <w:tc>
          <w:tcPr>
            <w:tcW w:w="372" w:type="pct"/>
            <w:noWrap w:val="0"/>
            <w:vAlign w:val="center"/>
          </w:tcPr>
          <w:p w14:paraId="676A22A3">
            <w:pPr>
              <w:spacing w:after="0" w:line="240" w:lineRule="auto"/>
              <w:ind w:left="0" w:firstLine="0" w:firstLineChars="0"/>
              <w:jc w:val="center"/>
              <w:rPr>
                <w:rFonts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t>1h</w:t>
            </w:r>
          </w:p>
        </w:tc>
        <w:tc>
          <w:tcPr>
            <w:tcW w:w="450" w:type="pct"/>
            <w:noWrap w:val="0"/>
            <w:vAlign w:val="center"/>
          </w:tcPr>
          <w:p w14:paraId="7B7B69A3">
            <w:pPr>
              <w:spacing w:after="0" w:line="240" w:lineRule="auto"/>
              <w:ind w:left="0" w:firstLine="0" w:firstLineChars="0"/>
              <w:jc w:val="center"/>
              <w:rPr>
                <w:rFonts w:ascii="Times New Roman" w:hAnsi="Times New Roman" w:eastAsia="宋体" w:cs="Times New Roman"/>
                <w:b w:val="0"/>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bidi="ar-SA"/>
                <w14:textFill>
                  <w14:solidFill>
                    <w14:schemeClr w14:val="tx1"/>
                  </w14:solidFill>
                </w14:textFill>
              </w:rPr>
              <w:t>2.00</w:t>
            </w:r>
          </w:p>
        </w:tc>
        <w:tc>
          <w:tcPr>
            <w:tcW w:w="750" w:type="pct"/>
            <w:noWrap w:val="0"/>
            <w:vAlign w:val="center"/>
          </w:tcPr>
          <w:p w14:paraId="1B00D77F">
            <w:pPr>
              <w:spacing w:after="0" w:line="240" w:lineRule="auto"/>
              <w:ind w:left="0" w:firstLine="0" w:firstLineChars="0"/>
              <w:jc w:val="center"/>
              <w:rPr>
                <w:rFonts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t>0.55~0.99</w:t>
            </w:r>
          </w:p>
        </w:tc>
        <w:tc>
          <w:tcPr>
            <w:tcW w:w="704" w:type="pct"/>
            <w:noWrap w:val="0"/>
            <w:vAlign w:val="center"/>
          </w:tcPr>
          <w:p w14:paraId="246640B7">
            <w:pPr>
              <w:spacing w:after="0" w:line="240" w:lineRule="auto"/>
              <w:ind w:left="0" w:firstLine="0" w:firstLineChars="0"/>
              <w:jc w:val="center"/>
              <w:rPr>
                <w:rFonts w:hint="default"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t>27.5~49.5</w:t>
            </w:r>
          </w:p>
        </w:tc>
        <w:tc>
          <w:tcPr>
            <w:tcW w:w="520" w:type="pct"/>
            <w:noWrap w:val="0"/>
            <w:vAlign w:val="center"/>
          </w:tcPr>
          <w:p w14:paraId="00641CAF">
            <w:pPr>
              <w:spacing w:after="0" w:line="240" w:lineRule="auto"/>
              <w:ind w:left="0" w:firstLine="0" w:firstLineChars="0"/>
              <w:jc w:val="cente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t>0</w:t>
            </w:r>
          </w:p>
        </w:tc>
        <w:tc>
          <w:tcPr>
            <w:tcW w:w="436" w:type="pct"/>
            <w:noWrap w:val="0"/>
            <w:vAlign w:val="center"/>
          </w:tcPr>
          <w:p w14:paraId="490EB590">
            <w:pPr>
              <w:spacing w:after="0" w:line="240" w:lineRule="auto"/>
              <w:ind w:left="0" w:firstLine="0" w:firstLineChars="0"/>
              <w:jc w:val="cente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t>达标</w:t>
            </w:r>
          </w:p>
        </w:tc>
      </w:tr>
      <w:tr w14:paraId="0044C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428" w:type="pct"/>
            <w:vMerge w:val="continue"/>
            <w:noWrap w:val="0"/>
            <w:vAlign w:val="center"/>
          </w:tcPr>
          <w:p w14:paraId="16414CA9">
            <w:pPr>
              <w:spacing w:after="0" w:line="240" w:lineRule="auto"/>
              <w:ind w:left="0" w:firstLine="0" w:firstLineChars="0"/>
              <w:jc w:val="cente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pPr>
          </w:p>
        </w:tc>
        <w:tc>
          <w:tcPr>
            <w:tcW w:w="437" w:type="pct"/>
            <w:vMerge w:val="continue"/>
            <w:noWrap w:val="0"/>
            <w:vAlign w:val="center"/>
          </w:tcPr>
          <w:p w14:paraId="692F9766">
            <w:pPr>
              <w:spacing w:after="0" w:line="240" w:lineRule="auto"/>
              <w:ind w:left="0" w:firstLine="0" w:firstLineChars="0"/>
              <w:jc w:val="cente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pPr>
          </w:p>
        </w:tc>
        <w:tc>
          <w:tcPr>
            <w:tcW w:w="414" w:type="pct"/>
            <w:vMerge w:val="continue"/>
            <w:noWrap w:val="0"/>
            <w:vAlign w:val="center"/>
          </w:tcPr>
          <w:p w14:paraId="1000D935">
            <w:pPr>
              <w:spacing w:after="0" w:line="240" w:lineRule="auto"/>
              <w:ind w:left="0" w:firstLine="0" w:firstLineChars="0"/>
              <w:jc w:val="cente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pPr>
          </w:p>
        </w:tc>
        <w:tc>
          <w:tcPr>
            <w:tcW w:w="484" w:type="pct"/>
            <w:noWrap w:val="0"/>
            <w:vAlign w:val="center"/>
          </w:tcPr>
          <w:p w14:paraId="01EB8A16">
            <w:pPr>
              <w:spacing w:after="0" w:line="240" w:lineRule="auto"/>
              <w:ind w:left="0" w:firstLine="0" w:firstLineChars="0"/>
              <w:jc w:val="center"/>
              <w:rPr>
                <w:rFonts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t>甲醛</w:t>
            </w:r>
          </w:p>
        </w:tc>
        <w:tc>
          <w:tcPr>
            <w:tcW w:w="372" w:type="pct"/>
            <w:noWrap w:val="0"/>
            <w:vAlign w:val="center"/>
          </w:tcPr>
          <w:p w14:paraId="160C1888">
            <w:pPr>
              <w:spacing w:after="0" w:line="240" w:lineRule="auto"/>
              <w:ind w:left="0" w:firstLine="0" w:firstLineChars="0"/>
              <w:jc w:val="center"/>
              <w:rPr>
                <w:rFonts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t>1h</w:t>
            </w:r>
          </w:p>
        </w:tc>
        <w:tc>
          <w:tcPr>
            <w:tcW w:w="450" w:type="pct"/>
            <w:noWrap w:val="0"/>
            <w:vAlign w:val="center"/>
          </w:tcPr>
          <w:p w14:paraId="32026D0A">
            <w:pPr>
              <w:spacing w:after="0" w:line="240" w:lineRule="auto"/>
              <w:ind w:left="0" w:firstLine="0" w:firstLineChars="0"/>
              <w:jc w:val="center"/>
              <w:rPr>
                <w:rFonts w:hint="eastAsia" w:ascii="Times New Roman" w:hAnsi="Times New Roman" w:eastAsia="宋体" w:cs="Times New Roman"/>
                <w:b w:val="0"/>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bidi="ar-SA"/>
                <w14:textFill>
                  <w14:solidFill>
                    <w14:schemeClr w14:val="tx1"/>
                  </w14:solidFill>
                </w14:textFill>
              </w:rPr>
              <w:t>0.005</w:t>
            </w:r>
          </w:p>
        </w:tc>
        <w:tc>
          <w:tcPr>
            <w:tcW w:w="750" w:type="pct"/>
            <w:noWrap w:val="0"/>
            <w:vAlign w:val="center"/>
          </w:tcPr>
          <w:p w14:paraId="6470D131">
            <w:pPr>
              <w:spacing w:after="0" w:line="240" w:lineRule="auto"/>
              <w:ind w:left="0" w:firstLine="0" w:firstLineChars="0"/>
              <w:jc w:val="cente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w:t>
            </w:r>
          </w:p>
        </w:tc>
        <w:tc>
          <w:tcPr>
            <w:tcW w:w="704" w:type="pct"/>
            <w:noWrap w:val="0"/>
            <w:vAlign w:val="center"/>
          </w:tcPr>
          <w:p w14:paraId="15E453A4">
            <w:pPr>
              <w:spacing w:after="0" w:line="240" w:lineRule="auto"/>
              <w:ind w:left="0" w:firstLine="0" w:firstLineChars="0"/>
              <w:jc w:val="center"/>
              <w:rPr>
                <w:rFonts w:hint="default"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t>/</w:t>
            </w:r>
          </w:p>
        </w:tc>
        <w:tc>
          <w:tcPr>
            <w:tcW w:w="520" w:type="pct"/>
            <w:noWrap w:val="0"/>
            <w:vAlign w:val="center"/>
          </w:tcPr>
          <w:p w14:paraId="1EFA2BD2">
            <w:pPr>
              <w:spacing w:after="0" w:line="240" w:lineRule="auto"/>
              <w:ind w:left="0" w:firstLine="0" w:firstLineChars="0"/>
              <w:jc w:val="center"/>
              <w:rPr>
                <w:rFonts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t>0</w:t>
            </w:r>
          </w:p>
        </w:tc>
        <w:tc>
          <w:tcPr>
            <w:tcW w:w="436" w:type="pct"/>
            <w:noWrap w:val="0"/>
            <w:vAlign w:val="center"/>
          </w:tcPr>
          <w:p w14:paraId="00E64A23">
            <w:pPr>
              <w:spacing w:after="0" w:line="240" w:lineRule="auto"/>
              <w:ind w:left="0" w:firstLine="0" w:firstLineChars="0"/>
              <w:jc w:val="center"/>
              <w:rPr>
                <w:rFonts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bidi="ar-SA"/>
                <w14:textFill>
                  <w14:solidFill>
                    <w14:schemeClr w14:val="tx1"/>
                  </w14:solidFill>
                </w14:textFill>
              </w:rPr>
              <w:t>/</w:t>
            </w:r>
          </w:p>
        </w:tc>
      </w:tr>
    </w:tbl>
    <w:p w14:paraId="292F6AA8">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从监测结果来看，TSP日均值满足《环境空气质量标准》（GB3095-2026）表1过渡阶段二级浓度限值和表2二级浓度限值，甲醛1小时均满足《环境影响评价技术导则 大气环境》（HJ-2018）附录D标准要求。非甲烷总烃1小时均满足《大气污染物综合排放标准详解》中非甲烷总烃参考限值</w:t>
      </w:r>
      <w:r>
        <w:rPr>
          <w:rFonts w:hint="eastAsia"/>
          <w:color w:val="000000" w:themeColor="text1"/>
          <w:lang w:val="en-US" w:eastAsia="zh-CN"/>
          <w14:textFill>
            <w14:solidFill>
              <w14:schemeClr w14:val="tx1"/>
            </w14:solidFill>
          </w14:textFill>
        </w:rPr>
        <w:t>。</w:t>
      </w:r>
    </w:p>
    <w:p w14:paraId="3E72A641">
      <w:pPr>
        <w:pStyle w:val="3"/>
        <w:bidi w:val="0"/>
        <w:rPr>
          <w:rFonts w:hint="eastAsia"/>
          <w:color w:val="000000" w:themeColor="text1"/>
          <w:lang w:val="en-US" w:eastAsia="zh-CN"/>
          <w14:textFill>
            <w14:solidFill>
              <w14:schemeClr w14:val="tx1"/>
            </w14:solidFill>
          </w14:textFill>
        </w:rPr>
      </w:pPr>
      <w:bookmarkStart w:id="471" w:name="_Toc18352"/>
      <w:bookmarkStart w:id="472" w:name="_Toc8902"/>
      <w:bookmarkStart w:id="473" w:name="_Toc4496"/>
      <w:r>
        <w:rPr>
          <w:rFonts w:hint="eastAsia"/>
          <w:color w:val="000000" w:themeColor="text1"/>
          <w:lang w:val="en-US" w:eastAsia="zh-CN"/>
          <w14:textFill>
            <w14:solidFill>
              <w14:schemeClr w14:val="tx1"/>
            </w14:solidFill>
          </w14:textFill>
        </w:rPr>
        <w:t>2.2 一类区环境质量现状</w:t>
      </w:r>
      <w:bookmarkEnd w:id="471"/>
      <w:bookmarkEnd w:id="472"/>
      <w:bookmarkEnd w:id="473"/>
    </w:p>
    <w:p w14:paraId="5296C466">
      <w:pPr>
        <w:pStyle w:val="79"/>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（1）监测结果</w:t>
      </w:r>
    </w:p>
    <w:p w14:paraId="27A4917C">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项目大气评价范围内涉及翠柏自然保护区，本项目对涉及的翠柏自然保护区基本污染物及其他污染物进行环境质量现状监测。</w:t>
      </w:r>
    </w:p>
    <w:p w14:paraId="288864AC">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本次评价委托</w:t>
      </w:r>
      <w:r>
        <w:rPr>
          <w:rFonts w:hint="eastAsia"/>
          <w:color w:val="000000" w:themeColor="text1"/>
          <w:lang w:val="en-US" w:eastAsia="zh-CN"/>
          <w14:textFill>
            <w14:solidFill>
              <w14:schemeClr w14:val="tx1"/>
            </w14:solidFill>
          </w14:textFill>
        </w:rPr>
        <w:t>云南天倪检测有限公司</w:t>
      </w:r>
      <w:r>
        <w:rPr>
          <w:rFonts w:hint="default"/>
          <w:color w:val="000000" w:themeColor="text1"/>
          <w:lang w:val="en-US" w:eastAsia="zh-CN"/>
          <w14:textFill>
            <w14:solidFill>
              <w14:schemeClr w14:val="tx1"/>
            </w14:solidFill>
          </w14:textFill>
        </w:rPr>
        <w:t>对翠柏自然保护区的二氧化硫、二氧化氮、一氧化氮、PM</w:t>
      </w:r>
      <w:r>
        <w:rPr>
          <w:rFonts w:hint="default"/>
          <w:color w:val="000000" w:themeColor="text1"/>
          <w:vertAlign w:val="subscript"/>
          <w:lang w:val="en-US" w:eastAsia="zh-CN"/>
          <w14:textFill>
            <w14:solidFill>
              <w14:schemeClr w14:val="tx1"/>
            </w14:solidFill>
          </w14:textFill>
        </w:rPr>
        <w:t>10</w:t>
      </w:r>
      <w:r>
        <w:rPr>
          <w:rFonts w:hint="default"/>
          <w:color w:val="000000" w:themeColor="text1"/>
          <w:lang w:val="en-US" w:eastAsia="zh-CN"/>
          <w14:textFill>
            <w14:solidFill>
              <w14:schemeClr w14:val="tx1"/>
            </w14:solidFill>
          </w14:textFill>
        </w:rPr>
        <w:t>、PM</w:t>
      </w:r>
      <w:r>
        <w:rPr>
          <w:rFonts w:hint="default"/>
          <w:color w:val="000000" w:themeColor="text1"/>
          <w:vertAlign w:val="subscript"/>
          <w:lang w:val="en-US" w:eastAsia="zh-CN"/>
          <w14:textFill>
            <w14:solidFill>
              <w14:schemeClr w14:val="tx1"/>
            </w14:solidFill>
          </w14:textFill>
        </w:rPr>
        <w:t>2.5</w:t>
      </w:r>
      <w:r>
        <w:rPr>
          <w:rFonts w:hint="default"/>
          <w:color w:val="000000" w:themeColor="text1"/>
          <w:lang w:val="en-US" w:eastAsia="zh-CN"/>
          <w14:textFill>
            <w14:solidFill>
              <w14:schemeClr w14:val="tx1"/>
            </w14:solidFill>
          </w14:textFill>
        </w:rPr>
        <w:t>、TSP、臭氧、非甲烷总烃、甲醛共9项污染物进行了补充监测，具体如下：</w:t>
      </w:r>
    </w:p>
    <w:p w14:paraId="1134B918">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监测项目：二氧化硫、二氧化氮、一氧化氮、PM</w:t>
      </w:r>
      <w:r>
        <w:rPr>
          <w:rFonts w:hint="default"/>
          <w:color w:val="000000" w:themeColor="text1"/>
          <w:vertAlign w:val="subscript"/>
          <w:lang w:val="en-US" w:eastAsia="zh-CN"/>
          <w14:textFill>
            <w14:solidFill>
              <w14:schemeClr w14:val="tx1"/>
            </w14:solidFill>
          </w14:textFill>
        </w:rPr>
        <w:t>10</w:t>
      </w:r>
      <w:r>
        <w:rPr>
          <w:rFonts w:hint="default"/>
          <w:color w:val="000000" w:themeColor="text1"/>
          <w:lang w:val="en-US" w:eastAsia="zh-CN"/>
          <w14:textFill>
            <w14:solidFill>
              <w14:schemeClr w14:val="tx1"/>
            </w14:solidFill>
          </w14:textFill>
        </w:rPr>
        <w:t>、PM</w:t>
      </w:r>
      <w:r>
        <w:rPr>
          <w:rFonts w:hint="default"/>
          <w:color w:val="000000" w:themeColor="text1"/>
          <w:vertAlign w:val="subscript"/>
          <w:lang w:val="en-US" w:eastAsia="zh-CN"/>
          <w14:textFill>
            <w14:solidFill>
              <w14:schemeClr w14:val="tx1"/>
            </w14:solidFill>
          </w14:textFill>
        </w:rPr>
        <w:t>2.5</w:t>
      </w:r>
      <w:r>
        <w:rPr>
          <w:rFonts w:hint="default"/>
          <w:color w:val="000000" w:themeColor="text1"/>
          <w:lang w:val="en-US" w:eastAsia="zh-CN"/>
          <w14:textFill>
            <w14:solidFill>
              <w14:schemeClr w14:val="tx1"/>
            </w14:solidFill>
          </w14:textFill>
        </w:rPr>
        <w:t>、TSP、臭氧、非甲烷总烃、甲醛共9项；</w:t>
      </w:r>
    </w:p>
    <w:p w14:paraId="0A734FD0">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监测点位：现状监测共设1个点，位于翠柏自然保护区范围内（监测点设置于不受人为活动影响的区域）。</w:t>
      </w:r>
    </w:p>
    <w:p w14:paraId="1886E781">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监测时间：2026.6.27～2026.7.3，共7天；</w:t>
      </w:r>
    </w:p>
    <w:p w14:paraId="51246638">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监测频率：根据国家环保局颁布的关于空气环境质量采样频率和采样时间的相关规定和《环境空气质量标准》（GB3095-2026）对污染物监测数据的统计有效性的规定，确定SO</w:t>
      </w:r>
      <w:r>
        <w:rPr>
          <w:rFonts w:hint="default"/>
          <w:color w:val="000000" w:themeColor="text1"/>
          <w:vertAlign w:val="subscript"/>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、NO</w:t>
      </w:r>
      <w:r>
        <w:rPr>
          <w:rFonts w:hint="default"/>
          <w:color w:val="000000" w:themeColor="text1"/>
          <w:vertAlign w:val="subscript"/>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、CO连续7天，每天1组日均值、1组小时均值（小时值每日采样4次）；PM</w:t>
      </w:r>
      <w:r>
        <w:rPr>
          <w:rFonts w:hint="default"/>
          <w:color w:val="000000" w:themeColor="text1"/>
          <w:vertAlign w:val="subscript"/>
          <w:lang w:val="en-US" w:eastAsia="zh-CN"/>
          <w14:textFill>
            <w14:solidFill>
              <w14:schemeClr w14:val="tx1"/>
            </w14:solidFill>
          </w14:textFill>
        </w:rPr>
        <w:t>10</w:t>
      </w:r>
      <w:r>
        <w:rPr>
          <w:rFonts w:hint="default"/>
          <w:color w:val="000000" w:themeColor="text1"/>
          <w:lang w:val="en-US" w:eastAsia="zh-CN"/>
          <w14:textFill>
            <w14:solidFill>
              <w14:schemeClr w14:val="tx1"/>
            </w14:solidFill>
          </w14:textFill>
        </w:rPr>
        <w:t>、PM</w:t>
      </w:r>
      <w:r>
        <w:rPr>
          <w:rFonts w:hint="default"/>
          <w:color w:val="000000" w:themeColor="text1"/>
          <w:vertAlign w:val="subscript"/>
          <w:lang w:val="en-US" w:eastAsia="zh-CN"/>
          <w14:textFill>
            <w14:solidFill>
              <w14:schemeClr w14:val="tx1"/>
            </w14:solidFill>
          </w14:textFill>
        </w:rPr>
        <w:t>2.5</w:t>
      </w:r>
      <w:r>
        <w:rPr>
          <w:rFonts w:hint="default"/>
          <w:color w:val="000000" w:themeColor="text1"/>
          <w:lang w:val="en-US" w:eastAsia="zh-CN"/>
          <w14:textFill>
            <w14:solidFill>
              <w14:schemeClr w14:val="tx1"/>
            </w14:solidFill>
          </w14:textFill>
        </w:rPr>
        <w:t>、TSP连续7天，每天1组日均值；O</w:t>
      </w:r>
      <w:r>
        <w:rPr>
          <w:rFonts w:hint="default"/>
          <w:color w:val="000000" w:themeColor="text1"/>
          <w:vertAlign w:val="subscript"/>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连续7天，每天至少1组8h均值、1组小时均值（小时值每日采样4次）；非甲烷总烃连续7天，每天1组小时均值（小时值每日采样4次）；甲醛连续7天，每天1组小时均值（小时值每日采样4次）。</w:t>
      </w:r>
    </w:p>
    <w:p w14:paraId="102E5964">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监测分析方法：按照国家相关规定、标准和规范进行采样和分析；</w:t>
      </w:r>
    </w:p>
    <w:p w14:paraId="69666066">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评价标准：《环境空气质量标准》（GB 3095-2026）表1过渡阶段一级浓度限值和表2一级浓度限值、《环境影响评价技术导则 大气环境》（HJ2.2-2018）附录D的标准以及参照执行《大气污染物综合排放标准详解》中非甲烷总烃参考限值。监测点位图以及监测结果详见下表：</w:t>
      </w:r>
    </w:p>
    <w:p w14:paraId="2083DBD9">
      <w:pPr>
        <w:widowControl w:val="0"/>
        <w:autoSpaceDE w:val="0"/>
        <w:autoSpaceDN w:val="0"/>
        <w:adjustRightInd w:val="0"/>
        <w:jc w:val="center"/>
        <w:rPr>
          <w:rFonts w:ascii="Times New Roman" w:hAnsi="Times New Roman" w:eastAsia="宋体" w:cs="Times New Roman"/>
          <w:b/>
          <w:bCs/>
          <w:color w:val="000000" w:themeColor="text1"/>
          <w:sz w:val="24"/>
          <w:szCs w:val="24"/>
          <w:lang w:val="en-US" w:eastAsia="zh-CN" w:bidi="ar-SA"/>
          <w14:textFill>
            <w14:solidFill>
              <w14:schemeClr w14:val="tx1"/>
            </w14:solidFill>
          </w14:textFill>
        </w:rPr>
      </w:pP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表</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2.2-1</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臭氧8</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小时均值监测结果统计表</w:t>
      </w:r>
    </w:p>
    <w:tbl>
      <w:tblPr>
        <w:tblStyle w:val="3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2"/>
        <w:gridCol w:w="1422"/>
        <w:gridCol w:w="2289"/>
        <w:gridCol w:w="2109"/>
        <w:gridCol w:w="1482"/>
        <w:gridCol w:w="871"/>
      </w:tblGrid>
      <w:tr w14:paraId="640E1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7" w:type="pct"/>
            <w:vAlign w:val="center"/>
          </w:tcPr>
          <w:p w14:paraId="358CCFB0">
            <w:pPr>
              <w:widowControl w:val="0"/>
              <w:autoSpaceDE w:val="0"/>
              <w:autoSpaceDN w:val="0"/>
              <w:adjustRightInd w:val="0"/>
              <w:jc w:val="center"/>
              <w:rPr>
                <w:rFonts w:hint="default"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t>监测点位</w:t>
            </w:r>
          </w:p>
        </w:tc>
        <w:tc>
          <w:tcPr>
            <w:tcW w:w="785" w:type="pct"/>
            <w:vAlign w:val="center"/>
          </w:tcPr>
          <w:p w14:paraId="79E1097F">
            <w:pPr>
              <w:widowControl w:val="0"/>
              <w:autoSpaceDE w:val="0"/>
              <w:autoSpaceDN w:val="0"/>
              <w:adjustRightInd w:val="0"/>
              <w:jc w:val="center"/>
              <w:rPr>
                <w:rFonts w:hint="default"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t>监测日期</w:t>
            </w:r>
          </w:p>
        </w:tc>
        <w:tc>
          <w:tcPr>
            <w:tcW w:w="1263" w:type="pct"/>
            <w:vAlign w:val="center"/>
          </w:tcPr>
          <w:p w14:paraId="2720AF4E">
            <w:pPr>
              <w:widowControl w:val="0"/>
              <w:autoSpaceDE w:val="0"/>
              <w:autoSpaceDN w:val="0"/>
              <w:adjustRightInd w:val="0"/>
              <w:jc w:val="center"/>
              <w:rPr>
                <w:rFonts w:hint="default"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t>臭氧均值（mg/m</w:t>
            </w:r>
            <w:r>
              <w:rPr>
                <w:rFonts w:hint="eastAsia" w:ascii="Times New Roman" w:hAnsi="Times New Roman" w:eastAsia="宋体" w:cs="Times New Roman"/>
                <w:b/>
                <w:color w:val="000000" w:themeColor="text1"/>
                <w:kern w:val="2"/>
                <w:sz w:val="21"/>
                <w:szCs w:val="21"/>
                <w:vertAlign w:val="superscript"/>
                <w:lang w:val="en-US" w:eastAsia="zh-CN" w:bidi="ar-SA"/>
                <w14:textFill>
                  <w14:solidFill>
                    <w14:schemeClr w14:val="tx1"/>
                  </w14:solidFill>
                </w14:textFill>
              </w:rPr>
              <w:t>3</w:t>
            </w:r>
            <w:r>
              <w:rPr>
                <w:rFonts w:hint="eastAsia"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t>）</w:t>
            </w:r>
          </w:p>
        </w:tc>
        <w:tc>
          <w:tcPr>
            <w:tcW w:w="1164" w:type="pct"/>
            <w:vAlign w:val="center"/>
          </w:tcPr>
          <w:p w14:paraId="3C022133">
            <w:pPr>
              <w:widowControl w:val="0"/>
              <w:autoSpaceDE w:val="0"/>
              <w:autoSpaceDN w:val="0"/>
              <w:adjustRightInd w:val="0"/>
              <w:jc w:val="center"/>
              <w:rPr>
                <w:rFonts w:hint="default"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t>标准值（mg/m</w:t>
            </w:r>
            <w:r>
              <w:rPr>
                <w:rFonts w:hint="eastAsia" w:ascii="Times New Roman" w:hAnsi="Times New Roman" w:eastAsia="宋体" w:cs="Times New Roman"/>
                <w:b/>
                <w:color w:val="000000" w:themeColor="text1"/>
                <w:kern w:val="2"/>
                <w:sz w:val="21"/>
                <w:szCs w:val="21"/>
                <w:vertAlign w:val="superscript"/>
                <w:lang w:val="en-US" w:eastAsia="zh-CN" w:bidi="ar-SA"/>
                <w14:textFill>
                  <w14:solidFill>
                    <w14:schemeClr w14:val="tx1"/>
                  </w14:solidFill>
                </w14:textFill>
              </w:rPr>
              <w:t>3</w:t>
            </w:r>
            <w:r>
              <w:rPr>
                <w:rFonts w:hint="eastAsia"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t>）</w:t>
            </w:r>
          </w:p>
        </w:tc>
        <w:tc>
          <w:tcPr>
            <w:tcW w:w="818" w:type="pct"/>
            <w:vAlign w:val="center"/>
          </w:tcPr>
          <w:p w14:paraId="3165F4EB">
            <w:pPr>
              <w:widowControl w:val="0"/>
              <w:autoSpaceDE w:val="0"/>
              <w:autoSpaceDN w:val="0"/>
              <w:adjustRightInd w:val="0"/>
              <w:jc w:val="center"/>
              <w:rPr>
                <w:rFonts w:hint="default"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t>超标率（%）</w:t>
            </w:r>
          </w:p>
        </w:tc>
        <w:tc>
          <w:tcPr>
            <w:tcW w:w="480" w:type="pct"/>
            <w:vAlign w:val="center"/>
          </w:tcPr>
          <w:p w14:paraId="36313BB6">
            <w:pPr>
              <w:widowControl w:val="0"/>
              <w:autoSpaceDE w:val="0"/>
              <w:autoSpaceDN w:val="0"/>
              <w:adjustRightInd w:val="0"/>
              <w:jc w:val="center"/>
              <w:rPr>
                <w:rFonts w:hint="default"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t>是否达标</w:t>
            </w:r>
          </w:p>
        </w:tc>
      </w:tr>
      <w:tr w14:paraId="66F0C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Merge w:val="restart"/>
            <w:vAlign w:val="center"/>
          </w:tcPr>
          <w:p w14:paraId="4308CA71">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A2翠柏自然保护区1个点位</w:t>
            </w:r>
          </w:p>
        </w:tc>
        <w:tc>
          <w:tcPr>
            <w:tcW w:w="785" w:type="pct"/>
            <w:vAlign w:val="center"/>
          </w:tcPr>
          <w:p w14:paraId="38405B49">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2026.06.27</w:t>
            </w:r>
          </w:p>
        </w:tc>
        <w:tc>
          <w:tcPr>
            <w:tcW w:w="1263" w:type="pct"/>
            <w:vAlign w:val="center"/>
          </w:tcPr>
          <w:p w14:paraId="6C10A2D6">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0"/>
                <w:szCs w:val="20"/>
                <w:lang w:val="en-US" w:eastAsia="zh-CN"/>
                <w14:textFill>
                  <w14:solidFill>
                    <w14:schemeClr w14:val="tx1"/>
                  </w14:solidFill>
                </w14:textFill>
              </w:rPr>
              <w:t>0.069</w:t>
            </w:r>
          </w:p>
        </w:tc>
        <w:tc>
          <w:tcPr>
            <w:tcW w:w="1164" w:type="pct"/>
            <w:vAlign w:val="center"/>
          </w:tcPr>
          <w:p w14:paraId="49F588A3">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0.100</w:t>
            </w:r>
          </w:p>
        </w:tc>
        <w:tc>
          <w:tcPr>
            <w:tcW w:w="818" w:type="pct"/>
            <w:vAlign w:val="center"/>
          </w:tcPr>
          <w:p w14:paraId="392B15EC">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0</w:t>
            </w:r>
          </w:p>
        </w:tc>
        <w:tc>
          <w:tcPr>
            <w:tcW w:w="480" w:type="pct"/>
            <w:vAlign w:val="center"/>
          </w:tcPr>
          <w:p w14:paraId="0BB70B89">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达标</w:t>
            </w:r>
          </w:p>
        </w:tc>
      </w:tr>
      <w:tr w14:paraId="49775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Merge w:val="continue"/>
            <w:vAlign w:val="center"/>
          </w:tcPr>
          <w:p w14:paraId="39C4CE7C">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785" w:type="pct"/>
            <w:vAlign w:val="center"/>
          </w:tcPr>
          <w:p w14:paraId="34ED0001">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2026.06.28</w:t>
            </w:r>
          </w:p>
        </w:tc>
        <w:tc>
          <w:tcPr>
            <w:tcW w:w="1263" w:type="pct"/>
            <w:vAlign w:val="center"/>
          </w:tcPr>
          <w:p w14:paraId="0C3E684E">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0"/>
                <w:szCs w:val="20"/>
                <w:lang w:val="en-US" w:eastAsia="zh-CN"/>
                <w14:textFill>
                  <w14:solidFill>
                    <w14:schemeClr w14:val="tx1"/>
                  </w14:solidFill>
                </w14:textFill>
              </w:rPr>
              <w:t>0.068</w:t>
            </w:r>
          </w:p>
        </w:tc>
        <w:tc>
          <w:tcPr>
            <w:tcW w:w="1164" w:type="pct"/>
            <w:vAlign w:val="center"/>
          </w:tcPr>
          <w:p w14:paraId="0A244862">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0.100</w:t>
            </w:r>
          </w:p>
        </w:tc>
        <w:tc>
          <w:tcPr>
            <w:tcW w:w="818" w:type="pct"/>
            <w:vAlign w:val="center"/>
          </w:tcPr>
          <w:p w14:paraId="4DCB9E0B">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0</w:t>
            </w:r>
          </w:p>
        </w:tc>
        <w:tc>
          <w:tcPr>
            <w:tcW w:w="480" w:type="pct"/>
            <w:vAlign w:val="center"/>
          </w:tcPr>
          <w:p w14:paraId="543604F7">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达标</w:t>
            </w:r>
          </w:p>
        </w:tc>
      </w:tr>
      <w:tr w14:paraId="7554B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Merge w:val="continue"/>
            <w:vAlign w:val="center"/>
          </w:tcPr>
          <w:p w14:paraId="55624BF7">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785" w:type="pct"/>
            <w:vAlign w:val="center"/>
          </w:tcPr>
          <w:p w14:paraId="5AF93073">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2026.06.29</w:t>
            </w:r>
          </w:p>
        </w:tc>
        <w:tc>
          <w:tcPr>
            <w:tcW w:w="1263" w:type="pct"/>
            <w:vAlign w:val="center"/>
          </w:tcPr>
          <w:p w14:paraId="24618A4F">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0"/>
                <w:szCs w:val="20"/>
                <w:lang w:val="en-US" w:eastAsia="zh-CN"/>
                <w14:textFill>
                  <w14:solidFill>
                    <w14:schemeClr w14:val="tx1"/>
                  </w14:solidFill>
                </w14:textFill>
              </w:rPr>
              <w:t>0.070</w:t>
            </w:r>
          </w:p>
        </w:tc>
        <w:tc>
          <w:tcPr>
            <w:tcW w:w="1164" w:type="pct"/>
            <w:vAlign w:val="center"/>
          </w:tcPr>
          <w:p w14:paraId="6D61AE30">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0.100</w:t>
            </w:r>
          </w:p>
        </w:tc>
        <w:tc>
          <w:tcPr>
            <w:tcW w:w="818" w:type="pct"/>
            <w:vAlign w:val="center"/>
          </w:tcPr>
          <w:p w14:paraId="51CB15F4">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0</w:t>
            </w:r>
          </w:p>
        </w:tc>
        <w:tc>
          <w:tcPr>
            <w:tcW w:w="480" w:type="pct"/>
            <w:vAlign w:val="center"/>
          </w:tcPr>
          <w:p w14:paraId="3D66FC84">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达标</w:t>
            </w:r>
          </w:p>
        </w:tc>
      </w:tr>
      <w:tr w14:paraId="69970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Merge w:val="continue"/>
            <w:vAlign w:val="center"/>
          </w:tcPr>
          <w:p w14:paraId="16C56504">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785" w:type="pct"/>
            <w:vAlign w:val="center"/>
          </w:tcPr>
          <w:p w14:paraId="7E4AD934">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2026.06.30</w:t>
            </w:r>
          </w:p>
        </w:tc>
        <w:tc>
          <w:tcPr>
            <w:tcW w:w="1263" w:type="pct"/>
            <w:vAlign w:val="center"/>
          </w:tcPr>
          <w:p w14:paraId="2ECAB8CA">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0"/>
                <w:szCs w:val="20"/>
                <w:lang w:val="en-US" w:eastAsia="zh-CN"/>
                <w14:textFill>
                  <w14:solidFill>
                    <w14:schemeClr w14:val="tx1"/>
                  </w14:solidFill>
                </w14:textFill>
              </w:rPr>
              <w:t>0.066</w:t>
            </w:r>
          </w:p>
        </w:tc>
        <w:tc>
          <w:tcPr>
            <w:tcW w:w="1164" w:type="pct"/>
            <w:vAlign w:val="center"/>
          </w:tcPr>
          <w:p w14:paraId="1B8F4F9C">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0.100</w:t>
            </w:r>
          </w:p>
        </w:tc>
        <w:tc>
          <w:tcPr>
            <w:tcW w:w="818" w:type="pct"/>
            <w:vAlign w:val="center"/>
          </w:tcPr>
          <w:p w14:paraId="491AD055">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0</w:t>
            </w:r>
          </w:p>
        </w:tc>
        <w:tc>
          <w:tcPr>
            <w:tcW w:w="480" w:type="pct"/>
            <w:vAlign w:val="center"/>
          </w:tcPr>
          <w:p w14:paraId="2E9C8960">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达标</w:t>
            </w:r>
          </w:p>
        </w:tc>
      </w:tr>
      <w:tr w14:paraId="4B6C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Merge w:val="continue"/>
            <w:vAlign w:val="center"/>
          </w:tcPr>
          <w:p w14:paraId="2208D5CA">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785" w:type="pct"/>
            <w:vAlign w:val="center"/>
          </w:tcPr>
          <w:p w14:paraId="51DD40F5">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2026.07.01</w:t>
            </w:r>
          </w:p>
        </w:tc>
        <w:tc>
          <w:tcPr>
            <w:tcW w:w="1263" w:type="pct"/>
            <w:vAlign w:val="center"/>
          </w:tcPr>
          <w:p w14:paraId="3E8F165B">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0"/>
                <w:szCs w:val="20"/>
                <w:lang w:val="en-US" w:eastAsia="zh-CN"/>
                <w14:textFill>
                  <w14:solidFill>
                    <w14:schemeClr w14:val="tx1"/>
                  </w14:solidFill>
                </w14:textFill>
              </w:rPr>
              <w:t>0.070</w:t>
            </w:r>
          </w:p>
        </w:tc>
        <w:tc>
          <w:tcPr>
            <w:tcW w:w="1164" w:type="pct"/>
            <w:vAlign w:val="center"/>
          </w:tcPr>
          <w:p w14:paraId="1DB4F668">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0.100</w:t>
            </w:r>
          </w:p>
        </w:tc>
        <w:tc>
          <w:tcPr>
            <w:tcW w:w="818" w:type="pct"/>
            <w:vAlign w:val="center"/>
          </w:tcPr>
          <w:p w14:paraId="3C5BAFFB">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0</w:t>
            </w:r>
          </w:p>
        </w:tc>
        <w:tc>
          <w:tcPr>
            <w:tcW w:w="480" w:type="pct"/>
            <w:vAlign w:val="center"/>
          </w:tcPr>
          <w:p w14:paraId="58F2DC3B">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达标</w:t>
            </w:r>
          </w:p>
        </w:tc>
      </w:tr>
      <w:tr w14:paraId="37568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Merge w:val="continue"/>
            <w:vAlign w:val="center"/>
          </w:tcPr>
          <w:p w14:paraId="66D3CE40">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785" w:type="pct"/>
            <w:vAlign w:val="center"/>
          </w:tcPr>
          <w:p w14:paraId="475D84B6">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2026.07.02</w:t>
            </w:r>
          </w:p>
        </w:tc>
        <w:tc>
          <w:tcPr>
            <w:tcW w:w="1263" w:type="pct"/>
            <w:vAlign w:val="center"/>
          </w:tcPr>
          <w:p w14:paraId="3A641A54">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0"/>
                <w:szCs w:val="20"/>
                <w:lang w:val="en-US" w:eastAsia="zh-CN"/>
                <w14:textFill>
                  <w14:solidFill>
                    <w14:schemeClr w14:val="tx1"/>
                  </w14:solidFill>
                </w14:textFill>
              </w:rPr>
              <w:t>0.065</w:t>
            </w:r>
          </w:p>
        </w:tc>
        <w:tc>
          <w:tcPr>
            <w:tcW w:w="1164" w:type="pct"/>
            <w:vAlign w:val="center"/>
          </w:tcPr>
          <w:p w14:paraId="53674308">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0.100</w:t>
            </w:r>
          </w:p>
        </w:tc>
        <w:tc>
          <w:tcPr>
            <w:tcW w:w="818" w:type="pct"/>
            <w:vAlign w:val="center"/>
          </w:tcPr>
          <w:p w14:paraId="6E15F16C">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0</w:t>
            </w:r>
          </w:p>
        </w:tc>
        <w:tc>
          <w:tcPr>
            <w:tcW w:w="480" w:type="pct"/>
            <w:vAlign w:val="center"/>
          </w:tcPr>
          <w:p w14:paraId="36CD82F7">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达标</w:t>
            </w:r>
          </w:p>
        </w:tc>
      </w:tr>
      <w:tr w14:paraId="42F4F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Merge w:val="continue"/>
            <w:vAlign w:val="center"/>
          </w:tcPr>
          <w:p w14:paraId="345970A7">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785" w:type="pct"/>
            <w:vAlign w:val="center"/>
          </w:tcPr>
          <w:p w14:paraId="46C165C1">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2026.07.03</w:t>
            </w:r>
          </w:p>
        </w:tc>
        <w:tc>
          <w:tcPr>
            <w:tcW w:w="1263" w:type="pct"/>
            <w:vAlign w:val="center"/>
          </w:tcPr>
          <w:p w14:paraId="0BF676F0">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0"/>
                <w:szCs w:val="20"/>
                <w:lang w:val="en-US" w:eastAsia="zh-CN"/>
                <w14:textFill>
                  <w14:solidFill>
                    <w14:schemeClr w14:val="tx1"/>
                  </w14:solidFill>
                </w14:textFill>
              </w:rPr>
              <w:t>0.065</w:t>
            </w:r>
          </w:p>
        </w:tc>
        <w:tc>
          <w:tcPr>
            <w:tcW w:w="1164" w:type="pct"/>
            <w:vAlign w:val="center"/>
          </w:tcPr>
          <w:p w14:paraId="308DF197">
            <w:pPr>
              <w:widowControl w:val="0"/>
              <w:autoSpaceDE w:val="0"/>
              <w:autoSpaceDN w:val="0"/>
              <w:adjustRightInd w:val="0"/>
              <w:jc w:val="center"/>
              <w:rPr>
                <w:rFonts w:hint="default"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0.100</w:t>
            </w:r>
          </w:p>
        </w:tc>
        <w:tc>
          <w:tcPr>
            <w:tcW w:w="818" w:type="pct"/>
            <w:vAlign w:val="center"/>
          </w:tcPr>
          <w:p w14:paraId="2916DDEC">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0</w:t>
            </w:r>
          </w:p>
        </w:tc>
        <w:tc>
          <w:tcPr>
            <w:tcW w:w="480" w:type="pct"/>
            <w:vAlign w:val="center"/>
          </w:tcPr>
          <w:p w14:paraId="366FEBAA">
            <w:pPr>
              <w:widowControl w:val="0"/>
              <w:autoSpaceDE w:val="0"/>
              <w:autoSpaceDN w:val="0"/>
              <w:adjustRightInd w:val="0"/>
              <w:jc w:val="center"/>
              <w:rPr>
                <w:rFonts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达标</w:t>
            </w:r>
          </w:p>
        </w:tc>
      </w:tr>
    </w:tbl>
    <w:p w14:paraId="2E75511E">
      <w:pPr>
        <w:widowControl/>
        <w:adjustRightInd w:val="0"/>
        <w:snapToGrid w:val="0"/>
        <w:spacing w:before="120" w:beforeLines="50"/>
        <w:jc w:val="center"/>
        <w:rPr>
          <w:rFonts w:hint="eastAsia" w:ascii="宋体" w:hAnsi="Times New Roman" w:eastAsia="宋体" w:cs="Times New Roman"/>
          <w:b/>
          <w:color w:val="000000" w:themeColor="text1"/>
          <w:kern w:val="0"/>
          <w:sz w:val="24"/>
          <w:szCs w:val="20"/>
          <w14:textFill>
            <w14:solidFill>
              <w14:schemeClr w14:val="tx1"/>
            </w14:solidFill>
          </w14:textFill>
        </w:rPr>
      </w:pPr>
      <w:r>
        <w:rPr>
          <w:rFonts w:ascii="Times New Roman" w:hAnsi="Times New Roman" w:eastAsia="宋体" w:cs="Times New Roman"/>
          <w:b/>
          <w:color w:val="000000" w:themeColor="text1"/>
          <w:kern w:val="2"/>
          <w:sz w:val="21"/>
          <w:szCs w:val="21"/>
          <w14:textFill>
            <w14:solidFill>
              <w14:schemeClr w14:val="tx1"/>
            </w14:solidFill>
          </w14:textFill>
        </w:rPr>
        <w:t>表</w:t>
      </w:r>
      <w:r>
        <w:rPr>
          <w:rFonts w:hint="eastAsia" w:ascii="Times New Roman" w:hAnsi="Times New Roman" w:eastAsia="宋体" w:cs="Times New Roman"/>
          <w:b/>
          <w:color w:val="000000" w:themeColor="text1"/>
          <w:kern w:val="2"/>
          <w:sz w:val="21"/>
          <w:szCs w:val="21"/>
          <w:lang w:val="en-US" w:eastAsia="zh-CN"/>
          <w14:textFill>
            <w14:solidFill>
              <w14:schemeClr w14:val="tx1"/>
            </w14:solidFill>
          </w14:textFill>
        </w:rPr>
        <w:t>2.2-2</w:t>
      </w:r>
      <w:r>
        <w:rPr>
          <w:rFonts w:ascii="Times New Roman" w:hAnsi="Times New Roman" w:eastAsia="宋体" w:cs="Times New Roman"/>
          <w:b/>
          <w:color w:val="000000" w:themeColor="text1"/>
          <w:kern w:val="2"/>
          <w:sz w:val="21"/>
          <w:szCs w:val="21"/>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14:textFill>
            <w14:solidFill>
              <w14:schemeClr w14:val="tx1"/>
            </w14:solidFill>
          </w14:textFill>
        </w:rPr>
        <w:t>CO、</w:t>
      </w:r>
      <w:r>
        <w:rPr>
          <w:rFonts w:hint="eastAsia" w:ascii="Times New Roman" w:hAnsi="Times New Roman" w:eastAsia="宋体" w:cs="Times New Roman"/>
          <w:b/>
          <w:color w:val="000000" w:themeColor="text1"/>
          <w:kern w:val="2"/>
          <w:sz w:val="21"/>
          <w:szCs w:val="21"/>
          <w:lang w:val="en-US" w:eastAsia="zh-CN"/>
          <w14:textFill>
            <w14:solidFill>
              <w14:schemeClr w14:val="tx1"/>
            </w14:solidFill>
          </w14:textFill>
        </w:rPr>
        <w:t>非甲烷总烃与甲醛</w:t>
      </w:r>
      <w:r>
        <w:rPr>
          <w:rFonts w:hint="eastAsia" w:ascii="Times New Roman" w:hAnsi="Times New Roman" w:eastAsia="宋体" w:cs="Times New Roman"/>
          <w:b/>
          <w:color w:val="000000" w:themeColor="text1"/>
          <w:kern w:val="2"/>
          <w:sz w:val="21"/>
          <w:szCs w:val="21"/>
          <w14:textFill>
            <w14:solidFill>
              <w14:schemeClr w14:val="tx1"/>
            </w14:solidFill>
          </w14:textFill>
        </w:rPr>
        <w:t>小时均值</w:t>
      </w:r>
      <w:r>
        <w:rPr>
          <w:rFonts w:ascii="Times New Roman" w:hAnsi="Times New Roman" w:eastAsia="宋体" w:cs="Times New Roman"/>
          <w:b/>
          <w:color w:val="000000" w:themeColor="text1"/>
          <w:kern w:val="2"/>
          <w:sz w:val="21"/>
          <w:szCs w:val="21"/>
          <w14:textFill>
            <w14:solidFill>
              <w14:schemeClr w14:val="tx1"/>
            </w14:solidFill>
          </w14:textFill>
        </w:rPr>
        <w:t>监测结果</w:t>
      </w:r>
      <w:r>
        <w:rPr>
          <w:rFonts w:hint="eastAsia" w:ascii="Times New Roman" w:hAnsi="Times New Roman" w:eastAsia="宋体" w:cs="Times New Roman"/>
          <w:b/>
          <w:color w:val="000000" w:themeColor="text1"/>
          <w:kern w:val="2"/>
          <w:sz w:val="21"/>
          <w:szCs w:val="21"/>
          <w14:textFill>
            <w14:solidFill>
              <w14:schemeClr w14:val="tx1"/>
            </w14:solidFill>
          </w14:textFill>
        </w:rPr>
        <w:t>统计</w:t>
      </w:r>
      <w:r>
        <w:rPr>
          <w:rFonts w:ascii="Times New Roman" w:hAnsi="Times New Roman" w:eastAsia="宋体" w:cs="Times New Roman"/>
          <w:b/>
          <w:color w:val="000000" w:themeColor="text1"/>
          <w:kern w:val="2"/>
          <w:sz w:val="21"/>
          <w:szCs w:val="21"/>
          <w14:textFill>
            <w14:solidFill>
              <w14:schemeClr w14:val="tx1"/>
            </w14:solidFill>
          </w14:textFill>
        </w:rPr>
        <w:t>表</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1681"/>
        <w:gridCol w:w="2391"/>
        <w:gridCol w:w="2090"/>
        <w:gridCol w:w="2114"/>
      </w:tblGrid>
      <w:tr w14:paraId="031C7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restart"/>
            <w:noWrap w:val="0"/>
            <w:vAlign w:val="center"/>
          </w:tcPr>
          <w:p w14:paraId="2453BF7D">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ascii="Times New Roman" w:hAnsi="Times New Roman" w:eastAsia="宋体" w:cs="Times New Roman"/>
                <w:b/>
                <w:bCs/>
                <w:color w:val="000000" w:themeColor="text1"/>
                <w:sz w:val="21"/>
                <w:szCs w:val="21"/>
                <w:lang w:val="en-US" w:eastAsia="zh-CN" w:bidi="ar-SA"/>
                <w14:textFill>
                  <w14:solidFill>
                    <w14:schemeClr w14:val="tx1"/>
                  </w14:solidFill>
                </w14:textFill>
              </w:rPr>
              <w:t>监测点位</w:t>
            </w:r>
          </w:p>
        </w:tc>
        <w:tc>
          <w:tcPr>
            <w:tcW w:w="927" w:type="pct"/>
            <w:vMerge w:val="restart"/>
            <w:noWrap w:val="0"/>
            <w:vAlign w:val="center"/>
          </w:tcPr>
          <w:p w14:paraId="36ACDAAF">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t>采样日期</w:t>
            </w:r>
          </w:p>
        </w:tc>
        <w:tc>
          <w:tcPr>
            <w:tcW w:w="1320" w:type="pct"/>
            <w:noWrap w:val="0"/>
            <w:vAlign w:val="center"/>
          </w:tcPr>
          <w:p w14:paraId="4758C8AE">
            <w:pPr>
              <w:widowControl w:val="0"/>
              <w:autoSpaceDE w:val="0"/>
              <w:autoSpaceDN w:val="0"/>
              <w:adjustRightInd w:val="0"/>
              <w:jc w:val="cente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t>监测结果</w:t>
            </w:r>
          </w:p>
        </w:tc>
        <w:tc>
          <w:tcPr>
            <w:tcW w:w="1154" w:type="pct"/>
            <w:noWrap w:val="0"/>
            <w:vAlign w:val="center"/>
          </w:tcPr>
          <w:p w14:paraId="74BB75D7">
            <w:pPr>
              <w:widowControl w:val="0"/>
              <w:autoSpaceDE w:val="0"/>
              <w:autoSpaceDN w:val="0"/>
              <w:adjustRightInd w:val="0"/>
              <w:jc w:val="cente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t>监测结果</w:t>
            </w:r>
          </w:p>
        </w:tc>
        <w:tc>
          <w:tcPr>
            <w:tcW w:w="1165" w:type="pct"/>
            <w:noWrap w:val="0"/>
            <w:vAlign w:val="center"/>
          </w:tcPr>
          <w:p w14:paraId="37B5D65F">
            <w:pPr>
              <w:widowControl w:val="0"/>
              <w:autoSpaceDE w:val="0"/>
              <w:autoSpaceDN w:val="0"/>
              <w:adjustRightInd w:val="0"/>
              <w:jc w:val="cente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t>监测结果</w:t>
            </w:r>
          </w:p>
        </w:tc>
      </w:tr>
      <w:tr w14:paraId="41ED5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1" w:type="pct"/>
            <w:vMerge w:val="continue"/>
            <w:noWrap w:val="0"/>
            <w:vAlign w:val="center"/>
          </w:tcPr>
          <w:p w14:paraId="67BE8D67">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63FA6A0E">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7409E0FD">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bidi="ar-SA"/>
                <w14:textFill>
                  <w14:solidFill>
                    <w14:schemeClr w14:val="tx1"/>
                  </w14:solidFill>
                </w14:textFill>
              </w:rPr>
              <w:t>非甲烷总烃</w:t>
            </w:r>
            <w:r>
              <w:rPr>
                <w:rFonts w:ascii="Times New Roman" w:hAnsi="Times New Roman" w:eastAsia="宋体" w:cs="Times New Roman"/>
                <w:b/>
                <w:color w:val="000000" w:themeColor="text1"/>
                <w:sz w:val="21"/>
                <w:szCs w:val="21"/>
                <w:lang w:val="en-US" w:eastAsia="zh-CN" w:bidi="ar-SA"/>
                <w14:textFill>
                  <w14:solidFill>
                    <w14:schemeClr w14:val="tx1"/>
                  </w14:solidFill>
                </w14:textFill>
              </w:rPr>
              <w:t>（mg/m</w:t>
            </w:r>
            <w:r>
              <w:rPr>
                <w:rFonts w:ascii="Times New Roman" w:hAnsi="Times New Roman" w:eastAsia="宋体" w:cs="Times New Roman"/>
                <w:b/>
                <w:color w:val="000000" w:themeColor="text1"/>
                <w:sz w:val="21"/>
                <w:szCs w:val="21"/>
                <w:vertAlign w:val="superscript"/>
                <w:lang w:val="en-US" w:eastAsia="zh-CN" w:bidi="ar-SA"/>
                <w14:textFill>
                  <w14:solidFill>
                    <w14:schemeClr w14:val="tx1"/>
                  </w14:solidFill>
                </w14:textFill>
              </w:rPr>
              <w:t>3</w:t>
            </w:r>
            <w:r>
              <w:rPr>
                <w:rFonts w:ascii="Times New Roman" w:hAnsi="Times New Roman" w:eastAsia="宋体" w:cs="Times New Roman"/>
                <w:b/>
                <w:color w:val="000000" w:themeColor="text1"/>
                <w:sz w:val="21"/>
                <w:szCs w:val="21"/>
                <w:lang w:val="en-US" w:eastAsia="zh-CN" w:bidi="ar-SA"/>
                <w14:textFill>
                  <w14:solidFill>
                    <w14:schemeClr w14:val="tx1"/>
                  </w14:solidFill>
                </w14:textFill>
              </w:rPr>
              <w:t>）</w:t>
            </w:r>
          </w:p>
        </w:tc>
        <w:tc>
          <w:tcPr>
            <w:tcW w:w="1154" w:type="pct"/>
            <w:noWrap w:val="0"/>
            <w:vAlign w:val="center"/>
          </w:tcPr>
          <w:p w14:paraId="5FBAC4A4">
            <w:pPr>
              <w:widowControl w:val="0"/>
              <w:autoSpaceDE w:val="0"/>
              <w:autoSpaceDN w:val="0"/>
              <w:adjustRightInd w:val="0"/>
              <w:jc w:val="cente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bidi="ar-SA"/>
                <w14:textFill>
                  <w14:solidFill>
                    <w14:schemeClr w14:val="tx1"/>
                  </w14:solidFill>
                </w14:textFill>
              </w:rPr>
              <w:t>CO</w:t>
            </w:r>
            <w:r>
              <w:rPr>
                <w:rFonts w:ascii="Times New Roman" w:hAnsi="Times New Roman" w:eastAsia="宋体" w:cs="Times New Roman"/>
                <w:b/>
                <w:color w:val="000000" w:themeColor="text1"/>
                <w:sz w:val="21"/>
                <w:szCs w:val="21"/>
                <w:lang w:val="en-US" w:eastAsia="zh-CN" w:bidi="ar-SA"/>
                <w14:textFill>
                  <w14:solidFill>
                    <w14:schemeClr w14:val="tx1"/>
                  </w14:solidFill>
                </w14:textFill>
              </w:rPr>
              <w:t>（mg/m</w:t>
            </w:r>
            <w:r>
              <w:rPr>
                <w:rFonts w:ascii="Times New Roman" w:hAnsi="Times New Roman" w:eastAsia="宋体" w:cs="Times New Roman"/>
                <w:b/>
                <w:color w:val="000000" w:themeColor="text1"/>
                <w:sz w:val="21"/>
                <w:szCs w:val="21"/>
                <w:vertAlign w:val="superscript"/>
                <w:lang w:val="en-US" w:eastAsia="zh-CN" w:bidi="ar-SA"/>
                <w14:textFill>
                  <w14:solidFill>
                    <w14:schemeClr w14:val="tx1"/>
                  </w14:solidFill>
                </w14:textFill>
              </w:rPr>
              <w:t>3</w:t>
            </w:r>
            <w:r>
              <w:rPr>
                <w:rFonts w:ascii="Times New Roman" w:hAnsi="Times New Roman" w:eastAsia="宋体" w:cs="Times New Roman"/>
                <w:b/>
                <w:color w:val="000000" w:themeColor="text1"/>
                <w:sz w:val="21"/>
                <w:szCs w:val="21"/>
                <w:lang w:val="en-US" w:eastAsia="zh-CN" w:bidi="ar-SA"/>
                <w14:textFill>
                  <w14:solidFill>
                    <w14:schemeClr w14:val="tx1"/>
                  </w14:solidFill>
                </w14:textFill>
              </w:rPr>
              <w:t>）</w:t>
            </w:r>
          </w:p>
        </w:tc>
        <w:tc>
          <w:tcPr>
            <w:tcW w:w="1165" w:type="pct"/>
            <w:noWrap w:val="0"/>
            <w:vAlign w:val="center"/>
          </w:tcPr>
          <w:p w14:paraId="2F0B6BF2">
            <w:pPr>
              <w:widowControl w:val="0"/>
              <w:autoSpaceDE w:val="0"/>
              <w:autoSpaceDN w:val="0"/>
              <w:adjustRightInd w:val="0"/>
              <w:jc w:val="center"/>
              <w:rPr>
                <w:rFonts w:hint="default" w:ascii="Times New Roman" w:hAnsi="Times New Roman" w:eastAsia="宋体" w:cs="Times New Roman"/>
                <w:b/>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bidi="ar-SA"/>
                <w14:textFill>
                  <w14:solidFill>
                    <w14:schemeClr w14:val="tx1"/>
                  </w14:solidFill>
                </w14:textFill>
              </w:rPr>
              <w:t>甲醛</w:t>
            </w:r>
            <w:r>
              <w:rPr>
                <w:rFonts w:ascii="Times New Roman" w:hAnsi="Times New Roman" w:eastAsia="宋体" w:cs="Times New Roman"/>
                <w:b/>
                <w:color w:val="000000" w:themeColor="text1"/>
                <w:sz w:val="21"/>
                <w:szCs w:val="21"/>
                <w:lang w:val="en-US" w:eastAsia="zh-CN" w:bidi="ar-SA"/>
                <w14:textFill>
                  <w14:solidFill>
                    <w14:schemeClr w14:val="tx1"/>
                  </w14:solidFill>
                </w14:textFill>
              </w:rPr>
              <w:t>（mg/m</w:t>
            </w:r>
            <w:r>
              <w:rPr>
                <w:rFonts w:ascii="Times New Roman" w:hAnsi="Times New Roman" w:eastAsia="宋体" w:cs="Times New Roman"/>
                <w:b/>
                <w:color w:val="000000" w:themeColor="text1"/>
                <w:sz w:val="21"/>
                <w:szCs w:val="21"/>
                <w:vertAlign w:val="superscript"/>
                <w:lang w:val="en-US" w:eastAsia="zh-CN" w:bidi="ar-SA"/>
                <w14:textFill>
                  <w14:solidFill>
                    <w14:schemeClr w14:val="tx1"/>
                  </w14:solidFill>
                </w14:textFill>
              </w:rPr>
              <w:t>3</w:t>
            </w:r>
            <w:r>
              <w:rPr>
                <w:rFonts w:ascii="Times New Roman" w:hAnsi="Times New Roman" w:eastAsia="宋体" w:cs="Times New Roman"/>
                <w:b/>
                <w:color w:val="000000" w:themeColor="text1"/>
                <w:sz w:val="21"/>
                <w:szCs w:val="21"/>
                <w:lang w:val="en-US" w:eastAsia="zh-CN" w:bidi="ar-SA"/>
                <w14:textFill>
                  <w14:solidFill>
                    <w14:schemeClr w14:val="tx1"/>
                  </w14:solidFill>
                </w14:textFill>
              </w:rPr>
              <w:t>）</w:t>
            </w:r>
          </w:p>
        </w:tc>
      </w:tr>
      <w:tr w14:paraId="2821E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restart"/>
            <w:noWrap w:val="0"/>
            <w:vAlign w:val="center"/>
          </w:tcPr>
          <w:p w14:paraId="49CA023E">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ascii="Times New Roman" w:hAnsi="Times New Roman" w:eastAsia="宋体" w:cs="Times New Roman"/>
                <w:b w:val="0"/>
                <w:bCs w:val="0"/>
                <w:color w:val="000000" w:themeColor="text1"/>
                <w:sz w:val="21"/>
                <w:szCs w:val="21"/>
                <w:lang w:val="en-US" w:eastAsia="zh-CN" w:bidi="ar-SA"/>
                <w14:textFill>
                  <w14:solidFill>
                    <w14:schemeClr w14:val="tx1"/>
                  </w14:solidFill>
                </w14:textFill>
              </w:rPr>
              <w:t>A2，翠柏自然保护区1个点位</w:t>
            </w:r>
          </w:p>
        </w:tc>
        <w:tc>
          <w:tcPr>
            <w:tcW w:w="927" w:type="pct"/>
            <w:vMerge w:val="restart"/>
            <w:noWrap w:val="0"/>
            <w:vAlign w:val="center"/>
          </w:tcPr>
          <w:p w14:paraId="3E47E0F7">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2026.06.27</w:t>
            </w:r>
          </w:p>
        </w:tc>
        <w:tc>
          <w:tcPr>
            <w:tcW w:w="1320" w:type="pct"/>
            <w:noWrap w:val="0"/>
            <w:vAlign w:val="center"/>
          </w:tcPr>
          <w:p w14:paraId="69359208">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1.03</w:t>
            </w:r>
          </w:p>
        </w:tc>
        <w:tc>
          <w:tcPr>
            <w:tcW w:w="1154" w:type="pct"/>
            <w:noWrap w:val="0"/>
            <w:vAlign w:val="center"/>
          </w:tcPr>
          <w:p w14:paraId="5F2AA7B2">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0.32</w:t>
            </w:r>
          </w:p>
        </w:tc>
        <w:tc>
          <w:tcPr>
            <w:tcW w:w="1165" w:type="pct"/>
            <w:noWrap w:val="0"/>
            <w:vAlign w:val="center"/>
          </w:tcPr>
          <w:p w14:paraId="632C7982">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1B360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3F3CBE46">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24B1E8F7">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1AA37C0E">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1.09</w:t>
            </w:r>
          </w:p>
        </w:tc>
        <w:tc>
          <w:tcPr>
            <w:tcW w:w="1154" w:type="pct"/>
            <w:noWrap w:val="0"/>
            <w:vAlign w:val="center"/>
          </w:tcPr>
          <w:p w14:paraId="098858EA">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0.30</w:t>
            </w:r>
          </w:p>
        </w:tc>
        <w:tc>
          <w:tcPr>
            <w:tcW w:w="1165" w:type="pct"/>
            <w:noWrap w:val="0"/>
            <w:vAlign w:val="center"/>
          </w:tcPr>
          <w:p w14:paraId="73617AAE">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636DA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3ABD9EB6">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0000BC04">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12F4DC37">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1.00</w:t>
            </w:r>
          </w:p>
        </w:tc>
        <w:tc>
          <w:tcPr>
            <w:tcW w:w="1154" w:type="pct"/>
            <w:noWrap w:val="0"/>
            <w:vAlign w:val="center"/>
          </w:tcPr>
          <w:p w14:paraId="5E1485EE">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0.39</w:t>
            </w:r>
          </w:p>
        </w:tc>
        <w:tc>
          <w:tcPr>
            <w:tcW w:w="1165" w:type="pct"/>
            <w:noWrap w:val="0"/>
            <w:vAlign w:val="center"/>
          </w:tcPr>
          <w:p w14:paraId="507D736C">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7B4E8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1" w:type="pct"/>
            <w:vMerge w:val="continue"/>
            <w:noWrap w:val="0"/>
            <w:vAlign w:val="center"/>
          </w:tcPr>
          <w:p w14:paraId="347AB588">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22C7087F">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586FB8D5">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1.13</w:t>
            </w:r>
          </w:p>
        </w:tc>
        <w:tc>
          <w:tcPr>
            <w:tcW w:w="1154" w:type="pct"/>
            <w:noWrap w:val="0"/>
            <w:vAlign w:val="center"/>
          </w:tcPr>
          <w:p w14:paraId="32257D39">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0.35</w:t>
            </w:r>
          </w:p>
        </w:tc>
        <w:tc>
          <w:tcPr>
            <w:tcW w:w="1165" w:type="pct"/>
            <w:noWrap w:val="0"/>
            <w:vAlign w:val="center"/>
          </w:tcPr>
          <w:p w14:paraId="5E213998">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7724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1991D63A">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restart"/>
            <w:noWrap w:val="0"/>
            <w:vAlign w:val="center"/>
          </w:tcPr>
          <w:p w14:paraId="0E8FAF0A">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2026.06.28</w:t>
            </w:r>
          </w:p>
        </w:tc>
        <w:tc>
          <w:tcPr>
            <w:tcW w:w="1320" w:type="pct"/>
            <w:noWrap w:val="0"/>
            <w:vAlign w:val="center"/>
          </w:tcPr>
          <w:p w14:paraId="114750EC">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1.04</w:t>
            </w:r>
          </w:p>
        </w:tc>
        <w:tc>
          <w:tcPr>
            <w:tcW w:w="1154" w:type="pct"/>
            <w:noWrap w:val="0"/>
            <w:vAlign w:val="center"/>
          </w:tcPr>
          <w:p w14:paraId="5D3549EE">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0.41</w:t>
            </w:r>
          </w:p>
        </w:tc>
        <w:tc>
          <w:tcPr>
            <w:tcW w:w="1165" w:type="pct"/>
            <w:noWrap w:val="0"/>
            <w:vAlign w:val="center"/>
          </w:tcPr>
          <w:p w14:paraId="4629EFC9">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4074F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7CF0A28B">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14DABB66">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60D00AC0">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1.12</w:t>
            </w:r>
          </w:p>
        </w:tc>
        <w:tc>
          <w:tcPr>
            <w:tcW w:w="1154" w:type="pct"/>
            <w:noWrap w:val="0"/>
            <w:vAlign w:val="center"/>
          </w:tcPr>
          <w:p w14:paraId="2E08B84D">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0.39</w:t>
            </w:r>
          </w:p>
        </w:tc>
        <w:tc>
          <w:tcPr>
            <w:tcW w:w="1165" w:type="pct"/>
            <w:noWrap w:val="0"/>
            <w:vAlign w:val="center"/>
          </w:tcPr>
          <w:p w14:paraId="7FD66095">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26AE2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26C171C6">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3035120B">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71C80DD6">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1.11</w:t>
            </w:r>
          </w:p>
        </w:tc>
        <w:tc>
          <w:tcPr>
            <w:tcW w:w="1154" w:type="pct"/>
            <w:noWrap w:val="0"/>
            <w:vAlign w:val="center"/>
          </w:tcPr>
          <w:p w14:paraId="4ED9BC98">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0.37</w:t>
            </w:r>
          </w:p>
        </w:tc>
        <w:tc>
          <w:tcPr>
            <w:tcW w:w="1165" w:type="pct"/>
            <w:noWrap w:val="0"/>
            <w:vAlign w:val="center"/>
          </w:tcPr>
          <w:p w14:paraId="7405B4C0">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6709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trPr>
        <w:tc>
          <w:tcPr>
            <w:tcW w:w="431" w:type="pct"/>
            <w:vMerge w:val="continue"/>
            <w:noWrap w:val="0"/>
            <w:vAlign w:val="center"/>
          </w:tcPr>
          <w:p w14:paraId="517EA943">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55CF4364">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0E86D501">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1.22</w:t>
            </w:r>
          </w:p>
        </w:tc>
        <w:tc>
          <w:tcPr>
            <w:tcW w:w="1154" w:type="pct"/>
            <w:noWrap w:val="0"/>
            <w:vAlign w:val="center"/>
          </w:tcPr>
          <w:p w14:paraId="38C58BA6">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0.43</w:t>
            </w:r>
          </w:p>
        </w:tc>
        <w:tc>
          <w:tcPr>
            <w:tcW w:w="1165" w:type="pct"/>
            <w:noWrap w:val="0"/>
            <w:vAlign w:val="center"/>
          </w:tcPr>
          <w:p w14:paraId="65F1DC1E">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0126A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3D7826A5">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restart"/>
            <w:noWrap w:val="0"/>
            <w:vAlign w:val="center"/>
          </w:tcPr>
          <w:p w14:paraId="5FB3E910">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2026.06.29</w:t>
            </w:r>
          </w:p>
        </w:tc>
        <w:tc>
          <w:tcPr>
            <w:tcW w:w="1320" w:type="pct"/>
            <w:noWrap w:val="0"/>
            <w:vAlign w:val="center"/>
          </w:tcPr>
          <w:p w14:paraId="38F6B147">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1.31</w:t>
            </w:r>
          </w:p>
        </w:tc>
        <w:tc>
          <w:tcPr>
            <w:tcW w:w="1154" w:type="pct"/>
            <w:noWrap w:val="0"/>
            <w:vAlign w:val="center"/>
          </w:tcPr>
          <w:p w14:paraId="5E95424E">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0.32</w:t>
            </w:r>
          </w:p>
        </w:tc>
        <w:tc>
          <w:tcPr>
            <w:tcW w:w="1165" w:type="pct"/>
            <w:noWrap w:val="0"/>
            <w:vAlign w:val="center"/>
          </w:tcPr>
          <w:p w14:paraId="4A850E7C">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42FD8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3BA9ADDF">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26B4D14B">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0323ED9C">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1.15</w:t>
            </w:r>
          </w:p>
        </w:tc>
        <w:tc>
          <w:tcPr>
            <w:tcW w:w="1154" w:type="pct"/>
            <w:noWrap w:val="0"/>
            <w:vAlign w:val="center"/>
          </w:tcPr>
          <w:p w14:paraId="7C69E33F">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0.37</w:t>
            </w:r>
          </w:p>
        </w:tc>
        <w:tc>
          <w:tcPr>
            <w:tcW w:w="1165" w:type="pct"/>
            <w:noWrap w:val="0"/>
            <w:vAlign w:val="center"/>
          </w:tcPr>
          <w:p w14:paraId="20648188">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304F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259FAFF7">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7D5F6E95">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1A8B69EB">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1.09</w:t>
            </w:r>
          </w:p>
        </w:tc>
        <w:tc>
          <w:tcPr>
            <w:tcW w:w="1154" w:type="pct"/>
            <w:noWrap w:val="0"/>
            <w:vAlign w:val="center"/>
          </w:tcPr>
          <w:p w14:paraId="291FAB5F">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0.47</w:t>
            </w:r>
          </w:p>
        </w:tc>
        <w:tc>
          <w:tcPr>
            <w:tcW w:w="1165" w:type="pct"/>
            <w:noWrap w:val="0"/>
            <w:vAlign w:val="center"/>
          </w:tcPr>
          <w:p w14:paraId="6C33CE2C">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14DC0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2A751D41">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7DDE0243">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31185FF1">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1.17</w:t>
            </w:r>
          </w:p>
        </w:tc>
        <w:tc>
          <w:tcPr>
            <w:tcW w:w="1154" w:type="pct"/>
            <w:noWrap w:val="0"/>
            <w:vAlign w:val="center"/>
          </w:tcPr>
          <w:p w14:paraId="23CD20CE">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0.32</w:t>
            </w:r>
          </w:p>
        </w:tc>
        <w:tc>
          <w:tcPr>
            <w:tcW w:w="1165" w:type="pct"/>
            <w:noWrap w:val="0"/>
            <w:vAlign w:val="center"/>
          </w:tcPr>
          <w:p w14:paraId="45D5D2E1">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49A0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77282D2E">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restart"/>
            <w:noWrap w:val="0"/>
            <w:vAlign w:val="center"/>
          </w:tcPr>
          <w:p w14:paraId="1E7E8E22">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2026.06.30</w:t>
            </w:r>
          </w:p>
        </w:tc>
        <w:tc>
          <w:tcPr>
            <w:tcW w:w="1320" w:type="pct"/>
            <w:noWrap w:val="0"/>
            <w:vAlign w:val="center"/>
          </w:tcPr>
          <w:p w14:paraId="7617DCAE">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1.16</w:t>
            </w:r>
          </w:p>
        </w:tc>
        <w:tc>
          <w:tcPr>
            <w:tcW w:w="1154" w:type="pct"/>
            <w:noWrap w:val="0"/>
            <w:vAlign w:val="center"/>
          </w:tcPr>
          <w:p w14:paraId="42A89522">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0.31</w:t>
            </w:r>
          </w:p>
        </w:tc>
        <w:tc>
          <w:tcPr>
            <w:tcW w:w="1165" w:type="pct"/>
            <w:noWrap w:val="0"/>
            <w:vAlign w:val="center"/>
          </w:tcPr>
          <w:p w14:paraId="3A5A4258">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2452F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4E50ABB1">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0AEDBDFA">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343DD09B">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1.22</w:t>
            </w:r>
          </w:p>
        </w:tc>
        <w:tc>
          <w:tcPr>
            <w:tcW w:w="1154" w:type="pct"/>
            <w:noWrap w:val="0"/>
            <w:vAlign w:val="center"/>
          </w:tcPr>
          <w:p w14:paraId="66D2C982">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0.45</w:t>
            </w:r>
          </w:p>
        </w:tc>
        <w:tc>
          <w:tcPr>
            <w:tcW w:w="1165" w:type="pct"/>
            <w:noWrap w:val="0"/>
            <w:vAlign w:val="center"/>
          </w:tcPr>
          <w:p w14:paraId="1015B656">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14DB0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222A4C1F">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19E7AFF5">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0D84636E">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1.27</w:t>
            </w:r>
          </w:p>
        </w:tc>
        <w:tc>
          <w:tcPr>
            <w:tcW w:w="1154" w:type="pct"/>
            <w:noWrap w:val="0"/>
            <w:vAlign w:val="center"/>
          </w:tcPr>
          <w:p w14:paraId="76344C97">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0.56</w:t>
            </w:r>
          </w:p>
        </w:tc>
        <w:tc>
          <w:tcPr>
            <w:tcW w:w="1165" w:type="pct"/>
            <w:noWrap w:val="0"/>
            <w:vAlign w:val="center"/>
          </w:tcPr>
          <w:p w14:paraId="2EC5BFAA">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47E69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35E6FE9D">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5758C7B8">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7668C6ED">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1.31</w:t>
            </w:r>
          </w:p>
        </w:tc>
        <w:tc>
          <w:tcPr>
            <w:tcW w:w="1154" w:type="pct"/>
            <w:noWrap w:val="0"/>
            <w:vAlign w:val="center"/>
          </w:tcPr>
          <w:p w14:paraId="06709F2F">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0.40</w:t>
            </w:r>
          </w:p>
        </w:tc>
        <w:tc>
          <w:tcPr>
            <w:tcW w:w="1165" w:type="pct"/>
            <w:noWrap w:val="0"/>
            <w:vAlign w:val="center"/>
          </w:tcPr>
          <w:p w14:paraId="067733A7">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20E69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62D4D15C">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restart"/>
            <w:noWrap w:val="0"/>
            <w:vAlign w:val="center"/>
          </w:tcPr>
          <w:p w14:paraId="122D4D48">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2026.07.01</w:t>
            </w:r>
          </w:p>
        </w:tc>
        <w:tc>
          <w:tcPr>
            <w:tcW w:w="1320" w:type="pct"/>
            <w:noWrap w:val="0"/>
            <w:vAlign w:val="center"/>
          </w:tcPr>
          <w:p w14:paraId="6E5B96D0">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1.35</w:t>
            </w:r>
          </w:p>
        </w:tc>
        <w:tc>
          <w:tcPr>
            <w:tcW w:w="1154" w:type="pct"/>
            <w:noWrap w:val="0"/>
            <w:vAlign w:val="center"/>
          </w:tcPr>
          <w:p w14:paraId="76A2A2FF">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0.39</w:t>
            </w:r>
          </w:p>
        </w:tc>
        <w:tc>
          <w:tcPr>
            <w:tcW w:w="1165" w:type="pct"/>
            <w:noWrap w:val="0"/>
            <w:vAlign w:val="center"/>
          </w:tcPr>
          <w:p w14:paraId="4A30E5FD">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38EE6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60CB1099">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3E21F17B">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6297F0AD">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1.43</w:t>
            </w:r>
          </w:p>
        </w:tc>
        <w:tc>
          <w:tcPr>
            <w:tcW w:w="1154" w:type="pct"/>
            <w:noWrap w:val="0"/>
            <w:vAlign w:val="center"/>
          </w:tcPr>
          <w:p w14:paraId="7024A8D7">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0.35</w:t>
            </w:r>
          </w:p>
        </w:tc>
        <w:tc>
          <w:tcPr>
            <w:tcW w:w="1165" w:type="pct"/>
            <w:noWrap w:val="0"/>
            <w:vAlign w:val="center"/>
          </w:tcPr>
          <w:p w14:paraId="2401AE64">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0F964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538A0AC6">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51264A7C">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46D3E139">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1.29</w:t>
            </w:r>
          </w:p>
        </w:tc>
        <w:tc>
          <w:tcPr>
            <w:tcW w:w="1154" w:type="pct"/>
            <w:noWrap w:val="0"/>
            <w:vAlign w:val="center"/>
          </w:tcPr>
          <w:p w14:paraId="6E2F688B">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0.39</w:t>
            </w:r>
          </w:p>
        </w:tc>
        <w:tc>
          <w:tcPr>
            <w:tcW w:w="1165" w:type="pct"/>
            <w:noWrap w:val="0"/>
            <w:vAlign w:val="center"/>
          </w:tcPr>
          <w:p w14:paraId="5D9BDD98">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122CC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5E72EFA4">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74A6CF2F">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76386DF5">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1.18</w:t>
            </w:r>
          </w:p>
        </w:tc>
        <w:tc>
          <w:tcPr>
            <w:tcW w:w="1154" w:type="pct"/>
            <w:noWrap w:val="0"/>
            <w:vAlign w:val="center"/>
          </w:tcPr>
          <w:p w14:paraId="1D92AFA5">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0.32</w:t>
            </w:r>
          </w:p>
        </w:tc>
        <w:tc>
          <w:tcPr>
            <w:tcW w:w="1165" w:type="pct"/>
            <w:noWrap w:val="0"/>
            <w:vAlign w:val="center"/>
          </w:tcPr>
          <w:p w14:paraId="79D20256">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70562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65B0751E">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restart"/>
            <w:noWrap w:val="0"/>
            <w:vAlign w:val="center"/>
          </w:tcPr>
          <w:p w14:paraId="42E37C90">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2026.07.02</w:t>
            </w:r>
          </w:p>
        </w:tc>
        <w:tc>
          <w:tcPr>
            <w:tcW w:w="1320" w:type="pct"/>
            <w:noWrap w:val="0"/>
            <w:vAlign w:val="center"/>
          </w:tcPr>
          <w:p w14:paraId="1F97DAE5">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1.09</w:t>
            </w:r>
          </w:p>
        </w:tc>
        <w:tc>
          <w:tcPr>
            <w:tcW w:w="1154" w:type="pct"/>
            <w:noWrap w:val="0"/>
            <w:vAlign w:val="center"/>
          </w:tcPr>
          <w:p w14:paraId="1EADB136">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0.35</w:t>
            </w:r>
          </w:p>
        </w:tc>
        <w:tc>
          <w:tcPr>
            <w:tcW w:w="1165" w:type="pct"/>
            <w:noWrap w:val="0"/>
            <w:vAlign w:val="center"/>
          </w:tcPr>
          <w:p w14:paraId="7A302A89">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03E1C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372C90D0">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40070A64">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702C78C7">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1.12</w:t>
            </w:r>
          </w:p>
        </w:tc>
        <w:tc>
          <w:tcPr>
            <w:tcW w:w="1154" w:type="pct"/>
            <w:noWrap w:val="0"/>
            <w:vAlign w:val="center"/>
          </w:tcPr>
          <w:p w14:paraId="752F2113">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0.47</w:t>
            </w:r>
          </w:p>
        </w:tc>
        <w:tc>
          <w:tcPr>
            <w:tcW w:w="1165" w:type="pct"/>
            <w:noWrap w:val="0"/>
            <w:vAlign w:val="center"/>
          </w:tcPr>
          <w:p w14:paraId="0A860112">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646F1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403FB492">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3D67B4DC">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7336C359">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1.21</w:t>
            </w:r>
          </w:p>
        </w:tc>
        <w:tc>
          <w:tcPr>
            <w:tcW w:w="1154" w:type="pct"/>
            <w:noWrap w:val="0"/>
            <w:vAlign w:val="center"/>
          </w:tcPr>
          <w:p w14:paraId="32E95CA6">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0.38</w:t>
            </w:r>
          </w:p>
        </w:tc>
        <w:tc>
          <w:tcPr>
            <w:tcW w:w="1165" w:type="pct"/>
            <w:noWrap w:val="0"/>
            <w:vAlign w:val="center"/>
          </w:tcPr>
          <w:p w14:paraId="415042AC">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36294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3911E99A">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10AAD592">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7BED6EB2">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1.12</w:t>
            </w:r>
          </w:p>
        </w:tc>
        <w:tc>
          <w:tcPr>
            <w:tcW w:w="1154" w:type="pct"/>
            <w:noWrap w:val="0"/>
            <w:vAlign w:val="center"/>
          </w:tcPr>
          <w:p w14:paraId="1B59FD06">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0.40</w:t>
            </w:r>
          </w:p>
        </w:tc>
        <w:tc>
          <w:tcPr>
            <w:tcW w:w="1165" w:type="pct"/>
            <w:noWrap w:val="0"/>
            <w:vAlign w:val="center"/>
          </w:tcPr>
          <w:p w14:paraId="5615805E">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3FB84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6864C7E0">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restart"/>
            <w:noWrap w:val="0"/>
            <w:vAlign w:val="center"/>
          </w:tcPr>
          <w:p w14:paraId="68A93E69">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2026.07.03</w:t>
            </w:r>
          </w:p>
        </w:tc>
        <w:tc>
          <w:tcPr>
            <w:tcW w:w="1320" w:type="pct"/>
            <w:noWrap w:val="0"/>
            <w:vAlign w:val="center"/>
          </w:tcPr>
          <w:p w14:paraId="1AC3B20E">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1.12</w:t>
            </w:r>
          </w:p>
        </w:tc>
        <w:tc>
          <w:tcPr>
            <w:tcW w:w="1154" w:type="pct"/>
            <w:noWrap w:val="0"/>
            <w:vAlign w:val="center"/>
          </w:tcPr>
          <w:p w14:paraId="1DE4089C">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0.39</w:t>
            </w:r>
          </w:p>
        </w:tc>
        <w:tc>
          <w:tcPr>
            <w:tcW w:w="1165" w:type="pct"/>
            <w:noWrap w:val="0"/>
            <w:vAlign w:val="center"/>
          </w:tcPr>
          <w:p w14:paraId="5828E0B9">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79F17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1B322357">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7926FF66">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67022AB4">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1.21</w:t>
            </w:r>
          </w:p>
        </w:tc>
        <w:tc>
          <w:tcPr>
            <w:tcW w:w="1154" w:type="pct"/>
            <w:noWrap w:val="0"/>
            <w:vAlign w:val="center"/>
          </w:tcPr>
          <w:p w14:paraId="4561CA52">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0.47</w:t>
            </w:r>
          </w:p>
        </w:tc>
        <w:tc>
          <w:tcPr>
            <w:tcW w:w="1165" w:type="pct"/>
            <w:noWrap w:val="0"/>
            <w:vAlign w:val="center"/>
          </w:tcPr>
          <w:p w14:paraId="570FBA2C">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5A888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0D080D46">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1AFE6731">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6E955301">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1.25</w:t>
            </w:r>
          </w:p>
        </w:tc>
        <w:tc>
          <w:tcPr>
            <w:tcW w:w="1154" w:type="pct"/>
            <w:noWrap w:val="0"/>
            <w:vAlign w:val="center"/>
          </w:tcPr>
          <w:p w14:paraId="18362C64">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0.39</w:t>
            </w:r>
          </w:p>
        </w:tc>
        <w:tc>
          <w:tcPr>
            <w:tcW w:w="1165" w:type="pct"/>
            <w:noWrap w:val="0"/>
            <w:vAlign w:val="center"/>
          </w:tcPr>
          <w:p w14:paraId="49449C76">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70AE5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Merge w:val="continue"/>
            <w:noWrap w:val="0"/>
            <w:vAlign w:val="center"/>
          </w:tcPr>
          <w:p w14:paraId="04E29438">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927" w:type="pct"/>
            <w:vMerge w:val="continue"/>
            <w:noWrap w:val="0"/>
            <w:vAlign w:val="center"/>
          </w:tcPr>
          <w:p w14:paraId="1F2ADFFE">
            <w:pPr>
              <w:widowControl w:val="0"/>
              <w:autoSpaceDE w:val="0"/>
              <w:autoSpaceDN w:val="0"/>
              <w:adjustRightInd w:val="0"/>
              <w:jc w:val="center"/>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1320" w:type="pct"/>
            <w:noWrap w:val="0"/>
            <w:vAlign w:val="center"/>
          </w:tcPr>
          <w:p w14:paraId="0E6BA80D">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1.15</w:t>
            </w:r>
          </w:p>
        </w:tc>
        <w:tc>
          <w:tcPr>
            <w:tcW w:w="1154" w:type="pct"/>
            <w:noWrap w:val="0"/>
            <w:vAlign w:val="center"/>
          </w:tcPr>
          <w:p w14:paraId="74F3EBF1">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0.41</w:t>
            </w:r>
          </w:p>
        </w:tc>
        <w:tc>
          <w:tcPr>
            <w:tcW w:w="1165" w:type="pct"/>
            <w:noWrap w:val="0"/>
            <w:vAlign w:val="center"/>
          </w:tcPr>
          <w:p w14:paraId="1BD49D40">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lang w:val="en-US" w:eastAsia="zh-CN"/>
                <w14:textFill>
                  <w14:solidFill>
                    <w14:schemeClr w14:val="tx1"/>
                  </w14:solidFill>
                </w14:textFill>
              </w:rPr>
              <w:t>ND</w:t>
            </w:r>
          </w:p>
        </w:tc>
      </w:tr>
      <w:tr w14:paraId="600B3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gridSpan w:val="2"/>
            <w:noWrap w:val="0"/>
            <w:vAlign w:val="center"/>
          </w:tcPr>
          <w:p w14:paraId="5607C00A">
            <w:pPr>
              <w:widowControl w:val="0"/>
              <w:jc w:val="center"/>
              <w:rPr>
                <w:rFonts w:ascii="Times New Roman" w:hAnsi="Times New Roman" w:eastAsia="宋体" w:cs="Times New Roman"/>
                <w:b/>
                <w:bCs/>
                <w:color w:val="000000" w:themeColor="text1"/>
                <w:kern w:val="1"/>
                <w:sz w:val="21"/>
                <w:szCs w:val="21"/>
                <w:lang w:val="en-US" w:eastAsia="zh-CN" w:bidi="ar-SA"/>
                <w14:textFill>
                  <w14:solidFill>
                    <w14:schemeClr w14:val="tx1"/>
                  </w14:solidFill>
                </w14:textFill>
              </w:rPr>
            </w:pPr>
            <w:r>
              <w:rPr>
                <w:rFonts w:hint="eastAsia" w:ascii="Times New Roman" w:hAnsi="Times New Roman" w:eastAsia="宋体" w:cs="黑体"/>
                <w:b/>
                <w:bCs/>
                <w:color w:val="000000" w:themeColor="text1"/>
                <w:kern w:val="1"/>
                <w:sz w:val="21"/>
                <w:szCs w:val="21"/>
                <w:lang w:val="en-US" w:eastAsia="zh-CN" w:bidi="ar-SA"/>
                <w14:textFill>
                  <w14:solidFill>
                    <w14:schemeClr w14:val="tx1"/>
                  </w14:solidFill>
                </w14:textFill>
              </w:rPr>
              <w:t>标准限值</w:t>
            </w:r>
            <w:r>
              <w:rPr>
                <w:rFonts w:hint="eastAsia" w:cs="黑体"/>
                <w:b/>
                <w:bCs/>
                <w:color w:val="000000" w:themeColor="text1"/>
                <w:kern w:val="1"/>
                <w:sz w:val="21"/>
                <w:szCs w:val="21"/>
                <w:lang w:val="en-US" w:eastAsia="zh-CN" w:bidi="ar-SA"/>
                <w14:textFill>
                  <w14:solidFill>
                    <w14:schemeClr w14:val="tx1"/>
                  </w14:solidFill>
                </w14:textFill>
              </w:rPr>
              <w:t>（</w:t>
            </w:r>
            <w:r>
              <w:rPr>
                <w:rFonts w:ascii="Times New Roman" w:hAnsi="Times New Roman" w:eastAsia="宋体" w:cs="黑体"/>
                <w:b/>
                <w:bCs/>
                <w:color w:val="000000" w:themeColor="text1"/>
                <w:kern w:val="1"/>
                <w:sz w:val="21"/>
                <w:szCs w:val="21"/>
                <w:lang w:val="en-US" w:eastAsia="zh-CN" w:bidi="ar-SA"/>
                <w14:textFill>
                  <w14:solidFill>
                    <w14:schemeClr w14:val="tx1"/>
                  </w14:solidFill>
                </w14:textFill>
              </w:rPr>
              <w:t>mg/m</w:t>
            </w:r>
            <w:r>
              <w:rPr>
                <w:rFonts w:ascii="Times New Roman" w:hAnsi="Times New Roman" w:eastAsia="宋体" w:cs="黑体"/>
                <w:b/>
                <w:bCs/>
                <w:color w:val="000000" w:themeColor="text1"/>
                <w:kern w:val="1"/>
                <w:sz w:val="21"/>
                <w:szCs w:val="21"/>
                <w:vertAlign w:val="superscript"/>
                <w:lang w:val="en-US" w:eastAsia="zh-CN" w:bidi="ar-SA"/>
                <w14:textFill>
                  <w14:solidFill>
                    <w14:schemeClr w14:val="tx1"/>
                  </w14:solidFill>
                </w14:textFill>
              </w:rPr>
              <w:t>3</w:t>
            </w:r>
            <w:r>
              <w:rPr>
                <w:rFonts w:hint="eastAsia" w:cs="黑体"/>
                <w:b/>
                <w:bCs/>
                <w:color w:val="000000" w:themeColor="text1"/>
                <w:kern w:val="1"/>
                <w:sz w:val="21"/>
                <w:szCs w:val="21"/>
                <w:lang w:val="en-US" w:eastAsia="zh-CN" w:bidi="ar-SA"/>
                <w14:textFill>
                  <w14:solidFill>
                    <w14:schemeClr w14:val="tx1"/>
                  </w14:solidFill>
                </w14:textFill>
              </w:rPr>
              <w:t>）</w:t>
            </w:r>
          </w:p>
        </w:tc>
        <w:tc>
          <w:tcPr>
            <w:tcW w:w="1320" w:type="pct"/>
            <w:noWrap w:val="0"/>
            <w:vAlign w:val="center"/>
          </w:tcPr>
          <w:p w14:paraId="78775CEB">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2.00</w:t>
            </w:r>
          </w:p>
        </w:tc>
        <w:tc>
          <w:tcPr>
            <w:tcW w:w="1154" w:type="pct"/>
            <w:noWrap w:val="0"/>
            <w:vAlign w:val="center"/>
          </w:tcPr>
          <w:p w14:paraId="484147E4">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10.00</w:t>
            </w:r>
          </w:p>
        </w:tc>
        <w:tc>
          <w:tcPr>
            <w:tcW w:w="1165" w:type="pct"/>
            <w:noWrap w:val="0"/>
            <w:vAlign w:val="center"/>
          </w:tcPr>
          <w:p w14:paraId="27EB585E">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0.005</w:t>
            </w:r>
          </w:p>
        </w:tc>
      </w:tr>
      <w:tr w14:paraId="20B4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gridSpan w:val="2"/>
            <w:noWrap w:val="0"/>
            <w:vAlign w:val="center"/>
          </w:tcPr>
          <w:p w14:paraId="404E8C32">
            <w:pPr>
              <w:widowControl w:val="0"/>
              <w:jc w:val="center"/>
              <w:rPr>
                <w:rFonts w:ascii="Times New Roman" w:hAnsi="Times New Roman" w:eastAsia="宋体" w:cs="Times New Roman"/>
                <w:b/>
                <w:bCs/>
                <w:color w:val="000000" w:themeColor="text1"/>
                <w:kern w:val="1"/>
                <w:sz w:val="21"/>
                <w:szCs w:val="21"/>
                <w:lang w:val="en-US" w:eastAsia="zh-CN" w:bidi="ar-SA"/>
                <w14:textFill>
                  <w14:solidFill>
                    <w14:schemeClr w14:val="tx1"/>
                  </w14:solidFill>
                </w14:textFill>
              </w:rPr>
            </w:pPr>
            <w:r>
              <w:rPr>
                <w:rFonts w:hint="eastAsia" w:ascii="Times New Roman" w:hAnsi="Times New Roman" w:eastAsia="宋体" w:cs="黑体"/>
                <w:b/>
                <w:bCs/>
                <w:color w:val="000000" w:themeColor="text1"/>
                <w:kern w:val="1"/>
                <w:sz w:val="21"/>
                <w:szCs w:val="21"/>
                <w:lang w:val="en-US" w:eastAsia="zh-CN" w:bidi="ar-SA"/>
                <w14:textFill>
                  <w14:solidFill>
                    <w14:schemeClr w14:val="tx1"/>
                  </w14:solidFill>
                </w14:textFill>
              </w:rPr>
              <w:t>超标率（%）</w:t>
            </w:r>
          </w:p>
        </w:tc>
        <w:tc>
          <w:tcPr>
            <w:tcW w:w="1320" w:type="pct"/>
            <w:noWrap w:val="0"/>
            <w:vAlign w:val="center"/>
          </w:tcPr>
          <w:p w14:paraId="5338A76E">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0</w:t>
            </w:r>
          </w:p>
        </w:tc>
        <w:tc>
          <w:tcPr>
            <w:tcW w:w="1154" w:type="pct"/>
            <w:noWrap w:val="0"/>
            <w:vAlign w:val="center"/>
          </w:tcPr>
          <w:p w14:paraId="5E9DFB9E">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1165" w:type="pct"/>
            <w:noWrap w:val="0"/>
            <w:vAlign w:val="center"/>
          </w:tcPr>
          <w:p w14:paraId="64FDC826">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r>
      <w:tr w14:paraId="6AA30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gridSpan w:val="2"/>
            <w:noWrap w:val="0"/>
            <w:vAlign w:val="center"/>
          </w:tcPr>
          <w:p w14:paraId="19322DEA">
            <w:pPr>
              <w:widowControl w:val="0"/>
              <w:jc w:val="center"/>
              <w:rPr>
                <w:rFonts w:ascii="Times New Roman" w:hAnsi="Times New Roman" w:eastAsia="宋体" w:cs="Times New Roman"/>
                <w:b/>
                <w:bCs/>
                <w:color w:val="000000" w:themeColor="text1"/>
                <w:kern w:val="1"/>
                <w:sz w:val="21"/>
                <w:szCs w:val="21"/>
                <w:lang w:val="en-US" w:eastAsia="zh-CN" w:bidi="ar-SA"/>
                <w14:textFill>
                  <w14:solidFill>
                    <w14:schemeClr w14:val="tx1"/>
                  </w14:solidFill>
                </w14:textFill>
              </w:rPr>
            </w:pPr>
            <w:r>
              <w:rPr>
                <w:rFonts w:hint="eastAsia" w:ascii="Times New Roman" w:hAnsi="Times New Roman" w:eastAsia="宋体" w:cs="黑体"/>
                <w:b/>
                <w:bCs/>
                <w:color w:val="000000" w:themeColor="text1"/>
                <w:kern w:val="1"/>
                <w:sz w:val="21"/>
                <w:szCs w:val="21"/>
                <w:lang w:val="en-US" w:eastAsia="zh-CN" w:bidi="ar-SA"/>
                <w14:textFill>
                  <w14:solidFill>
                    <w14:schemeClr w14:val="tx1"/>
                  </w14:solidFill>
                </w14:textFill>
              </w:rPr>
              <w:t>是否达标</w:t>
            </w:r>
          </w:p>
        </w:tc>
        <w:tc>
          <w:tcPr>
            <w:tcW w:w="1320" w:type="pct"/>
            <w:noWrap w:val="0"/>
            <w:vAlign w:val="center"/>
          </w:tcPr>
          <w:p w14:paraId="2A2BB40A">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达标</w:t>
            </w:r>
          </w:p>
        </w:tc>
        <w:tc>
          <w:tcPr>
            <w:tcW w:w="1154" w:type="pct"/>
            <w:noWrap w:val="0"/>
            <w:vAlign w:val="center"/>
          </w:tcPr>
          <w:p w14:paraId="0D51F0A0">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c>
          <w:tcPr>
            <w:tcW w:w="1165" w:type="pct"/>
            <w:noWrap w:val="0"/>
            <w:vAlign w:val="center"/>
          </w:tcPr>
          <w:p w14:paraId="7EFFD6E8">
            <w:pPr>
              <w:widowControl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r>
      <w:tr w14:paraId="7E9F3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noWrap w:val="0"/>
            <w:vAlign w:val="center"/>
          </w:tcPr>
          <w:p w14:paraId="3E216E2D">
            <w:pPr>
              <w:widowControl w:val="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注：</w:t>
            </w:r>
            <w:r>
              <w:rPr>
                <w:rFonts w:hint="eastAsia" w:cs="Times New Roman"/>
                <w:color w:val="000000" w:themeColor="text1"/>
                <w:kern w:val="2"/>
                <w:sz w:val="21"/>
                <w:szCs w:val="21"/>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ND</w:t>
            </w:r>
            <w:r>
              <w:rPr>
                <w:rFonts w:hint="eastAsia" w:cs="Times New Roman"/>
                <w:color w:val="000000" w:themeColor="text1"/>
                <w:kern w:val="2"/>
                <w:sz w:val="21"/>
                <w:szCs w:val="21"/>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表明未检出</w:t>
            </w:r>
          </w:p>
        </w:tc>
      </w:tr>
    </w:tbl>
    <w:p w14:paraId="3C263CAC">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p>
    <w:p w14:paraId="0C3F6C62">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表</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2.2-3</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NO</w:t>
      </w:r>
      <w:r>
        <w:rPr>
          <w:rFonts w:hint="eastAsia" w:ascii="Times New Roman" w:hAnsi="Times New Roman" w:eastAsia="宋体" w:cs="Times New Roman"/>
          <w:b/>
          <w:color w:val="000000" w:themeColor="text1"/>
          <w:kern w:val="2"/>
          <w:sz w:val="21"/>
          <w:szCs w:val="21"/>
          <w:vertAlign w:val="subscript"/>
          <w:lang w:val="en-US" w:eastAsia="zh-CN" w:bidi="ar-SA"/>
          <w14:textFill>
            <w14:solidFill>
              <w14:schemeClr w14:val="tx1"/>
            </w14:solidFill>
          </w14:textFill>
        </w:rPr>
        <w:t>2</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日平均值</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监测结果</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统计</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表</w:t>
      </w:r>
    </w:p>
    <w:tbl>
      <w:tblPr>
        <w:tblStyle w:val="3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2"/>
        <w:gridCol w:w="2376"/>
        <w:gridCol w:w="4220"/>
      </w:tblGrid>
      <w:tr w14:paraId="3DF86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restart"/>
            <w:vAlign w:val="center"/>
          </w:tcPr>
          <w:p w14:paraId="75D88A79">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ascii="Times New Roman" w:hAnsi="Times New Roman" w:eastAsia="宋体" w:cs="Times New Roman"/>
                <w:b/>
                <w:bCs/>
                <w:color w:val="000000" w:themeColor="text1"/>
                <w:sz w:val="21"/>
                <w:szCs w:val="21"/>
                <w:lang w:val="en-US" w:eastAsia="zh-CN" w:bidi="ar-SA"/>
                <w14:textFill>
                  <w14:solidFill>
                    <w14:schemeClr w14:val="tx1"/>
                  </w14:solidFill>
                </w14:textFill>
              </w:rPr>
              <w:t>监测点位</w:t>
            </w:r>
          </w:p>
        </w:tc>
        <w:tc>
          <w:tcPr>
            <w:tcW w:w="1310" w:type="pct"/>
            <w:vMerge w:val="restart"/>
            <w:vAlign w:val="center"/>
          </w:tcPr>
          <w:p w14:paraId="30756E28">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t>采样日期</w:t>
            </w:r>
          </w:p>
        </w:tc>
        <w:tc>
          <w:tcPr>
            <w:tcW w:w="2329" w:type="pct"/>
            <w:vAlign w:val="center"/>
          </w:tcPr>
          <w:p w14:paraId="18B569CF">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t>监测结果</w:t>
            </w:r>
          </w:p>
        </w:tc>
      </w:tr>
      <w:tr w14:paraId="6D972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continue"/>
            <w:vAlign w:val="center"/>
          </w:tcPr>
          <w:p w14:paraId="7F6BA86B">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1310" w:type="pct"/>
            <w:vMerge w:val="continue"/>
            <w:vAlign w:val="center"/>
          </w:tcPr>
          <w:p w14:paraId="464ACAC6">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2329" w:type="pct"/>
            <w:vAlign w:val="center"/>
          </w:tcPr>
          <w:p w14:paraId="25003915">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bidi="ar-SA"/>
                <w14:textFill>
                  <w14:solidFill>
                    <w14:schemeClr w14:val="tx1"/>
                  </w14:solidFill>
                </w14:textFill>
              </w:rPr>
              <w:t>NO</w:t>
            </w:r>
            <w:r>
              <w:rPr>
                <w:rFonts w:hint="eastAsia" w:ascii="Times New Roman" w:hAnsi="Times New Roman" w:eastAsia="宋体" w:cs="Times New Roman"/>
                <w:b/>
                <w:color w:val="000000" w:themeColor="text1"/>
                <w:sz w:val="21"/>
                <w:szCs w:val="21"/>
                <w:vertAlign w:val="subscript"/>
                <w:lang w:val="en-US" w:eastAsia="zh-CN" w:bidi="ar-SA"/>
                <w14:textFill>
                  <w14:solidFill>
                    <w14:schemeClr w14:val="tx1"/>
                  </w14:solidFill>
                </w14:textFill>
              </w:rPr>
              <w:t>2</w:t>
            </w:r>
            <w:r>
              <w:rPr>
                <w:rFonts w:ascii="Times New Roman" w:hAnsi="Times New Roman" w:eastAsia="宋体" w:cs="Times New Roman"/>
                <w:b/>
                <w:color w:val="000000" w:themeColor="text1"/>
                <w:sz w:val="21"/>
                <w:szCs w:val="21"/>
                <w:lang w:val="en-US" w:eastAsia="zh-CN" w:bidi="ar-SA"/>
                <w14:textFill>
                  <w14:solidFill>
                    <w14:schemeClr w14:val="tx1"/>
                  </w14:solidFill>
                </w14:textFill>
              </w:rPr>
              <w:t>（mg/m</w:t>
            </w:r>
            <w:r>
              <w:rPr>
                <w:rFonts w:ascii="Times New Roman" w:hAnsi="Times New Roman" w:eastAsia="宋体" w:cs="Times New Roman"/>
                <w:b/>
                <w:color w:val="000000" w:themeColor="text1"/>
                <w:sz w:val="21"/>
                <w:szCs w:val="21"/>
                <w:vertAlign w:val="superscript"/>
                <w:lang w:val="en-US" w:eastAsia="zh-CN" w:bidi="ar-SA"/>
                <w14:textFill>
                  <w14:solidFill>
                    <w14:schemeClr w14:val="tx1"/>
                  </w14:solidFill>
                </w14:textFill>
              </w:rPr>
              <w:t>3</w:t>
            </w:r>
            <w:r>
              <w:rPr>
                <w:rFonts w:ascii="Times New Roman" w:hAnsi="Times New Roman" w:eastAsia="宋体" w:cs="Times New Roman"/>
                <w:b/>
                <w:color w:val="000000" w:themeColor="text1"/>
                <w:sz w:val="21"/>
                <w:szCs w:val="21"/>
                <w:lang w:val="en-US" w:eastAsia="zh-CN" w:bidi="ar-SA"/>
                <w14:textFill>
                  <w14:solidFill>
                    <w14:schemeClr w14:val="tx1"/>
                  </w14:solidFill>
                </w14:textFill>
              </w:rPr>
              <w:t>）</w:t>
            </w:r>
          </w:p>
        </w:tc>
      </w:tr>
      <w:tr w14:paraId="03EEE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restart"/>
            <w:vAlign w:val="center"/>
          </w:tcPr>
          <w:p w14:paraId="3CAAB38C">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t>A2，翠柏自然保护区1个点位</w:t>
            </w:r>
          </w:p>
        </w:tc>
        <w:tc>
          <w:tcPr>
            <w:tcW w:w="1310" w:type="pct"/>
            <w:vAlign w:val="center"/>
          </w:tcPr>
          <w:p w14:paraId="19B1B5C6">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2026.06.27</w:t>
            </w:r>
          </w:p>
        </w:tc>
        <w:tc>
          <w:tcPr>
            <w:tcW w:w="2329" w:type="pct"/>
            <w:vAlign w:val="center"/>
          </w:tcPr>
          <w:p w14:paraId="0A9E5AB7">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0.017</w:t>
            </w:r>
          </w:p>
        </w:tc>
      </w:tr>
      <w:tr w14:paraId="60672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continue"/>
            <w:vAlign w:val="center"/>
          </w:tcPr>
          <w:p w14:paraId="2D1ACD22">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1310" w:type="pct"/>
            <w:vAlign w:val="center"/>
          </w:tcPr>
          <w:p w14:paraId="0E15BDCC">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2026.06.28</w:t>
            </w:r>
          </w:p>
        </w:tc>
        <w:tc>
          <w:tcPr>
            <w:tcW w:w="2329" w:type="pct"/>
            <w:vAlign w:val="center"/>
          </w:tcPr>
          <w:p w14:paraId="5080242D">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0.015</w:t>
            </w:r>
          </w:p>
        </w:tc>
      </w:tr>
      <w:tr w14:paraId="30D05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continue"/>
            <w:vAlign w:val="center"/>
          </w:tcPr>
          <w:p w14:paraId="52D815B5">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1310" w:type="pct"/>
            <w:vAlign w:val="center"/>
          </w:tcPr>
          <w:p w14:paraId="5B96D8F8">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2026.06.29</w:t>
            </w:r>
          </w:p>
        </w:tc>
        <w:tc>
          <w:tcPr>
            <w:tcW w:w="2329" w:type="pct"/>
            <w:vAlign w:val="center"/>
          </w:tcPr>
          <w:p w14:paraId="3F4D00CC">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0.016</w:t>
            </w:r>
          </w:p>
        </w:tc>
      </w:tr>
      <w:tr w14:paraId="1079F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continue"/>
            <w:vAlign w:val="center"/>
          </w:tcPr>
          <w:p w14:paraId="2AA21413">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1310" w:type="pct"/>
            <w:vAlign w:val="center"/>
          </w:tcPr>
          <w:p w14:paraId="0230A490">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2026.06.30</w:t>
            </w:r>
          </w:p>
        </w:tc>
        <w:tc>
          <w:tcPr>
            <w:tcW w:w="2329" w:type="pct"/>
            <w:vAlign w:val="center"/>
          </w:tcPr>
          <w:p w14:paraId="45B5693F">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0.015</w:t>
            </w:r>
          </w:p>
        </w:tc>
      </w:tr>
      <w:tr w14:paraId="6399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continue"/>
            <w:vAlign w:val="center"/>
          </w:tcPr>
          <w:p w14:paraId="1AC90752">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1310" w:type="pct"/>
            <w:vAlign w:val="center"/>
          </w:tcPr>
          <w:p w14:paraId="759B52DF">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2026.07.01</w:t>
            </w:r>
          </w:p>
        </w:tc>
        <w:tc>
          <w:tcPr>
            <w:tcW w:w="2329" w:type="pct"/>
            <w:vAlign w:val="center"/>
          </w:tcPr>
          <w:p w14:paraId="08E1B24E">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0.016</w:t>
            </w:r>
          </w:p>
        </w:tc>
      </w:tr>
      <w:tr w14:paraId="5EE9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continue"/>
            <w:vAlign w:val="center"/>
          </w:tcPr>
          <w:p w14:paraId="6DE8EA63">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1310" w:type="pct"/>
            <w:vAlign w:val="center"/>
          </w:tcPr>
          <w:p w14:paraId="71B716F4">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2026.07.02</w:t>
            </w:r>
          </w:p>
        </w:tc>
        <w:tc>
          <w:tcPr>
            <w:tcW w:w="2329" w:type="pct"/>
            <w:vAlign w:val="center"/>
          </w:tcPr>
          <w:p w14:paraId="0852F59E">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0.016</w:t>
            </w:r>
          </w:p>
        </w:tc>
      </w:tr>
      <w:tr w14:paraId="75DD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continue"/>
            <w:vAlign w:val="center"/>
          </w:tcPr>
          <w:p w14:paraId="50B2E5E0">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1310" w:type="pct"/>
            <w:vAlign w:val="center"/>
          </w:tcPr>
          <w:p w14:paraId="490E39A5">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2026.07.03</w:t>
            </w:r>
          </w:p>
        </w:tc>
        <w:tc>
          <w:tcPr>
            <w:tcW w:w="2329" w:type="pct"/>
            <w:vAlign w:val="center"/>
          </w:tcPr>
          <w:p w14:paraId="6E990CC9">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0.015</w:t>
            </w:r>
          </w:p>
        </w:tc>
      </w:tr>
      <w:tr w14:paraId="48734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0" w:type="pct"/>
            <w:gridSpan w:val="2"/>
            <w:vAlign w:val="center"/>
          </w:tcPr>
          <w:p w14:paraId="5C52A5D7">
            <w:pPr>
              <w:widowControl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黑体"/>
                <w:b/>
                <w:bCs/>
                <w:color w:val="000000" w:themeColor="text1"/>
                <w:kern w:val="1"/>
                <w:sz w:val="21"/>
                <w:szCs w:val="21"/>
                <w:lang w:val="en-US" w:eastAsia="zh-CN" w:bidi="ar-SA"/>
                <w14:textFill>
                  <w14:solidFill>
                    <w14:schemeClr w14:val="tx1"/>
                  </w14:solidFill>
                </w14:textFill>
              </w:rPr>
              <w:t>标准限值</w:t>
            </w:r>
            <w:r>
              <w:rPr>
                <w:rFonts w:hint="eastAsia" w:cs="黑体"/>
                <w:b/>
                <w:bCs/>
                <w:color w:val="000000" w:themeColor="text1"/>
                <w:kern w:val="1"/>
                <w:sz w:val="21"/>
                <w:szCs w:val="21"/>
                <w:lang w:val="en-US" w:eastAsia="zh-CN" w:bidi="ar-SA"/>
                <w14:textFill>
                  <w14:solidFill>
                    <w14:schemeClr w14:val="tx1"/>
                  </w14:solidFill>
                </w14:textFill>
              </w:rPr>
              <w:t>（</w:t>
            </w:r>
            <w:r>
              <w:rPr>
                <w:rFonts w:ascii="Times New Roman" w:hAnsi="Times New Roman" w:eastAsia="宋体" w:cs="黑体"/>
                <w:b/>
                <w:bCs/>
                <w:color w:val="000000" w:themeColor="text1"/>
                <w:kern w:val="1"/>
                <w:sz w:val="21"/>
                <w:szCs w:val="21"/>
                <w:lang w:val="en-US" w:eastAsia="zh-CN" w:bidi="ar-SA"/>
                <w14:textFill>
                  <w14:solidFill>
                    <w14:schemeClr w14:val="tx1"/>
                  </w14:solidFill>
                </w14:textFill>
              </w:rPr>
              <w:t>mg/m</w:t>
            </w:r>
            <w:r>
              <w:rPr>
                <w:rFonts w:ascii="Times New Roman" w:hAnsi="Times New Roman" w:eastAsia="宋体" w:cs="黑体"/>
                <w:b/>
                <w:bCs/>
                <w:color w:val="000000" w:themeColor="text1"/>
                <w:kern w:val="1"/>
                <w:sz w:val="21"/>
                <w:szCs w:val="21"/>
                <w:vertAlign w:val="superscript"/>
                <w:lang w:val="en-US" w:eastAsia="zh-CN" w:bidi="ar-SA"/>
                <w14:textFill>
                  <w14:solidFill>
                    <w14:schemeClr w14:val="tx1"/>
                  </w14:solidFill>
                </w14:textFill>
              </w:rPr>
              <w:t>3</w:t>
            </w:r>
            <w:r>
              <w:rPr>
                <w:rFonts w:hint="eastAsia" w:cs="黑体"/>
                <w:b/>
                <w:bCs/>
                <w:color w:val="000000" w:themeColor="text1"/>
                <w:kern w:val="1"/>
                <w:sz w:val="21"/>
                <w:szCs w:val="21"/>
                <w:lang w:val="en-US" w:eastAsia="zh-CN" w:bidi="ar-SA"/>
                <w14:textFill>
                  <w14:solidFill>
                    <w14:schemeClr w14:val="tx1"/>
                  </w14:solidFill>
                </w14:textFill>
              </w:rPr>
              <w:t>）</w:t>
            </w:r>
          </w:p>
        </w:tc>
        <w:tc>
          <w:tcPr>
            <w:tcW w:w="2329" w:type="pct"/>
            <w:vAlign w:val="center"/>
          </w:tcPr>
          <w:p w14:paraId="2ACA05DE">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t>0.080</w:t>
            </w:r>
          </w:p>
        </w:tc>
      </w:tr>
      <w:tr w14:paraId="26881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0" w:type="pct"/>
            <w:gridSpan w:val="2"/>
            <w:vAlign w:val="center"/>
          </w:tcPr>
          <w:p w14:paraId="24782C85">
            <w:pPr>
              <w:widowControl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黑体"/>
                <w:b/>
                <w:bCs/>
                <w:color w:val="000000" w:themeColor="text1"/>
                <w:kern w:val="1"/>
                <w:sz w:val="21"/>
                <w:szCs w:val="21"/>
                <w:lang w:val="en-US" w:eastAsia="zh-CN" w:bidi="ar-SA"/>
                <w14:textFill>
                  <w14:solidFill>
                    <w14:schemeClr w14:val="tx1"/>
                  </w14:solidFill>
                </w14:textFill>
              </w:rPr>
              <w:t>超标率（%）</w:t>
            </w:r>
          </w:p>
        </w:tc>
        <w:tc>
          <w:tcPr>
            <w:tcW w:w="2329" w:type="pct"/>
            <w:vAlign w:val="center"/>
          </w:tcPr>
          <w:p w14:paraId="61A2C8F8">
            <w:pPr>
              <w:widowControl w:val="0"/>
              <w:jc w:val="cente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r>
      <w:tr w14:paraId="14723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0" w:type="pct"/>
            <w:gridSpan w:val="2"/>
            <w:vAlign w:val="center"/>
          </w:tcPr>
          <w:p w14:paraId="24D770E4">
            <w:pPr>
              <w:widowControl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黑体"/>
                <w:b/>
                <w:bCs/>
                <w:color w:val="000000" w:themeColor="text1"/>
                <w:kern w:val="1"/>
                <w:sz w:val="21"/>
                <w:szCs w:val="21"/>
                <w:lang w:val="en-US" w:eastAsia="zh-CN" w:bidi="ar-SA"/>
                <w14:textFill>
                  <w14:solidFill>
                    <w14:schemeClr w14:val="tx1"/>
                  </w14:solidFill>
                </w14:textFill>
              </w:rPr>
              <w:t>是否达标</w:t>
            </w:r>
          </w:p>
        </w:tc>
        <w:tc>
          <w:tcPr>
            <w:tcW w:w="2329" w:type="pct"/>
            <w:vAlign w:val="center"/>
          </w:tcPr>
          <w:p w14:paraId="6609CA2D">
            <w:pPr>
              <w:widowControl w:val="0"/>
              <w:jc w:val="cente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r>
    </w:tbl>
    <w:p w14:paraId="2CC78D05">
      <w:pPr>
        <w:widowControl w:val="0"/>
        <w:autoSpaceDE w:val="0"/>
        <w:autoSpaceDN w:val="0"/>
        <w:adjustRightInd w:val="0"/>
        <w:jc w:val="cente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表</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2.2-</w:t>
      </w:r>
      <w:r>
        <w:rPr>
          <w:rFonts w:hint="eastAsia" w:cs="Times New Roman"/>
          <w:b/>
          <w:color w:val="000000" w:themeColor="text1"/>
          <w:kern w:val="2"/>
          <w:sz w:val="21"/>
          <w:szCs w:val="21"/>
          <w:lang w:val="en-US" w:eastAsia="zh-CN" w:bidi="ar-SA"/>
          <w14:textFill>
            <w14:solidFill>
              <w14:schemeClr w14:val="tx1"/>
            </w14:solidFill>
          </w14:textFill>
        </w:rPr>
        <w:t>4</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 xml:space="preserve">  </w:t>
      </w:r>
      <w:r>
        <w:rPr>
          <w:rFonts w:hint="eastAsia" w:cs="Times New Roman"/>
          <w:b/>
          <w:color w:val="000000" w:themeColor="text1"/>
          <w:kern w:val="2"/>
          <w:sz w:val="21"/>
          <w:szCs w:val="21"/>
          <w:lang w:val="en-US" w:eastAsia="zh-CN" w:bidi="ar-SA"/>
          <w14:textFill>
            <w14:solidFill>
              <w14:schemeClr w14:val="tx1"/>
            </w14:solidFill>
          </w14:textFill>
        </w:rPr>
        <w:t>CO</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日平均值</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监测结果</w:t>
      </w:r>
      <w:r>
        <w:rPr>
          <w:rFonts w:hint="eastAsia" w:ascii="Times New Roman" w:hAnsi="Times New Roman" w:eastAsia="宋体" w:cs="Times New Roman"/>
          <w:b/>
          <w:color w:val="000000" w:themeColor="text1"/>
          <w:kern w:val="2"/>
          <w:sz w:val="21"/>
          <w:szCs w:val="21"/>
          <w:lang w:val="en-US" w:eastAsia="zh-CN" w:bidi="ar-SA"/>
          <w14:textFill>
            <w14:solidFill>
              <w14:schemeClr w14:val="tx1"/>
            </w14:solidFill>
          </w14:textFill>
        </w:rPr>
        <w:t>统计</w:t>
      </w:r>
      <w:r>
        <w:rPr>
          <w:rFonts w:ascii="Times New Roman" w:hAnsi="Times New Roman" w:eastAsia="宋体" w:cs="Times New Roman"/>
          <w:b/>
          <w:color w:val="000000" w:themeColor="text1"/>
          <w:kern w:val="2"/>
          <w:sz w:val="21"/>
          <w:szCs w:val="21"/>
          <w:lang w:val="en-US" w:eastAsia="zh-CN" w:bidi="ar-SA"/>
          <w14:textFill>
            <w14:solidFill>
              <w14:schemeClr w14:val="tx1"/>
            </w14:solidFill>
          </w14:textFill>
        </w:rPr>
        <w:t>表</w:t>
      </w:r>
    </w:p>
    <w:tbl>
      <w:tblPr>
        <w:tblStyle w:val="3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2"/>
        <w:gridCol w:w="2376"/>
        <w:gridCol w:w="4220"/>
      </w:tblGrid>
      <w:tr w14:paraId="02F7E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restart"/>
            <w:vAlign w:val="center"/>
          </w:tcPr>
          <w:p w14:paraId="439B786F">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ascii="Times New Roman" w:hAnsi="Times New Roman" w:eastAsia="宋体" w:cs="Times New Roman"/>
                <w:b/>
                <w:bCs/>
                <w:color w:val="000000" w:themeColor="text1"/>
                <w:sz w:val="21"/>
                <w:szCs w:val="21"/>
                <w:lang w:val="en-US" w:eastAsia="zh-CN" w:bidi="ar-SA"/>
                <w14:textFill>
                  <w14:solidFill>
                    <w14:schemeClr w14:val="tx1"/>
                  </w14:solidFill>
                </w14:textFill>
              </w:rPr>
              <w:t>监测点位</w:t>
            </w:r>
          </w:p>
        </w:tc>
        <w:tc>
          <w:tcPr>
            <w:tcW w:w="1310" w:type="pct"/>
            <w:vMerge w:val="restart"/>
            <w:vAlign w:val="center"/>
          </w:tcPr>
          <w:p w14:paraId="03855271">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t>采样日期</w:t>
            </w:r>
          </w:p>
        </w:tc>
        <w:tc>
          <w:tcPr>
            <w:tcW w:w="2329" w:type="pct"/>
            <w:vAlign w:val="center"/>
          </w:tcPr>
          <w:p w14:paraId="49F78C06">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bidi="ar-SA"/>
                <w14:textFill>
                  <w14:solidFill>
                    <w14:schemeClr w14:val="tx1"/>
                  </w14:solidFill>
                </w14:textFill>
              </w:rPr>
              <w:t>监测结果</w:t>
            </w:r>
          </w:p>
        </w:tc>
      </w:tr>
      <w:tr w14:paraId="3334B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continue"/>
            <w:vAlign w:val="center"/>
          </w:tcPr>
          <w:p w14:paraId="21D1B2F6">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1310" w:type="pct"/>
            <w:vMerge w:val="continue"/>
            <w:vAlign w:val="center"/>
          </w:tcPr>
          <w:p w14:paraId="6E6D54F3">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2329" w:type="pct"/>
            <w:vAlign w:val="center"/>
          </w:tcPr>
          <w:p w14:paraId="0EA1E159">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cs="Times New Roman"/>
                <w:b/>
                <w:color w:val="000000" w:themeColor="text1"/>
                <w:sz w:val="21"/>
                <w:szCs w:val="21"/>
                <w:lang w:val="en-US" w:eastAsia="zh-CN" w:bidi="ar-SA"/>
                <w14:textFill>
                  <w14:solidFill>
                    <w14:schemeClr w14:val="tx1"/>
                  </w14:solidFill>
                </w14:textFill>
              </w:rPr>
              <w:t>CO</w:t>
            </w:r>
            <w:r>
              <w:rPr>
                <w:rFonts w:ascii="Times New Roman" w:hAnsi="Times New Roman" w:eastAsia="宋体" w:cs="Times New Roman"/>
                <w:b/>
                <w:color w:val="000000" w:themeColor="text1"/>
                <w:sz w:val="21"/>
                <w:szCs w:val="21"/>
                <w:lang w:val="en-US" w:eastAsia="zh-CN" w:bidi="ar-SA"/>
                <w14:textFill>
                  <w14:solidFill>
                    <w14:schemeClr w14:val="tx1"/>
                  </w14:solidFill>
                </w14:textFill>
              </w:rPr>
              <w:t>（mg/m</w:t>
            </w:r>
            <w:r>
              <w:rPr>
                <w:rFonts w:ascii="Times New Roman" w:hAnsi="Times New Roman" w:eastAsia="宋体" w:cs="Times New Roman"/>
                <w:b/>
                <w:color w:val="000000" w:themeColor="text1"/>
                <w:sz w:val="21"/>
                <w:szCs w:val="21"/>
                <w:vertAlign w:val="superscript"/>
                <w:lang w:val="en-US" w:eastAsia="zh-CN" w:bidi="ar-SA"/>
                <w14:textFill>
                  <w14:solidFill>
                    <w14:schemeClr w14:val="tx1"/>
                  </w14:solidFill>
                </w14:textFill>
              </w:rPr>
              <w:t>3</w:t>
            </w:r>
            <w:r>
              <w:rPr>
                <w:rFonts w:ascii="Times New Roman" w:hAnsi="Times New Roman" w:eastAsia="宋体" w:cs="Times New Roman"/>
                <w:b/>
                <w:color w:val="000000" w:themeColor="text1"/>
                <w:sz w:val="21"/>
                <w:szCs w:val="21"/>
                <w:lang w:val="en-US" w:eastAsia="zh-CN" w:bidi="ar-SA"/>
                <w14:textFill>
                  <w14:solidFill>
                    <w14:schemeClr w14:val="tx1"/>
                  </w14:solidFill>
                </w14:textFill>
              </w:rPr>
              <w:t>）</w:t>
            </w:r>
          </w:p>
        </w:tc>
      </w:tr>
      <w:tr w14:paraId="2BC8C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restart"/>
            <w:vAlign w:val="center"/>
          </w:tcPr>
          <w:p w14:paraId="317A8585">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t>A2，翠柏自然保护区1个点位</w:t>
            </w:r>
          </w:p>
        </w:tc>
        <w:tc>
          <w:tcPr>
            <w:tcW w:w="1310" w:type="pct"/>
            <w:vAlign w:val="center"/>
          </w:tcPr>
          <w:p w14:paraId="13677AB4">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2026.06.27</w:t>
            </w:r>
          </w:p>
        </w:tc>
        <w:tc>
          <w:tcPr>
            <w:tcW w:w="4220" w:type="dxa"/>
            <w:vAlign w:val="center"/>
          </w:tcPr>
          <w:p w14:paraId="484C711B">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0.41</w:t>
            </w:r>
          </w:p>
        </w:tc>
      </w:tr>
      <w:tr w14:paraId="0729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continue"/>
            <w:vAlign w:val="center"/>
          </w:tcPr>
          <w:p w14:paraId="5F2BC04A">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1310" w:type="pct"/>
            <w:vAlign w:val="center"/>
          </w:tcPr>
          <w:p w14:paraId="4962C17A">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2026.06.28</w:t>
            </w:r>
          </w:p>
        </w:tc>
        <w:tc>
          <w:tcPr>
            <w:tcW w:w="4220" w:type="dxa"/>
            <w:vAlign w:val="center"/>
          </w:tcPr>
          <w:p w14:paraId="615C0434">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0.43</w:t>
            </w:r>
          </w:p>
        </w:tc>
      </w:tr>
      <w:tr w14:paraId="1A7E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continue"/>
            <w:vAlign w:val="center"/>
          </w:tcPr>
          <w:p w14:paraId="0BACAE0C">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1310" w:type="pct"/>
            <w:vAlign w:val="center"/>
          </w:tcPr>
          <w:p w14:paraId="1716028A">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2026.06.29</w:t>
            </w:r>
          </w:p>
        </w:tc>
        <w:tc>
          <w:tcPr>
            <w:tcW w:w="4220" w:type="dxa"/>
            <w:vAlign w:val="center"/>
          </w:tcPr>
          <w:p w14:paraId="7C12BBAF">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0.39</w:t>
            </w:r>
          </w:p>
        </w:tc>
      </w:tr>
      <w:tr w14:paraId="2FC2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continue"/>
            <w:vAlign w:val="center"/>
          </w:tcPr>
          <w:p w14:paraId="75F7A99A">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1310" w:type="pct"/>
            <w:vAlign w:val="center"/>
          </w:tcPr>
          <w:p w14:paraId="2DF5BD86">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2026.06.30</w:t>
            </w:r>
          </w:p>
        </w:tc>
        <w:tc>
          <w:tcPr>
            <w:tcW w:w="4220" w:type="dxa"/>
            <w:vAlign w:val="center"/>
          </w:tcPr>
          <w:p w14:paraId="6EB0AB78">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0.49</w:t>
            </w:r>
          </w:p>
        </w:tc>
      </w:tr>
      <w:tr w14:paraId="47C77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continue"/>
            <w:vAlign w:val="center"/>
          </w:tcPr>
          <w:p w14:paraId="4B120A00">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1310" w:type="pct"/>
            <w:vAlign w:val="center"/>
          </w:tcPr>
          <w:p w14:paraId="650FCB57">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2026.07.01</w:t>
            </w:r>
          </w:p>
        </w:tc>
        <w:tc>
          <w:tcPr>
            <w:tcW w:w="4220" w:type="dxa"/>
            <w:vAlign w:val="center"/>
          </w:tcPr>
          <w:p w14:paraId="0D9E20B5">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0.45</w:t>
            </w:r>
          </w:p>
        </w:tc>
      </w:tr>
      <w:tr w14:paraId="35C0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continue"/>
            <w:vAlign w:val="center"/>
          </w:tcPr>
          <w:p w14:paraId="4F01AFFB">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1310" w:type="pct"/>
            <w:vAlign w:val="center"/>
          </w:tcPr>
          <w:p w14:paraId="6C5D04E5">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2026.07.02</w:t>
            </w:r>
          </w:p>
        </w:tc>
        <w:tc>
          <w:tcPr>
            <w:tcW w:w="4220" w:type="dxa"/>
            <w:vAlign w:val="center"/>
          </w:tcPr>
          <w:p w14:paraId="72CB2E3E">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0.48</w:t>
            </w:r>
          </w:p>
        </w:tc>
      </w:tr>
      <w:tr w14:paraId="6559E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pct"/>
            <w:vMerge w:val="continue"/>
            <w:vAlign w:val="center"/>
          </w:tcPr>
          <w:p w14:paraId="69A0A333">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p>
        </w:tc>
        <w:tc>
          <w:tcPr>
            <w:tcW w:w="1310" w:type="pct"/>
            <w:vAlign w:val="center"/>
          </w:tcPr>
          <w:p w14:paraId="189F5130">
            <w:pPr>
              <w:widowControl w:val="0"/>
              <w:autoSpaceDE w:val="0"/>
              <w:autoSpaceDN w:val="0"/>
              <w:adjustRightInd w:val="0"/>
              <w:jc w:val="center"/>
              <w:rPr>
                <w:rFonts w:ascii="Times New Roman" w:hAnsi="Times New Roman" w:eastAsia="宋体" w:cs="Times New Roman"/>
                <w:b/>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2026.07.03</w:t>
            </w:r>
          </w:p>
        </w:tc>
        <w:tc>
          <w:tcPr>
            <w:tcW w:w="4220" w:type="dxa"/>
            <w:vAlign w:val="center"/>
          </w:tcPr>
          <w:p w14:paraId="7C11AF1D">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0.51</w:t>
            </w:r>
          </w:p>
        </w:tc>
      </w:tr>
      <w:tr w14:paraId="24CC0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0" w:type="pct"/>
            <w:gridSpan w:val="2"/>
            <w:vAlign w:val="center"/>
          </w:tcPr>
          <w:p w14:paraId="196D6104">
            <w:pPr>
              <w:widowControl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黑体"/>
                <w:b/>
                <w:bCs/>
                <w:color w:val="000000" w:themeColor="text1"/>
                <w:kern w:val="1"/>
                <w:sz w:val="21"/>
                <w:szCs w:val="21"/>
                <w:lang w:val="en-US" w:eastAsia="zh-CN" w:bidi="ar-SA"/>
                <w14:textFill>
                  <w14:solidFill>
                    <w14:schemeClr w14:val="tx1"/>
                  </w14:solidFill>
                </w14:textFill>
              </w:rPr>
              <w:t>标准限值</w:t>
            </w:r>
            <w:r>
              <w:rPr>
                <w:rFonts w:hint="eastAsia" w:cs="黑体"/>
                <w:b/>
                <w:bCs/>
                <w:color w:val="000000" w:themeColor="text1"/>
                <w:kern w:val="1"/>
                <w:sz w:val="21"/>
                <w:szCs w:val="21"/>
                <w:lang w:val="en-US" w:eastAsia="zh-CN" w:bidi="ar-SA"/>
                <w14:textFill>
                  <w14:solidFill>
                    <w14:schemeClr w14:val="tx1"/>
                  </w14:solidFill>
                </w14:textFill>
              </w:rPr>
              <w:t>（</w:t>
            </w:r>
            <w:r>
              <w:rPr>
                <w:rFonts w:ascii="Times New Roman" w:hAnsi="Times New Roman" w:eastAsia="宋体" w:cs="黑体"/>
                <w:b/>
                <w:bCs/>
                <w:color w:val="000000" w:themeColor="text1"/>
                <w:kern w:val="1"/>
                <w:sz w:val="21"/>
                <w:szCs w:val="21"/>
                <w:lang w:val="en-US" w:eastAsia="zh-CN" w:bidi="ar-SA"/>
                <w14:textFill>
                  <w14:solidFill>
                    <w14:schemeClr w14:val="tx1"/>
                  </w14:solidFill>
                </w14:textFill>
              </w:rPr>
              <w:t>mg/m</w:t>
            </w:r>
            <w:r>
              <w:rPr>
                <w:rFonts w:ascii="Times New Roman" w:hAnsi="Times New Roman" w:eastAsia="宋体" w:cs="黑体"/>
                <w:b/>
                <w:bCs/>
                <w:color w:val="000000" w:themeColor="text1"/>
                <w:kern w:val="1"/>
                <w:sz w:val="21"/>
                <w:szCs w:val="21"/>
                <w:vertAlign w:val="superscript"/>
                <w:lang w:val="en-US" w:eastAsia="zh-CN" w:bidi="ar-SA"/>
                <w14:textFill>
                  <w14:solidFill>
                    <w14:schemeClr w14:val="tx1"/>
                  </w14:solidFill>
                </w14:textFill>
              </w:rPr>
              <w:t>3</w:t>
            </w:r>
            <w:r>
              <w:rPr>
                <w:rFonts w:hint="eastAsia" w:cs="黑体"/>
                <w:b/>
                <w:bCs/>
                <w:color w:val="000000" w:themeColor="text1"/>
                <w:kern w:val="1"/>
                <w:sz w:val="21"/>
                <w:szCs w:val="21"/>
                <w:lang w:val="en-US" w:eastAsia="zh-CN" w:bidi="ar-SA"/>
                <w14:textFill>
                  <w14:solidFill>
                    <w14:schemeClr w14:val="tx1"/>
                  </w14:solidFill>
                </w14:textFill>
              </w:rPr>
              <w:t>）</w:t>
            </w:r>
          </w:p>
        </w:tc>
        <w:tc>
          <w:tcPr>
            <w:tcW w:w="2329" w:type="pct"/>
            <w:vAlign w:val="center"/>
          </w:tcPr>
          <w:p w14:paraId="773F062F">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cs="Times New Roman"/>
                <w:color w:val="000000" w:themeColor="text1"/>
                <w:spacing w:val="-5"/>
                <w:sz w:val="20"/>
                <w:szCs w:val="20"/>
                <w:lang w:val="en-US" w:eastAsia="zh-CN" w:bidi="he-IL"/>
                <w14:textFill>
                  <w14:solidFill>
                    <w14:schemeClr w14:val="tx1"/>
                  </w14:solidFill>
                </w14:textFill>
              </w:rPr>
              <w:t>4.00</w:t>
            </w:r>
          </w:p>
        </w:tc>
      </w:tr>
      <w:tr w14:paraId="46D7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0" w:type="pct"/>
            <w:gridSpan w:val="2"/>
            <w:vAlign w:val="center"/>
          </w:tcPr>
          <w:p w14:paraId="4F3CF7C3">
            <w:pPr>
              <w:widowControl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黑体"/>
                <w:b/>
                <w:bCs/>
                <w:color w:val="000000" w:themeColor="text1"/>
                <w:kern w:val="1"/>
                <w:sz w:val="21"/>
                <w:szCs w:val="21"/>
                <w:lang w:val="en-US" w:eastAsia="zh-CN" w:bidi="ar-SA"/>
                <w14:textFill>
                  <w14:solidFill>
                    <w14:schemeClr w14:val="tx1"/>
                  </w14:solidFill>
                </w14:textFill>
              </w:rPr>
              <w:t>超标率（%）</w:t>
            </w:r>
          </w:p>
        </w:tc>
        <w:tc>
          <w:tcPr>
            <w:tcW w:w="2329" w:type="pct"/>
            <w:vAlign w:val="center"/>
          </w:tcPr>
          <w:p w14:paraId="09C61F6D">
            <w:pPr>
              <w:widowControl w:val="0"/>
              <w:jc w:val="cente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r>
      <w:tr w14:paraId="3E4D2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0" w:type="pct"/>
            <w:gridSpan w:val="2"/>
            <w:vAlign w:val="center"/>
          </w:tcPr>
          <w:p w14:paraId="57CE3C8A">
            <w:pPr>
              <w:widowControl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黑体"/>
                <w:b/>
                <w:bCs/>
                <w:color w:val="000000" w:themeColor="text1"/>
                <w:kern w:val="1"/>
                <w:sz w:val="21"/>
                <w:szCs w:val="21"/>
                <w:lang w:val="en-US" w:eastAsia="zh-CN" w:bidi="ar-SA"/>
                <w14:textFill>
                  <w14:solidFill>
                    <w14:schemeClr w14:val="tx1"/>
                  </w14:solidFill>
                </w14:textFill>
              </w:rPr>
              <w:t>是否达标</w:t>
            </w:r>
          </w:p>
        </w:tc>
        <w:tc>
          <w:tcPr>
            <w:tcW w:w="2329" w:type="pct"/>
            <w:vAlign w:val="center"/>
          </w:tcPr>
          <w:p w14:paraId="2125828B">
            <w:pPr>
              <w:widowControl w:val="0"/>
              <w:jc w:val="center"/>
              <w:rPr>
                <w:rFonts w:hint="eastAsia" w:ascii="Times New Roman" w:hAnsi="Times New Roman" w:eastAsia="宋体" w:cs="Times New Roman"/>
                <w:color w:val="000000" w:themeColor="text1"/>
                <w:spacing w:val="-5"/>
                <w:sz w:val="20"/>
                <w:szCs w:val="20"/>
                <w:lang w:val="en-US" w:eastAsia="zh-CN" w:bidi="he-IL"/>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r>
    </w:tbl>
    <w:p w14:paraId="3C7E542D">
      <w:pPr>
        <w:pStyle w:val="79"/>
        <w:bidi w:val="0"/>
        <w:rPr>
          <w:rFonts w:hint="default"/>
          <w:color w:val="000000" w:themeColor="text1"/>
          <w:lang w:val="en-US" w:eastAsia="zh-CN"/>
          <w14:textFill>
            <w14:solidFill>
              <w14:schemeClr w14:val="tx1"/>
            </w14:solidFill>
          </w14:textFill>
        </w:rPr>
        <w:sectPr>
          <w:footerReference r:id="rId9" w:type="default"/>
          <w:pgSz w:w="11906" w:h="16838"/>
          <w:pgMar w:top="1701" w:right="1531" w:bottom="1701" w:left="1531" w:header="851" w:footer="850" w:gutter="0"/>
          <w:pgBorders>
            <w:top w:val="none" w:sz="0" w:space="0"/>
            <w:left w:val="none" w:sz="0" w:space="0"/>
            <w:bottom w:val="none" w:sz="0" w:space="0"/>
            <w:right w:val="none" w:sz="0" w:space="0"/>
          </w:pgBorders>
          <w:pgNumType w:start="1"/>
          <w:cols w:space="0" w:num="1"/>
          <w:docGrid w:linePitch="312" w:charSpace="0"/>
        </w:sectPr>
      </w:pPr>
    </w:p>
    <w:p w14:paraId="66E54AF7">
      <w:pPr>
        <w:widowControl/>
        <w:jc w:val="center"/>
        <w:rPr>
          <w:rFonts w:ascii="Times New Roman" w:hAnsi="Times New Roman" w:eastAsia="宋体" w:cs="Times New Roman"/>
          <w:b/>
          <w:color w:val="000000" w:themeColor="text1"/>
          <w:kern w:val="2"/>
          <w:sz w:val="21"/>
          <w:szCs w:val="21"/>
          <w14:textFill>
            <w14:solidFill>
              <w14:schemeClr w14:val="tx1"/>
            </w14:solidFill>
          </w14:textFill>
        </w:rPr>
      </w:pPr>
      <w:r>
        <w:rPr>
          <w:rFonts w:ascii="Times New Roman" w:hAnsi="Times New Roman" w:eastAsia="宋体" w:cs="Times New Roman"/>
          <w:b/>
          <w:color w:val="000000" w:themeColor="text1"/>
          <w:kern w:val="2"/>
          <w:sz w:val="21"/>
          <w:szCs w:val="21"/>
          <w14:textFill>
            <w14:solidFill>
              <w14:schemeClr w14:val="tx1"/>
            </w14:solidFill>
          </w14:textFill>
        </w:rPr>
        <w:t>表</w:t>
      </w:r>
      <w:r>
        <w:rPr>
          <w:rFonts w:hint="eastAsia" w:ascii="Times New Roman" w:hAnsi="Times New Roman" w:eastAsia="宋体" w:cs="Times New Roman"/>
          <w:b/>
          <w:color w:val="000000" w:themeColor="text1"/>
          <w:kern w:val="2"/>
          <w:sz w:val="21"/>
          <w:szCs w:val="21"/>
          <w:lang w:val="en-US" w:eastAsia="zh-CN"/>
          <w14:textFill>
            <w14:solidFill>
              <w14:schemeClr w14:val="tx1"/>
            </w14:solidFill>
          </w14:textFill>
        </w:rPr>
        <w:t>2.2-</w:t>
      </w:r>
      <w:r>
        <w:rPr>
          <w:rFonts w:hint="eastAsia" w:cs="Times New Roman"/>
          <w:b/>
          <w:color w:val="000000" w:themeColor="text1"/>
          <w:kern w:val="2"/>
          <w:sz w:val="21"/>
          <w:szCs w:val="21"/>
          <w:lang w:val="en-US" w:eastAsia="zh-CN"/>
          <w14:textFill>
            <w14:solidFill>
              <w14:schemeClr w14:val="tx1"/>
            </w14:solidFill>
          </w14:textFill>
        </w:rPr>
        <w:t>5</w:t>
      </w:r>
      <w:r>
        <w:rPr>
          <w:rFonts w:ascii="Times New Roman" w:hAnsi="Times New Roman" w:eastAsia="宋体" w:cs="Times New Roman"/>
          <w:b/>
          <w:color w:val="000000" w:themeColor="text1"/>
          <w:kern w:val="2"/>
          <w:sz w:val="21"/>
          <w:szCs w:val="21"/>
          <w14:textFill>
            <w14:solidFill>
              <w14:schemeClr w14:val="tx1"/>
            </w14:solidFill>
          </w14:textFill>
        </w:rPr>
        <w:t xml:space="preserve">  SO</w:t>
      </w:r>
      <w:r>
        <w:rPr>
          <w:rFonts w:ascii="Times New Roman" w:hAnsi="Times New Roman" w:eastAsia="宋体" w:cs="Times New Roman"/>
          <w:b/>
          <w:color w:val="000000" w:themeColor="text1"/>
          <w:kern w:val="2"/>
          <w:sz w:val="21"/>
          <w:szCs w:val="21"/>
          <w:vertAlign w:val="subscript"/>
          <w14:textFill>
            <w14:solidFill>
              <w14:schemeClr w14:val="tx1"/>
            </w14:solidFill>
          </w14:textFill>
        </w:rPr>
        <w:t>2</w:t>
      </w:r>
      <w:r>
        <w:rPr>
          <w:rFonts w:ascii="Times New Roman" w:hAnsi="Times New Roman" w:eastAsia="宋体" w:cs="Times New Roman"/>
          <w:b/>
          <w:color w:val="000000" w:themeColor="text1"/>
          <w:kern w:val="2"/>
          <w:sz w:val="21"/>
          <w:szCs w:val="21"/>
          <w14:textFill>
            <w14:solidFill>
              <w14:schemeClr w14:val="tx1"/>
            </w14:solidFill>
          </w14:textFill>
        </w:rPr>
        <w:t>、</w:t>
      </w:r>
      <w:r>
        <w:rPr>
          <w:rFonts w:hint="eastAsia" w:ascii="Times New Roman" w:hAnsi="Times New Roman" w:eastAsia="宋体" w:cs="Times New Roman"/>
          <w:b/>
          <w:color w:val="000000" w:themeColor="text1"/>
          <w:kern w:val="2"/>
          <w:sz w:val="21"/>
          <w:szCs w:val="21"/>
          <w14:textFill>
            <w14:solidFill>
              <w14:schemeClr w14:val="tx1"/>
            </w14:solidFill>
          </w14:textFill>
        </w:rPr>
        <w:t>PM</w:t>
      </w:r>
      <w:r>
        <w:rPr>
          <w:rFonts w:hint="eastAsia" w:ascii="Times New Roman" w:hAnsi="Times New Roman" w:eastAsia="宋体" w:cs="Times New Roman"/>
          <w:b/>
          <w:color w:val="000000" w:themeColor="text1"/>
          <w:kern w:val="2"/>
          <w:sz w:val="21"/>
          <w:szCs w:val="21"/>
          <w:vertAlign w:val="subscript"/>
          <w14:textFill>
            <w14:solidFill>
              <w14:schemeClr w14:val="tx1"/>
            </w14:solidFill>
          </w14:textFill>
        </w:rPr>
        <w:t>10</w:t>
      </w:r>
      <w:r>
        <w:rPr>
          <w:rFonts w:ascii="Times New Roman" w:hAnsi="Times New Roman" w:eastAsia="宋体" w:cs="Times New Roman"/>
          <w:b/>
          <w:color w:val="000000" w:themeColor="text1"/>
          <w:kern w:val="2"/>
          <w:sz w:val="21"/>
          <w:szCs w:val="21"/>
          <w14:textFill>
            <w14:solidFill>
              <w14:schemeClr w14:val="tx1"/>
            </w14:solidFill>
          </w14:textFill>
        </w:rPr>
        <w:t>日均值监测结果统计表</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1730"/>
        <w:gridCol w:w="1403"/>
        <w:gridCol w:w="1403"/>
        <w:gridCol w:w="1403"/>
        <w:gridCol w:w="1403"/>
        <w:gridCol w:w="3"/>
        <w:gridCol w:w="1400"/>
        <w:gridCol w:w="1403"/>
        <w:gridCol w:w="1403"/>
        <w:gridCol w:w="1410"/>
      </w:tblGrid>
      <w:tr w14:paraId="4E8C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50" w:type="pct"/>
            <w:vMerge w:val="restart"/>
            <w:noWrap w:val="0"/>
            <w:vAlign w:val="center"/>
          </w:tcPr>
          <w:p w14:paraId="242E197D">
            <w:pPr>
              <w:widowControl w:val="0"/>
              <w:adjustRightInd w:val="0"/>
              <w:snapToGrid w:val="0"/>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监测点位</w:t>
            </w:r>
          </w:p>
        </w:tc>
        <w:tc>
          <w:tcPr>
            <w:tcW w:w="634" w:type="pct"/>
            <w:vMerge w:val="restart"/>
            <w:noWrap w:val="0"/>
            <w:vAlign w:val="center"/>
          </w:tcPr>
          <w:p w14:paraId="500D80CD">
            <w:pPr>
              <w:widowControl w:val="0"/>
              <w:adjustRightInd w:val="0"/>
              <w:snapToGrid w:val="0"/>
              <w:jc w:val="center"/>
              <w:rPr>
                <w:rFonts w:ascii="Times New Roman" w:hAnsi="Times New Roman" w:eastAsia="宋体" w:cs="Times New Roman"/>
                <w:bCs/>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监测时间</w:t>
            </w:r>
          </w:p>
        </w:tc>
        <w:tc>
          <w:tcPr>
            <w:tcW w:w="2057" w:type="pct"/>
            <w:gridSpan w:val="5"/>
            <w:noWrap w:val="0"/>
            <w:tcMar>
              <w:top w:w="0" w:type="dxa"/>
              <w:left w:w="57" w:type="dxa"/>
              <w:bottom w:w="0" w:type="dxa"/>
              <w:right w:w="57" w:type="dxa"/>
            </w:tcMar>
            <w:vAlign w:val="center"/>
          </w:tcPr>
          <w:p w14:paraId="2C35F4C7">
            <w:pPr>
              <w:widowControl w:val="0"/>
              <w:adjustRightInd w:val="0"/>
              <w:snapToGrid w:val="0"/>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bCs/>
                <w:color w:val="000000" w:themeColor="text1"/>
                <w:kern w:val="0"/>
                <w:sz w:val="21"/>
                <w:szCs w:val="21"/>
                <w14:textFill>
                  <w14:solidFill>
                    <w14:schemeClr w14:val="tx1"/>
                  </w14:solidFill>
                </w14:textFill>
              </w:rPr>
              <w:t>SO</w:t>
            </w:r>
            <w:r>
              <w:rPr>
                <w:rFonts w:ascii="Times New Roman" w:hAnsi="Times New Roman" w:eastAsia="宋体" w:cs="Times New Roman"/>
                <w:bCs/>
                <w:color w:val="000000" w:themeColor="text1"/>
                <w:kern w:val="0"/>
                <w:sz w:val="21"/>
                <w:szCs w:val="21"/>
                <w:vertAlign w:val="subscript"/>
                <w14:textFill>
                  <w14:solidFill>
                    <w14:schemeClr w14:val="tx1"/>
                  </w14:solidFill>
                </w14:textFill>
              </w:rPr>
              <w:t>2</w:t>
            </w:r>
          </w:p>
        </w:tc>
        <w:tc>
          <w:tcPr>
            <w:tcW w:w="2057" w:type="pct"/>
            <w:gridSpan w:val="4"/>
            <w:noWrap w:val="0"/>
            <w:vAlign w:val="center"/>
          </w:tcPr>
          <w:p w14:paraId="4C958242">
            <w:pPr>
              <w:widowControl w:val="0"/>
              <w:adjustRightInd w:val="0"/>
              <w:snapToGrid w:val="0"/>
              <w:jc w:val="center"/>
              <w:rPr>
                <w:rFonts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14:textFill>
                  <w14:solidFill>
                    <w14:schemeClr w14:val="tx1"/>
                  </w14:solidFill>
                </w14:textFill>
              </w:rPr>
              <w:t>PM</w:t>
            </w:r>
            <w:r>
              <w:rPr>
                <w:rFonts w:hint="eastAsia" w:ascii="Times New Roman" w:hAnsi="Times New Roman" w:eastAsia="宋体" w:cs="Times New Roman"/>
                <w:bCs/>
                <w:color w:val="000000" w:themeColor="text1"/>
                <w:kern w:val="2"/>
                <w:sz w:val="21"/>
                <w:szCs w:val="21"/>
                <w:highlight w:val="none"/>
                <w:vertAlign w:val="subscript"/>
                <w14:textFill>
                  <w14:solidFill>
                    <w14:schemeClr w14:val="tx1"/>
                  </w14:solidFill>
                </w14:textFill>
              </w:rPr>
              <w:t>10</w:t>
            </w:r>
          </w:p>
        </w:tc>
      </w:tr>
      <w:tr w14:paraId="24C7F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 w:type="pct"/>
            <w:vMerge w:val="continue"/>
            <w:noWrap w:val="0"/>
            <w:vAlign w:val="center"/>
          </w:tcPr>
          <w:p w14:paraId="70BB9B51">
            <w:pPr>
              <w:widowControl w:val="0"/>
              <w:adjustRightInd w:val="0"/>
              <w:snapToGrid w:val="0"/>
              <w:jc w:val="center"/>
              <w:rPr>
                <w:rFonts w:ascii="Times New Roman" w:hAnsi="Times New Roman" w:eastAsia="宋体" w:cs="Times New Roman"/>
                <w:color w:val="000000" w:themeColor="text1"/>
                <w:kern w:val="0"/>
                <w:sz w:val="21"/>
                <w:szCs w:val="21"/>
                <w14:textFill>
                  <w14:solidFill>
                    <w14:schemeClr w14:val="tx1"/>
                  </w14:solidFill>
                </w14:textFill>
              </w:rPr>
            </w:pPr>
          </w:p>
        </w:tc>
        <w:tc>
          <w:tcPr>
            <w:tcW w:w="634" w:type="pct"/>
            <w:vMerge w:val="continue"/>
            <w:noWrap w:val="0"/>
            <w:vAlign w:val="center"/>
          </w:tcPr>
          <w:p w14:paraId="2E10C2BE">
            <w:pPr>
              <w:widowControl w:val="0"/>
              <w:adjustRightInd w:val="0"/>
              <w:snapToGrid w:val="0"/>
              <w:jc w:val="center"/>
              <w:rPr>
                <w:rFonts w:ascii="Times New Roman" w:hAnsi="Times New Roman" w:eastAsia="宋体" w:cs="Times New Roman"/>
                <w:color w:val="000000" w:themeColor="text1"/>
                <w:kern w:val="0"/>
                <w:sz w:val="21"/>
                <w:szCs w:val="21"/>
                <w14:textFill>
                  <w14:solidFill>
                    <w14:schemeClr w14:val="tx1"/>
                  </w14:solidFill>
                </w14:textFill>
              </w:rPr>
            </w:pPr>
          </w:p>
        </w:tc>
        <w:tc>
          <w:tcPr>
            <w:tcW w:w="514" w:type="pct"/>
            <w:noWrap w:val="0"/>
            <w:tcMar>
              <w:top w:w="0" w:type="dxa"/>
              <w:left w:w="57" w:type="dxa"/>
              <w:bottom w:w="0" w:type="dxa"/>
              <w:right w:w="57" w:type="dxa"/>
            </w:tcMar>
            <w:vAlign w:val="center"/>
          </w:tcPr>
          <w:p w14:paraId="4AA781D6">
            <w:pPr>
              <w:widowControl w:val="0"/>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监测结果（mg/m</w:t>
            </w:r>
            <w:r>
              <w:rPr>
                <w:rFonts w:ascii="Times New Roman" w:hAnsi="Times New Roman" w:eastAsia="宋体" w:cs="Times New Roman"/>
                <w:color w:val="000000" w:themeColor="text1"/>
                <w:kern w:val="0"/>
                <w:sz w:val="21"/>
                <w:szCs w:val="21"/>
                <w:vertAlign w:val="superscript"/>
                <w14:textFill>
                  <w14:solidFill>
                    <w14:schemeClr w14:val="tx1"/>
                  </w14:solidFill>
                </w14:textFill>
              </w:rPr>
              <w:t>3</w:t>
            </w:r>
            <w:r>
              <w:rPr>
                <w:rFonts w:ascii="Times New Roman" w:hAnsi="Times New Roman" w:eastAsia="宋体" w:cs="Times New Roman"/>
                <w:color w:val="000000" w:themeColor="text1"/>
                <w:kern w:val="0"/>
                <w:sz w:val="21"/>
                <w:szCs w:val="21"/>
                <w14:textFill>
                  <w14:solidFill>
                    <w14:schemeClr w14:val="tx1"/>
                  </w14:solidFill>
                </w14:textFill>
              </w:rPr>
              <w:t>）</w:t>
            </w:r>
          </w:p>
        </w:tc>
        <w:tc>
          <w:tcPr>
            <w:tcW w:w="514" w:type="pct"/>
            <w:noWrap w:val="0"/>
            <w:vAlign w:val="center"/>
          </w:tcPr>
          <w:p w14:paraId="532C0155">
            <w:pPr>
              <w:widowControl w:val="0"/>
              <w:adjustRightInd w:val="0"/>
              <w:snapToGrid w:val="0"/>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标准值（mg/m</w:t>
            </w:r>
            <w:r>
              <w:rPr>
                <w:rFonts w:ascii="Times New Roman" w:hAnsi="Times New Roman" w:eastAsia="宋体" w:cs="Times New Roman"/>
                <w:color w:val="000000" w:themeColor="text1"/>
                <w:kern w:val="0"/>
                <w:sz w:val="21"/>
                <w:szCs w:val="21"/>
                <w:vertAlign w:val="superscript"/>
                <w14:textFill>
                  <w14:solidFill>
                    <w14:schemeClr w14:val="tx1"/>
                  </w14:solidFill>
                </w14:textFill>
              </w:rPr>
              <w:t>3</w:t>
            </w:r>
            <w:r>
              <w:rPr>
                <w:rFonts w:ascii="Times New Roman" w:hAnsi="Times New Roman" w:eastAsia="宋体" w:cs="Times New Roman"/>
                <w:color w:val="000000" w:themeColor="text1"/>
                <w:kern w:val="0"/>
                <w:sz w:val="21"/>
                <w:szCs w:val="21"/>
                <w14:textFill>
                  <w14:solidFill>
                    <w14:schemeClr w14:val="tx1"/>
                  </w14:solidFill>
                </w14:textFill>
              </w:rPr>
              <w:t>）</w:t>
            </w:r>
          </w:p>
        </w:tc>
        <w:tc>
          <w:tcPr>
            <w:tcW w:w="514" w:type="pct"/>
            <w:noWrap w:val="0"/>
            <w:vAlign w:val="center"/>
          </w:tcPr>
          <w:p w14:paraId="1B40A394">
            <w:pPr>
              <w:widowControl w:val="0"/>
              <w:adjustRightInd w:val="0"/>
              <w:snapToGrid w:val="0"/>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超标率（%）</w:t>
            </w:r>
          </w:p>
        </w:tc>
        <w:tc>
          <w:tcPr>
            <w:tcW w:w="514" w:type="pct"/>
            <w:noWrap w:val="0"/>
            <w:vAlign w:val="center"/>
          </w:tcPr>
          <w:p w14:paraId="601895BF">
            <w:pPr>
              <w:widowControl w:val="0"/>
              <w:adjustRightInd w:val="0"/>
              <w:snapToGrid w:val="0"/>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是否达标</w:t>
            </w:r>
          </w:p>
        </w:tc>
        <w:tc>
          <w:tcPr>
            <w:tcW w:w="514" w:type="pct"/>
            <w:gridSpan w:val="2"/>
            <w:noWrap w:val="0"/>
            <w:vAlign w:val="center"/>
          </w:tcPr>
          <w:p w14:paraId="4F4BB0D2">
            <w:pPr>
              <w:widowControl w:val="0"/>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监测结果（mg/m</w:t>
            </w:r>
            <w:r>
              <w:rPr>
                <w:rFonts w:ascii="Times New Roman" w:hAnsi="Times New Roman" w:eastAsia="宋体" w:cs="Times New Roman"/>
                <w:color w:val="000000" w:themeColor="text1"/>
                <w:kern w:val="0"/>
                <w:sz w:val="21"/>
                <w:szCs w:val="21"/>
                <w:vertAlign w:val="superscript"/>
                <w14:textFill>
                  <w14:solidFill>
                    <w14:schemeClr w14:val="tx1"/>
                  </w14:solidFill>
                </w14:textFill>
              </w:rPr>
              <w:t>3</w:t>
            </w:r>
            <w:r>
              <w:rPr>
                <w:rFonts w:ascii="Times New Roman" w:hAnsi="Times New Roman" w:eastAsia="宋体" w:cs="Times New Roman"/>
                <w:color w:val="000000" w:themeColor="text1"/>
                <w:kern w:val="0"/>
                <w:sz w:val="21"/>
                <w:szCs w:val="21"/>
                <w14:textFill>
                  <w14:solidFill>
                    <w14:schemeClr w14:val="tx1"/>
                  </w14:solidFill>
                </w14:textFill>
              </w:rPr>
              <w:t>）</w:t>
            </w:r>
          </w:p>
        </w:tc>
        <w:tc>
          <w:tcPr>
            <w:tcW w:w="514" w:type="pct"/>
            <w:noWrap w:val="0"/>
            <w:vAlign w:val="center"/>
          </w:tcPr>
          <w:p w14:paraId="53EBE2F6">
            <w:pPr>
              <w:widowControl w:val="0"/>
              <w:adjustRightInd w:val="0"/>
              <w:snapToGrid w:val="0"/>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标准值（mg/m</w:t>
            </w:r>
            <w:r>
              <w:rPr>
                <w:rFonts w:ascii="Times New Roman" w:hAnsi="Times New Roman" w:eastAsia="宋体" w:cs="Times New Roman"/>
                <w:color w:val="000000" w:themeColor="text1"/>
                <w:kern w:val="0"/>
                <w:sz w:val="21"/>
                <w:szCs w:val="21"/>
                <w:vertAlign w:val="superscript"/>
                <w14:textFill>
                  <w14:solidFill>
                    <w14:schemeClr w14:val="tx1"/>
                  </w14:solidFill>
                </w14:textFill>
              </w:rPr>
              <w:t>3</w:t>
            </w:r>
            <w:r>
              <w:rPr>
                <w:rFonts w:ascii="Times New Roman" w:hAnsi="Times New Roman" w:eastAsia="宋体" w:cs="Times New Roman"/>
                <w:color w:val="000000" w:themeColor="text1"/>
                <w:kern w:val="0"/>
                <w:sz w:val="21"/>
                <w:szCs w:val="21"/>
                <w14:textFill>
                  <w14:solidFill>
                    <w14:schemeClr w14:val="tx1"/>
                  </w14:solidFill>
                </w14:textFill>
              </w:rPr>
              <w:t>）</w:t>
            </w:r>
          </w:p>
        </w:tc>
        <w:tc>
          <w:tcPr>
            <w:tcW w:w="514" w:type="pct"/>
            <w:noWrap w:val="0"/>
            <w:vAlign w:val="center"/>
          </w:tcPr>
          <w:p w14:paraId="25A7DD52">
            <w:pPr>
              <w:widowControl w:val="0"/>
              <w:adjustRightInd w:val="0"/>
              <w:snapToGrid w:val="0"/>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超标率（%）</w:t>
            </w:r>
          </w:p>
        </w:tc>
        <w:tc>
          <w:tcPr>
            <w:tcW w:w="516" w:type="pct"/>
            <w:noWrap w:val="0"/>
            <w:vAlign w:val="center"/>
          </w:tcPr>
          <w:p w14:paraId="7115A061">
            <w:pPr>
              <w:widowControl w:val="0"/>
              <w:adjustRightInd w:val="0"/>
              <w:snapToGrid w:val="0"/>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是否达标</w:t>
            </w:r>
          </w:p>
        </w:tc>
      </w:tr>
      <w:tr w14:paraId="6BB19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 w:type="pct"/>
            <w:vMerge w:val="restart"/>
            <w:noWrap w:val="0"/>
            <w:vAlign w:val="center"/>
          </w:tcPr>
          <w:p w14:paraId="7F86E16C">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A2，翠柏自然保护区1个点位</w:t>
            </w:r>
          </w:p>
        </w:tc>
        <w:tc>
          <w:tcPr>
            <w:tcW w:w="634" w:type="pct"/>
            <w:noWrap w:val="0"/>
            <w:vAlign w:val="center"/>
          </w:tcPr>
          <w:p w14:paraId="7E3C717F">
            <w:pPr>
              <w:widowControl w:val="0"/>
              <w:autoSpaceDE w:val="0"/>
              <w:autoSpaceDN w:val="0"/>
              <w:adjustRightInd w:val="0"/>
              <w:jc w:val="center"/>
              <w:rPr>
                <w:rFonts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2026.06.27</w:t>
            </w:r>
          </w:p>
        </w:tc>
        <w:tc>
          <w:tcPr>
            <w:tcW w:w="514" w:type="pct"/>
            <w:noWrap w:val="0"/>
            <w:tcMar>
              <w:top w:w="0" w:type="dxa"/>
              <w:left w:w="57" w:type="dxa"/>
              <w:bottom w:w="0" w:type="dxa"/>
              <w:right w:w="57" w:type="dxa"/>
            </w:tcMar>
            <w:vAlign w:val="center"/>
          </w:tcPr>
          <w:p w14:paraId="54F55FCC">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0.010</w:t>
            </w:r>
          </w:p>
        </w:tc>
        <w:tc>
          <w:tcPr>
            <w:tcW w:w="514" w:type="pct"/>
            <w:noWrap w:val="0"/>
            <w:vAlign w:val="center"/>
          </w:tcPr>
          <w:p w14:paraId="1944E9F5">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0.05</w:t>
            </w:r>
          </w:p>
        </w:tc>
        <w:tc>
          <w:tcPr>
            <w:tcW w:w="514" w:type="pct"/>
            <w:noWrap w:val="0"/>
            <w:vAlign w:val="center"/>
          </w:tcPr>
          <w:p w14:paraId="642436E7">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4" w:type="pct"/>
            <w:noWrap w:val="0"/>
            <w:vAlign w:val="center"/>
          </w:tcPr>
          <w:p w14:paraId="0EFBF45D">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c>
          <w:tcPr>
            <w:tcW w:w="514" w:type="pct"/>
            <w:gridSpan w:val="2"/>
            <w:shd w:val="clear" w:color="auto" w:fill="auto"/>
            <w:noWrap w:val="0"/>
            <w:vAlign w:val="center"/>
          </w:tcPr>
          <w:p w14:paraId="08B73354">
            <w:pPr>
              <w:widowControl w:val="0"/>
              <w:adjustRightInd w:val="0"/>
              <w:snapToGrid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0.045</w:t>
            </w:r>
          </w:p>
        </w:tc>
        <w:tc>
          <w:tcPr>
            <w:tcW w:w="514" w:type="pct"/>
            <w:noWrap w:val="0"/>
            <w:vAlign w:val="center"/>
          </w:tcPr>
          <w:p w14:paraId="455BA18D">
            <w:pPr>
              <w:widowControl w:val="0"/>
              <w:adjustRightInd w:val="0"/>
              <w:snapToGrid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0.0</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5</w:t>
            </w:r>
          </w:p>
        </w:tc>
        <w:tc>
          <w:tcPr>
            <w:tcW w:w="514" w:type="pct"/>
            <w:noWrap w:val="0"/>
            <w:vAlign w:val="center"/>
          </w:tcPr>
          <w:p w14:paraId="0F0A72A1">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6" w:type="pct"/>
            <w:noWrap w:val="0"/>
            <w:vAlign w:val="center"/>
          </w:tcPr>
          <w:p w14:paraId="7B75F1AA">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r>
      <w:tr w14:paraId="6D720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 w:type="pct"/>
            <w:vMerge w:val="continue"/>
            <w:noWrap w:val="0"/>
            <w:vAlign w:val="center"/>
          </w:tcPr>
          <w:p w14:paraId="7DF1F615">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634" w:type="pct"/>
            <w:noWrap w:val="0"/>
            <w:vAlign w:val="center"/>
          </w:tcPr>
          <w:p w14:paraId="0DE5D08F">
            <w:pPr>
              <w:widowControl w:val="0"/>
              <w:autoSpaceDE w:val="0"/>
              <w:autoSpaceDN w:val="0"/>
              <w:adjustRightInd w:val="0"/>
              <w:jc w:val="center"/>
              <w:rPr>
                <w:rFonts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2026.06.28</w:t>
            </w:r>
          </w:p>
        </w:tc>
        <w:tc>
          <w:tcPr>
            <w:tcW w:w="514" w:type="pct"/>
            <w:noWrap w:val="0"/>
            <w:tcMar>
              <w:top w:w="0" w:type="dxa"/>
              <w:left w:w="57" w:type="dxa"/>
              <w:bottom w:w="0" w:type="dxa"/>
              <w:right w:w="57" w:type="dxa"/>
            </w:tcMar>
            <w:vAlign w:val="center"/>
          </w:tcPr>
          <w:p w14:paraId="0DDCB445">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0.010</w:t>
            </w:r>
          </w:p>
        </w:tc>
        <w:tc>
          <w:tcPr>
            <w:tcW w:w="514" w:type="pct"/>
            <w:noWrap w:val="0"/>
            <w:vAlign w:val="center"/>
          </w:tcPr>
          <w:p w14:paraId="315302FD">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0.05</w:t>
            </w:r>
          </w:p>
        </w:tc>
        <w:tc>
          <w:tcPr>
            <w:tcW w:w="514" w:type="pct"/>
            <w:noWrap w:val="0"/>
            <w:vAlign w:val="center"/>
          </w:tcPr>
          <w:p w14:paraId="7B2DA4CE">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4" w:type="pct"/>
            <w:noWrap w:val="0"/>
            <w:vAlign w:val="center"/>
          </w:tcPr>
          <w:p w14:paraId="3209CA23">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c>
          <w:tcPr>
            <w:tcW w:w="514" w:type="pct"/>
            <w:gridSpan w:val="2"/>
            <w:shd w:val="clear" w:color="auto" w:fill="auto"/>
            <w:noWrap w:val="0"/>
            <w:vAlign w:val="center"/>
          </w:tcPr>
          <w:p w14:paraId="41A6277B">
            <w:pPr>
              <w:widowControl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0.046</w:t>
            </w:r>
          </w:p>
        </w:tc>
        <w:tc>
          <w:tcPr>
            <w:tcW w:w="514" w:type="pct"/>
            <w:noWrap w:val="0"/>
            <w:vAlign w:val="center"/>
          </w:tcPr>
          <w:p w14:paraId="493A0F1E">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ascii="Times New Roman" w:hAnsi="Times New Roman" w:eastAsia="宋体" w:cs="Times New Roman"/>
                <w:color w:val="000000" w:themeColor="text1"/>
                <w:kern w:val="2"/>
                <w:sz w:val="21"/>
                <w:szCs w:val="21"/>
                <w14:textFill>
                  <w14:solidFill>
                    <w14:schemeClr w14:val="tx1"/>
                  </w14:solidFill>
                </w14:textFill>
              </w:rPr>
              <w:t>0.0</w:t>
            </w:r>
            <w:r>
              <w:rPr>
                <w:rFonts w:hint="eastAsia" w:ascii="Times New Roman" w:hAnsi="Times New Roman" w:eastAsia="宋体" w:cs="Times New Roman"/>
                <w:color w:val="000000" w:themeColor="text1"/>
                <w:kern w:val="2"/>
                <w:sz w:val="21"/>
                <w:szCs w:val="21"/>
                <w14:textFill>
                  <w14:solidFill>
                    <w14:schemeClr w14:val="tx1"/>
                  </w14:solidFill>
                </w14:textFill>
              </w:rPr>
              <w:t>5</w:t>
            </w:r>
          </w:p>
        </w:tc>
        <w:tc>
          <w:tcPr>
            <w:tcW w:w="514" w:type="pct"/>
            <w:noWrap w:val="0"/>
            <w:vAlign w:val="center"/>
          </w:tcPr>
          <w:p w14:paraId="4E86FBBE">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6" w:type="pct"/>
            <w:noWrap w:val="0"/>
            <w:vAlign w:val="center"/>
          </w:tcPr>
          <w:p w14:paraId="0FBF4109">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r>
      <w:tr w14:paraId="12E72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 w:type="pct"/>
            <w:vMerge w:val="continue"/>
            <w:noWrap w:val="0"/>
            <w:vAlign w:val="center"/>
          </w:tcPr>
          <w:p w14:paraId="00CE497D">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634" w:type="pct"/>
            <w:noWrap w:val="0"/>
            <w:vAlign w:val="center"/>
          </w:tcPr>
          <w:p w14:paraId="12A9E6BB">
            <w:pPr>
              <w:widowControl w:val="0"/>
              <w:autoSpaceDE w:val="0"/>
              <w:autoSpaceDN w:val="0"/>
              <w:adjustRightInd w:val="0"/>
              <w:jc w:val="center"/>
              <w:rPr>
                <w:rFonts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2026.06.29</w:t>
            </w:r>
          </w:p>
        </w:tc>
        <w:tc>
          <w:tcPr>
            <w:tcW w:w="514" w:type="pct"/>
            <w:noWrap w:val="0"/>
            <w:tcMar>
              <w:top w:w="0" w:type="dxa"/>
              <w:left w:w="57" w:type="dxa"/>
              <w:bottom w:w="0" w:type="dxa"/>
              <w:right w:w="57" w:type="dxa"/>
            </w:tcMar>
            <w:vAlign w:val="center"/>
          </w:tcPr>
          <w:p w14:paraId="154D1719">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0.011</w:t>
            </w:r>
          </w:p>
        </w:tc>
        <w:tc>
          <w:tcPr>
            <w:tcW w:w="514" w:type="pct"/>
            <w:noWrap w:val="0"/>
            <w:vAlign w:val="center"/>
          </w:tcPr>
          <w:p w14:paraId="2385E783">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0.05</w:t>
            </w:r>
          </w:p>
        </w:tc>
        <w:tc>
          <w:tcPr>
            <w:tcW w:w="514" w:type="pct"/>
            <w:noWrap w:val="0"/>
            <w:vAlign w:val="center"/>
          </w:tcPr>
          <w:p w14:paraId="78B1D832">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4" w:type="pct"/>
            <w:noWrap w:val="0"/>
            <w:vAlign w:val="center"/>
          </w:tcPr>
          <w:p w14:paraId="50774789">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c>
          <w:tcPr>
            <w:tcW w:w="514" w:type="pct"/>
            <w:gridSpan w:val="2"/>
            <w:shd w:val="clear" w:color="auto" w:fill="auto"/>
            <w:noWrap w:val="0"/>
            <w:vAlign w:val="center"/>
          </w:tcPr>
          <w:p w14:paraId="560E432C">
            <w:pPr>
              <w:widowControl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0.045</w:t>
            </w:r>
          </w:p>
        </w:tc>
        <w:tc>
          <w:tcPr>
            <w:tcW w:w="514" w:type="pct"/>
            <w:noWrap w:val="0"/>
            <w:vAlign w:val="center"/>
          </w:tcPr>
          <w:p w14:paraId="1EF2BA18">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ascii="Times New Roman" w:hAnsi="Times New Roman" w:eastAsia="宋体" w:cs="Times New Roman"/>
                <w:color w:val="000000" w:themeColor="text1"/>
                <w:kern w:val="2"/>
                <w:sz w:val="21"/>
                <w:szCs w:val="21"/>
                <w14:textFill>
                  <w14:solidFill>
                    <w14:schemeClr w14:val="tx1"/>
                  </w14:solidFill>
                </w14:textFill>
              </w:rPr>
              <w:t>0.0</w:t>
            </w:r>
            <w:r>
              <w:rPr>
                <w:rFonts w:hint="eastAsia" w:ascii="Times New Roman" w:hAnsi="Times New Roman" w:eastAsia="宋体" w:cs="Times New Roman"/>
                <w:color w:val="000000" w:themeColor="text1"/>
                <w:kern w:val="2"/>
                <w:sz w:val="21"/>
                <w:szCs w:val="21"/>
                <w14:textFill>
                  <w14:solidFill>
                    <w14:schemeClr w14:val="tx1"/>
                  </w14:solidFill>
                </w14:textFill>
              </w:rPr>
              <w:t>5</w:t>
            </w:r>
          </w:p>
        </w:tc>
        <w:tc>
          <w:tcPr>
            <w:tcW w:w="514" w:type="pct"/>
            <w:noWrap w:val="0"/>
            <w:vAlign w:val="center"/>
          </w:tcPr>
          <w:p w14:paraId="43BAA45F">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6" w:type="pct"/>
            <w:noWrap w:val="0"/>
            <w:vAlign w:val="center"/>
          </w:tcPr>
          <w:p w14:paraId="3D577CD1">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r>
      <w:tr w14:paraId="40592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 w:type="pct"/>
            <w:vMerge w:val="continue"/>
            <w:noWrap w:val="0"/>
            <w:vAlign w:val="center"/>
          </w:tcPr>
          <w:p w14:paraId="7EDC5FA6">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634" w:type="pct"/>
            <w:noWrap w:val="0"/>
            <w:vAlign w:val="center"/>
          </w:tcPr>
          <w:p w14:paraId="5394BDD1">
            <w:pPr>
              <w:widowControl w:val="0"/>
              <w:autoSpaceDE w:val="0"/>
              <w:autoSpaceDN w:val="0"/>
              <w:adjustRightInd w:val="0"/>
              <w:jc w:val="center"/>
              <w:rPr>
                <w:rFonts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2026.06.30</w:t>
            </w:r>
          </w:p>
        </w:tc>
        <w:tc>
          <w:tcPr>
            <w:tcW w:w="514" w:type="pct"/>
            <w:noWrap w:val="0"/>
            <w:tcMar>
              <w:top w:w="0" w:type="dxa"/>
              <w:left w:w="57" w:type="dxa"/>
              <w:bottom w:w="0" w:type="dxa"/>
              <w:right w:w="57" w:type="dxa"/>
            </w:tcMar>
            <w:vAlign w:val="center"/>
          </w:tcPr>
          <w:p w14:paraId="511E6238">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0.009</w:t>
            </w:r>
          </w:p>
        </w:tc>
        <w:tc>
          <w:tcPr>
            <w:tcW w:w="514" w:type="pct"/>
            <w:noWrap w:val="0"/>
            <w:vAlign w:val="center"/>
          </w:tcPr>
          <w:p w14:paraId="1E946749">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0.05</w:t>
            </w:r>
          </w:p>
        </w:tc>
        <w:tc>
          <w:tcPr>
            <w:tcW w:w="514" w:type="pct"/>
            <w:noWrap w:val="0"/>
            <w:vAlign w:val="center"/>
          </w:tcPr>
          <w:p w14:paraId="13341FCF">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4" w:type="pct"/>
            <w:noWrap w:val="0"/>
            <w:vAlign w:val="center"/>
          </w:tcPr>
          <w:p w14:paraId="12BE1819">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c>
          <w:tcPr>
            <w:tcW w:w="514" w:type="pct"/>
            <w:gridSpan w:val="2"/>
            <w:shd w:val="clear" w:color="auto" w:fill="auto"/>
            <w:noWrap w:val="0"/>
            <w:vAlign w:val="center"/>
          </w:tcPr>
          <w:p w14:paraId="733DF6A0">
            <w:pPr>
              <w:widowControl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0.047</w:t>
            </w:r>
          </w:p>
        </w:tc>
        <w:tc>
          <w:tcPr>
            <w:tcW w:w="514" w:type="pct"/>
            <w:noWrap w:val="0"/>
            <w:vAlign w:val="center"/>
          </w:tcPr>
          <w:p w14:paraId="46D4F7DE">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ascii="Times New Roman" w:hAnsi="Times New Roman" w:eastAsia="宋体" w:cs="Times New Roman"/>
                <w:color w:val="000000" w:themeColor="text1"/>
                <w:kern w:val="2"/>
                <w:sz w:val="21"/>
                <w:szCs w:val="21"/>
                <w14:textFill>
                  <w14:solidFill>
                    <w14:schemeClr w14:val="tx1"/>
                  </w14:solidFill>
                </w14:textFill>
              </w:rPr>
              <w:t>0.0</w:t>
            </w:r>
            <w:r>
              <w:rPr>
                <w:rFonts w:hint="eastAsia" w:ascii="Times New Roman" w:hAnsi="Times New Roman" w:eastAsia="宋体" w:cs="Times New Roman"/>
                <w:color w:val="000000" w:themeColor="text1"/>
                <w:kern w:val="2"/>
                <w:sz w:val="21"/>
                <w:szCs w:val="21"/>
                <w14:textFill>
                  <w14:solidFill>
                    <w14:schemeClr w14:val="tx1"/>
                  </w14:solidFill>
                </w14:textFill>
              </w:rPr>
              <w:t>5</w:t>
            </w:r>
          </w:p>
        </w:tc>
        <w:tc>
          <w:tcPr>
            <w:tcW w:w="514" w:type="pct"/>
            <w:noWrap w:val="0"/>
            <w:vAlign w:val="center"/>
          </w:tcPr>
          <w:p w14:paraId="28CF547B">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6" w:type="pct"/>
            <w:noWrap w:val="0"/>
            <w:vAlign w:val="center"/>
          </w:tcPr>
          <w:p w14:paraId="1BA74454">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r>
      <w:tr w14:paraId="2FDB5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 w:type="pct"/>
            <w:vMerge w:val="continue"/>
            <w:noWrap w:val="0"/>
            <w:vAlign w:val="center"/>
          </w:tcPr>
          <w:p w14:paraId="23CDCEAA">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634" w:type="pct"/>
            <w:noWrap w:val="0"/>
            <w:vAlign w:val="center"/>
          </w:tcPr>
          <w:p w14:paraId="74964A8F">
            <w:pPr>
              <w:widowControl w:val="0"/>
              <w:autoSpaceDE w:val="0"/>
              <w:autoSpaceDN w:val="0"/>
              <w:adjustRightInd w:val="0"/>
              <w:jc w:val="center"/>
              <w:rPr>
                <w:rFonts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2026.07.01</w:t>
            </w:r>
          </w:p>
        </w:tc>
        <w:tc>
          <w:tcPr>
            <w:tcW w:w="514" w:type="pct"/>
            <w:noWrap w:val="0"/>
            <w:tcMar>
              <w:top w:w="0" w:type="dxa"/>
              <w:left w:w="57" w:type="dxa"/>
              <w:bottom w:w="0" w:type="dxa"/>
              <w:right w:w="57" w:type="dxa"/>
            </w:tcMar>
            <w:vAlign w:val="center"/>
          </w:tcPr>
          <w:p w14:paraId="24998417">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0.011</w:t>
            </w:r>
          </w:p>
        </w:tc>
        <w:tc>
          <w:tcPr>
            <w:tcW w:w="514" w:type="pct"/>
            <w:noWrap w:val="0"/>
            <w:vAlign w:val="center"/>
          </w:tcPr>
          <w:p w14:paraId="437FD9F6">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0.05</w:t>
            </w:r>
          </w:p>
        </w:tc>
        <w:tc>
          <w:tcPr>
            <w:tcW w:w="514" w:type="pct"/>
            <w:noWrap w:val="0"/>
            <w:vAlign w:val="center"/>
          </w:tcPr>
          <w:p w14:paraId="5ED2049C">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4" w:type="pct"/>
            <w:noWrap w:val="0"/>
            <w:vAlign w:val="center"/>
          </w:tcPr>
          <w:p w14:paraId="220BCA82">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c>
          <w:tcPr>
            <w:tcW w:w="514" w:type="pct"/>
            <w:gridSpan w:val="2"/>
            <w:shd w:val="clear" w:color="auto" w:fill="auto"/>
            <w:noWrap w:val="0"/>
            <w:vAlign w:val="center"/>
          </w:tcPr>
          <w:p w14:paraId="4539F315">
            <w:pPr>
              <w:widowControl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0.042</w:t>
            </w:r>
          </w:p>
        </w:tc>
        <w:tc>
          <w:tcPr>
            <w:tcW w:w="514" w:type="pct"/>
            <w:noWrap w:val="0"/>
            <w:vAlign w:val="center"/>
          </w:tcPr>
          <w:p w14:paraId="5CE24233">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ascii="Times New Roman" w:hAnsi="Times New Roman" w:eastAsia="宋体" w:cs="Times New Roman"/>
                <w:color w:val="000000" w:themeColor="text1"/>
                <w:kern w:val="2"/>
                <w:sz w:val="21"/>
                <w:szCs w:val="21"/>
                <w14:textFill>
                  <w14:solidFill>
                    <w14:schemeClr w14:val="tx1"/>
                  </w14:solidFill>
                </w14:textFill>
              </w:rPr>
              <w:t>0.0</w:t>
            </w:r>
            <w:r>
              <w:rPr>
                <w:rFonts w:hint="eastAsia" w:ascii="Times New Roman" w:hAnsi="Times New Roman" w:eastAsia="宋体" w:cs="Times New Roman"/>
                <w:color w:val="000000" w:themeColor="text1"/>
                <w:kern w:val="2"/>
                <w:sz w:val="21"/>
                <w:szCs w:val="21"/>
                <w14:textFill>
                  <w14:solidFill>
                    <w14:schemeClr w14:val="tx1"/>
                  </w14:solidFill>
                </w14:textFill>
              </w:rPr>
              <w:t>5</w:t>
            </w:r>
          </w:p>
        </w:tc>
        <w:tc>
          <w:tcPr>
            <w:tcW w:w="514" w:type="pct"/>
            <w:noWrap w:val="0"/>
            <w:vAlign w:val="center"/>
          </w:tcPr>
          <w:p w14:paraId="2C7A3A83">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6" w:type="pct"/>
            <w:noWrap w:val="0"/>
            <w:vAlign w:val="center"/>
          </w:tcPr>
          <w:p w14:paraId="3AFC5ABB">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r>
      <w:tr w14:paraId="63331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 w:type="pct"/>
            <w:vMerge w:val="continue"/>
            <w:noWrap w:val="0"/>
            <w:vAlign w:val="center"/>
          </w:tcPr>
          <w:p w14:paraId="58CC75DD">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634" w:type="pct"/>
            <w:noWrap w:val="0"/>
            <w:vAlign w:val="center"/>
          </w:tcPr>
          <w:p w14:paraId="205B1455">
            <w:pPr>
              <w:widowControl w:val="0"/>
              <w:autoSpaceDE w:val="0"/>
              <w:autoSpaceDN w:val="0"/>
              <w:adjustRightInd w:val="0"/>
              <w:jc w:val="center"/>
              <w:rPr>
                <w:rFonts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2026.07.02</w:t>
            </w:r>
          </w:p>
        </w:tc>
        <w:tc>
          <w:tcPr>
            <w:tcW w:w="514" w:type="pct"/>
            <w:noWrap w:val="0"/>
            <w:tcMar>
              <w:top w:w="0" w:type="dxa"/>
              <w:left w:w="57" w:type="dxa"/>
              <w:bottom w:w="0" w:type="dxa"/>
              <w:right w:w="57" w:type="dxa"/>
            </w:tcMar>
            <w:vAlign w:val="center"/>
          </w:tcPr>
          <w:p w14:paraId="76408704">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0.010</w:t>
            </w:r>
          </w:p>
        </w:tc>
        <w:tc>
          <w:tcPr>
            <w:tcW w:w="514" w:type="pct"/>
            <w:noWrap w:val="0"/>
            <w:vAlign w:val="center"/>
          </w:tcPr>
          <w:p w14:paraId="0CC9F467">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0.05</w:t>
            </w:r>
          </w:p>
        </w:tc>
        <w:tc>
          <w:tcPr>
            <w:tcW w:w="514" w:type="pct"/>
            <w:noWrap w:val="0"/>
            <w:vAlign w:val="center"/>
          </w:tcPr>
          <w:p w14:paraId="484844D5">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4" w:type="pct"/>
            <w:noWrap w:val="0"/>
            <w:vAlign w:val="center"/>
          </w:tcPr>
          <w:p w14:paraId="64D66C86">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c>
          <w:tcPr>
            <w:tcW w:w="514" w:type="pct"/>
            <w:gridSpan w:val="2"/>
            <w:shd w:val="clear" w:color="auto" w:fill="auto"/>
            <w:noWrap w:val="0"/>
            <w:vAlign w:val="center"/>
          </w:tcPr>
          <w:p w14:paraId="4626CD86">
            <w:pPr>
              <w:widowControl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0.044</w:t>
            </w:r>
          </w:p>
        </w:tc>
        <w:tc>
          <w:tcPr>
            <w:tcW w:w="514" w:type="pct"/>
            <w:noWrap w:val="0"/>
            <w:vAlign w:val="center"/>
          </w:tcPr>
          <w:p w14:paraId="4342E9AB">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ascii="Times New Roman" w:hAnsi="Times New Roman" w:eastAsia="宋体" w:cs="Times New Roman"/>
                <w:color w:val="000000" w:themeColor="text1"/>
                <w:kern w:val="2"/>
                <w:sz w:val="21"/>
                <w:szCs w:val="21"/>
                <w14:textFill>
                  <w14:solidFill>
                    <w14:schemeClr w14:val="tx1"/>
                  </w14:solidFill>
                </w14:textFill>
              </w:rPr>
              <w:t>0.0</w:t>
            </w:r>
            <w:r>
              <w:rPr>
                <w:rFonts w:hint="eastAsia" w:ascii="Times New Roman" w:hAnsi="Times New Roman" w:eastAsia="宋体" w:cs="Times New Roman"/>
                <w:color w:val="000000" w:themeColor="text1"/>
                <w:kern w:val="2"/>
                <w:sz w:val="21"/>
                <w:szCs w:val="21"/>
                <w14:textFill>
                  <w14:solidFill>
                    <w14:schemeClr w14:val="tx1"/>
                  </w14:solidFill>
                </w14:textFill>
              </w:rPr>
              <w:t>5</w:t>
            </w:r>
          </w:p>
        </w:tc>
        <w:tc>
          <w:tcPr>
            <w:tcW w:w="514" w:type="pct"/>
            <w:noWrap w:val="0"/>
            <w:vAlign w:val="center"/>
          </w:tcPr>
          <w:p w14:paraId="167ACA93">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6" w:type="pct"/>
            <w:noWrap w:val="0"/>
            <w:vAlign w:val="center"/>
          </w:tcPr>
          <w:p w14:paraId="30787634">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r>
      <w:tr w14:paraId="76E55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 w:type="pct"/>
            <w:vMerge w:val="continue"/>
            <w:noWrap w:val="0"/>
            <w:vAlign w:val="center"/>
          </w:tcPr>
          <w:p w14:paraId="1F0187E8">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634" w:type="pct"/>
            <w:noWrap w:val="0"/>
            <w:vAlign w:val="center"/>
          </w:tcPr>
          <w:p w14:paraId="6122A6EC">
            <w:pPr>
              <w:widowControl w:val="0"/>
              <w:autoSpaceDE w:val="0"/>
              <w:autoSpaceDN w:val="0"/>
              <w:adjustRightInd w:val="0"/>
              <w:jc w:val="center"/>
              <w:rPr>
                <w:rFonts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2026.07.03</w:t>
            </w:r>
          </w:p>
        </w:tc>
        <w:tc>
          <w:tcPr>
            <w:tcW w:w="514" w:type="pct"/>
            <w:noWrap w:val="0"/>
            <w:tcMar>
              <w:top w:w="0" w:type="dxa"/>
              <w:left w:w="57" w:type="dxa"/>
              <w:bottom w:w="0" w:type="dxa"/>
              <w:right w:w="57" w:type="dxa"/>
            </w:tcMar>
            <w:vAlign w:val="center"/>
          </w:tcPr>
          <w:p w14:paraId="1951D0C9">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0.010</w:t>
            </w:r>
          </w:p>
        </w:tc>
        <w:tc>
          <w:tcPr>
            <w:tcW w:w="514" w:type="pct"/>
            <w:noWrap w:val="0"/>
            <w:vAlign w:val="center"/>
          </w:tcPr>
          <w:p w14:paraId="6788E6AC">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0.05</w:t>
            </w:r>
          </w:p>
        </w:tc>
        <w:tc>
          <w:tcPr>
            <w:tcW w:w="514" w:type="pct"/>
            <w:noWrap w:val="0"/>
            <w:vAlign w:val="center"/>
          </w:tcPr>
          <w:p w14:paraId="137DF962">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4" w:type="pct"/>
            <w:noWrap w:val="0"/>
            <w:vAlign w:val="center"/>
          </w:tcPr>
          <w:p w14:paraId="2DB01C93">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c>
          <w:tcPr>
            <w:tcW w:w="514" w:type="pct"/>
            <w:gridSpan w:val="2"/>
            <w:shd w:val="clear" w:color="auto" w:fill="auto"/>
            <w:noWrap w:val="0"/>
            <w:vAlign w:val="center"/>
          </w:tcPr>
          <w:p w14:paraId="30765529">
            <w:pPr>
              <w:widowControl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0.046</w:t>
            </w:r>
          </w:p>
        </w:tc>
        <w:tc>
          <w:tcPr>
            <w:tcW w:w="514" w:type="pct"/>
            <w:noWrap w:val="0"/>
            <w:vAlign w:val="center"/>
          </w:tcPr>
          <w:p w14:paraId="49DCDE51">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ascii="Times New Roman" w:hAnsi="Times New Roman" w:eastAsia="宋体" w:cs="Times New Roman"/>
                <w:color w:val="000000" w:themeColor="text1"/>
                <w:kern w:val="2"/>
                <w:sz w:val="21"/>
                <w:szCs w:val="21"/>
                <w14:textFill>
                  <w14:solidFill>
                    <w14:schemeClr w14:val="tx1"/>
                  </w14:solidFill>
                </w14:textFill>
              </w:rPr>
              <w:t>0.0</w:t>
            </w:r>
            <w:r>
              <w:rPr>
                <w:rFonts w:hint="eastAsia" w:ascii="Times New Roman" w:hAnsi="Times New Roman" w:eastAsia="宋体" w:cs="Times New Roman"/>
                <w:color w:val="000000" w:themeColor="text1"/>
                <w:kern w:val="2"/>
                <w:sz w:val="21"/>
                <w:szCs w:val="21"/>
                <w14:textFill>
                  <w14:solidFill>
                    <w14:schemeClr w14:val="tx1"/>
                  </w14:solidFill>
                </w14:textFill>
              </w:rPr>
              <w:t>5</w:t>
            </w:r>
          </w:p>
        </w:tc>
        <w:tc>
          <w:tcPr>
            <w:tcW w:w="514" w:type="pct"/>
            <w:noWrap w:val="0"/>
            <w:vAlign w:val="center"/>
          </w:tcPr>
          <w:p w14:paraId="534CB838">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c>
          <w:tcPr>
            <w:tcW w:w="516" w:type="pct"/>
            <w:noWrap w:val="0"/>
            <w:vAlign w:val="center"/>
          </w:tcPr>
          <w:p w14:paraId="7C54994C">
            <w:pPr>
              <w:widowControl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r>
      <w:tr w14:paraId="5B25A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11"/>
            <w:noWrap w:val="0"/>
            <w:vAlign w:val="center"/>
          </w:tcPr>
          <w:p w14:paraId="24C88F3E">
            <w:pPr>
              <w:widowControl w:val="0"/>
              <w:adjustRightInd w:val="0"/>
              <w:snapToGrid w:val="0"/>
              <w:jc w:val="left"/>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备注：</w:t>
            </w:r>
            <w:r>
              <w:rPr>
                <w:rFonts w:hint="eastAsia" w:cs="Times New Roman"/>
                <w:color w:val="000000" w:themeColor="text1"/>
                <w:kern w:val="2"/>
                <w:sz w:val="21"/>
                <w:szCs w:val="21"/>
                <w:lang w:val="en-US" w:eastAsia="zh-CN" w:bidi="ar-SA"/>
                <w14:textFill>
                  <w14:solidFill>
                    <w14:schemeClr w14:val="tx1"/>
                  </w14:solidFill>
                </w14:textFill>
              </w:rPr>
              <w:t>“</w:t>
            </w: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检出限+L</w:t>
            </w:r>
            <w:r>
              <w:rPr>
                <w:rFonts w:hint="eastAsia" w:cs="Times New Roman"/>
                <w:color w:val="000000" w:themeColor="text1"/>
                <w:kern w:val="2"/>
                <w:sz w:val="21"/>
                <w:szCs w:val="21"/>
                <w:lang w:val="en-US" w:eastAsia="zh-CN" w:bidi="ar-SA"/>
                <w14:textFill>
                  <w14:solidFill>
                    <w14:schemeClr w14:val="tx1"/>
                  </w14:solidFill>
                </w14:textFill>
              </w:rPr>
              <w:t>”</w:t>
            </w: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表示检测结果低于方法检出限。</w:t>
            </w:r>
          </w:p>
        </w:tc>
      </w:tr>
    </w:tbl>
    <w:p w14:paraId="2113A816">
      <w:pPr>
        <w:widowControl/>
        <w:jc w:val="center"/>
        <w:rPr>
          <w:rFonts w:ascii="Times New Roman" w:hAnsi="Times New Roman" w:eastAsia="宋体" w:cs="Times New Roman"/>
          <w:b/>
          <w:color w:val="000000" w:themeColor="text1"/>
          <w:kern w:val="2"/>
          <w:sz w:val="21"/>
          <w:szCs w:val="21"/>
          <w14:textFill>
            <w14:solidFill>
              <w14:schemeClr w14:val="tx1"/>
            </w14:solidFill>
          </w14:textFill>
        </w:rPr>
      </w:pPr>
      <w:r>
        <w:rPr>
          <w:rFonts w:ascii="Times New Roman" w:hAnsi="Times New Roman" w:eastAsia="宋体" w:cs="Times New Roman"/>
          <w:b/>
          <w:color w:val="000000" w:themeColor="text1"/>
          <w:kern w:val="2"/>
          <w:sz w:val="21"/>
          <w:szCs w:val="21"/>
          <w14:textFill>
            <w14:solidFill>
              <w14:schemeClr w14:val="tx1"/>
            </w14:solidFill>
          </w14:textFill>
        </w:rPr>
        <w:t>表</w:t>
      </w:r>
      <w:r>
        <w:rPr>
          <w:rFonts w:hint="eastAsia" w:ascii="Times New Roman" w:hAnsi="Times New Roman" w:eastAsia="宋体" w:cs="Times New Roman"/>
          <w:b/>
          <w:color w:val="000000" w:themeColor="text1"/>
          <w:kern w:val="2"/>
          <w:sz w:val="21"/>
          <w:szCs w:val="21"/>
          <w:lang w:val="en-US" w:eastAsia="zh-CN"/>
          <w14:textFill>
            <w14:solidFill>
              <w14:schemeClr w14:val="tx1"/>
            </w14:solidFill>
          </w14:textFill>
        </w:rPr>
        <w:t>2.2-</w:t>
      </w:r>
      <w:r>
        <w:rPr>
          <w:rFonts w:hint="eastAsia" w:cs="Times New Roman"/>
          <w:b/>
          <w:color w:val="000000" w:themeColor="text1"/>
          <w:kern w:val="2"/>
          <w:sz w:val="21"/>
          <w:szCs w:val="21"/>
          <w:lang w:val="en-US" w:eastAsia="zh-CN"/>
          <w14:textFill>
            <w14:solidFill>
              <w14:schemeClr w14:val="tx1"/>
            </w14:solidFill>
          </w14:textFill>
        </w:rPr>
        <w:t>6</w:t>
      </w:r>
      <w:r>
        <w:rPr>
          <w:rFonts w:ascii="Times New Roman" w:hAnsi="Times New Roman" w:eastAsia="宋体" w:cs="Times New Roman"/>
          <w:b/>
          <w:color w:val="000000" w:themeColor="text1"/>
          <w:kern w:val="2"/>
          <w:sz w:val="21"/>
          <w:szCs w:val="21"/>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14:textFill>
            <w14:solidFill>
              <w14:schemeClr w14:val="tx1"/>
            </w14:solidFill>
          </w14:textFill>
        </w:rPr>
        <w:t>PM</w:t>
      </w:r>
      <w:r>
        <w:rPr>
          <w:rFonts w:hint="eastAsia" w:ascii="Times New Roman" w:hAnsi="Times New Roman" w:eastAsia="宋体" w:cs="Times New Roman"/>
          <w:b/>
          <w:color w:val="000000" w:themeColor="text1"/>
          <w:kern w:val="2"/>
          <w:sz w:val="21"/>
          <w:szCs w:val="21"/>
          <w:vertAlign w:val="subscript"/>
          <w14:textFill>
            <w14:solidFill>
              <w14:schemeClr w14:val="tx1"/>
            </w14:solidFill>
          </w14:textFill>
        </w:rPr>
        <w:t>2.5</w:t>
      </w:r>
      <w:r>
        <w:rPr>
          <w:rFonts w:ascii="Times New Roman" w:hAnsi="Times New Roman" w:eastAsia="宋体" w:cs="Times New Roman"/>
          <w:b/>
          <w:color w:val="000000" w:themeColor="text1"/>
          <w:kern w:val="2"/>
          <w:sz w:val="21"/>
          <w:szCs w:val="21"/>
          <w14:textFill>
            <w14:solidFill>
              <w14:schemeClr w14:val="tx1"/>
            </w14:solidFill>
          </w14:textFill>
        </w:rPr>
        <w:t>、</w:t>
      </w:r>
      <w:r>
        <w:rPr>
          <w:rFonts w:hint="eastAsia" w:ascii="Times New Roman" w:hAnsi="Times New Roman" w:eastAsia="宋体" w:cs="Times New Roman"/>
          <w:b/>
          <w:color w:val="000000" w:themeColor="text1"/>
          <w:kern w:val="2"/>
          <w:sz w:val="21"/>
          <w:szCs w:val="21"/>
          <w14:textFill>
            <w14:solidFill>
              <w14:schemeClr w14:val="tx1"/>
            </w14:solidFill>
          </w14:textFill>
        </w:rPr>
        <w:t>TSP</w:t>
      </w:r>
      <w:r>
        <w:rPr>
          <w:rFonts w:ascii="Times New Roman" w:hAnsi="Times New Roman" w:eastAsia="宋体" w:cs="Times New Roman"/>
          <w:b/>
          <w:color w:val="000000" w:themeColor="text1"/>
          <w:kern w:val="2"/>
          <w:sz w:val="21"/>
          <w:szCs w:val="21"/>
          <w14:textFill>
            <w14:solidFill>
              <w14:schemeClr w14:val="tx1"/>
            </w14:solidFill>
          </w14:textFill>
        </w:rPr>
        <w:t>日均值监测结果统计表</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1775"/>
        <w:gridCol w:w="1401"/>
        <w:gridCol w:w="1401"/>
        <w:gridCol w:w="1401"/>
        <w:gridCol w:w="1401"/>
        <w:gridCol w:w="1401"/>
        <w:gridCol w:w="1401"/>
        <w:gridCol w:w="1401"/>
        <w:gridCol w:w="1405"/>
      </w:tblGrid>
      <w:tr w14:paraId="16260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 w:type="pct"/>
            <w:vMerge w:val="restart"/>
            <w:noWrap w:val="0"/>
            <w:vAlign w:val="center"/>
          </w:tcPr>
          <w:p w14:paraId="4BC8CB5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监测点位</w:t>
            </w:r>
          </w:p>
        </w:tc>
        <w:tc>
          <w:tcPr>
            <w:tcW w:w="650" w:type="pct"/>
            <w:vMerge w:val="restart"/>
            <w:noWrap w:val="0"/>
            <w:vAlign w:val="center"/>
          </w:tcPr>
          <w:p w14:paraId="5416068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监测时间</w:t>
            </w:r>
          </w:p>
        </w:tc>
        <w:tc>
          <w:tcPr>
            <w:tcW w:w="2052" w:type="pct"/>
            <w:gridSpan w:val="4"/>
            <w:noWrap w:val="0"/>
            <w:tcMar>
              <w:top w:w="0" w:type="dxa"/>
              <w:left w:w="57" w:type="dxa"/>
              <w:bottom w:w="0" w:type="dxa"/>
              <w:right w:w="57" w:type="dxa"/>
            </w:tcMar>
            <w:vAlign w:val="center"/>
          </w:tcPr>
          <w:p w14:paraId="4226BFE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PM</w:t>
            </w:r>
            <w:r>
              <w:rPr>
                <w:rFonts w:hint="eastAsia" w:ascii="Times New Roman" w:hAnsi="Times New Roman" w:eastAsia="宋体" w:cs="Times New Roman"/>
                <w:b w:val="0"/>
                <w:bCs/>
                <w:color w:val="000000" w:themeColor="text1"/>
                <w:kern w:val="2"/>
                <w:sz w:val="21"/>
                <w:szCs w:val="21"/>
                <w:vertAlign w:val="subscript"/>
                <w14:textFill>
                  <w14:solidFill>
                    <w14:schemeClr w14:val="tx1"/>
                  </w14:solidFill>
                </w14:textFill>
              </w:rPr>
              <w:t>2.5</w:t>
            </w:r>
          </w:p>
        </w:tc>
        <w:tc>
          <w:tcPr>
            <w:tcW w:w="2054" w:type="pct"/>
            <w:gridSpan w:val="4"/>
            <w:noWrap w:val="0"/>
            <w:vAlign w:val="center"/>
          </w:tcPr>
          <w:p w14:paraId="6EDEDC0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TSP</w:t>
            </w:r>
          </w:p>
        </w:tc>
      </w:tr>
      <w:tr w14:paraId="6C272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 w:type="pct"/>
            <w:vMerge w:val="continue"/>
            <w:noWrap w:val="0"/>
            <w:vAlign w:val="center"/>
          </w:tcPr>
          <w:p w14:paraId="5E29223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650" w:type="pct"/>
            <w:vMerge w:val="continue"/>
            <w:noWrap w:val="0"/>
            <w:vAlign w:val="center"/>
          </w:tcPr>
          <w:p w14:paraId="485333D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513" w:type="pct"/>
            <w:noWrap w:val="0"/>
            <w:tcMar>
              <w:top w:w="0" w:type="dxa"/>
              <w:left w:w="57" w:type="dxa"/>
              <w:bottom w:w="0" w:type="dxa"/>
              <w:right w:w="57" w:type="dxa"/>
            </w:tcMar>
            <w:vAlign w:val="center"/>
          </w:tcPr>
          <w:p w14:paraId="5B91463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监测结果（mg/m</w:t>
            </w:r>
            <w:r>
              <w:rPr>
                <w:rFonts w:ascii="Times New Roman" w:hAnsi="Times New Roman" w:eastAsia="宋体" w:cs="Times New Roman"/>
                <w:b w:val="0"/>
                <w:bCs/>
                <w:color w:val="000000" w:themeColor="text1"/>
                <w:kern w:val="2"/>
                <w:sz w:val="21"/>
                <w:szCs w:val="21"/>
                <w:vertAlign w:val="superscript"/>
                <w14:textFill>
                  <w14:solidFill>
                    <w14:schemeClr w14:val="tx1"/>
                  </w14:solidFill>
                </w14:textFill>
              </w:rPr>
              <w:t>3</w:t>
            </w:r>
            <w:r>
              <w:rPr>
                <w:rFonts w:ascii="Times New Roman" w:hAnsi="Times New Roman" w:eastAsia="宋体" w:cs="Times New Roman"/>
                <w:b w:val="0"/>
                <w:bCs/>
                <w:color w:val="000000" w:themeColor="text1"/>
                <w:kern w:val="2"/>
                <w:sz w:val="21"/>
                <w:szCs w:val="21"/>
                <w14:textFill>
                  <w14:solidFill>
                    <w14:schemeClr w14:val="tx1"/>
                  </w14:solidFill>
                </w14:textFill>
              </w:rPr>
              <w:t>）</w:t>
            </w:r>
          </w:p>
        </w:tc>
        <w:tc>
          <w:tcPr>
            <w:tcW w:w="513" w:type="pct"/>
            <w:noWrap w:val="0"/>
            <w:vAlign w:val="center"/>
          </w:tcPr>
          <w:p w14:paraId="7A1F054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标准值（mg/m</w:t>
            </w:r>
            <w:r>
              <w:rPr>
                <w:rFonts w:ascii="Times New Roman" w:hAnsi="Times New Roman" w:eastAsia="宋体" w:cs="Times New Roman"/>
                <w:b w:val="0"/>
                <w:bCs/>
                <w:color w:val="000000" w:themeColor="text1"/>
                <w:kern w:val="2"/>
                <w:sz w:val="21"/>
                <w:szCs w:val="21"/>
                <w:vertAlign w:val="superscript"/>
                <w14:textFill>
                  <w14:solidFill>
                    <w14:schemeClr w14:val="tx1"/>
                  </w14:solidFill>
                </w14:textFill>
              </w:rPr>
              <w:t>3</w:t>
            </w:r>
            <w:r>
              <w:rPr>
                <w:rFonts w:ascii="Times New Roman" w:hAnsi="Times New Roman" w:eastAsia="宋体" w:cs="Times New Roman"/>
                <w:b w:val="0"/>
                <w:bCs/>
                <w:color w:val="000000" w:themeColor="text1"/>
                <w:kern w:val="2"/>
                <w:sz w:val="21"/>
                <w:szCs w:val="21"/>
                <w14:textFill>
                  <w14:solidFill>
                    <w14:schemeClr w14:val="tx1"/>
                  </w14:solidFill>
                </w14:textFill>
              </w:rPr>
              <w:t>）</w:t>
            </w:r>
          </w:p>
        </w:tc>
        <w:tc>
          <w:tcPr>
            <w:tcW w:w="513" w:type="pct"/>
            <w:noWrap w:val="0"/>
            <w:vAlign w:val="center"/>
          </w:tcPr>
          <w:p w14:paraId="638FDD2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超标率（%）</w:t>
            </w:r>
          </w:p>
        </w:tc>
        <w:tc>
          <w:tcPr>
            <w:tcW w:w="513" w:type="pct"/>
            <w:noWrap w:val="0"/>
            <w:vAlign w:val="center"/>
          </w:tcPr>
          <w:p w14:paraId="1C6438F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是否达标</w:t>
            </w:r>
          </w:p>
        </w:tc>
        <w:tc>
          <w:tcPr>
            <w:tcW w:w="513" w:type="pct"/>
            <w:noWrap w:val="0"/>
            <w:vAlign w:val="center"/>
          </w:tcPr>
          <w:p w14:paraId="78770B2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监测结果（mg/m</w:t>
            </w:r>
            <w:r>
              <w:rPr>
                <w:rFonts w:ascii="Times New Roman" w:hAnsi="Times New Roman" w:eastAsia="宋体" w:cs="Times New Roman"/>
                <w:b w:val="0"/>
                <w:bCs/>
                <w:color w:val="000000" w:themeColor="text1"/>
                <w:kern w:val="2"/>
                <w:sz w:val="21"/>
                <w:szCs w:val="21"/>
                <w:vertAlign w:val="superscript"/>
                <w14:textFill>
                  <w14:solidFill>
                    <w14:schemeClr w14:val="tx1"/>
                  </w14:solidFill>
                </w14:textFill>
              </w:rPr>
              <w:t>3</w:t>
            </w:r>
            <w:r>
              <w:rPr>
                <w:rFonts w:ascii="Times New Roman" w:hAnsi="Times New Roman" w:eastAsia="宋体" w:cs="Times New Roman"/>
                <w:b w:val="0"/>
                <w:bCs/>
                <w:color w:val="000000" w:themeColor="text1"/>
                <w:kern w:val="2"/>
                <w:sz w:val="21"/>
                <w:szCs w:val="21"/>
                <w14:textFill>
                  <w14:solidFill>
                    <w14:schemeClr w14:val="tx1"/>
                  </w14:solidFill>
                </w14:textFill>
              </w:rPr>
              <w:t>）</w:t>
            </w:r>
          </w:p>
        </w:tc>
        <w:tc>
          <w:tcPr>
            <w:tcW w:w="513" w:type="pct"/>
            <w:noWrap w:val="0"/>
            <w:vAlign w:val="center"/>
          </w:tcPr>
          <w:p w14:paraId="0B6A18A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标准值（mg/m</w:t>
            </w:r>
            <w:r>
              <w:rPr>
                <w:rFonts w:ascii="Times New Roman" w:hAnsi="Times New Roman" w:eastAsia="宋体" w:cs="Times New Roman"/>
                <w:b w:val="0"/>
                <w:bCs/>
                <w:color w:val="000000" w:themeColor="text1"/>
                <w:kern w:val="2"/>
                <w:sz w:val="21"/>
                <w:szCs w:val="21"/>
                <w:vertAlign w:val="superscript"/>
                <w14:textFill>
                  <w14:solidFill>
                    <w14:schemeClr w14:val="tx1"/>
                  </w14:solidFill>
                </w14:textFill>
              </w:rPr>
              <w:t>3</w:t>
            </w:r>
            <w:r>
              <w:rPr>
                <w:rFonts w:ascii="Times New Roman" w:hAnsi="Times New Roman" w:eastAsia="宋体" w:cs="Times New Roman"/>
                <w:b w:val="0"/>
                <w:bCs/>
                <w:color w:val="000000" w:themeColor="text1"/>
                <w:kern w:val="2"/>
                <w:sz w:val="21"/>
                <w:szCs w:val="21"/>
                <w14:textFill>
                  <w14:solidFill>
                    <w14:schemeClr w14:val="tx1"/>
                  </w14:solidFill>
                </w14:textFill>
              </w:rPr>
              <w:t>）</w:t>
            </w:r>
          </w:p>
        </w:tc>
        <w:tc>
          <w:tcPr>
            <w:tcW w:w="513" w:type="pct"/>
            <w:noWrap w:val="0"/>
            <w:vAlign w:val="center"/>
          </w:tcPr>
          <w:p w14:paraId="362FD01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超标率（%）</w:t>
            </w:r>
          </w:p>
        </w:tc>
        <w:tc>
          <w:tcPr>
            <w:tcW w:w="514" w:type="pct"/>
            <w:noWrap w:val="0"/>
            <w:vAlign w:val="center"/>
          </w:tcPr>
          <w:p w14:paraId="4E14A7D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是否达标</w:t>
            </w:r>
          </w:p>
        </w:tc>
      </w:tr>
      <w:tr w14:paraId="7E03F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 w:type="pct"/>
            <w:vMerge w:val="restart"/>
            <w:noWrap w:val="0"/>
            <w:vAlign w:val="center"/>
          </w:tcPr>
          <w:p w14:paraId="7AA0BF6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lang w:val="en-US" w:eastAsia="zh-CN"/>
                <w14:textFill>
                  <w14:solidFill>
                    <w14:schemeClr w14:val="tx1"/>
                  </w14:solidFill>
                </w14:textFill>
              </w:rPr>
              <w:t>A2，翠柏自然保护区1个点位</w:t>
            </w:r>
          </w:p>
        </w:tc>
        <w:tc>
          <w:tcPr>
            <w:tcW w:w="1738" w:type="dxa"/>
            <w:noWrap w:val="0"/>
            <w:vAlign w:val="center"/>
          </w:tcPr>
          <w:p w14:paraId="05CD365D">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2026.06.27</w:t>
            </w:r>
          </w:p>
        </w:tc>
        <w:tc>
          <w:tcPr>
            <w:tcW w:w="1401" w:type="dxa"/>
            <w:noWrap w:val="0"/>
            <w:tcMar>
              <w:top w:w="0" w:type="dxa"/>
              <w:left w:w="57" w:type="dxa"/>
              <w:bottom w:w="0" w:type="dxa"/>
              <w:right w:w="57" w:type="dxa"/>
            </w:tcMar>
            <w:vAlign w:val="center"/>
          </w:tcPr>
          <w:p w14:paraId="75A7855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0.028</w:t>
            </w:r>
          </w:p>
        </w:tc>
        <w:tc>
          <w:tcPr>
            <w:tcW w:w="513" w:type="pct"/>
            <w:noWrap w:val="0"/>
            <w:vAlign w:val="center"/>
          </w:tcPr>
          <w:p w14:paraId="475519E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3</w:t>
            </w:r>
            <w:r>
              <w:rPr>
                <w:rFonts w:ascii="Times New Roman" w:hAnsi="Times New Roman" w:eastAsia="宋体" w:cs="Times New Roman"/>
                <w:b w:val="0"/>
                <w:bCs/>
                <w:color w:val="000000" w:themeColor="text1"/>
                <w:kern w:val="2"/>
                <w:sz w:val="21"/>
                <w:szCs w:val="21"/>
                <w14:textFill>
                  <w14:solidFill>
                    <w14:schemeClr w14:val="tx1"/>
                  </w14:solidFill>
                </w14:textFill>
              </w:rPr>
              <w:t>5</w:t>
            </w:r>
          </w:p>
        </w:tc>
        <w:tc>
          <w:tcPr>
            <w:tcW w:w="513" w:type="pct"/>
            <w:noWrap w:val="0"/>
            <w:vAlign w:val="center"/>
          </w:tcPr>
          <w:p w14:paraId="4A2C0F6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3" w:type="pct"/>
            <w:noWrap w:val="0"/>
            <w:vAlign w:val="center"/>
          </w:tcPr>
          <w:p w14:paraId="3C54EB8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372" w:type="dxa"/>
            <w:noWrap w:val="0"/>
            <w:vAlign w:val="center"/>
          </w:tcPr>
          <w:p w14:paraId="2C0B4628">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0.089</w:t>
            </w:r>
          </w:p>
        </w:tc>
        <w:tc>
          <w:tcPr>
            <w:tcW w:w="513" w:type="pct"/>
            <w:noWrap w:val="0"/>
            <w:vAlign w:val="center"/>
          </w:tcPr>
          <w:p w14:paraId="7DDE06A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12</w:t>
            </w:r>
          </w:p>
        </w:tc>
        <w:tc>
          <w:tcPr>
            <w:tcW w:w="513" w:type="pct"/>
            <w:noWrap w:val="0"/>
            <w:vAlign w:val="center"/>
          </w:tcPr>
          <w:p w14:paraId="0EED76B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4" w:type="pct"/>
            <w:noWrap w:val="0"/>
            <w:vAlign w:val="center"/>
          </w:tcPr>
          <w:p w14:paraId="631FDEC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06899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 w:type="pct"/>
            <w:vMerge w:val="continue"/>
            <w:noWrap w:val="0"/>
            <w:vAlign w:val="center"/>
          </w:tcPr>
          <w:p w14:paraId="17C636C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1738" w:type="dxa"/>
            <w:noWrap w:val="0"/>
            <w:vAlign w:val="center"/>
          </w:tcPr>
          <w:p w14:paraId="2BF9FDBF">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2026.06.28</w:t>
            </w:r>
          </w:p>
        </w:tc>
        <w:tc>
          <w:tcPr>
            <w:tcW w:w="1401" w:type="dxa"/>
            <w:noWrap w:val="0"/>
            <w:tcMar>
              <w:top w:w="0" w:type="dxa"/>
              <w:left w:w="57" w:type="dxa"/>
              <w:bottom w:w="0" w:type="dxa"/>
              <w:right w:w="57" w:type="dxa"/>
            </w:tcMar>
            <w:vAlign w:val="center"/>
          </w:tcPr>
          <w:p w14:paraId="48714994">
            <w:pPr>
              <w:widowControl/>
              <w:jc w:val="center"/>
              <w:rPr>
                <w:rFonts w:hint="default"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0.025</w:t>
            </w:r>
          </w:p>
        </w:tc>
        <w:tc>
          <w:tcPr>
            <w:tcW w:w="513" w:type="pct"/>
            <w:noWrap w:val="0"/>
            <w:vAlign w:val="center"/>
          </w:tcPr>
          <w:p w14:paraId="677DAC2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3</w:t>
            </w:r>
            <w:r>
              <w:rPr>
                <w:rFonts w:ascii="Times New Roman" w:hAnsi="Times New Roman" w:eastAsia="宋体" w:cs="Times New Roman"/>
                <w:b w:val="0"/>
                <w:bCs/>
                <w:color w:val="000000" w:themeColor="text1"/>
                <w:kern w:val="2"/>
                <w:sz w:val="21"/>
                <w:szCs w:val="21"/>
                <w14:textFill>
                  <w14:solidFill>
                    <w14:schemeClr w14:val="tx1"/>
                  </w14:solidFill>
                </w14:textFill>
              </w:rPr>
              <w:t>5</w:t>
            </w:r>
          </w:p>
        </w:tc>
        <w:tc>
          <w:tcPr>
            <w:tcW w:w="513" w:type="pct"/>
            <w:noWrap w:val="0"/>
            <w:vAlign w:val="center"/>
          </w:tcPr>
          <w:p w14:paraId="248D3B0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3" w:type="pct"/>
            <w:noWrap w:val="0"/>
            <w:vAlign w:val="center"/>
          </w:tcPr>
          <w:p w14:paraId="1279811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372" w:type="dxa"/>
            <w:noWrap w:val="0"/>
            <w:vAlign w:val="center"/>
          </w:tcPr>
          <w:p w14:paraId="7DDB6888">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0.092</w:t>
            </w:r>
          </w:p>
        </w:tc>
        <w:tc>
          <w:tcPr>
            <w:tcW w:w="513" w:type="pct"/>
            <w:noWrap w:val="0"/>
            <w:vAlign w:val="center"/>
          </w:tcPr>
          <w:p w14:paraId="0FF9E21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12</w:t>
            </w:r>
          </w:p>
        </w:tc>
        <w:tc>
          <w:tcPr>
            <w:tcW w:w="513" w:type="pct"/>
            <w:noWrap w:val="0"/>
            <w:vAlign w:val="center"/>
          </w:tcPr>
          <w:p w14:paraId="18A95EB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4" w:type="pct"/>
            <w:noWrap w:val="0"/>
            <w:vAlign w:val="center"/>
          </w:tcPr>
          <w:p w14:paraId="1FDF7A6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2C3AD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 w:type="pct"/>
            <w:vMerge w:val="continue"/>
            <w:noWrap w:val="0"/>
            <w:vAlign w:val="center"/>
          </w:tcPr>
          <w:p w14:paraId="2A7F503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1738" w:type="dxa"/>
            <w:noWrap w:val="0"/>
            <w:vAlign w:val="center"/>
          </w:tcPr>
          <w:p w14:paraId="7D3FA326">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2026.06.29</w:t>
            </w:r>
          </w:p>
        </w:tc>
        <w:tc>
          <w:tcPr>
            <w:tcW w:w="1372" w:type="dxa"/>
            <w:noWrap w:val="0"/>
            <w:tcMar>
              <w:top w:w="0" w:type="dxa"/>
              <w:left w:w="57" w:type="dxa"/>
              <w:bottom w:w="0" w:type="dxa"/>
              <w:right w:w="57" w:type="dxa"/>
            </w:tcMar>
            <w:vAlign w:val="center"/>
          </w:tcPr>
          <w:p w14:paraId="3D3C9886">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0.024</w:t>
            </w:r>
          </w:p>
        </w:tc>
        <w:tc>
          <w:tcPr>
            <w:tcW w:w="513" w:type="pct"/>
            <w:noWrap w:val="0"/>
            <w:vAlign w:val="center"/>
          </w:tcPr>
          <w:p w14:paraId="5411FBE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3</w:t>
            </w:r>
            <w:r>
              <w:rPr>
                <w:rFonts w:ascii="Times New Roman" w:hAnsi="Times New Roman" w:eastAsia="宋体" w:cs="Times New Roman"/>
                <w:b w:val="0"/>
                <w:bCs/>
                <w:color w:val="000000" w:themeColor="text1"/>
                <w:kern w:val="2"/>
                <w:sz w:val="21"/>
                <w:szCs w:val="21"/>
                <w14:textFill>
                  <w14:solidFill>
                    <w14:schemeClr w14:val="tx1"/>
                  </w14:solidFill>
                </w14:textFill>
              </w:rPr>
              <w:t>5</w:t>
            </w:r>
          </w:p>
        </w:tc>
        <w:tc>
          <w:tcPr>
            <w:tcW w:w="513" w:type="pct"/>
            <w:noWrap w:val="0"/>
            <w:vAlign w:val="center"/>
          </w:tcPr>
          <w:p w14:paraId="62F2A90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3" w:type="pct"/>
            <w:noWrap w:val="0"/>
            <w:vAlign w:val="center"/>
          </w:tcPr>
          <w:p w14:paraId="0F90AEB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372" w:type="dxa"/>
            <w:noWrap w:val="0"/>
            <w:vAlign w:val="center"/>
          </w:tcPr>
          <w:p w14:paraId="0797E560">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0.097</w:t>
            </w:r>
          </w:p>
        </w:tc>
        <w:tc>
          <w:tcPr>
            <w:tcW w:w="513" w:type="pct"/>
            <w:noWrap w:val="0"/>
            <w:vAlign w:val="center"/>
          </w:tcPr>
          <w:p w14:paraId="0F75A84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12</w:t>
            </w:r>
          </w:p>
        </w:tc>
        <w:tc>
          <w:tcPr>
            <w:tcW w:w="513" w:type="pct"/>
            <w:noWrap w:val="0"/>
            <w:vAlign w:val="center"/>
          </w:tcPr>
          <w:p w14:paraId="4E931B6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4" w:type="pct"/>
            <w:noWrap w:val="0"/>
            <w:vAlign w:val="center"/>
          </w:tcPr>
          <w:p w14:paraId="415EAAC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58970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 w:type="pct"/>
            <w:vMerge w:val="continue"/>
            <w:noWrap w:val="0"/>
            <w:vAlign w:val="center"/>
          </w:tcPr>
          <w:p w14:paraId="2BA03D1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1738" w:type="dxa"/>
            <w:noWrap w:val="0"/>
            <w:vAlign w:val="center"/>
          </w:tcPr>
          <w:p w14:paraId="6417327D">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2026.06.30</w:t>
            </w:r>
          </w:p>
        </w:tc>
        <w:tc>
          <w:tcPr>
            <w:tcW w:w="1372" w:type="dxa"/>
            <w:noWrap w:val="0"/>
            <w:tcMar>
              <w:top w:w="0" w:type="dxa"/>
              <w:left w:w="57" w:type="dxa"/>
              <w:bottom w:w="0" w:type="dxa"/>
              <w:right w:w="57" w:type="dxa"/>
            </w:tcMar>
            <w:vAlign w:val="center"/>
          </w:tcPr>
          <w:p w14:paraId="2BBFB8E2">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0.026</w:t>
            </w:r>
          </w:p>
        </w:tc>
        <w:tc>
          <w:tcPr>
            <w:tcW w:w="513" w:type="pct"/>
            <w:noWrap w:val="0"/>
            <w:vAlign w:val="center"/>
          </w:tcPr>
          <w:p w14:paraId="00FC353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3</w:t>
            </w:r>
            <w:r>
              <w:rPr>
                <w:rFonts w:ascii="Times New Roman" w:hAnsi="Times New Roman" w:eastAsia="宋体" w:cs="Times New Roman"/>
                <w:b w:val="0"/>
                <w:bCs/>
                <w:color w:val="000000" w:themeColor="text1"/>
                <w:kern w:val="2"/>
                <w:sz w:val="21"/>
                <w:szCs w:val="21"/>
                <w14:textFill>
                  <w14:solidFill>
                    <w14:schemeClr w14:val="tx1"/>
                  </w14:solidFill>
                </w14:textFill>
              </w:rPr>
              <w:t>5</w:t>
            </w:r>
          </w:p>
        </w:tc>
        <w:tc>
          <w:tcPr>
            <w:tcW w:w="513" w:type="pct"/>
            <w:noWrap w:val="0"/>
            <w:vAlign w:val="center"/>
          </w:tcPr>
          <w:p w14:paraId="384CF46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3" w:type="pct"/>
            <w:noWrap w:val="0"/>
            <w:vAlign w:val="center"/>
          </w:tcPr>
          <w:p w14:paraId="4879A53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372" w:type="dxa"/>
            <w:noWrap w:val="0"/>
            <w:vAlign w:val="center"/>
          </w:tcPr>
          <w:p w14:paraId="3B2BA150">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0.095</w:t>
            </w:r>
          </w:p>
        </w:tc>
        <w:tc>
          <w:tcPr>
            <w:tcW w:w="513" w:type="pct"/>
            <w:noWrap w:val="0"/>
            <w:vAlign w:val="center"/>
          </w:tcPr>
          <w:p w14:paraId="2BB5F68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12</w:t>
            </w:r>
          </w:p>
        </w:tc>
        <w:tc>
          <w:tcPr>
            <w:tcW w:w="513" w:type="pct"/>
            <w:noWrap w:val="0"/>
            <w:vAlign w:val="center"/>
          </w:tcPr>
          <w:p w14:paraId="3E99A62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4" w:type="pct"/>
            <w:noWrap w:val="0"/>
            <w:vAlign w:val="center"/>
          </w:tcPr>
          <w:p w14:paraId="25A3D2F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29DB4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 w:type="pct"/>
            <w:vMerge w:val="continue"/>
            <w:noWrap w:val="0"/>
            <w:vAlign w:val="center"/>
          </w:tcPr>
          <w:p w14:paraId="2697FB2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1738" w:type="dxa"/>
            <w:noWrap w:val="0"/>
            <w:vAlign w:val="center"/>
          </w:tcPr>
          <w:p w14:paraId="2B414C43">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2026.07.01</w:t>
            </w:r>
          </w:p>
        </w:tc>
        <w:tc>
          <w:tcPr>
            <w:tcW w:w="1372" w:type="dxa"/>
            <w:noWrap w:val="0"/>
            <w:tcMar>
              <w:top w:w="0" w:type="dxa"/>
              <w:left w:w="57" w:type="dxa"/>
              <w:bottom w:w="0" w:type="dxa"/>
              <w:right w:w="57" w:type="dxa"/>
            </w:tcMar>
            <w:vAlign w:val="center"/>
          </w:tcPr>
          <w:p w14:paraId="42EDACD0">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0.028</w:t>
            </w:r>
          </w:p>
        </w:tc>
        <w:tc>
          <w:tcPr>
            <w:tcW w:w="513" w:type="pct"/>
            <w:noWrap w:val="0"/>
            <w:vAlign w:val="center"/>
          </w:tcPr>
          <w:p w14:paraId="4E28DDD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3</w:t>
            </w:r>
            <w:r>
              <w:rPr>
                <w:rFonts w:ascii="Times New Roman" w:hAnsi="Times New Roman" w:eastAsia="宋体" w:cs="Times New Roman"/>
                <w:b w:val="0"/>
                <w:bCs/>
                <w:color w:val="000000" w:themeColor="text1"/>
                <w:kern w:val="2"/>
                <w:sz w:val="21"/>
                <w:szCs w:val="21"/>
                <w14:textFill>
                  <w14:solidFill>
                    <w14:schemeClr w14:val="tx1"/>
                  </w14:solidFill>
                </w14:textFill>
              </w:rPr>
              <w:t>5</w:t>
            </w:r>
          </w:p>
        </w:tc>
        <w:tc>
          <w:tcPr>
            <w:tcW w:w="513" w:type="pct"/>
            <w:noWrap w:val="0"/>
            <w:vAlign w:val="center"/>
          </w:tcPr>
          <w:p w14:paraId="573869F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3" w:type="pct"/>
            <w:noWrap w:val="0"/>
            <w:vAlign w:val="center"/>
          </w:tcPr>
          <w:p w14:paraId="024442D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372" w:type="dxa"/>
            <w:noWrap w:val="0"/>
            <w:vAlign w:val="center"/>
          </w:tcPr>
          <w:p w14:paraId="5124ACFE">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0.096</w:t>
            </w:r>
          </w:p>
        </w:tc>
        <w:tc>
          <w:tcPr>
            <w:tcW w:w="513" w:type="pct"/>
            <w:noWrap w:val="0"/>
            <w:vAlign w:val="center"/>
          </w:tcPr>
          <w:p w14:paraId="0904FD5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12</w:t>
            </w:r>
          </w:p>
        </w:tc>
        <w:tc>
          <w:tcPr>
            <w:tcW w:w="513" w:type="pct"/>
            <w:noWrap w:val="0"/>
            <w:vAlign w:val="center"/>
          </w:tcPr>
          <w:p w14:paraId="2F109C7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4" w:type="pct"/>
            <w:noWrap w:val="0"/>
            <w:vAlign w:val="center"/>
          </w:tcPr>
          <w:p w14:paraId="62B5F65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08286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 w:type="pct"/>
            <w:vMerge w:val="continue"/>
            <w:noWrap w:val="0"/>
            <w:vAlign w:val="center"/>
          </w:tcPr>
          <w:p w14:paraId="252EAF5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1738" w:type="dxa"/>
            <w:noWrap w:val="0"/>
            <w:vAlign w:val="center"/>
          </w:tcPr>
          <w:p w14:paraId="4DAE1077">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2026.07.02</w:t>
            </w:r>
          </w:p>
        </w:tc>
        <w:tc>
          <w:tcPr>
            <w:tcW w:w="1372" w:type="dxa"/>
            <w:noWrap w:val="0"/>
            <w:tcMar>
              <w:top w:w="0" w:type="dxa"/>
              <w:left w:w="57" w:type="dxa"/>
              <w:bottom w:w="0" w:type="dxa"/>
              <w:right w:w="57" w:type="dxa"/>
            </w:tcMar>
            <w:vAlign w:val="center"/>
          </w:tcPr>
          <w:p w14:paraId="4DF49AAF">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0.023</w:t>
            </w:r>
          </w:p>
        </w:tc>
        <w:tc>
          <w:tcPr>
            <w:tcW w:w="513" w:type="pct"/>
            <w:noWrap w:val="0"/>
            <w:vAlign w:val="center"/>
          </w:tcPr>
          <w:p w14:paraId="6DA5ADC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3</w:t>
            </w:r>
            <w:r>
              <w:rPr>
                <w:rFonts w:ascii="Times New Roman" w:hAnsi="Times New Roman" w:eastAsia="宋体" w:cs="Times New Roman"/>
                <w:b w:val="0"/>
                <w:bCs/>
                <w:color w:val="000000" w:themeColor="text1"/>
                <w:kern w:val="2"/>
                <w:sz w:val="21"/>
                <w:szCs w:val="21"/>
                <w14:textFill>
                  <w14:solidFill>
                    <w14:schemeClr w14:val="tx1"/>
                  </w14:solidFill>
                </w14:textFill>
              </w:rPr>
              <w:t>5</w:t>
            </w:r>
          </w:p>
        </w:tc>
        <w:tc>
          <w:tcPr>
            <w:tcW w:w="513" w:type="pct"/>
            <w:noWrap w:val="0"/>
            <w:vAlign w:val="center"/>
          </w:tcPr>
          <w:p w14:paraId="4883709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3" w:type="pct"/>
            <w:noWrap w:val="0"/>
            <w:vAlign w:val="center"/>
          </w:tcPr>
          <w:p w14:paraId="27692FE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372" w:type="dxa"/>
            <w:noWrap w:val="0"/>
            <w:vAlign w:val="center"/>
          </w:tcPr>
          <w:p w14:paraId="79AF5763">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0.097</w:t>
            </w:r>
          </w:p>
        </w:tc>
        <w:tc>
          <w:tcPr>
            <w:tcW w:w="513" w:type="pct"/>
            <w:noWrap w:val="0"/>
            <w:vAlign w:val="center"/>
          </w:tcPr>
          <w:p w14:paraId="2340CC3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12</w:t>
            </w:r>
          </w:p>
        </w:tc>
        <w:tc>
          <w:tcPr>
            <w:tcW w:w="513" w:type="pct"/>
            <w:noWrap w:val="0"/>
            <w:vAlign w:val="center"/>
          </w:tcPr>
          <w:p w14:paraId="3138DB3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4" w:type="pct"/>
            <w:noWrap w:val="0"/>
            <w:vAlign w:val="center"/>
          </w:tcPr>
          <w:p w14:paraId="1C3AEAB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1378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2" w:type="pct"/>
            <w:vMerge w:val="continue"/>
            <w:noWrap w:val="0"/>
            <w:vAlign w:val="center"/>
          </w:tcPr>
          <w:p w14:paraId="623CFEF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1738" w:type="dxa"/>
            <w:noWrap w:val="0"/>
            <w:vAlign w:val="center"/>
          </w:tcPr>
          <w:p w14:paraId="087442E2">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2026.07.03</w:t>
            </w:r>
          </w:p>
        </w:tc>
        <w:tc>
          <w:tcPr>
            <w:tcW w:w="1372" w:type="dxa"/>
            <w:noWrap w:val="0"/>
            <w:tcMar>
              <w:top w:w="0" w:type="dxa"/>
              <w:left w:w="57" w:type="dxa"/>
              <w:bottom w:w="0" w:type="dxa"/>
              <w:right w:w="57" w:type="dxa"/>
            </w:tcMar>
            <w:vAlign w:val="center"/>
          </w:tcPr>
          <w:p w14:paraId="4C9A10B0">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0.025</w:t>
            </w:r>
          </w:p>
        </w:tc>
        <w:tc>
          <w:tcPr>
            <w:tcW w:w="513" w:type="pct"/>
            <w:noWrap w:val="0"/>
            <w:vAlign w:val="center"/>
          </w:tcPr>
          <w:p w14:paraId="2251C5D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3</w:t>
            </w:r>
            <w:r>
              <w:rPr>
                <w:rFonts w:ascii="Times New Roman" w:hAnsi="Times New Roman" w:eastAsia="宋体" w:cs="Times New Roman"/>
                <w:b w:val="0"/>
                <w:bCs/>
                <w:color w:val="000000" w:themeColor="text1"/>
                <w:kern w:val="2"/>
                <w:sz w:val="21"/>
                <w:szCs w:val="21"/>
                <w14:textFill>
                  <w14:solidFill>
                    <w14:schemeClr w14:val="tx1"/>
                  </w14:solidFill>
                </w14:textFill>
              </w:rPr>
              <w:t>5</w:t>
            </w:r>
          </w:p>
        </w:tc>
        <w:tc>
          <w:tcPr>
            <w:tcW w:w="513" w:type="pct"/>
            <w:noWrap w:val="0"/>
            <w:vAlign w:val="center"/>
          </w:tcPr>
          <w:p w14:paraId="3005371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3" w:type="pct"/>
            <w:noWrap w:val="0"/>
            <w:vAlign w:val="center"/>
          </w:tcPr>
          <w:p w14:paraId="006A4F3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372" w:type="dxa"/>
            <w:noWrap w:val="0"/>
            <w:vAlign w:val="center"/>
          </w:tcPr>
          <w:p w14:paraId="31F9C49B">
            <w:pPr>
              <w:widowControl/>
              <w:adjustRightInd w:val="0"/>
              <w:snapToGrid w:val="0"/>
              <w:jc w:val="center"/>
              <w:rPr>
                <w:rFonts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0.093</w:t>
            </w:r>
          </w:p>
        </w:tc>
        <w:tc>
          <w:tcPr>
            <w:tcW w:w="513" w:type="pct"/>
            <w:noWrap w:val="0"/>
            <w:vAlign w:val="center"/>
          </w:tcPr>
          <w:p w14:paraId="715F93E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r>
              <w:rPr>
                <w:rFonts w:hint="eastAsia" w:ascii="Times New Roman" w:hAnsi="Times New Roman" w:eastAsia="宋体" w:cs="Times New Roman"/>
                <w:b w:val="0"/>
                <w:bCs/>
                <w:color w:val="000000" w:themeColor="text1"/>
                <w:kern w:val="2"/>
                <w:sz w:val="21"/>
                <w:szCs w:val="21"/>
                <w14:textFill>
                  <w14:solidFill>
                    <w14:schemeClr w14:val="tx1"/>
                  </w14:solidFill>
                </w14:textFill>
              </w:rPr>
              <w:t>12</w:t>
            </w:r>
          </w:p>
        </w:tc>
        <w:tc>
          <w:tcPr>
            <w:tcW w:w="513" w:type="pct"/>
            <w:noWrap w:val="0"/>
            <w:vAlign w:val="center"/>
          </w:tcPr>
          <w:p w14:paraId="7FD6739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514" w:type="pct"/>
            <w:noWrap w:val="0"/>
            <w:vAlign w:val="center"/>
          </w:tcPr>
          <w:p w14:paraId="18C51CC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3EE38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10"/>
            <w:noWrap w:val="0"/>
            <w:vAlign w:val="center"/>
          </w:tcPr>
          <w:p w14:paraId="42197E77">
            <w:pPr>
              <w:widowControl/>
              <w:jc w:val="left"/>
              <w:rPr>
                <w:rFonts w:ascii="Times New Roman" w:hAnsi="Times New Roman" w:eastAsia="宋体" w:cs="Times New Roman"/>
                <w:b/>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备注：</w:t>
            </w:r>
            <w:r>
              <w:rPr>
                <w:rFonts w:hint="eastAsia" w:cs="Times New Roman"/>
                <w:b w:val="0"/>
                <w:bCs/>
                <w:color w:val="000000" w:themeColor="text1"/>
                <w:kern w:val="2"/>
                <w:sz w:val="21"/>
                <w:szCs w:val="21"/>
                <w:lang w:eastAsia="zh-CN"/>
                <w14:textFill>
                  <w14:solidFill>
                    <w14:schemeClr w14:val="tx1"/>
                  </w14:solidFill>
                </w14:textFill>
              </w:rPr>
              <w:t>“</w:t>
            </w:r>
            <w:r>
              <w:rPr>
                <w:rFonts w:ascii="Times New Roman" w:hAnsi="Times New Roman" w:eastAsia="宋体" w:cs="Times New Roman"/>
                <w:b w:val="0"/>
                <w:bCs/>
                <w:color w:val="000000" w:themeColor="text1"/>
                <w:kern w:val="2"/>
                <w:sz w:val="21"/>
                <w:szCs w:val="21"/>
                <w14:textFill>
                  <w14:solidFill>
                    <w14:schemeClr w14:val="tx1"/>
                  </w14:solidFill>
                </w14:textFill>
              </w:rPr>
              <w:t>检出限+L</w:t>
            </w:r>
            <w:r>
              <w:rPr>
                <w:rFonts w:hint="eastAsia" w:cs="Times New Roman"/>
                <w:b w:val="0"/>
                <w:bCs/>
                <w:color w:val="000000" w:themeColor="text1"/>
                <w:kern w:val="2"/>
                <w:sz w:val="21"/>
                <w:szCs w:val="21"/>
                <w:lang w:eastAsia="zh-CN"/>
                <w14:textFill>
                  <w14:solidFill>
                    <w14:schemeClr w14:val="tx1"/>
                  </w14:solidFill>
                </w14:textFill>
              </w:rPr>
              <w:t>”</w:t>
            </w:r>
            <w:r>
              <w:rPr>
                <w:rFonts w:ascii="Times New Roman" w:hAnsi="Times New Roman" w:eastAsia="宋体" w:cs="Times New Roman"/>
                <w:b w:val="0"/>
                <w:bCs/>
                <w:color w:val="000000" w:themeColor="text1"/>
                <w:kern w:val="2"/>
                <w:sz w:val="21"/>
                <w:szCs w:val="21"/>
                <w14:textFill>
                  <w14:solidFill>
                    <w14:schemeClr w14:val="tx1"/>
                  </w14:solidFill>
                </w14:textFill>
              </w:rPr>
              <w:t>表示检测结果低于方法检出限。</w:t>
            </w:r>
          </w:p>
        </w:tc>
      </w:tr>
    </w:tbl>
    <w:p w14:paraId="045A1844">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p>
    <w:p w14:paraId="14D3ED39">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p>
    <w:p w14:paraId="5891A355">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p>
    <w:p w14:paraId="556DB703">
      <w:pPr>
        <w:widowControl/>
        <w:jc w:val="center"/>
        <w:rPr>
          <w:rFonts w:ascii="Times New Roman" w:hAnsi="Times New Roman" w:eastAsia="宋体" w:cs="Times New Roman"/>
          <w:b/>
          <w:bCs w:val="0"/>
          <w:color w:val="000000" w:themeColor="text1"/>
          <w:kern w:val="2"/>
          <w:sz w:val="21"/>
          <w:szCs w:val="21"/>
          <w14:textFill>
            <w14:solidFill>
              <w14:schemeClr w14:val="tx1"/>
            </w14:solidFill>
          </w14:textFill>
        </w:rPr>
      </w:pPr>
      <w:r>
        <w:rPr>
          <w:rFonts w:ascii="Times New Roman" w:hAnsi="Times New Roman" w:eastAsia="宋体" w:cs="Times New Roman"/>
          <w:b/>
          <w:bCs w:val="0"/>
          <w:color w:val="000000" w:themeColor="text1"/>
          <w:kern w:val="2"/>
          <w:sz w:val="21"/>
          <w:szCs w:val="21"/>
          <w14:textFill>
            <w14:solidFill>
              <w14:schemeClr w14:val="tx1"/>
            </w14:solidFill>
          </w14:textFill>
        </w:rPr>
        <w:t>表</w:t>
      </w:r>
      <w:r>
        <w:rPr>
          <w:rFonts w:hint="eastAsia" w:ascii="Times New Roman" w:hAnsi="Times New Roman" w:eastAsia="宋体" w:cs="Times New Roman"/>
          <w:b/>
          <w:bCs w:val="0"/>
          <w:color w:val="000000" w:themeColor="text1"/>
          <w:kern w:val="2"/>
          <w:sz w:val="21"/>
          <w:szCs w:val="21"/>
          <w:lang w:val="en-US" w:eastAsia="zh-CN"/>
          <w14:textFill>
            <w14:solidFill>
              <w14:schemeClr w14:val="tx1"/>
            </w14:solidFill>
          </w14:textFill>
        </w:rPr>
        <w:t>2.2-</w:t>
      </w:r>
      <w:r>
        <w:rPr>
          <w:rFonts w:hint="eastAsia" w:cs="Times New Roman"/>
          <w:b/>
          <w:bCs w:val="0"/>
          <w:color w:val="000000" w:themeColor="text1"/>
          <w:kern w:val="2"/>
          <w:sz w:val="21"/>
          <w:szCs w:val="21"/>
          <w:lang w:val="en-US" w:eastAsia="zh-CN"/>
          <w14:textFill>
            <w14:solidFill>
              <w14:schemeClr w14:val="tx1"/>
            </w14:solidFill>
          </w14:textFill>
        </w:rPr>
        <w:t>7</w:t>
      </w:r>
      <w:r>
        <w:rPr>
          <w:rFonts w:ascii="Times New Roman" w:hAnsi="Times New Roman" w:eastAsia="宋体" w:cs="Times New Roman"/>
          <w:b/>
          <w:bCs w:val="0"/>
          <w:color w:val="000000" w:themeColor="text1"/>
          <w:kern w:val="2"/>
          <w:sz w:val="21"/>
          <w:szCs w:val="21"/>
          <w14:textFill>
            <w14:solidFill>
              <w14:schemeClr w14:val="tx1"/>
            </w14:solidFill>
          </w14:textFill>
        </w:rPr>
        <w:t xml:space="preserve">  SO</w:t>
      </w:r>
      <w:r>
        <w:rPr>
          <w:rFonts w:ascii="Times New Roman" w:hAnsi="Times New Roman" w:eastAsia="宋体" w:cs="Times New Roman"/>
          <w:b/>
          <w:bCs w:val="0"/>
          <w:color w:val="000000" w:themeColor="text1"/>
          <w:kern w:val="2"/>
          <w:sz w:val="21"/>
          <w:szCs w:val="21"/>
          <w:vertAlign w:val="subscript"/>
          <w14:textFill>
            <w14:solidFill>
              <w14:schemeClr w14:val="tx1"/>
            </w14:solidFill>
          </w14:textFill>
        </w:rPr>
        <w:t>2</w:t>
      </w:r>
      <w:r>
        <w:rPr>
          <w:rFonts w:ascii="Times New Roman" w:hAnsi="Times New Roman" w:eastAsia="宋体" w:cs="Times New Roman"/>
          <w:b/>
          <w:bCs w:val="0"/>
          <w:color w:val="000000" w:themeColor="text1"/>
          <w:kern w:val="2"/>
          <w:sz w:val="21"/>
          <w:szCs w:val="21"/>
          <w14:textFill>
            <w14:solidFill>
              <w14:schemeClr w14:val="tx1"/>
            </w14:solidFill>
          </w14:textFill>
        </w:rPr>
        <w:t>、NO</w:t>
      </w:r>
      <w:r>
        <w:rPr>
          <w:rFonts w:ascii="Times New Roman" w:hAnsi="Times New Roman" w:eastAsia="宋体" w:cs="Times New Roman"/>
          <w:b/>
          <w:bCs w:val="0"/>
          <w:color w:val="000000" w:themeColor="text1"/>
          <w:kern w:val="2"/>
          <w:sz w:val="21"/>
          <w:szCs w:val="21"/>
          <w:vertAlign w:val="subscript"/>
          <w14:textFill>
            <w14:solidFill>
              <w14:schemeClr w14:val="tx1"/>
            </w14:solidFill>
          </w14:textFill>
        </w:rPr>
        <w:t>2</w:t>
      </w:r>
      <w:r>
        <w:rPr>
          <w:rFonts w:hint="eastAsia" w:ascii="Times New Roman" w:hAnsi="Times New Roman" w:eastAsia="宋体" w:cs="Times New Roman"/>
          <w:b/>
          <w:bCs w:val="0"/>
          <w:color w:val="000000" w:themeColor="text1"/>
          <w:kern w:val="2"/>
          <w:sz w:val="21"/>
          <w:szCs w:val="21"/>
          <w14:textFill>
            <w14:solidFill>
              <w14:schemeClr w14:val="tx1"/>
            </w14:solidFill>
          </w14:textFill>
        </w:rPr>
        <w:t>、臭氧</w:t>
      </w:r>
      <w:r>
        <w:rPr>
          <w:rFonts w:ascii="Times New Roman" w:hAnsi="Times New Roman" w:eastAsia="宋体" w:cs="Times New Roman"/>
          <w:b/>
          <w:bCs w:val="0"/>
          <w:color w:val="000000" w:themeColor="text1"/>
          <w:kern w:val="2"/>
          <w:sz w:val="21"/>
          <w:szCs w:val="21"/>
          <w14:textFill>
            <w14:solidFill>
              <w14:schemeClr w14:val="tx1"/>
            </w14:solidFill>
          </w14:textFill>
        </w:rPr>
        <w:t>小时均值监测结果统计表</w:t>
      </w:r>
    </w:p>
    <w:tbl>
      <w:tblPr>
        <w:tblStyle w:val="3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267"/>
        <w:gridCol w:w="1043"/>
        <w:gridCol w:w="1083"/>
        <w:gridCol w:w="1049"/>
        <w:gridCol w:w="714"/>
        <w:gridCol w:w="1137"/>
        <w:gridCol w:w="1072"/>
        <w:gridCol w:w="977"/>
        <w:gridCol w:w="703"/>
        <w:gridCol w:w="1112"/>
        <w:gridCol w:w="978"/>
        <w:gridCol w:w="1107"/>
        <w:gridCol w:w="692"/>
      </w:tblGrid>
      <w:tr w14:paraId="24161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restart"/>
            <w:noWrap w:val="0"/>
            <w:vAlign w:val="center"/>
          </w:tcPr>
          <w:p w14:paraId="72DEDDE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监测点位</w:t>
            </w:r>
          </w:p>
        </w:tc>
        <w:tc>
          <w:tcPr>
            <w:tcW w:w="464" w:type="pct"/>
            <w:vMerge w:val="restart"/>
            <w:noWrap w:val="0"/>
            <w:vAlign w:val="center"/>
          </w:tcPr>
          <w:p w14:paraId="0B122EE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监测时间</w:t>
            </w:r>
          </w:p>
        </w:tc>
        <w:tc>
          <w:tcPr>
            <w:tcW w:w="1425" w:type="pct"/>
            <w:gridSpan w:val="4"/>
            <w:noWrap w:val="0"/>
            <w:tcMar>
              <w:top w:w="0" w:type="dxa"/>
              <w:left w:w="57" w:type="dxa"/>
              <w:bottom w:w="0" w:type="dxa"/>
              <w:right w:w="57" w:type="dxa"/>
            </w:tcMar>
            <w:vAlign w:val="center"/>
          </w:tcPr>
          <w:p w14:paraId="1A6A6FE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SO</w:t>
            </w:r>
            <w:r>
              <w:rPr>
                <w:rFonts w:ascii="Times New Roman" w:hAnsi="Times New Roman" w:eastAsia="宋体" w:cs="Times New Roman"/>
                <w:b w:val="0"/>
                <w:bCs/>
                <w:color w:val="000000" w:themeColor="text1"/>
                <w:kern w:val="2"/>
                <w:sz w:val="21"/>
                <w:szCs w:val="21"/>
                <w:vertAlign w:val="subscript"/>
                <w14:textFill>
                  <w14:solidFill>
                    <w14:schemeClr w14:val="tx1"/>
                  </w14:solidFill>
                </w14:textFill>
              </w:rPr>
              <w:t>2</w:t>
            </w:r>
          </w:p>
        </w:tc>
        <w:tc>
          <w:tcPr>
            <w:tcW w:w="1425" w:type="pct"/>
            <w:gridSpan w:val="4"/>
            <w:noWrap w:val="0"/>
            <w:vAlign w:val="center"/>
          </w:tcPr>
          <w:p w14:paraId="66C2EC7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NO</w:t>
            </w:r>
            <w:r>
              <w:rPr>
                <w:rFonts w:ascii="Times New Roman" w:hAnsi="Times New Roman" w:eastAsia="宋体" w:cs="Times New Roman"/>
                <w:b w:val="0"/>
                <w:bCs/>
                <w:color w:val="000000" w:themeColor="text1"/>
                <w:kern w:val="2"/>
                <w:sz w:val="21"/>
                <w:szCs w:val="21"/>
                <w:vertAlign w:val="subscript"/>
                <w14:textFill>
                  <w14:solidFill>
                    <w14:schemeClr w14:val="tx1"/>
                  </w14:solidFill>
                </w14:textFill>
              </w:rPr>
              <w:t>2</w:t>
            </w:r>
          </w:p>
        </w:tc>
        <w:tc>
          <w:tcPr>
            <w:tcW w:w="1425" w:type="pct"/>
            <w:gridSpan w:val="4"/>
            <w:noWrap w:val="0"/>
            <w:vAlign w:val="center"/>
          </w:tcPr>
          <w:p w14:paraId="552212D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O</w:t>
            </w:r>
            <w:r>
              <w:rPr>
                <w:rFonts w:hint="eastAsia" w:ascii="Times New Roman" w:hAnsi="Times New Roman" w:eastAsia="宋体" w:cs="Times New Roman"/>
                <w:b w:val="0"/>
                <w:bCs/>
                <w:color w:val="000000" w:themeColor="text1"/>
                <w:kern w:val="2"/>
                <w:sz w:val="21"/>
                <w:szCs w:val="21"/>
                <w:vertAlign w:val="subscript"/>
                <w14:textFill>
                  <w14:solidFill>
                    <w14:schemeClr w14:val="tx1"/>
                  </w14:solidFill>
                </w14:textFill>
              </w:rPr>
              <w:t>3</w:t>
            </w:r>
          </w:p>
        </w:tc>
      </w:tr>
      <w:tr w14:paraId="22ECE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0EB82C8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49F083F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382" w:type="pct"/>
            <w:noWrap w:val="0"/>
            <w:tcMar>
              <w:top w:w="0" w:type="dxa"/>
              <w:left w:w="57" w:type="dxa"/>
              <w:bottom w:w="0" w:type="dxa"/>
              <w:right w:w="57" w:type="dxa"/>
            </w:tcMar>
            <w:vAlign w:val="center"/>
          </w:tcPr>
          <w:p w14:paraId="011F4C95">
            <w:pPr>
              <w:widowControl/>
              <w:jc w:val="center"/>
              <w:rPr>
                <w:rFonts w:hint="eastAsia" w:ascii="Times New Roman" w:hAnsi="Times New Roman" w:eastAsia="宋体" w:cs="Times New Roman"/>
                <w:b w:val="0"/>
                <w:bCs/>
                <w:color w:val="000000" w:themeColor="text1"/>
                <w:kern w:val="2"/>
                <w:sz w:val="21"/>
                <w:szCs w:val="21"/>
                <w:lang w:eastAsia="zh-CN"/>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监测结果</w:t>
            </w:r>
            <w:r>
              <w:rPr>
                <w:rFonts w:hint="eastAsia" w:cs="Times New Roman"/>
                <w:b w:val="0"/>
                <w:bCs/>
                <w:color w:val="000000" w:themeColor="text1"/>
                <w:kern w:val="2"/>
                <w:sz w:val="21"/>
                <w:szCs w:val="21"/>
                <w:lang w:eastAsia="zh-CN"/>
                <w14:textFill>
                  <w14:solidFill>
                    <w14:schemeClr w14:val="tx1"/>
                  </w14:solidFill>
                </w14:textFill>
              </w:rPr>
              <w:t>（</w:t>
            </w:r>
            <w:r>
              <w:rPr>
                <w:rFonts w:ascii="Times New Roman" w:hAnsi="Times New Roman" w:eastAsia="宋体" w:cs="Times New Roman"/>
                <w:b w:val="0"/>
                <w:bCs/>
                <w:color w:val="000000" w:themeColor="text1"/>
                <w:kern w:val="2"/>
                <w:sz w:val="21"/>
                <w:szCs w:val="21"/>
                <w14:textFill>
                  <w14:solidFill>
                    <w14:schemeClr w14:val="tx1"/>
                  </w14:solidFill>
                </w14:textFill>
              </w:rPr>
              <w:t>mg/m</w:t>
            </w:r>
            <w:r>
              <w:rPr>
                <w:rFonts w:ascii="Times New Roman" w:hAnsi="Times New Roman" w:eastAsia="宋体" w:cs="Times New Roman"/>
                <w:b w:val="0"/>
                <w:bCs/>
                <w:color w:val="000000" w:themeColor="text1"/>
                <w:kern w:val="2"/>
                <w:sz w:val="21"/>
                <w:szCs w:val="21"/>
                <w:vertAlign w:val="superscript"/>
                <w14:textFill>
                  <w14:solidFill>
                    <w14:schemeClr w14:val="tx1"/>
                  </w14:solidFill>
                </w14:textFill>
              </w:rPr>
              <w:t>3</w:t>
            </w:r>
            <w:r>
              <w:rPr>
                <w:rFonts w:hint="eastAsia" w:cs="Times New Roman"/>
                <w:b w:val="0"/>
                <w:bCs/>
                <w:color w:val="000000" w:themeColor="text1"/>
                <w:kern w:val="2"/>
                <w:sz w:val="21"/>
                <w:szCs w:val="21"/>
                <w:lang w:eastAsia="zh-CN"/>
                <w14:textFill>
                  <w14:solidFill>
                    <w14:schemeClr w14:val="tx1"/>
                  </w14:solidFill>
                </w14:textFill>
              </w:rPr>
              <w:t>）</w:t>
            </w:r>
          </w:p>
        </w:tc>
        <w:tc>
          <w:tcPr>
            <w:tcW w:w="397" w:type="pct"/>
            <w:noWrap w:val="0"/>
            <w:vAlign w:val="center"/>
          </w:tcPr>
          <w:p w14:paraId="2D194C35">
            <w:pPr>
              <w:widowControl/>
              <w:jc w:val="center"/>
              <w:rPr>
                <w:rFonts w:hint="eastAsia" w:ascii="Times New Roman" w:hAnsi="Times New Roman" w:eastAsia="宋体" w:cs="Times New Roman"/>
                <w:b w:val="0"/>
                <w:bCs/>
                <w:color w:val="000000" w:themeColor="text1"/>
                <w:kern w:val="2"/>
                <w:sz w:val="21"/>
                <w:szCs w:val="21"/>
                <w:lang w:eastAsia="zh-CN"/>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标准值</w:t>
            </w:r>
            <w:r>
              <w:rPr>
                <w:rFonts w:hint="eastAsia" w:cs="Times New Roman"/>
                <w:b w:val="0"/>
                <w:bCs/>
                <w:color w:val="000000" w:themeColor="text1"/>
                <w:kern w:val="2"/>
                <w:sz w:val="21"/>
                <w:szCs w:val="21"/>
                <w:lang w:eastAsia="zh-CN"/>
                <w14:textFill>
                  <w14:solidFill>
                    <w14:schemeClr w14:val="tx1"/>
                  </w14:solidFill>
                </w14:textFill>
              </w:rPr>
              <w:t>（</w:t>
            </w:r>
            <w:r>
              <w:rPr>
                <w:rFonts w:ascii="Times New Roman" w:hAnsi="Times New Roman" w:eastAsia="宋体" w:cs="Times New Roman"/>
                <w:b w:val="0"/>
                <w:bCs/>
                <w:color w:val="000000" w:themeColor="text1"/>
                <w:kern w:val="2"/>
                <w:sz w:val="21"/>
                <w:szCs w:val="21"/>
                <w14:textFill>
                  <w14:solidFill>
                    <w14:schemeClr w14:val="tx1"/>
                  </w14:solidFill>
                </w14:textFill>
              </w:rPr>
              <w:t>mg/m</w:t>
            </w:r>
            <w:r>
              <w:rPr>
                <w:rFonts w:ascii="Times New Roman" w:hAnsi="Times New Roman" w:eastAsia="宋体" w:cs="Times New Roman"/>
                <w:b w:val="0"/>
                <w:bCs/>
                <w:color w:val="000000" w:themeColor="text1"/>
                <w:kern w:val="2"/>
                <w:sz w:val="21"/>
                <w:szCs w:val="21"/>
                <w:vertAlign w:val="superscript"/>
                <w14:textFill>
                  <w14:solidFill>
                    <w14:schemeClr w14:val="tx1"/>
                  </w14:solidFill>
                </w14:textFill>
              </w:rPr>
              <w:t>3</w:t>
            </w:r>
            <w:r>
              <w:rPr>
                <w:rFonts w:hint="eastAsia" w:cs="Times New Roman"/>
                <w:b w:val="0"/>
                <w:bCs/>
                <w:color w:val="000000" w:themeColor="text1"/>
                <w:kern w:val="2"/>
                <w:sz w:val="21"/>
                <w:szCs w:val="21"/>
                <w:lang w:eastAsia="zh-CN"/>
                <w14:textFill>
                  <w14:solidFill>
                    <w14:schemeClr w14:val="tx1"/>
                  </w14:solidFill>
                </w14:textFill>
              </w:rPr>
              <w:t>）</w:t>
            </w:r>
          </w:p>
        </w:tc>
        <w:tc>
          <w:tcPr>
            <w:tcW w:w="384" w:type="pct"/>
            <w:noWrap w:val="0"/>
            <w:vAlign w:val="center"/>
          </w:tcPr>
          <w:p w14:paraId="135E6861">
            <w:pPr>
              <w:widowControl/>
              <w:jc w:val="center"/>
              <w:rPr>
                <w:rFonts w:hint="eastAsia" w:ascii="Times New Roman" w:hAnsi="Times New Roman" w:eastAsia="宋体" w:cs="Times New Roman"/>
                <w:b w:val="0"/>
                <w:bCs/>
                <w:color w:val="000000" w:themeColor="text1"/>
                <w:kern w:val="2"/>
                <w:sz w:val="21"/>
                <w:szCs w:val="21"/>
                <w:lang w:eastAsia="zh-CN"/>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超标率</w:t>
            </w:r>
            <w:r>
              <w:rPr>
                <w:rFonts w:hint="eastAsia" w:cs="Times New Roman"/>
                <w:b w:val="0"/>
                <w:bCs/>
                <w:color w:val="000000" w:themeColor="text1"/>
                <w:kern w:val="2"/>
                <w:sz w:val="21"/>
                <w:szCs w:val="21"/>
                <w:lang w:eastAsia="zh-CN"/>
                <w14:textFill>
                  <w14:solidFill>
                    <w14:schemeClr w14:val="tx1"/>
                  </w14:solidFill>
                </w14:textFill>
              </w:rPr>
              <w:t>（</w:t>
            </w:r>
            <w:r>
              <w:rPr>
                <w:rFonts w:ascii="Times New Roman" w:hAnsi="Times New Roman" w:eastAsia="宋体" w:cs="Times New Roman"/>
                <w:b w:val="0"/>
                <w:bCs/>
                <w:color w:val="000000" w:themeColor="text1"/>
                <w:kern w:val="2"/>
                <w:sz w:val="21"/>
                <w:szCs w:val="21"/>
                <w14:textFill>
                  <w14:solidFill>
                    <w14:schemeClr w14:val="tx1"/>
                  </w14:solidFill>
                </w14:textFill>
              </w:rPr>
              <w:t>%</w:t>
            </w:r>
            <w:r>
              <w:rPr>
                <w:rFonts w:hint="eastAsia" w:cs="Times New Roman"/>
                <w:b w:val="0"/>
                <w:bCs/>
                <w:color w:val="000000" w:themeColor="text1"/>
                <w:kern w:val="2"/>
                <w:sz w:val="21"/>
                <w:szCs w:val="21"/>
                <w:lang w:eastAsia="zh-CN"/>
                <w14:textFill>
                  <w14:solidFill>
                    <w14:schemeClr w14:val="tx1"/>
                  </w14:solidFill>
                </w14:textFill>
              </w:rPr>
              <w:t>）</w:t>
            </w:r>
          </w:p>
        </w:tc>
        <w:tc>
          <w:tcPr>
            <w:tcW w:w="261" w:type="pct"/>
            <w:noWrap w:val="0"/>
            <w:vAlign w:val="center"/>
          </w:tcPr>
          <w:p w14:paraId="4A6E3C2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是否达标</w:t>
            </w:r>
          </w:p>
        </w:tc>
        <w:tc>
          <w:tcPr>
            <w:tcW w:w="416" w:type="pct"/>
            <w:noWrap w:val="0"/>
            <w:vAlign w:val="center"/>
          </w:tcPr>
          <w:p w14:paraId="66D100AC">
            <w:pPr>
              <w:widowControl/>
              <w:jc w:val="center"/>
              <w:rPr>
                <w:rFonts w:hint="eastAsia" w:ascii="Times New Roman" w:hAnsi="Times New Roman" w:eastAsia="宋体" w:cs="Times New Roman"/>
                <w:b w:val="0"/>
                <w:bCs/>
                <w:color w:val="000000" w:themeColor="text1"/>
                <w:kern w:val="2"/>
                <w:sz w:val="21"/>
                <w:szCs w:val="21"/>
                <w:lang w:eastAsia="zh-CN"/>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监测结果</w:t>
            </w:r>
            <w:r>
              <w:rPr>
                <w:rFonts w:hint="eastAsia" w:cs="Times New Roman"/>
                <w:b w:val="0"/>
                <w:bCs/>
                <w:color w:val="000000" w:themeColor="text1"/>
                <w:kern w:val="2"/>
                <w:sz w:val="21"/>
                <w:szCs w:val="21"/>
                <w:lang w:eastAsia="zh-CN"/>
                <w14:textFill>
                  <w14:solidFill>
                    <w14:schemeClr w14:val="tx1"/>
                  </w14:solidFill>
                </w14:textFill>
              </w:rPr>
              <w:t>（</w:t>
            </w:r>
            <w:r>
              <w:rPr>
                <w:rFonts w:ascii="Times New Roman" w:hAnsi="Times New Roman" w:eastAsia="宋体" w:cs="Times New Roman"/>
                <w:b w:val="0"/>
                <w:bCs/>
                <w:color w:val="000000" w:themeColor="text1"/>
                <w:kern w:val="2"/>
                <w:sz w:val="21"/>
                <w:szCs w:val="21"/>
                <w14:textFill>
                  <w14:solidFill>
                    <w14:schemeClr w14:val="tx1"/>
                  </w14:solidFill>
                </w14:textFill>
              </w:rPr>
              <w:t>mg/m</w:t>
            </w:r>
            <w:r>
              <w:rPr>
                <w:rFonts w:ascii="Times New Roman" w:hAnsi="Times New Roman" w:eastAsia="宋体" w:cs="Times New Roman"/>
                <w:b w:val="0"/>
                <w:bCs/>
                <w:color w:val="000000" w:themeColor="text1"/>
                <w:kern w:val="2"/>
                <w:sz w:val="21"/>
                <w:szCs w:val="21"/>
                <w:vertAlign w:val="superscript"/>
                <w14:textFill>
                  <w14:solidFill>
                    <w14:schemeClr w14:val="tx1"/>
                  </w14:solidFill>
                </w14:textFill>
              </w:rPr>
              <w:t>3</w:t>
            </w:r>
            <w:r>
              <w:rPr>
                <w:rFonts w:hint="eastAsia" w:cs="Times New Roman"/>
                <w:b w:val="0"/>
                <w:bCs/>
                <w:color w:val="000000" w:themeColor="text1"/>
                <w:kern w:val="2"/>
                <w:sz w:val="21"/>
                <w:szCs w:val="21"/>
                <w:lang w:eastAsia="zh-CN"/>
                <w14:textFill>
                  <w14:solidFill>
                    <w14:schemeClr w14:val="tx1"/>
                  </w14:solidFill>
                </w14:textFill>
              </w:rPr>
              <w:t>）</w:t>
            </w:r>
          </w:p>
        </w:tc>
        <w:tc>
          <w:tcPr>
            <w:tcW w:w="393" w:type="pct"/>
            <w:noWrap w:val="0"/>
            <w:vAlign w:val="center"/>
          </w:tcPr>
          <w:p w14:paraId="3DE8C507">
            <w:pPr>
              <w:widowControl/>
              <w:jc w:val="center"/>
              <w:rPr>
                <w:rFonts w:hint="eastAsia" w:ascii="Times New Roman" w:hAnsi="Times New Roman" w:eastAsia="宋体" w:cs="Times New Roman"/>
                <w:b w:val="0"/>
                <w:bCs/>
                <w:color w:val="000000" w:themeColor="text1"/>
                <w:kern w:val="2"/>
                <w:sz w:val="21"/>
                <w:szCs w:val="21"/>
                <w:lang w:eastAsia="zh-CN"/>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标准值</w:t>
            </w:r>
            <w:r>
              <w:rPr>
                <w:rFonts w:hint="eastAsia" w:cs="Times New Roman"/>
                <w:b w:val="0"/>
                <w:bCs/>
                <w:color w:val="000000" w:themeColor="text1"/>
                <w:kern w:val="2"/>
                <w:sz w:val="21"/>
                <w:szCs w:val="21"/>
                <w:lang w:eastAsia="zh-CN"/>
                <w14:textFill>
                  <w14:solidFill>
                    <w14:schemeClr w14:val="tx1"/>
                  </w14:solidFill>
                </w14:textFill>
              </w:rPr>
              <w:t>（</w:t>
            </w:r>
            <w:r>
              <w:rPr>
                <w:rFonts w:ascii="Times New Roman" w:hAnsi="Times New Roman" w:eastAsia="宋体" w:cs="Times New Roman"/>
                <w:b w:val="0"/>
                <w:bCs/>
                <w:color w:val="000000" w:themeColor="text1"/>
                <w:kern w:val="2"/>
                <w:sz w:val="21"/>
                <w:szCs w:val="21"/>
                <w14:textFill>
                  <w14:solidFill>
                    <w14:schemeClr w14:val="tx1"/>
                  </w14:solidFill>
                </w14:textFill>
              </w:rPr>
              <w:t>mg/m</w:t>
            </w:r>
            <w:r>
              <w:rPr>
                <w:rFonts w:ascii="Times New Roman" w:hAnsi="Times New Roman" w:eastAsia="宋体" w:cs="Times New Roman"/>
                <w:b w:val="0"/>
                <w:bCs/>
                <w:color w:val="000000" w:themeColor="text1"/>
                <w:kern w:val="2"/>
                <w:sz w:val="21"/>
                <w:szCs w:val="21"/>
                <w:vertAlign w:val="superscript"/>
                <w14:textFill>
                  <w14:solidFill>
                    <w14:schemeClr w14:val="tx1"/>
                  </w14:solidFill>
                </w14:textFill>
              </w:rPr>
              <w:t>3</w:t>
            </w:r>
            <w:r>
              <w:rPr>
                <w:rFonts w:hint="eastAsia" w:cs="Times New Roman"/>
                <w:b w:val="0"/>
                <w:bCs/>
                <w:color w:val="000000" w:themeColor="text1"/>
                <w:kern w:val="2"/>
                <w:sz w:val="21"/>
                <w:szCs w:val="21"/>
                <w:lang w:eastAsia="zh-CN"/>
                <w14:textFill>
                  <w14:solidFill>
                    <w14:schemeClr w14:val="tx1"/>
                  </w14:solidFill>
                </w14:textFill>
              </w:rPr>
              <w:t>）</w:t>
            </w:r>
          </w:p>
        </w:tc>
        <w:tc>
          <w:tcPr>
            <w:tcW w:w="358" w:type="pct"/>
            <w:noWrap w:val="0"/>
            <w:vAlign w:val="center"/>
          </w:tcPr>
          <w:p w14:paraId="70DE00E8">
            <w:pPr>
              <w:widowControl/>
              <w:jc w:val="center"/>
              <w:rPr>
                <w:rFonts w:hint="eastAsia" w:ascii="Times New Roman" w:hAnsi="Times New Roman" w:eastAsia="宋体" w:cs="Times New Roman"/>
                <w:b w:val="0"/>
                <w:bCs/>
                <w:color w:val="000000" w:themeColor="text1"/>
                <w:kern w:val="2"/>
                <w:sz w:val="21"/>
                <w:szCs w:val="21"/>
                <w:lang w:eastAsia="zh-CN"/>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超标率</w:t>
            </w:r>
            <w:r>
              <w:rPr>
                <w:rFonts w:hint="eastAsia" w:cs="Times New Roman"/>
                <w:b w:val="0"/>
                <w:bCs/>
                <w:color w:val="000000" w:themeColor="text1"/>
                <w:kern w:val="2"/>
                <w:sz w:val="21"/>
                <w:szCs w:val="21"/>
                <w:lang w:eastAsia="zh-CN"/>
                <w14:textFill>
                  <w14:solidFill>
                    <w14:schemeClr w14:val="tx1"/>
                  </w14:solidFill>
                </w14:textFill>
              </w:rPr>
              <w:t>（</w:t>
            </w:r>
            <w:r>
              <w:rPr>
                <w:rFonts w:ascii="Times New Roman" w:hAnsi="Times New Roman" w:eastAsia="宋体" w:cs="Times New Roman"/>
                <w:b w:val="0"/>
                <w:bCs/>
                <w:color w:val="000000" w:themeColor="text1"/>
                <w:kern w:val="2"/>
                <w:sz w:val="21"/>
                <w:szCs w:val="21"/>
                <w14:textFill>
                  <w14:solidFill>
                    <w14:schemeClr w14:val="tx1"/>
                  </w14:solidFill>
                </w14:textFill>
              </w:rPr>
              <w:t>%</w:t>
            </w:r>
            <w:r>
              <w:rPr>
                <w:rFonts w:hint="eastAsia" w:cs="Times New Roman"/>
                <w:b w:val="0"/>
                <w:bCs/>
                <w:color w:val="000000" w:themeColor="text1"/>
                <w:kern w:val="2"/>
                <w:sz w:val="21"/>
                <w:szCs w:val="21"/>
                <w:lang w:eastAsia="zh-CN"/>
                <w14:textFill>
                  <w14:solidFill>
                    <w14:schemeClr w14:val="tx1"/>
                  </w14:solidFill>
                </w14:textFill>
              </w:rPr>
              <w:t>）</w:t>
            </w:r>
          </w:p>
        </w:tc>
        <w:tc>
          <w:tcPr>
            <w:tcW w:w="257" w:type="pct"/>
            <w:noWrap w:val="0"/>
            <w:vAlign w:val="center"/>
          </w:tcPr>
          <w:p w14:paraId="16A60CC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是否达标</w:t>
            </w:r>
          </w:p>
        </w:tc>
        <w:tc>
          <w:tcPr>
            <w:tcW w:w="407" w:type="pct"/>
            <w:noWrap w:val="0"/>
            <w:vAlign w:val="center"/>
          </w:tcPr>
          <w:p w14:paraId="4E046030">
            <w:pPr>
              <w:widowControl/>
              <w:jc w:val="center"/>
              <w:rPr>
                <w:rFonts w:hint="eastAsia" w:ascii="Times New Roman" w:hAnsi="Times New Roman" w:eastAsia="宋体" w:cs="Times New Roman"/>
                <w:b w:val="0"/>
                <w:bCs/>
                <w:color w:val="000000" w:themeColor="text1"/>
                <w:kern w:val="2"/>
                <w:sz w:val="21"/>
                <w:szCs w:val="21"/>
                <w:lang w:eastAsia="zh-CN"/>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监测结果</w:t>
            </w:r>
            <w:r>
              <w:rPr>
                <w:rFonts w:hint="eastAsia" w:cs="Times New Roman"/>
                <w:b w:val="0"/>
                <w:bCs/>
                <w:color w:val="000000" w:themeColor="text1"/>
                <w:kern w:val="2"/>
                <w:sz w:val="21"/>
                <w:szCs w:val="21"/>
                <w:lang w:eastAsia="zh-CN"/>
                <w14:textFill>
                  <w14:solidFill>
                    <w14:schemeClr w14:val="tx1"/>
                  </w14:solidFill>
                </w14:textFill>
              </w:rPr>
              <w:t>（</w:t>
            </w:r>
            <w:r>
              <w:rPr>
                <w:rFonts w:ascii="Times New Roman" w:hAnsi="Times New Roman" w:eastAsia="宋体" w:cs="Times New Roman"/>
                <w:b w:val="0"/>
                <w:bCs/>
                <w:color w:val="000000" w:themeColor="text1"/>
                <w:kern w:val="2"/>
                <w:sz w:val="21"/>
                <w:szCs w:val="21"/>
                <w14:textFill>
                  <w14:solidFill>
                    <w14:schemeClr w14:val="tx1"/>
                  </w14:solidFill>
                </w14:textFill>
              </w:rPr>
              <w:t>mg/m</w:t>
            </w:r>
            <w:r>
              <w:rPr>
                <w:rFonts w:ascii="Times New Roman" w:hAnsi="Times New Roman" w:eastAsia="宋体" w:cs="Times New Roman"/>
                <w:b w:val="0"/>
                <w:bCs/>
                <w:color w:val="000000" w:themeColor="text1"/>
                <w:kern w:val="2"/>
                <w:sz w:val="21"/>
                <w:szCs w:val="21"/>
                <w:vertAlign w:val="superscript"/>
                <w14:textFill>
                  <w14:solidFill>
                    <w14:schemeClr w14:val="tx1"/>
                  </w14:solidFill>
                </w14:textFill>
              </w:rPr>
              <w:t>3</w:t>
            </w:r>
            <w:r>
              <w:rPr>
                <w:rFonts w:hint="eastAsia" w:cs="Times New Roman"/>
                <w:b w:val="0"/>
                <w:bCs/>
                <w:color w:val="000000" w:themeColor="text1"/>
                <w:kern w:val="2"/>
                <w:sz w:val="21"/>
                <w:szCs w:val="21"/>
                <w:lang w:eastAsia="zh-CN"/>
                <w14:textFill>
                  <w14:solidFill>
                    <w14:schemeClr w14:val="tx1"/>
                  </w14:solidFill>
                </w14:textFill>
              </w:rPr>
              <w:t>）</w:t>
            </w:r>
          </w:p>
        </w:tc>
        <w:tc>
          <w:tcPr>
            <w:tcW w:w="358" w:type="pct"/>
            <w:noWrap w:val="0"/>
            <w:vAlign w:val="center"/>
          </w:tcPr>
          <w:p w14:paraId="1BE877C3">
            <w:pPr>
              <w:widowControl/>
              <w:jc w:val="center"/>
              <w:rPr>
                <w:rFonts w:hint="eastAsia" w:ascii="Times New Roman" w:hAnsi="Times New Roman" w:eastAsia="宋体" w:cs="Times New Roman"/>
                <w:b w:val="0"/>
                <w:bCs/>
                <w:color w:val="000000" w:themeColor="text1"/>
                <w:kern w:val="2"/>
                <w:sz w:val="21"/>
                <w:szCs w:val="21"/>
                <w:lang w:eastAsia="zh-CN"/>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标准值</w:t>
            </w:r>
            <w:r>
              <w:rPr>
                <w:rFonts w:hint="eastAsia" w:cs="Times New Roman"/>
                <w:b w:val="0"/>
                <w:bCs/>
                <w:color w:val="000000" w:themeColor="text1"/>
                <w:kern w:val="2"/>
                <w:sz w:val="21"/>
                <w:szCs w:val="21"/>
                <w:lang w:eastAsia="zh-CN"/>
                <w14:textFill>
                  <w14:solidFill>
                    <w14:schemeClr w14:val="tx1"/>
                  </w14:solidFill>
                </w14:textFill>
              </w:rPr>
              <w:t>（</w:t>
            </w:r>
            <w:r>
              <w:rPr>
                <w:rFonts w:ascii="Times New Roman" w:hAnsi="Times New Roman" w:eastAsia="宋体" w:cs="Times New Roman"/>
                <w:b w:val="0"/>
                <w:bCs/>
                <w:color w:val="000000" w:themeColor="text1"/>
                <w:kern w:val="2"/>
                <w:sz w:val="21"/>
                <w:szCs w:val="21"/>
                <w14:textFill>
                  <w14:solidFill>
                    <w14:schemeClr w14:val="tx1"/>
                  </w14:solidFill>
                </w14:textFill>
              </w:rPr>
              <w:t>mg/m</w:t>
            </w:r>
            <w:r>
              <w:rPr>
                <w:rFonts w:ascii="Times New Roman" w:hAnsi="Times New Roman" w:eastAsia="宋体" w:cs="Times New Roman"/>
                <w:b w:val="0"/>
                <w:bCs/>
                <w:color w:val="000000" w:themeColor="text1"/>
                <w:kern w:val="2"/>
                <w:sz w:val="21"/>
                <w:szCs w:val="21"/>
                <w:vertAlign w:val="superscript"/>
                <w14:textFill>
                  <w14:solidFill>
                    <w14:schemeClr w14:val="tx1"/>
                  </w14:solidFill>
                </w14:textFill>
              </w:rPr>
              <w:t>3</w:t>
            </w:r>
            <w:r>
              <w:rPr>
                <w:rFonts w:hint="eastAsia" w:cs="Times New Roman"/>
                <w:b w:val="0"/>
                <w:bCs/>
                <w:color w:val="000000" w:themeColor="text1"/>
                <w:kern w:val="2"/>
                <w:sz w:val="21"/>
                <w:szCs w:val="21"/>
                <w:lang w:eastAsia="zh-CN"/>
                <w14:textFill>
                  <w14:solidFill>
                    <w14:schemeClr w14:val="tx1"/>
                  </w14:solidFill>
                </w14:textFill>
              </w:rPr>
              <w:t>）</w:t>
            </w:r>
          </w:p>
        </w:tc>
        <w:tc>
          <w:tcPr>
            <w:tcW w:w="405" w:type="pct"/>
            <w:noWrap w:val="0"/>
            <w:vAlign w:val="center"/>
          </w:tcPr>
          <w:p w14:paraId="43C701AD">
            <w:pPr>
              <w:widowControl/>
              <w:jc w:val="center"/>
              <w:rPr>
                <w:rFonts w:hint="eastAsia" w:ascii="Times New Roman" w:hAnsi="Times New Roman" w:eastAsia="宋体" w:cs="Times New Roman"/>
                <w:b w:val="0"/>
                <w:bCs/>
                <w:color w:val="000000" w:themeColor="text1"/>
                <w:kern w:val="2"/>
                <w:sz w:val="21"/>
                <w:szCs w:val="21"/>
                <w:lang w:eastAsia="zh-CN"/>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超标率</w:t>
            </w:r>
            <w:r>
              <w:rPr>
                <w:rFonts w:hint="eastAsia" w:cs="Times New Roman"/>
                <w:b w:val="0"/>
                <w:bCs/>
                <w:color w:val="000000" w:themeColor="text1"/>
                <w:kern w:val="2"/>
                <w:sz w:val="21"/>
                <w:szCs w:val="21"/>
                <w:lang w:eastAsia="zh-CN"/>
                <w14:textFill>
                  <w14:solidFill>
                    <w14:schemeClr w14:val="tx1"/>
                  </w14:solidFill>
                </w14:textFill>
              </w:rPr>
              <w:t>（</w:t>
            </w:r>
            <w:r>
              <w:rPr>
                <w:rFonts w:ascii="Times New Roman" w:hAnsi="Times New Roman" w:eastAsia="宋体" w:cs="Times New Roman"/>
                <w:b w:val="0"/>
                <w:bCs/>
                <w:color w:val="000000" w:themeColor="text1"/>
                <w:kern w:val="2"/>
                <w:sz w:val="21"/>
                <w:szCs w:val="21"/>
                <w14:textFill>
                  <w14:solidFill>
                    <w14:schemeClr w14:val="tx1"/>
                  </w14:solidFill>
                </w14:textFill>
              </w:rPr>
              <w:t>%</w:t>
            </w:r>
            <w:r>
              <w:rPr>
                <w:rFonts w:hint="eastAsia" w:cs="Times New Roman"/>
                <w:b w:val="0"/>
                <w:bCs/>
                <w:color w:val="000000" w:themeColor="text1"/>
                <w:kern w:val="2"/>
                <w:sz w:val="21"/>
                <w:szCs w:val="21"/>
                <w:lang w:eastAsia="zh-CN"/>
                <w14:textFill>
                  <w14:solidFill>
                    <w14:schemeClr w14:val="tx1"/>
                  </w14:solidFill>
                </w14:textFill>
              </w:rPr>
              <w:t>）</w:t>
            </w:r>
          </w:p>
        </w:tc>
        <w:tc>
          <w:tcPr>
            <w:tcW w:w="253" w:type="pct"/>
            <w:noWrap w:val="0"/>
            <w:vAlign w:val="center"/>
          </w:tcPr>
          <w:p w14:paraId="4E2DB53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是否达标</w:t>
            </w:r>
          </w:p>
        </w:tc>
      </w:tr>
      <w:tr w14:paraId="58105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restart"/>
            <w:noWrap w:val="0"/>
            <w:vAlign w:val="center"/>
          </w:tcPr>
          <w:p w14:paraId="2FC7BC9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lang w:val="en-US" w:eastAsia="zh-CN"/>
                <w14:textFill>
                  <w14:solidFill>
                    <w14:schemeClr w14:val="tx1"/>
                  </w14:solidFill>
                </w14:textFill>
              </w:rPr>
              <w:t>A2，翠柏自然保护区1个点位</w:t>
            </w:r>
          </w:p>
        </w:tc>
        <w:tc>
          <w:tcPr>
            <w:tcW w:w="464" w:type="pct"/>
            <w:vMerge w:val="restart"/>
            <w:noWrap w:val="0"/>
            <w:vAlign w:val="center"/>
          </w:tcPr>
          <w:p w14:paraId="4D887D49">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2026.06.27</w:t>
            </w:r>
          </w:p>
        </w:tc>
        <w:tc>
          <w:tcPr>
            <w:tcW w:w="1021" w:type="dxa"/>
            <w:noWrap w:val="0"/>
            <w:tcMar>
              <w:top w:w="0" w:type="dxa"/>
              <w:left w:w="57" w:type="dxa"/>
              <w:bottom w:w="0" w:type="dxa"/>
              <w:right w:w="57" w:type="dxa"/>
            </w:tcMar>
            <w:vAlign w:val="center"/>
          </w:tcPr>
          <w:p w14:paraId="6A666C8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0.008</w:t>
            </w:r>
          </w:p>
        </w:tc>
        <w:tc>
          <w:tcPr>
            <w:tcW w:w="397" w:type="pct"/>
            <w:noWrap w:val="0"/>
            <w:vAlign w:val="center"/>
          </w:tcPr>
          <w:p w14:paraId="45C7B8B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6275887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7CDE6A9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6DFA055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0.018</w:t>
            </w:r>
          </w:p>
        </w:tc>
        <w:tc>
          <w:tcPr>
            <w:tcW w:w="393" w:type="pct"/>
            <w:noWrap w:val="0"/>
            <w:vAlign w:val="center"/>
          </w:tcPr>
          <w:p w14:paraId="0B56BA1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7F782DA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449DDB2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20AC2FEB">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0.049</w:t>
            </w:r>
          </w:p>
        </w:tc>
        <w:tc>
          <w:tcPr>
            <w:tcW w:w="358" w:type="pct"/>
            <w:noWrap w:val="0"/>
            <w:vAlign w:val="center"/>
          </w:tcPr>
          <w:p w14:paraId="200A51EC">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5980E30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79E040A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4ED0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0EF95E3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56EC40F2">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5A9E2033">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0.011</w:t>
            </w:r>
          </w:p>
        </w:tc>
        <w:tc>
          <w:tcPr>
            <w:tcW w:w="397" w:type="pct"/>
            <w:noWrap w:val="0"/>
            <w:vAlign w:val="center"/>
          </w:tcPr>
          <w:p w14:paraId="5CD225A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7563E44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625D9A6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7C7B63AB">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0.017</w:t>
            </w:r>
          </w:p>
        </w:tc>
        <w:tc>
          <w:tcPr>
            <w:tcW w:w="393" w:type="pct"/>
            <w:noWrap w:val="0"/>
            <w:vAlign w:val="center"/>
          </w:tcPr>
          <w:p w14:paraId="5900ED1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76A25FE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592F2B8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695FC8B1">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0.062</w:t>
            </w:r>
          </w:p>
        </w:tc>
        <w:tc>
          <w:tcPr>
            <w:tcW w:w="358" w:type="pct"/>
            <w:noWrap w:val="0"/>
            <w:vAlign w:val="center"/>
          </w:tcPr>
          <w:p w14:paraId="4C99639E">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0B89E77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60DAF9D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0E3CC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0AD180D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48D3A8D7">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6C400DA3">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0.012</w:t>
            </w:r>
          </w:p>
        </w:tc>
        <w:tc>
          <w:tcPr>
            <w:tcW w:w="397" w:type="pct"/>
            <w:noWrap w:val="0"/>
            <w:vAlign w:val="center"/>
          </w:tcPr>
          <w:p w14:paraId="5EF44B2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722551B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4F6EE76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787E61B0">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0.015</w:t>
            </w:r>
          </w:p>
        </w:tc>
        <w:tc>
          <w:tcPr>
            <w:tcW w:w="393" w:type="pct"/>
            <w:noWrap w:val="0"/>
            <w:vAlign w:val="center"/>
          </w:tcPr>
          <w:p w14:paraId="27C628E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7BEB54F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6CBC295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01A09E11">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0.083</w:t>
            </w:r>
          </w:p>
        </w:tc>
        <w:tc>
          <w:tcPr>
            <w:tcW w:w="358" w:type="pct"/>
            <w:noWrap w:val="0"/>
            <w:vAlign w:val="center"/>
          </w:tcPr>
          <w:p w14:paraId="7F267482">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2C208C3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42E0B34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1584F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562FD87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7541ECFF">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394F2D52">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0.010</w:t>
            </w:r>
          </w:p>
        </w:tc>
        <w:tc>
          <w:tcPr>
            <w:tcW w:w="397" w:type="pct"/>
            <w:noWrap w:val="0"/>
            <w:vAlign w:val="center"/>
          </w:tcPr>
          <w:p w14:paraId="5562A1A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7CD7045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5B89F97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0DDE3F43">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0.016</w:t>
            </w:r>
          </w:p>
        </w:tc>
        <w:tc>
          <w:tcPr>
            <w:tcW w:w="393" w:type="pct"/>
            <w:noWrap w:val="0"/>
            <w:vAlign w:val="center"/>
          </w:tcPr>
          <w:p w14:paraId="3AAAFCC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7059D68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7BBDB05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0A1D493C">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0.065</w:t>
            </w:r>
          </w:p>
        </w:tc>
        <w:tc>
          <w:tcPr>
            <w:tcW w:w="358" w:type="pct"/>
            <w:noWrap w:val="0"/>
            <w:vAlign w:val="center"/>
          </w:tcPr>
          <w:p w14:paraId="2659449A">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5EAF864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48919CE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039FC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27AF3D6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restart"/>
            <w:noWrap w:val="0"/>
            <w:vAlign w:val="center"/>
          </w:tcPr>
          <w:p w14:paraId="0A518D11">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2026.06.28</w:t>
            </w:r>
          </w:p>
        </w:tc>
        <w:tc>
          <w:tcPr>
            <w:tcW w:w="1021" w:type="dxa"/>
            <w:noWrap w:val="0"/>
            <w:tcMar>
              <w:top w:w="0" w:type="dxa"/>
              <w:left w:w="57" w:type="dxa"/>
              <w:bottom w:w="0" w:type="dxa"/>
              <w:right w:w="57" w:type="dxa"/>
            </w:tcMar>
            <w:vAlign w:val="center"/>
          </w:tcPr>
          <w:p w14:paraId="20BA3396">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0.009</w:t>
            </w:r>
          </w:p>
        </w:tc>
        <w:tc>
          <w:tcPr>
            <w:tcW w:w="397" w:type="pct"/>
            <w:noWrap w:val="0"/>
            <w:vAlign w:val="center"/>
          </w:tcPr>
          <w:p w14:paraId="26E0A4B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5B36FE2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619A799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13EB3F48">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0.019</w:t>
            </w:r>
          </w:p>
        </w:tc>
        <w:tc>
          <w:tcPr>
            <w:tcW w:w="393" w:type="pct"/>
            <w:noWrap w:val="0"/>
            <w:vAlign w:val="center"/>
          </w:tcPr>
          <w:p w14:paraId="7377137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21097AA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771EBB8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196D04A2">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0.055</w:t>
            </w:r>
          </w:p>
        </w:tc>
        <w:tc>
          <w:tcPr>
            <w:tcW w:w="358" w:type="pct"/>
            <w:noWrap w:val="0"/>
            <w:vAlign w:val="center"/>
          </w:tcPr>
          <w:p w14:paraId="6C0827EB">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232F2ED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040EB78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5AC22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1ADA26B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2D016A6A">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1021" w:type="dxa"/>
            <w:noWrap w:val="0"/>
            <w:tcMar>
              <w:top w:w="0" w:type="dxa"/>
              <w:left w:w="57" w:type="dxa"/>
              <w:bottom w:w="0" w:type="dxa"/>
              <w:right w:w="57" w:type="dxa"/>
            </w:tcMar>
            <w:vAlign w:val="center"/>
          </w:tcPr>
          <w:p w14:paraId="5C133400">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0.012</w:t>
            </w:r>
          </w:p>
        </w:tc>
        <w:tc>
          <w:tcPr>
            <w:tcW w:w="397" w:type="pct"/>
            <w:noWrap w:val="0"/>
            <w:vAlign w:val="center"/>
          </w:tcPr>
          <w:p w14:paraId="09222B5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3535291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4366477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141BCBD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0.016</w:t>
            </w:r>
          </w:p>
        </w:tc>
        <w:tc>
          <w:tcPr>
            <w:tcW w:w="393" w:type="pct"/>
            <w:noWrap w:val="0"/>
            <w:vAlign w:val="center"/>
          </w:tcPr>
          <w:p w14:paraId="4133328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03425C7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109A01A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6953FB1F">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0.066</w:t>
            </w:r>
          </w:p>
        </w:tc>
        <w:tc>
          <w:tcPr>
            <w:tcW w:w="358" w:type="pct"/>
            <w:noWrap w:val="0"/>
            <w:vAlign w:val="center"/>
          </w:tcPr>
          <w:p w14:paraId="2031763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0D0D521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71C4EDA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36CCC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160F258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0C7B4807">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494781B1">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0.010</w:t>
            </w:r>
          </w:p>
        </w:tc>
        <w:tc>
          <w:tcPr>
            <w:tcW w:w="397" w:type="pct"/>
            <w:noWrap w:val="0"/>
            <w:vAlign w:val="center"/>
          </w:tcPr>
          <w:p w14:paraId="3F66C82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45A9386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1E64F2E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425FE9B3">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0.014</w:t>
            </w:r>
          </w:p>
        </w:tc>
        <w:tc>
          <w:tcPr>
            <w:tcW w:w="393" w:type="pct"/>
            <w:noWrap w:val="0"/>
            <w:vAlign w:val="center"/>
          </w:tcPr>
          <w:p w14:paraId="01FC0F1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46E520B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3CAC373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578A81FF">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0.086</w:t>
            </w:r>
          </w:p>
        </w:tc>
        <w:tc>
          <w:tcPr>
            <w:tcW w:w="358" w:type="pct"/>
            <w:noWrap w:val="0"/>
            <w:vAlign w:val="center"/>
          </w:tcPr>
          <w:p w14:paraId="1E212F97">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7A5A14C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7B5C7CA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27B85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462329A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0FA26D5A">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4A3E6A63">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0.009</w:t>
            </w:r>
          </w:p>
        </w:tc>
        <w:tc>
          <w:tcPr>
            <w:tcW w:w="397" w:type="pct"/>
            <w:noWrap w:val="0"/>
            <w:vAlign w:val="center"/>
          </w:tcPr>
          <w:p w14:paraId="27DBDF6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495D436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0497216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158FE23D">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0.018</w:t>
            </w:r>
          </w:p>
        </w:tc>
        <w:tc>
          <w:tcPr>
            <w:tcW w:w="393" w:type="pct"/>
            <w:noWrap w:val="0"/>
            <w:vAlign w:val="center"/>
          </w:tcPr>
          <w:p w14:paraId="12B05BF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3EAF32E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0AF7A0B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63F69A21">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0.083</w:t>
            </w:r>
          </w:p>
        </w:tc>
        <w:tc>
          <w:tcPr>
            <w:tcW w:w="358" w:type="pct"/>
            <w:noWrap w:val="0"/>
            <w:vAlign w:val="center"/>
          </w:tcPr>
          <w:p w14:paraId="72E35976">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5EFFCF7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37FCAAB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3142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3FA7108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restart"/>
            <w:noWrap w:val="0"/>
            <w:vAlign w:val="center"/>
          </w:tcPr>
          <w:p w14:paraId="2E93022B">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2026.06.29</w:t>
            </w:r>
          </w:p>
        </w:tc>
        <w:tc>
          <w:tcPr>
            <w:tcW w:w="1021" w:type="dxa"/>
            <w:noWrap w:val="0"/>
            <w:tcMar>
              <w:top w:w="0" w:type="dxa"/>
              <w:left w:w="57" w:type="dxa"/>
              <w:bottom w:w="0" w:type="dxa"/>
              <w:right w:w="57" w:type="dxa"/>
            </w:tcMar>
            <w:vAlign w:val="center"/>
          </w:tcPr>
          <w:p w14:paraId="0A60FD41">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0.010</w:t>
            </w:r>
          </w:p>
        </w:tc>
        <w:tc>
          <w:tcPr>
            <w:tcW w:w="397" w:type="pct"/>
            <w:noWrap w:val="0"/>
            <w:vAlign w:val="center"/>
          </w:tcPr>
          <w:p w14:paraId="4288EA4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42F4242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0B65A12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3354291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0.017</w:t>
            </w:r>
          </w:p>
        </w:tc>
        <w:tc>
          <w:tcPr>
            <w:tcW w:w="393" w:type="pct"/>
            <w:noWrap w:val="0"/>
            <w:vAlign w:val="center"/>
          </w:tcPr>
          <w:p w14:paraId="24AD4DC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44C2786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388C7D9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741847C3">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0.053</w:t>
            </w:r>
          </w:p>
        </w:tc>
        <w:tc>
          <w:tcPr>
            <w:tcW w:w="358" w:type="pct"/>
            <w:noWrap w:val="0"/>
            <w:vAlign w:val="center"/>
          </w:tcPr>
          <w:p w14:paraId="29566B5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71F9B5D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2D0E1BE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725FE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06FBF19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10032B59">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3D34B937">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0.012</w:t>
            </w:r>
          </w:p>
        </w:tc>
        <w:tc>
          <w:tcPr>
            <w:tcW w:w="397" w:type="pct"/>
            <w:noWrap w:val="0"/>
            <w:vAlign w:val="center"/>
          </w:tcPr>
          <w:p w14:paraId="35294C5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013814E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3220423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38D39063">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0.016</w:t>
            </w:r>
          </w:p>
        </w:tc>
        <w:tc>
          <w:tcPr>
            <w:tcW w:w="393" w:type="pct"/>
            <w:noWrap w:val="0"/>
            <w:vAlign w:val="center"/>
          </w:tcPr>
          <w:p w14:paraId="2303E6B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3A07A9C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63744BB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1C2E3E15">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0.064</w:t>
            </w:r>
          </w:p>
        </w:tc>
        <w:tc>
          <w:tcPr>
            <w:tcW w:w="358" w:type="pct"/>
            <w:noWrap w:val="0"/>
            <w:vAlign w:val="center"/>
          </w:tcPr>
          <w:p w14:paraId="4EBCDAF8">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77548A5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7F73AD3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39917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584F0F2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271A1762">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77CAE442">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0.010</w:t>
            </w:r>
          </w:p>
        </w:tc>
        <w:tc>
          <w:tcPr>
            <w:tcW w:w="397" w:type="pct"/>
            <w:noWrap w:val="0"/>
            <w:vAlign w:val="center"/>
          </w:tcPr>
          <w:p w14:paraId="476E876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332DBC7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0417CE8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5C97A929">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0.014</w:t>
            </w:r>
          </w:p>
        </w:tc>
        <w:tc>
          <w:tcPr>
            <w:tcW w:w="393" w:type="pct"/>
            <w:noWrap w:val="0"/>
            <w:vAlign w:val="center"/>
          </w:tcPr>
          <w:p w14:paraId="316D27A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7F049AB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614BC7D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40A5EDE2">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0.080</w:t>
            </w:r>
          </w:p>
        </w:tc>
        <w:tc>
          <w:tcPr>
            <w:tcW w:w="358" w:type="pct"/>
            <w:noWrap w:val="0"/>
            <w:vAlign w:val="center"/>
          </w:tcPr>
          <w:p w14:paraId="5F09BA15">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639A08F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3BC1CE7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065F5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58913A7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139F37AF">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4306E8F5">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0.008</w:t>
            </w:r>
          </w:p>
        </w:tc>
        <w:tc>
          <w:tcPr>
            <w:tcW w:w="397" w:type="pct"/>
            <w:noWrap w:val="0"/>
            <w:vAlign w:val="center"/>
          </w:tcPr>
          <w:p w14:paraId="20F2C6D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161C8EC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2BD006F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61B747DA">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0.017</w:t>
            </w:r>
          </w:p>
        </w:tc>
        <w:tc>
          <w:tcPr>
            <w:tcW w:w="393" w:type="pct"/>
            <w:noWrap w:val="0"/>
            <w:vAlign w:val="center"/>
          </w:tcPr>
          <w:p w14:paraId="2D1570D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6638878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24318F3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366A1662">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0.063</w:t>
            </w:r>
          </w:p>
        </w:tc>
        <w:tc>
          <w:tcPr>
            <w:tcW w:w="358" w:type="pct"/>
            <w:noWrap w:val="0"/>
            <w:vAlign w:val="center"/>
          </w:tcPr>
          <w:p w14:paraId="74E051BE">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1E0D3BD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4636E14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091B3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75ED587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restart"/>
            <w:noWrap w:val="0"/>
            <w:vAlign w:val="center"/>
          </w:tcPr>
          <w:p w14:paraId="495A38C4">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2026.06.30</w:t>
            </w:r>
          </w:p>
        </w:tc>
        <w:tc>
          <w:tcPr>
            <w:tcW w:w="1021" w:type="dxa"/>
            <w:noWrap w:val="0"/>
            <w:tcMar>
              <w:top w:w="0" w:type="dxa"/>
              <w:left w:w="57" w:type="dxa"/>
              <w:bottom w:w="0" w:type="dxa"/>
              <w:right w:w="57" w:type="dxa"/>
            </w:tcMar>
            <w:vAlign w:val="center"/>
          </w:tcPr>
          <w:p w14:paraId="3568D7B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0.009</w:t>
            </w:r>
          </w:p>
        </w:tc>
        <w:tc>
          <w:tcPr>
            <w:tcW w:w="397" w:type="pct"/>
            <w:noWrap w:val="0"/>
            <w:vAlign w:val="center"/>
          </w:tcPr>
          <w:p w14:paraId="7A9E105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0C6D98C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700E77C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59EF870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0.018</w:t>
            </w:r>
          </w:p>
        </w:tc>
        <w:tc>
          <w:tcPr>
            <w:tcW w:w="393" w:type="pct"/>
            <w:noWrap w:val="0"/>
            <w:vAlign w:val="center"/>
          </w:tcPr>
          <w:p w14:paraId="68206F2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5872D1D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1C64264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568E552B">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0.051</w:t>
            </w:r>
          </w:p>
        </w:tc>
        <w:tc>
          <w:tcPr>
            <w:tcW w:w="358" w:type="pct"/>
            <w:noWrap w:val="0"/>
            <w:vAlign w:val="center"/>
          </w:tcPr>
          <w:p w14:paraId="4CCC21D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2291D30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5269A15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1E2FE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3276933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658E6C5C">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36CDEE90">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0.011</w:t>
            </w:r>
          </w:p>
        </w:tc>
        <w:tc>
          <w:tcPr>
            <w:tcW w:w="397" w:type="pct"/>
            <w:noWrap w:val="0"/>
            <w:vAlign w:val="center"/>
          </w:tcPr>
          <w:p w14:paraId="2ED7C5E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48C5F19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700BF5E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523B9FE3">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0.017</w:t>
            </w:r>
          </w:p>
        </w:tc>
        <w:tc>
          <w:tcPr>
            <w:tcW w:w="393" w:type="pct"/>
            <w:noWrap w:val="0"/>
            <w:vAlign w:val="center"/>
          </w:tcPr>
          <w:p w14:paraId="1E9426D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780D3F1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3A6295D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5736158A">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0.059</w:t>
            </w:r>
          </w:p>
        </w:tc>
        <w:tc>
          <w:tcPr>
            <w:tcW w:w="358" w:type="pct"/>
            <w:noWrap w:val="0"/>
            <w:vAlign w:val="center"/>
          </w:tcPr>
          <w:p w14:paraId="3A0AE45F">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142A60A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035637A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7DB79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5264768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31931CD3">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62CD1DCE">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0.010</w:t>
            </w:r>
          </w:p>
        </w:tc>
        <w:tc>
          <w:tcPr>
            <w:tcW w:w="397" w:type="pct"/>
            <w:noWrap w:val="0"/>
            <w:vAlign w:val="center"/>
          </w:tcPr>
          <w:p w14:paraId="6E53BE2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5EDD506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11914DD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0581EFDB">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0.015</w:t>
            </w:r>
          </w:p>
        </w:tc>
        <w:tc>
          <w:tcPr>
            <w:tcW w:w="393" w:type="pct"/>
            <w:noWrap w:val="0"/>
            <w:vAlign w:val="center"/>
          </w:tcPr>
          <w:p w14:paraId="5BA7F9E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1D43746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569DB1F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3723B81E">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0.079</w:t>
            </w:r>
          </w:p>
        </w:tc>
        <w:tc>
          <w:tcPr>
            <w:tcW w:w="358" w:type="pct"/>
            <w:noWrap w:val="0"/>
            <w:vAlign w:val="center"/>
          </w:tcPr>
          <w:p w14:paraId="69F9943C">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6C367B4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5125E89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7152B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00794C5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1EF1EB75">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1AA91AD7">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0.009</w:t>
            </w:r>
          </w:p>
        </w:tc>
        <w:tc>
          <w:tcPr>
            <w:tcW w:w="397" w:type="pct"/>
            <w:noWrap w:val="0"/>
            <w:vAlign w:val="center"/>
          </w:tcPr>
          <w:p w14:paraId="3857BD4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61B46D1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2A504C2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53CD8BA0">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0.017</w:t>
            </w:r>
          </w:p>
        </w:tc>
        <w:tc>
          <w:tcPr>
            <w:tcW w:w="393" w:type="pct"/>
            <w:noWrap w:val="0"/>
            <w:vAlign w:val="center"/>
          </w:tcPr>
          <w:p w14:paraId="0B0F2B7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18023F9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279C70B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3D65CB84">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0.065</w:t>
            </w:r>
          </w:p>
        </w:tc>
        <w:tc>
          <w:tcPr>
            <w:tcW w:w="358" w:type="pct"/>
            <w:noWrap w:val="0"/>
            <w:vAlign w:val="center"/>
          </w:tcPr>
          <w:p w14:paraId="1E7E985D">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50B5F3A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14A700B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63346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01A0F6E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restart"/>
            <w:noWrap w:val="0"/>
            <w:vAlign w:val="center"/>
          </w:tcPr>
          <w:p w14:paraId="488E8026">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2026.07.01</w:t>
            </w:r>
          </w:p>
        </w:tc>
        <w:tc>
          <w:tcPr>
            <w:tcW w:w="1021" w:type="dxa"/>
            <w:noWrap w:val="0"/>
            <w:tcMar>
              <w:top w:w="0" w:type="dxa"/>
              <w:left w:w="57" w:type="dxa"/>
              <w:bottom w:w="0" w:type="dxa"/>
              <w:right w:w="57" w:type="dxa"/>
            </w:tcMar>
            <w:vAlign w:val="center"/>
          </w:tcPr>
          <w:p w14:paraId="4691C280">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0.009</w:t>
            </w:r>
          </w:p>
        </w:tc>
        <w:tc>
          <w:tcPr>
            <w:tcW w:w="397" w:type="pct"/>
            <w:noWrap w:val="0"/>
            <w:vAlign w:val="center"/>
          </w:tcPr>
          <w:p w14:paraId="2991F25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1770172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053375C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63FA495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0.018</w:t>
            </w:r>
          </w:p>
        </w:tc>
        <w:tc>
          <w:tcPr>
            <w:tcW w:w="393" w:type="pct"/>
            <w:noWrap w:val="0"/>
            <w:vAlign w:val="center"/>
          </w:tcPr>
          <w:p w14:paraId="6ABE93D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477FF7C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1A8689B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6508C194">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0.050</w:t>
            </w:r>
          </w:p>
        </w:tc>
        <w:tc>
          <w:tcPr>
            <w:tcW w:w="358" w:type="pct"/>
            <w:noWrap w:val="0"/>
            <w:vAlign w:val="center"/>
          </w:tcPr>
          <w:p w14:paraId="0AE45FD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5ADBEFB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6BB7B5F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00D99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227BD0E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5B147826">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7AA7F3E6">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0.012</w:t>
            </w:r>
          </w:p>
        </w:tc>
        <w:tc>
          <w:tcPr>
            <w:tcW w:w="397" w:type="pct"/>
            <w:noWrap w:val="0"/>
            <w:vAlign w:val="center"/>
          </w:tcPr>
          <w:p w14:paraId="4ACA220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69C8705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26BF574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2D56F569">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0.016</w:t>
            </w:r>
          </w:p>
        </w:tc>
        <w:tc>
          <w:tcPr>
            <w:tcW w:w="393" w:type="pct"/>
            <w:noWrap w:val="0"/>
            <w:vAlign w:val="center"/>
          </w:tcPr>
          <w:p w14:paraId="32A06F0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1357A7B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13CF743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38793ABD">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0.061</w:t>
            </w:r>
          </w:p>
        </w:tc>
        <w:tc>
          <w:tcPr>
            <w:tcW w:w="358" w:type="pct"/>
            <w:noWrap w:val="0"/>
            <w:vAlign w:val="center"/>
          </w:tcPr>
          <w:p w14:paraId="6FDC6025">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4DA1A93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69E4784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3DCBB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06DBA1C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1E2AB28A">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5D7C7C47">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0.010</w:t>
            </w:r>
          </w:p>
        </w:tc>
        <w:tc>
          <w:tcPr>
            <w:tcW w:w="397" w:type="pct"/>
            <w:noWrap w:val="0"/>
            <w:vAlign w:val="center"/>
          </w:tcPr>
          <w:p w14:paraId="1BE5075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474DE47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29C19A7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1FADF320">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0.013</w:t>
            </w:r>
          </w:p>
        </w:tc>
        <w:tc>
          <w:tcPr>
            <w:tcW w:w="393" w:type="pct"/>
            <w:noWrap w:val="0"/>
            <w:vAlign w:val="center"/>
          </w:tcPr>
          <w:p w14:paraId="0F08CA9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15CC208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4B25954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65DB0A68">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0.076</w:t>
            </w:r>
          </w:p>
        </w:tc>
        <w:tc>
          <w:tcPr>
            <w:tcW w:w="358" w:type="pct"/>
            <w:noWrap w:val="0"/>
            <w:vAlign w:val="center"/>
          </w:tcPr>
          <w:p w14:paraId="1E6C81BA">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18501FF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3F5B4BC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65C63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38424EF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0265F854">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5E4A72B3">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0.008</w:t>
            </w:r>
          </w:p>
        </w:tc>
        <w:tc>
          <w:tcPr>
            <w:tcW w:w="397" w:type="pct"/>
            <w:noWrap w:val="0"/>
            <w:vAlign w:val="center"/>
          </w:tcPr>
          <w:p w14:paraId="471BB31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3E3A530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6BFDA40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4FAB41C7">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0.016</w:t>
            </w:r>
          </w:p>
        </w:tc>
        <w:tc>
          <w:tcPr>
            <w:tcW w:w="393" w:type="pct"/>
            <w:noWrap w:val="0"/>
            <w:vAlign w:val="center"/>
          </w:tcPr>
          <w:p w14:paraId="5DD6016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76E476D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44DEA1C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7D0EAB7A">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0.074</w:t>
            </w:r>
          </w:p>
        </w:tc>
        <w:tc>
          <w:tcPr>
            <w:tcW w:w="358" w:type="pct"/>
            <w:noWrap w:val="0"/>
            <w:vAlign w:val="center"/>
          </w:tcPr>
          <w:p w14:paraId="1048D4BC">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1A746E1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2BFE941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6BFAD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4E69404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restart"/>
            <w:noWrap w:val="0"/>
            <w:vAlign w:val="center"/>
          </w:tcPr>
          <w:p w14:paraId="49E7B445">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2026.07.02</w:t>
            </w:r>
          </w:p>
        </w:tc>
        <w:tc>
          <w:tcPr>
            <w:tcW w:w="1021" w:type="dxa"/>
            <w:noWrap w:val="0"/>
            <w:tcMar>
              <w:top w:w="0" w:type="dxa"/>
              <w:left w:w="57" w:type="dxa"/>
              <w:bottom w:w="0" w:type="dxa"/>
              <w:right w:w="57" w:type="dxa"/>
            </w:tcMar>
            <w:vAlign w:val="center"/>
          </w:tcPr>
          <w:p w14:paraId="318E96C6">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0.009</w:t>
            </w:r>
          </w:p>
        </w:tc>
        <w:tc>
          <w:tcPr>
            <w:tcW w:w="397" w:type="pct"/>
            <w:noWrap w:val="0"/>
            <w:vAlign w:val="center"/>
          </w:tcPr>
          <w:p w14:paraId="180B694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6A20388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495524F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0CF4795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0.017</w:t>
            </w:r>
          </w:p>
        </w:tc>
        <w:tc>
          <w:tcPr>
            <w:tcW w:w="393" w:type="pct"/>
            <w:noWrap w:val="0"/>
            <w:vAlign w:val="center"/>
          </w:tcPr>
          <w:p w14:paraId="63C0AB9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08D8A0D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24C6172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76EB2566">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0.051</w:t>
            </w:r>
          </w:p>
        </w:tc>
        <w:tc>
          <w:tcPr>
            <w:tcW w:w="358" w:type="pct"/>
            <w:noWrap w:val="0"/>
            <w:vAlign w:val="center"/>
          </w:tcPr>
          <w:p w14:paraId="692C55C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39C8D53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38441D7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11864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17CA9FE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7857559A">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4411CDDC">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0.013</w:t>
            </w:r>
          </w:p>
        </w:tc>
        <w:tc>
          <w:tcPr>
            <w:tcW w:w="397" w:type="pct"/>
            <w:noWrap w:val="0"/>
            <w:vAlign w:val="center"/>
          </w:tcPr>
          <w:p w14:paraId="2DF786B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71BA4DF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71B962C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3E54F9F2">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0.015</w:t>
            </w:r>
          </w:p>
        </w:tc>
        <w:tc>
          <w:tcPr>
            <w:tcW w:w="393" w:type="pct"/>
            <w:noWrap w:val="0"/>
            <w:vAlign w:val="center"/>
          </w:tcPr>
          <w:p w14:paraId="17F1624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136C86E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6016E8E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2F1F3A55">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0.056</w:t>
            </w:r>
          </w:p>
        </w:tc>
        <w:tc>
          <w:tcPr>
            <w:tcW w:w="358" w:type="pct"/>
            <w:noWrap w:val="0"/>
            <w:vAlign w:val="center"/>
          </w:tcPr>
          <w:p w14:paraId="426D87E5">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3628D04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1EEC533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1A374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013047B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4D487628">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6E6B81BA">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0.011</w:t>
            </w:r>
          </w:p>
        </w:tc>
        <w:tc>
          <w:tcPr>
            <w:tcW w:w="397" w:type="pct"/>
            <w:noWrap w:val="0"/>
            <w:vAlign w:val="center"/>
          </w:tcPr>
          <w:p w14:paraId="6229E1B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10B53CCD">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132CCC2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0D07C4A6">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0.013</w:t>
            </w:r>
          </w:p>
        </w:tc>
        <w:tc>
          <w:tcPr>
            <w:tcW w:w="393" w:type="pct"/>
            <w:noWrap w:val="0"/>
            <w:vAlign w:val="center"/>
          </w:tcPr>
          <w:p w14:paraId="6E92B74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31C4007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5BC029C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5FD7E8F6">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0.077</w:t>
            </w:r>
          </w:p>
        </w:tc>
        <w:tc>
          <w:tcPr>
            <w:tcW w:w="358" w:type="pct"/>
            <w:noWrap w:val="0"/>
            <w:vAlign w:val="center"/>
          </w:tcPr>
          <w:p w14:paraId="359179F8">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26C40B0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3CCD85C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2A9AE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02B94EE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6D430D2A">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3D2365A6">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0.009</w:t>
            </w:r>
          </w:p>
        </w:tc>
        <w:tc>
          <w:tcPr>
            <w:tcW w:w="397" w:type="pct"/>
            <w:noWrap w:val="0"/>
            <w:vAlign w:val="center"/>
          </w:tcPr>
          <w:p w14:paraId="663559D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2EDB29B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3C38EC4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61219DCF">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0.017</w:t>
            </w:r>
          </w:p>
        </w:tc>
        <w:tc>
          <w:tcPr>
            <w:tcW w:w="393" w:type="pct"/>
            <w:noWrap w:val="0"/>
            <w:vAlign w:val="center"/>
          </w:tcPr>
          <w:p w14:paraId="45A66DF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4292F40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42DC41F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63E3409A">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0.070</w:t>
            </w:r>
          </w:p>
        </w:tc>
        <w:tc>
          <w:tcPr>
            <w:tcW w:w="358" w:type="pct"/>
            <w:noWrap w:val="0"/>
            <w:vAlign w:val="center"/>
          </w:tcPr>
          <w:p w14:paraId="0FF127F1">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029A3E3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1F90380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0619B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4EE59998">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restart"/>
            <w:noWrap w:val="0"/>
            <w:vAlign w:val="center"/>
          </w:tcPr>
          <w:p w14:paraId="739D9850">
            <w:pPr>
              <w:widowControl w:val="0"/>
              <w:autoSpaceDE w:val="0"/>
              <w:autoSpaceDN w:val="0"/>
              <w:adjustRightInd w:val="0"/>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t>2026.07.03</w:t>
            </w:r>
          </w:p>
        </w:tc>
        <w:tc>
          <w:tcPr>
            <w:tcW w:w="1021" w:type="dxa"/>
            <w:noWrap w:val="0"/>
            <w:tcMar>
              <w:top w:w="0" w:type="dxa"/>
              <w:left w:w="57" w:type="dxa"/>
              <w:bottom w:w="0" w:type="dxa"/>
              <w:right w:w="57" w:type="dxa"/>
            </w:tcMar>
            <w:vAlign w:val="center"/>
          </w:tcPr>
          <w:p w14:paraId="64701002">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0.010</w:t>
            </w:r>
          </w:p>
        </w:tc>
        <w:tc>
          <w:tcPr>
            <w:tcW w:w="397" w:type="pct"/>
            <w:noWrap w:val="0"/>
            <w:vAlign w:val="center"/>
          </w:tcPr>
          <w:p w14:paraId="7E5A165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7FB5116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6CA44D2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761FAAF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0.017</w:t>
            </w:r>
          </w:p>
        </w:tc>
        <w:tc>
          <w:tcPr>
            <w:tcW w:w="393" w:type="pct"/>
            <w:noWrap w:val="0"/>
            <w:vAlign w:val="center"/>
          </w:tcPr>
          <w:p w14:paraId="41DED98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2E9A34B9">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4B32DD0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3B9D12A9">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0.053</w:t>
            </w:r>
          </w:p>
        </w:tc>
        <w:tc>
          <w:tcPr>
            <w:tcW w:w="358" w:type="pct"/>
            <w:noWrap w:val="0"/>
            <w:vAlign w:val="center"/>
          </w:tcPr>
          <w:p w14:paraId="61B8D4A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625C080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397676C7">
            <w:pPr>
              <w:widowControl/>
              <w:jc w:val="both"/>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74BC0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55232E6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691BC710">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34D3C6CF">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0.013</w:t>
            </w:r>
          </w:p>
        </w:tc>
        <w:tc>
          <w:tcPr>
            <w:tcW w:w="397" w:type="pct"/>
            <w:noWrap w:val="0"/>
            <w:vAlign w:val="center"/>
          </w:tcPr>
          <w:p w14:paraId="444985B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33019AE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5480306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43EE7973">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0.016</w:t>
            </w:r>
          </w:p>
        </w:tc>
        <w:tc>
          <w:tcPr>
            <w:tcW w:w="393" w:type="pct"/>
            <w:noWrap w:val="0"/>
            <w:vAlign w:val="center"/>
          </w:tcPr>
          <w:p w14:paraId="09A5AE7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1674882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18EB328A">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7AFAEB57">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0.061</w:t>
            </w:r>
          </w:p>
        </w:tc>
        <w:tc>
          <w:tcPr>
            <w:tcW w:w="358" w:type="pct"/>
            <w:noWrap w:val="0"/>
            <w:vAlign w:val="center"/>
          </w:tcPr>
          <w:p w14:paraId="651DEAAC">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2218D50C">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20814FC3">
            <w:pPr>
              <w:widowControl/>
              <w:jc w:val="both"/>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5336E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4F40B16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785B46AD">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1348EF6F">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0.012</w:t>
            </w:r>
          </w:p>
        </w:tc>
        <w:tc>
          <w:tcPr>
            <w:tcW w:w="397" w:type="pct"/>
            <w:noWrap w:val="0"/>
            <w:vAlign w:val="center"/>
          </w:tcPr>
          <w:p w14:paraId="043D5CA3">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626BB27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61184EE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077E62DA">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0.014</w:t>
            </w:r>
          </w:p>
        </w:tc>
        <w:tc>
          <w:tcPr>
            <w:tcW w:w="393" w:type="pct"/>
            <w:noWrap w:val="0"/>
            <w:vAlign w:val="center"/>
          </w:tcPr>
          <w:p w14:paraId="700128E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2AF465DB">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46C51325">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7BD36F08">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0.076</w:t>
            </w:r>
          </w:p>
        </w:tc>
        <w:tc>
          <w:tcPr>
            <w:tcW w:w="358" w:type="pct"/>
            <w:noWrap w:val="0"/>
            <w:vAlign w:val="center"/>
          </w:tcPr>
          <w:p w14:paraId="12E6A354">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497BBBD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25B30BD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088F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8" w:type="pct"/>
            <w:vMerge w:val="continue"/>
            <w:noWrap w:val="0"/>
            <w:vAlign w:val="center"/>
          </w:tcPr>
          <w:p w14:paraId="75441DF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p>
        </w:tc>
        <w:tc>
          <w:tcPr>
            <w:tcW w:w="464" w:type="pct"/>
            <w:vMerge w:val="continue"/>
            <w:noWrap w:val="0"/>
            <w:vAlign w:val="center"/>
          </w:tcPr>
          <w:p w14:paraId="7C40F5C8">
            <w:pPr>
              <w:widowControl w:val="0"/>
              <w:autoSpaceDE w:val="0"/>
              <w:autoSpaceDN w:val="0"/>
              <w:adjustRightInd w:val="0"/>
              <w:jc w:val="center"/>
              <w:rPr>
                <w:rFonts w:hint="eastAsia" w:ascii="Times New Roman" w:hAnsi="Times New Roman" w:eastAsia="宋体" w:cs="Times New Roman"/>
                <w:b w:val="0"/>
                <w:bCs/>
                <w:color w:val="000000" w:themeColor="text1"/>
                <w:kern w:val="2"/>
                <w:sz w:val="21"/>
                <w:szCs w:val="21"/>
                <w:vertAlign w:val="baseline"/>
                <w:lang w:val="en-US" w:eastAsia="zh-CN" w:bidi="ar-SA"/>
                <w14:textFill>
                  <w14:solidFill>
                    <w14:schemeClr w14:val="tx1"/>
                  </w14:solidFill>
                </w14:textFill>
              </w:rPr>
            </w:pPr>
          </w:p>
        </w:tc>
        <w:tc>
          <w:tcPr>
            <w:tcW w:w="1021" w:type="dxa"/>
            <w:noWrap w:val="0"/>
            <w:tcMar>
              <w:top w:w="0" w:type="dxa"/>
              <w:left w:w="57" w:type="dxa"/>
              <w:bottom w:w="0" w:type="dxa"/>
              <w:right w:w="57" w:type="dxa"/>
            </w:tcMar>
            <w:vAlign w:val="center"/>
          </w:tcPr>
          <w:p w14:paraId="078E3DAF">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0.009</w:t>
            </w:r>
          </w:p>
        </w:tc>
        <w:tc>
          <w:tcPr>
            <w:tcW w:w="397" w:type="pct"/>
            <w:noWrap w:val="0"/>
            <w:vAlign w:val="center"/>
          </w:tcPr>
          <w:p w14:paraId="7D0859EF">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0.15</w:t>
            </w:r>
          </w:p>
        </w:tc>
        <w:tc>
          <w:tcPr>
            <w:tcW w:w="384" w:type="pct"/>
            <w:noWrap w:val="0"/>
            <w:vAlign w:val="center"/>
          </w:tcPr>
          <w:p w14:paraId="3EE2D60E">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61" w:type="pct"/>
            <w:noWrap w:val="0"/>
            <w:vAlign w:val="center"/>
          </w:tcPr>
          <w:p w14:paraId="3DEBD9A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113" w:type="dxa"/>
            <w:noWrap w:val="0"/>
            <w:vAlign w:val="center"/>
          </w:tcPr>
          <w:p w14:paraId="1204CA30">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0.017</w:t>
            </w:r>
          </w:p>
        </w:tc>
        <w:tc>
          <w:tcPr>
            <w:tcW w:w="393" w:type="pct"/>
            <w:noWrap w:val="0"/>
            <w:vAlign w:val="center"/>
          </w:tcPr>
          <w:p w14:paraId="5CDBD826">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0.2</w:t>
            </w:r>
          </w:p>
        </w:tc>
        <w:tc>
          <w:tcPr>
            <w:tcW w:w="358" w:type="pct"/>
            <w:noWrap w:val="0"/>
            <w:vAlign w:val="center"/>
          </w:tcPr>
          <w:p w14:paraId="2BEB7B80">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7" w:type="pct"/>
            <w:noWrap w:val="0"/>
            <w:vAlign w:val="center"/>
          </w:tcPr>
          <w:p w14:paraId="74F07852">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c>
          <w:tcPr>
            <w:tcW w:w="1089" w:type="dxa"/>
            <w:noWrap w:val="0"/>
            <w:vAlign w:val="center"/>
          </w:tcPr>
          <w:p w14:paraId="481747E7">
            <w:pPr>
              <w:widowControl/>
              <w:jc w:val="cente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0.067</w:t>
            </w:r>
          </w:p>
        </w:tc>
        <w:tc>
          <w:tcPr>
            <w:tcW w:w="358" w:type="pct"/>
            <w:noWrap w:val="0"/>
            <w:vAlign w:val="center"/>
          </w:tcPr>
          <w:p w14:paraId="6AB6210D">
            <w:pPr>
              <w:widowControl/>
              <w:jc w:val="center"/>
              <w:rPr>
                <w:rFonts w:hint="eastAsia" w:ascii="Times New Roman" w:hAnsi="Times New Roman" w:eastAsia="宋体" w:cs="Times New Roman"/>
                <w:b w:val="0"/>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color w:val="000000" w:themeColor="text1"/>
                <w:kern w:val="2"/>
                <w:sz w:val="21"/>
                <w:szCs w:val="21"/>
                <w14:textFill>
                  <w14:solidFill>
                    <w14:schemeClr w14:val="tx1"/>
                  </w14:solidFill>
                </w14:textFill>
              </w:rPr>
              <w:t>0.16</w:t>
            </w:r>
            <w:r>
              <w:rPr>
                <w:rFonts w:hint="eastAsia" w:ascii="Times New Roman" w:hAnsi="Times New Roman" w:eastAsia="宋体" w:cs="Times New Roman"/>
                <w:b w:val="0"/>
                <w:bCs/>
                <w:color w:val="000000" w:themeColor="text1"/>
                <w:kern w:val="2"/>
                <w:sz w:val="21"/>
                <w:szCs w:val="21"/>
                <w:lang w:val="en-US" w:eastAsia="zh-CN"/>
                <w14:textFill>
                  <w14:solidFill>
                    <w14:schemeClr w14:val="tx1"/>
                  </w14:solidFill>
                </w14:textFill>
              </w:rPr>
              <w:t>0</w:t>
            </w:r>
          </w:p>
        </w:tc>
        <w:tc>
          <w:tcPr>
            <w:tcW w:w="405" w:type="pct"/>
            <w:noWrap w:val="0"/>
            <w:vAlign w:val="center"/>
          </w:tcPr>
          <w:p w14:paraId="628C7CF7">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0</w:t>
            </w:r>
          </w:p>
        </w:tc>
        <w:tc>
          <w:tcPr>
            <w:tcW w:w="253" w:type="pct"/>
            <w:noWrap w:val="0"/>
            <w:vAlign w:val="center"/>
          </w:tcPr>
          <w:p w14:paraId="3ACF0634">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达标</w:t>
            </w:r>
          </w:p>
        </w:tc>
      </w:tr>
      <w:tr w14:paraId="7FB6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14"/>
            <w:noWrap w:val="0"/>
            <w:vAlign w:val="center"/>
          </w:tcPr>
          <w:p w14:paraId="6EBFFCF1">
            <w:pPr>
              <w:widowControl/>
              <w:jc w:val="center"/>
              <w:rPr>
                <w:rFonts w:ascii="Times New Roman" w:hAnsi="Times New Roman" w:eastAsia="宋体" w:cs="Times New Roman"/>
                <w:b w:val="0"/>
                <w:bCs/>
                <w:color w:val="000000" w:themeColor="text1"/>
                <w:kern w:val="2"/>
                <w:sz w:val="21"/>
                <w:szCs w:val="21"/>
                <w14:textFill>
                  <w14:solidFill>
                    <w14:schemeClr w14:val="tx1"/>
                  </w14:solidFill>
                </w14:textFill>
              </w:rPr>
            </w:pPr>
            <w:r>
              <w:rPr>
                <w:rFonts w:ascii="Times New Roman" w:hAnsi="Times New Roman" w:eastAsia="宋体" w:cs="Times New Roman"/>
                <w:b w:val="0"/>
                <w:bCs/>
                <w:color w:val="000000" w:themeColor="text1"/>
                <w:kern w:val="2"/>
                <w:sz w:val="21"/>
                <w:szCs w:val="21"/>
                <w14:textFill>
                  <w14:solidFill>
                    <w14:schemeClr w14:val="tx1"/>
                  </w14:solidFill>
                </w14:textFill>
              </w:rPr>
              <w:t>备注：</w:t>
            </w:r>
            <w:r>
              <w:rPr>
                <w:rFonts w:hint="eastAsia" w:cs="Times New Roman"/>
                <w:b w:val="0"/>
                <w:bCs/>
                <w:color w:val="000000" w:themeColor="text1"/>
                <w:kern w:val="2"/>
                <w:sz w:val="21"/>
                <w:szCs w:val="21"/>
                <w:lang w:eastAsia="zh-CN"/>
                <w14:textFill>
                  <w14:solidFill>
                    <w14:schemeClr w14:val="tx1"/>
                  </w14:solidFill>
                </w14:textFill>
              </w:rPr>
              <w:t>“</w:t>
            </w:r>
            <w:r>
              <w:rPr>
                <w:rFonts w:ascii="Times New Roman" w:hAnsi="Times New Roman" w:eastAsia="宋体" w:cs="Times New Roman"/>
                <w:b w:val="0"/>
                <w:bCs/>
                <w:color w:val="000000" w:themeColor="text1"/>
                <w:kern w:val="2"/>
                <w:sz w:val="21"/>
                <w:szCs w:val="21"/>
                <w14:textFill>
                  <w14:solidFill>
                    <w14:schemeClr w14:val="tx1"/>
                  </w14:solidFill>
                </w14:textFill>
              </w:rPr>
              <w:t>检出限+L</w:t>
            </w:r>
            <w:r>
              <w:rPr>
                <w:rFonts w:hint="eastAsia" w:cs="Times New Roman"/>
                <w:b w:val="0"/>
                <w:bCs/>
                <w:color w:val="000000" w:themeColor="text1"/>
                <w:kern w:val="2"/>
                <w:sz w:val="21"/>
                <w:szCs w:val="21"/>
                <w:lang w:eastAsia="zh-CN"/>
                <w14:textFill>
                  <w14:solidFill>
                    <w14:schemeClr w14:val="tx1"/>
                  </w14:solidFill>
                </w14:textFill>
              </w:rPr>
              <w:t>”</w:t>
            </w:r>
            <w:r>
              <w:rPr>
                <w:rFonts w:ascii="Times New Roman" w:hAnsi="Times New Roman" w:eastAsia="宋体" w:cs="Times New Roman"/>
                <w:b w:val="0"/>
                <w:bCs/>
                <w:color w:val="000000" w:themeColor="text1"/>
                <w:kern w:val="2"/>
                <w:sz w:val="21"/>
                <w:szCs w:val="21"/>
                <w14:textFill>
                  <w14:solidFill>
                    <w14:schemeClr w14:val="tx1"/>
                  </w14:solidFill>
                </w14:textFill>
              </w:rPr>
              <w:t>表示检测结果低于方法检出限。</w:t>
            </w:r>
          </w:p>
        </w:tc>
      </w:tr>
    </w:tbl>
    <w:p w14:paraId="6C039B22">
      <w:pPr>
        <w:widowControl w:val="0"/>
        <w:bidi w:val="0"/>
        <w:spacing w:line="360" w:lineRule="auto"/>
        <w:ind w:firstLine="480" w:firstLineChars="200"/>
        <w:jc w:val="both"/>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（2）评价标准及结论</w:t>
      </w:r>
    </w:p>
    <w:p w14:paraId="2F4D64D8">
      <w:pPr>
        <w:widowControl w:val="0"/>
        <w:bidi w:val="0"/>
        <w:spacing w:line="360" w:lineRule="auto"/>
        <w:ind w:firstLine="480" w:firstLineChars="200"/>
        <w:jc w:val="both"/>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采用单因子指数法进行环境空气质量现状评价。单因子指数法的数学表达式为：</w:t>
      </w:r>
    </w:p>
    <w:p w14:paraId="2C8E8AB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i/>
          <w:iCs/>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i/>
          <w:iCs/>
          <w:color w:val="000000" w:themeColor="text1"/>
          <w:kern w:val="2"/>
          <w:sz w:val="24"/>
          <w:szCs w:val="24"/>
          <w:lang w:val="en-US" w:eastAsia="zh-CN" w:bidi="ar-SA"/>
          <w14:textFill>
            <w14:solidFill>
              <w14:schemeClr w14:val="tx1"/>
            </w14:solidFill>
          </w14:textFill>
        </w:rPr>
        <w:t>P</w:t>
      </w:r>
      <w:r>
        <w:rPr>
          <w:rFonts w:hint="default" w:ascii="Times New Roman" w:hAnsi="Times New Roman" w:eastAsia="宋体" w:cs="Times New Roman"/>
          <w:i/>
          <w:iCs/>
          <w:color w:val="000000" w:themeColor="text1"/>
          <w:kern w:val="2"/>
          <w:sz w:val="24"/>
          <w:szCs w:val="24"/>
          <w:vertAlign w:val="subscript"/>
          <w:lang w:val="en-US" w:eastAsia="zh-CN" w:bidi="ar-SA"/>
          <w14:textFill>
            <w14:solidFill>
              <w14:schemeClr w14:val="tx1"/>
            </w14:solidFill>
          </w14:textFill>
        </w:rPr>
        <w:t>i</w:t>
      </w:r>
      <w:r>
        <w:rPr>
          <w:rFonts w:hint="default" w:ascii="Times New Roman" w:hAnsi="Times New Roman" w:eastAsia="宋体" w:cs="Times New Roman"/>
          <w:i/>
          <w:iCs/>
          <w:color w:val="000000" w:themeColor="text1"/>
          <w:kern w:val="2"/>
          <w:sz w:val="24"/>
          <w:szCs w:val="24"/>
          <w:lang w:val="en-US" w:eastAsia="zh-CN" w:bidi="ar-SA"/>
          <w14:textFill>
            <w14:solidFill>
              <w14:schemeClr w14:val="tx1"/>
            </w14:solidFill>
          </w14:textFill>
        </w:rPr>
        <w:t>=C</w:t>
      </w:r>
      <w:r>
        <w:rPr>
          <w:rFonts w:hint="default" w:ascii="Times New Roman" w:hAnsi="Times New Roman" w:eastAsia="宋体" w:cs="Times New Roman"/>
          <w:i/>
          <w:iCs/>
          <w:color w:val="000000" w:themeColor="text1"/>
          <w:kern w:val="2"/>
          <w:sz w:val="24"/>
          <w:szCs w:val="24"/>
          <w:vertAlign w:val="subscript"/>
          <w:lang w:val="en-US" w:eastAsia="zh-CN" w:bidi="ar-SA"/>
          <w14:textFill>
            <w14:solidFill>
              <w14:schemeClr w14:val="tx1"/>
            </w14:solidFill>
          </w14:textFill>
        </w:rPr>
        <w:t>i</w:t>
      </w:r>
      <w:r>
        <w:rPr>
          <w:rFonts w:hint="default" w:ascii="Times New Roman" w:hAnsi="Times New Roman" w:eastAsia="宋体" w:cs="Times New Roman"/>
          <w:i/>
          <w:iCs/>
          <w:color w:val="000000" w:themeColor="text1"/>
          <w:kern w:val="2"/>
          <w:sz w:val="24"/>
          <w:szCs w:val="24"/>
          <w:lang w:val="en-US" w:eastAsia="zh-CN" w:bidi="ar-SA"/>
          <w14:textFill>
            <w14:solidFill>
              <w14:schemeClr w14:val="tx1"/>
            </w14:solidFill>
          </w14:textFill>
        </w:rPr>
        <w:t>/S</w:t>
      </w:r>
      <w:r>
        <w:rPr>
          <w:rFonts w:hint="default" w:ascii="Times New Roman" w:hAnsi="Times New Roman" w:eastAsia="宋体" w:cs="Times New Roman"/>
          <w:i/>
          <w:iCs/>
          <w:color w:val="000000" w:themeColor="text1"/>
          <w:kern w:val="2"/>
          <w:sz w:val="24"/>
          <w:szCs w:val="24"/>
          <w:vertAlign w:val="subscript"/>
          <w:lang w:val="en-US" w:eastAsia="zh-CN" w:bidi="ar-SA"/>
          <w14:textFill>
            <w14:solidFill>
              <w14:schemeClr w14:val="tx1"/>
            </w14:solidFill>
          </w14:textFill>
        </w:rPr>
        <w:t>i</w:t>
      </w:r>
    </w:p>
    <w:p w14:paraId="06B6200E">
      <w:pPr>
        <w:widowControl w:val="0"/>
        <w:bidi w:val="0"/>
        <w:spacing w:line="360" w:lineRule="auto"/>
        <w:ind w:firstLine="480" w:firstLineChars="200"/>
        <w:jc w:val="both"/>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式中：P</w:t>
      </w:r>
      <w:r>
        <w:rPr>
          <w:rFonts w:hint="default" w:ascii="Times New Roman" w:hAnsi="Times New Roman" w:eastAsia="宋体" w:cs="Times New Roman"/>
          <w:color w:val="000000" w:themeColor="text1"/>
          <w:kern w:val="2"/>
          <w:sz w:val="24"/>
          <w:szCs w:val="24"/>
          <w:vertAlign w:val="subscript"/>
          <w:lang w:val="en-US" w:eastAsia="zh-CN" w:bidi="ar-SA"/>
          <w14:textFill>
            <w14:solidFill>
              <w14:schemeClr w14:val="tx1"/>
            </w14:solidFill>
          </w14:textFill>
        </w:rPr>
        <w:t>i</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—某污染物i的单因子标准指数；</w:t>
      </w:r>
    </w:p>
    <w:p w14:paraId="4F40611C">
      <w:pPr>
        <w:widowControl w:val="0"/>
        <w:bidi w:val="0"/>
        <w:spacing w:line="360" w:lineRule="auto"/>
        <w:ind w:firstLine="480" w:firstLineChars="200"/>
        <w:jc w:val="both"/>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C</w:t>
      </w:r>
      <w:r>
        <w:rPr>
          <w:rFonts w:hint="default" w:ascii="Times New Roman" w:hAnsi="Times New Roman" w:eastAsia="宋体" w:cs="Times New Roman"/>
          <w:color w:val="000000" w:themeColor="text1"/>
          <w:kern w:val="2"/>
          <w:sz w:val="24"/>
          <w:szCs w:val="24"/>
          <w:vertAlign w:val="subscript"/>
          <w:lang w:val="en-US" w:eastAsia="zh-CN" w:bidi="ar-SA"/>
          <w14:textFill>
            <w14:solidFill>
              <w14:schemeClr w14:val="tx1"/>
            </w14:solidFill>
          </w14:textFill>
        </w:rPr>
        <w:t>i—i</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污染物的监测浓度值；</w:t>
      </w:r>
    </w:p>
    <w:p w14:paraId="5864409F">
      <w:pPr>
        <w:widowControl w:val="0"/>
        <w:bidi w:val="0"/>
        <w:spacing w:line="360" w:lineRule="auto"/>
        <w:ind w:firstLine="480" w:firstLineChars="200"/>
        <w:jc w:val="both"/>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S</w:t>
      </w:r>
      <w:r>
        <w:rPr>
          <w:rFonts w:hint="default" w:ascii="Times New Roman" w:hAnsi="Times New Roman" w:eastAsia="宋体" w:cs="Times New Roman"/>
          <w:color w:val="000000" w:themeColor="text1"/>
          <w:kern w:val="2"/>
          <w:sz w:val="24"/>
          <w:szCs w:val="24"/>
          <w:vertAlign w:val="subscript"/>
          <w:lang w:val="en-US" w:eastAsia="zh-CN" w:bidi="ar-SA"/>
          <w14:textFill>
            <w14:solidFill>
              <w14:schemeClr w14:val="tx1"/>
            </w14:solidFill>
          </w14:textFill>
        </w:rPr>
        <w:t>i—i</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污染物相应的环境质量标准值。</w:t>
      </w:r>
    </w:p>
    <w:p w14:paraId="45ACB338">
      <w:pPr>
        <w:widowControl w:val="0"/>
        <w:bidi w:val="0"/>
        <w:spacing w:line="360" w:lineRule="auto"/>
        <w:ind w:firstLine="480" w:firstLineChars="200"/>
        <w:jc w:val="both"/>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各监测项目的环境监测结果标准指数列于表</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eastAsia" w:cs="Times New Roman"/>
          <w:color w:val="000000" w:themeColor="text1"/>
          <w:kern w:val="2"/>
          <w:sz w:val="24"/>
          <w:szCs w:val="24"/>
          <w:lang w:val="en-US" w:eastAsia="zh-CN" w:bidi="ar-SA"/>
          <w14:textFill>
            <w14:solidFill>
              <w14:schemeClr w14:val="tx1"/>
            </w14:solidFill>
          </w14:textFill>
        </w:rPr>
        <w:t>8</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p>
    <w:p w14:paraId="0A5592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ascii="Times New Roman"/>
          <w:b/>
          <w:color w:val="000000" w:themeColor="text1"/>
          <w:kern w:val="2"/>
          <w:sz w:val="21"/>
          <w:szCs w:val="21"/>
          <w14:textFill>
            <w14:solidFill>
              <w14:schemeClr w14:val="tx1"/>
            </w14:solidFill>
          </w14:textFill>
        </w:rPr>
        <w:t>表</w:t>
      </w:r>
      <w:r>
        <w:rPr>
          <w:rFonts w:hint="eastAsia" w:ascii="Times New Roman"/>
          <w:b/>
          <w:color w:val="000000" w:themeColor="text1"/>
          <w:kern w:val="2"/>
          <w:sz w:val="21"/>
          <w:szCs w:val="21"/>
          <w:lang w:val="en-US" w:eastAsia="zh-CN"/>
          <w14:textFill>
            <w14:solidFill>
              <w14:schemeClr w14:val="tx1"/>
            </w14:solidFill>
          </w14:textFill>
        </w:rPr>
        <w:t>2</w:t>
      </w:r>
      <w:r>
        <w:rPr>
          <w:rFonts w:ascii="Times New Roman"/>
          <w:b/>
          <w:color w:val="000000" w:themeColor="text1"/>
          <w:kern w:val="2"/>
          <w:sz w:val="21"/>
          <w:szCs w:val="21"/>
          <w14:textFill>
            <w14:solidFill>
              <w14:schemeClr w14:val="tx1"/>
            </w14:solidFill>
          </w14:textFill>
        </w:rPr>
        <w:t>.2-</w:t>
      </w:r>
      <w:r>
        <w:rPr>
          <w:rFonts w:hint="eastAsia"/>
          <w:b/>
          <w:color w:val="000000" w:themeColor="text1"/>
          <w:kern w:val="2"/>
          <w:sz w:val="21"/>
          <w:szCs w:val="21"/>
          <w:lang w:val="en-US" w:eastAsia="zh-CN"/>
          <w14:textFill>
            <w14:solidFill>
              <w14:schemeClr w14:val="tx1"/>
            </w14:solidFill>
          </w14:textFill>
        </w:rPr>
        <w:t>8</w:t>
      </w:r>
      <w:r>
        <w:rPr>
          <w:rFonts w:ascii="Times New Roman"/>
          <w:b/>
          <w:color w:val="000000" w:themeColor="text1"/>
          <w:kern w:val="2"/>
          <w:sz w:val="21"/>
          <w:szCs w:val="21"/>
          <w14:textFill>
            <w14:solidFill>
              <w14:schemeClr w14:val="tx1"/>
            </w14:solidFill>
          </w14:textFill>
        </w:rPr>
        <w:t xml:space="preserve"> 一类区环境质量现状监测结果表</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5"/>
        <w:gridCol w:w="968"/>
        <w:gridCol w:w="997"/>
        <w:gridCol w:w="1046"/>
        <w:gridCol w:w="2040"/>
        <w:gridCol w:w="1229"/>
        <w:gridCol w:w="1636"/>
        <w:gridCol w:w="1824"/>
        <w:gridCol w:w="1311"/>
        <w:gridCol w:w="1346"/>
      </w:tblGrid>
      <w:tr w14:paraId="72564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0" w:type="pct"/>
            <w:vMerge w:val="restart"/>
            <w:noWrap w:val="0"/>
            <w:vAlign w:val="center"/>
          </w:tcPr>
          <w:p w14:paraId="235C40B8">
            <w:pPr>
              <w:widowControl/>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监测点位</w:t>
            </w:r>
          </w:p>
        </w:tc>
        <w:tc>
          <w:tcPr>
            <w:tcW w:w="720" w:type="pct"/>
            <w:gridSpan w:val="2"/>
            <w:noWrap w:val="0"/>
            <w:vAlign w:val="center"/>
          </w:tcPr>
          <w:p w14:paraId="5C24AFD1">
            <w:pPr>
              <w:widowControl/>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监测点坐标/m</w:t>
            </w:r>
          </w:p>
          <w:p w14:paraId="69337C48">
            <w:pPr>
              <w:widowControl/>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color w:val="000000" w:themeColor="text1"/>
                <w:kern w:val="0"/>
                <w:sz w:val="21"/>
                <w:szCs w:val="21"/>
                <w14:textFill>
                  <w14:solidFill>
                    <w14:schemeClr w14:val="tx1"/>
                  </w14:solidFill>
                </w14:textFill>
              </w:rPr>
              <w:t>（以项目厂址中心为原点0,0）</w:t>
            </w:r>
          </w:p>
        </w:tc>
        <w:tc>
          <w:tcPr>
            <w:tcW w:w="383" w:type="pct"/>
            <w:vMerge w:val="restart"/>
            <w:noWrap w:val="0"/>
            <w:vAlign w:val="center"/>
          </w:tcPr>
          <w:p w14:paraId="3797B1E2">
            <w:pPr>
              <w:widowControl/>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污染物</w:t>
            </w:r>
          </w:p>
        </w:tc>
        <w:tc>
          <w:tcPr>
            <w:tcW w:w="747" w:type="pct"/>
            <w:vMerge w:val="restart"/>
            <w:noWrap w:val="0"/>
            <w:vAlign w:val="center"/>
          </w:tcPr>
          <w:p w14:paraId="47711CB5">
            <w:pPr>
              <w:widowControl/>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平均时间</w:t>
            </w:r>
          </w:p>
        </w:tc>
        <w:tc>
          <w:tcPr>
            <w:tcW w:w="450" w:type="pct"/>
            <w:vMerge w:val="restart"/>
            <w:noWrap w:val="0"/>
            <w:vAlign w:val="center"/>
          </w:tcPr>
          <w:p w14:paraId="3FECAD76">
            <w:pPr>
              <w:widowControl/>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评价标准/（mg/m³）</w:t>
            </w:r>
          </w:p>
        </w:tc>
        <w:tc>
          <w:tcPr>
            <w:tcW w:w="599" w:type="pct"/>
            <w:vMerge w:val="restart"/>
            <w:noWrap w:val="0"/>
            <w:vAlign w:val="center"/>
          </w:tcPr>
          <w:p w14:paraId="4D31F6F9">
            <w:pPr>
              <w:widowControl/>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监测浓度范围/（mg/m³）</w:t>
            </w:r>
          </w:p>
        </w:tc>
        <w:tc>
          <w:tcPr>
            <w:tcW w:w="668" w:type="pct"/>
            <w:vMerge w:val="restart"/>
            <w:noWrap w:val="0"/>
            <w:vAlign w:val="center"/>
          </w:tcPr>
          <w:p w14:paraId="56CEDE23">
            <w:pPr>
              <w:widowControl/>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最大浓度占标率/%</w:t>
            </w:r>
          </w:p>
        </w:tc>
        <w:tc>
          <w:tcPr>
            <w:tcW w:w="480" w:type="pct"/>
            <w:vMerge w:val="restart"/>
            <w:noWrap w:val="0"/>
            <w:vAlign w:val="center"/>
          </w:tcPr>
          <w:p w14:paraId="7DABDCF1">
            <w:pPr>
              <w:widowControl/>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超标率/（%）</w:t>
            </w:r>
          </w:p>
        </w:tc>
        <w:tc>
          <w:tcPr>
            <w:tcW w:w="491" w:type="pct"/>
            <w:vMerge w:val="restart"/>
            <w:noWrap w:val="0"/>
            <w:vAlign w:val="center"/>
          </w:tcPr>
          <w:p w14:paraId="065C8321">
            <w:pPr>
              <w:widowControl/>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达标情况</w:t>
            </w:r>
          </w:p>
        </w:tc>
      </w:tr>
      <w:tr w14:paraId="0DFD0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0" w:type="pct"/>
            <w:vMerge w:val="continue"/>
            <w:noWrap w:val="0"/>
            <w:vAlign w:val="center"/>
          </w:tcPr>
          <w:p w14:paraId="352C761E">
            <w:pPr>
              <w:widowControl/>
              <w:jc w:val="center"/>
              <w:rPr>
                <w:rFonts w:ascii="Times New Roman" w:hAnsi="Times New Roman" w:eastAsia="宋体" w:cs="Times New Roman"/>
                <w:b/>
                <w:bCs/>
                <w:color w:val="000000" w:themeColor="text1"/>
                <w:kern w:val="0"/>
                <w:sz w:val="21"/>
                <w:szCs w:val="21"/>
                <w14:textFill>
                  <w14:solidFill>
                    <w14:schemeClr w14:val="tx1"/>
                  </w14:solidFill>
                </w14:textFill>
              </w:rPr>
            </w:pPr>
          </w:p>
        </w:tc>
        <w:tc>
          <w:tcPr>
            <w:tcW w:w="355" w:type="pct"/>
            <w:noWrap w:val="0"/>
            <w:vAlign w:val="center"/>
          </w:tcPr>
          <w:p w14:paraId="7E9E3BF6">
            <w:pPr>
              <w:widowControl/>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X</w:t>
            </w:r>
          </w:p>
        </w:tc>
        <w:tc>
          <w:tcPr>
            <w:tcW w:w="364" w:type="pct"/>
            <w:noWrap w:val="0"/>
            <w:vAlign w:val="center"/>
          </w:tcPr>
          <w:p w14:paraId="2CBCE3B4">
            <w:pPr>
              <w:widowControl/>
              <w:jc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Y</w:t>
            </w:r>
          </w:p>
        </w:tc>
        <w:tc>
          <w:tcPr>
            <w:tcW w:w="383" w:type="pct"/>
            <w:vMerge w:val="continue"/>
            <w:noWrap w:val="0"/>
            <w:vAlign w:val="center"/>
          </w:tcPr>
          <w:p w14:paraId="3966422C">
            <w:pPr>
              <w:widowControl/>
              <w:jc w:val="center"/>
              <w:rPr>
                <w:rFonts w:ascii="Times New Roman" w:hAnsi="Times New Roman" w:eastAsia="宋体" w:cs="Times New Roman"/>
                <w:b/>
                <w:bCs/>
                <w:color w:val="000000" w:themeColor="text1"/>
                <w:kern w:val="0"/>
                <w:sz w:val="21"/>
                <w:szCs w:val="21"/>
                <w14:textFill>
                  <w14:solidFill>
                    <w14:schemeClr w14:val="tx1"/>
                  </w14:solidFill>
                </w14:textFill>
              </w:rPr>
            </w:pPr>
          </w:p>
        </w:tc>
        <w:tc>
          <w:tcPr>
            <w:tcW w:w="747" w:type="pct"/>
            <w:vMerge w:val="continue"/>
            <w:noWrap w:val="0"/>
            <w:vAlign w:val="center"/>
          </w:tcPr>
          <w:p w14:paraId="264A4F97">
            <w:pPr>
              <w:widowControl/>
              <w:jc w:val="center"/>
              <w:rPr>
                <w:rFonts w:ascii="Times New Roman" w:hAnsi="Times New Roman" w:eastAsia="宋体" w:cs="Times New Roman"/>
                <w:b/>
                <w:bCs/>
                <w:color w:val="000000" w:themeColor="text1"/>
                <w:kern w:val="0"/>
                <w:sz w:val="21"/>
                <w:szCs w:val="21"/>
                <w14:textFill>
                  <w14:solidFill>
                    <w14:schemeClr w14:val="tx1"/>
                  </w14:solidFill>
                </w14:textFill>
              </w:rPr>
            </w:pPr>
          </w:p>
        </w:tc>
        <w:tc>
          <w:tcPr>
            <w:tcW w:w="450" w:type="pct"/>
            <w:vMerge w:val="continue"/>
            <w:noWrap w:val="0"/>
            <w:vAlign w:val="center"/>
          </w:tcPr>
          <w:p w14:paraId="5FB68E8B">
            <w:pPr>
              <w:widowControl/>
              <w:jc w:val="center"/>
              <w:rPr>
                <w:rFonts w:ascii="Times New Roman" w:hAnsi="Times New Roman" w:eastAsia="宋体" w:cs="Times New Roman"/>
                <w:b/>
                <w:bCs/>
                <w:color w:val="000000" w:themeColor="text1"/>
                <w:kern w:val="0"/>
                <w:sz w:val="21"/>
                <w:szCs w:val="21"/>
                <w14:textFill>
                  <w14:solidFill>
                    <w14:schemeClr w14:val="tx1"/>
                  </w14:solidFill>
                </w14:textFill>
              </w:rPr>
            </w:pPr>
          </w:p>
        </w:tc>
        <w:tc>
          <w:tcPr>
            <w:tcW w:w="599" w:type="pct"/>
            <w:vMerge w:val="continue"/>
            <w:noWrap w:val="0"/>
            <w:vAlign w:val="center"/>
          </w:tcPr>
          <w:p w14:paraId="515819F7">
            <w:pPr>
              <w:widowControl/>
              <w:jc w:val="center"/>
              <w:rPr>
                <w:rFonts w:ascii="Times New Roman" w:hAnsi="Times New Roman" w:eastAsia="宋体" w:cs="Times New Roman"/>
                <w:b/>
                <w:bCs/>
                <w:color w:val="000000" w:themeColor="text1"/>
                <w:kern w:val="0"/>
                <w:sz w:val="21"/>
                <w:szCs w:val="21"/>
                <w14:textFill>
                  <w14:solidFill>
                    <w14:schemeClr w14:val="tx1"/>
                  </w14:solidFill>
                </w14:textFill>
              </w:rPr>
            </w:pPr>
          </w:p>
        </w:tc>
        <w:tc>
          <w:tcPr>
            <w:tcW w:w="668" w:type="pct"/>
            <w:vMerge w:val="continue"/>
            <w:noWrap w:val="0"/>
            <w:vAlign w:val="center"/>
          </w:tcPr>
          <w:p w14:paraId="696A01AE">
            <w:pPr>
              <w:widowControl/>
              <w:jc w:val="center"/>
              <w:rPr>
                <w:rFonts w:ascii="Times New Roman" w:hAnsi="Times New Roman" w:eastAsia="宋体" w:cs="Times New Roman"/>
                <w:b/>
                <w:bCs/>
                <w:color w:val="000000" w:themeColor="text1"/>
                <w:kern w:val="0"/>
                <w:sz w:val="21"/>
                <w:szCs w:val="21"/>
                <w14:textFill>
                  <w14:solidFill>
                    <w14:schemeClr w14:val="tx1"/>
                  </w14:solidFill>
                </w14:textFill>
              </w:rPr>
            </w:pPr>
          </w:p>
        </w:tc>
        <w:tc>
          <w:tcPr>
            <w:tcW w:w="480" w:type="pct"/>
            <w:vMerge w:val="continue"/>
            <w:noWrap w:val="0"/>
            <w:vAlign w:val="center"/>
          </w:tcPr>
          <w:p w14:paraId="75C57527">
            <w:pPr>
              <w:widowControl/>
              <w:jc w:val="center"/>
              <w:rPr>
                <w:rFonts w:ascii="Times New Roman" w:hAnsi="Times New Roman" w:eastAsia="宋体" w:cs="Times New Roman"/>
                <w:b/>
                <w:bCs/>
                <w:color w:val="000000" w:themeColor="text1"/>
                <w:kern w:val="0"/>
                <w:sz w:val="21"/>
                <w:szCs w:val="21"/>
                <w14:textFill>
                  <w14:solidFill>
                    <w14:schemeClr w14:val="tx1"/>
                  </w14:solidFill>
                </w14:textFill>
              </w:rPr>
            </w:pPr>
          </w:p>
        </w:tc>
        <w:tc>
          <w:tcPr>
            <w:tcW w:w="491" w:type="pct"/>
            <w:vMerge w:val="continue"/>
            <w:noWrap w:val="0"/>
            <w:vAlign w:val="center"/>
          </w:tcPr>
          <w:p w14:paraId="52EF4814">
            <w:pPr>
              <w:widowControl/>
              <w:jc w:val="center"/>
              <w:rPr>
                <w:rFonts w:ascii="Times New Roman" w:hAnsi="Times New Roman" w:eastAsia="宋体" w:cs="Times New Roman"/>
                <w:b/>
                <w:bCs/>
                <w:color w:val="000000" w:themeColor="text1"/>
                <w:kern w:val="0"/>
                <w:sz w:val="21"/>
                <w:szCs w:val="21"/>
                <w14:textFill>
                  <w14:solidFill>
                    <w14:schemeClr w14:val="tx1"/>
                  </w14:solidFill>
                </w14:textFill>
              </w:rPr>
            </w:pPr>
          </w:p>
        </w:tc>
      </w:tr>
      <w:tr w14:paraId="77511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0" w:type="pct"/>
            <w:vMerge w:val="restart"/>
            <w:noWrap w:val="0"/>
            <w:vAlign w:val="center"/>
          </w:tcPr>
          <w:p w14:paraId="17CB7E46">
            <w:pPr>
              <w:widowControl/>
              <w:adjustRightInd w:val="0"/>
              <w:snapToGrid w:val="0"/>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val="en-US" w:eastAsia="zh-CN"/>
                <w14:textFill>
                  <w14:solidFill>
                    <w14:schemeClr w14:val="tx1"/>
                  </w14:solidFill>
                </w14:textFill>
              </w:rPr>
              <w:t>A2，翠柏自然保护区1个点位</w:t>
            </w:r>
          </w:p>
        </w:tc>
        <w:tc>
          <w:tcPr>
            <w:tcW w:w="355" w:type="pct"/>
            <w:vMerge w:val="restart"/>
            <w:noWrap w:val="0"/>
            <w:vAlign w:val="center"/>
          </w:tcPr>
          <w:p w14:paraId="5F5EC8EC">
            <w:pPr>
              <w:widowControl/>
              <w:adjustRightInd w:val="0"/>
              <w:snapToGrid w:val="0"/>
              <w:jc w:val="cente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2225</w:t>
            </w:r>
          </w:p>
        </w:tc>
        <w:tc>
          <w:tcPr>
            <w:tcW w:w="364" w:type="pct"/>
            <w:vMerge w:val="restart"/>
            <w:noWrap w:val="0"/>
            <w:vAlign w:val="center"/>
          </w:tcPr>
          <w:p w14:paraId="068EFEB7">
            <w:pPr>
              <w:widowControl/>
              <w:adjustRightInd w:val="0"/>
              <w:snapToGrid w:val="0"/>
              <w:jc w:val="cente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574</w:t>
            </w:r>
          </w:p>
        </w:tc>
        <w:tc>
          <w:tcPr>
            <w:tcW w:w="383" w:type="pct"/>
            <w:noWrap w:val="0"/>
            <w:vAlign w:val="center"/>
          </w:tcPr>
          <w:p w14:paraId="6E736E52">
            <w:pPr>
              <w:snapToGrid w:val="0"/>
              <w:spacing w:line="240" w:lineRule="auto"/>
              <w:jc w:val="center"/>
              <w:rPr>
                <w:rFonts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ascii="Times New Roman" w:hAnsi="Times New Roman" w:eastAsia="宋体" w:cs="Times New Roman"/>
                <w:bCs/>
                <w:color w:val="000000" w:themeColor="text1"/>
                <w:sz w:val="21"/>
                <w:szCs w:val="21"/>
                <w:lang w:val="en-US" w:eastAsia="zh-CN" w:bidi="ar-SA"/>
                <w14:textFill>
                  <w14:solidFill>
                    <w14:schemeClr w14:val="tx1"/>
                  </w14:solidFill>
                </w14:textFill>
              </w:rPr>
              <w:t>SO</w:t>
            </w:r>
            <w:r>
              <w:rPr>
                <w:rFonts w:ascii="Times New Roman" w:hAnsi="Times New Roman" w:eastAsia="宋体" w:cs="Times New Roman"/>
                <w:bCs/>
                <w:color w:val="000000" w:themeColor="text1"/>
                <w:sz w:val="21"/>
                <w:szCs w:val="21"/>
                <w:vertAlign w:val="subscript"/>
                <w:lang w:val="en-US" w:eastAsia="zh-CN" w:bidi="ar-SA"/>
                <w14:textFill>
                  <w14:solidFill>
                    <w14:schemeClr w14:val="tx1"/>
                  </w14:solidFill>
                </w14:textFill>
              </w:rPr>
              <w:t>2</w:t>
            </w:r>
          </w:p>
        </w:tc>
        <w:tc>
          <w:tcPr>
            <w:tcW w:w="747" w:type="pct"/>
            <w:noWrap w:val="0"/>
            <w:vAlign w:val="center"/>
          </w:tcPr>
          <w:p w14:paraId="1939D4E1">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24小时平均</w:t>
            </w:r>
          </w:p>
        </w:tc>
        <w:tc>
          <w:tcPr>
            <w:tcW w:w="450" w:type="pct"/>
            <w:noWrap w:val="0"/>
            <w:vAlign w:val="center"/>
          </w:tcPr>
          <w:p w14:paraId="1015B17D">
            <w:pPr>
              <w:widowControl/>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0.05</w:t>
            </w:r>
            <w:r>
              <w:rPr>
                <w:rFonts w:hint="eastAsia" w:cs="Times New Roman"/>
                <w:color w:val="000000" w:themeColor="text1"/>
                <w:kern w:val="0"/>
                <w:sz w:val="21"/>
                <w:szCs w:val="21"/>
                <w:lang w:val="en-US" w:eastAsia="zh-CN"/>
                <w14:textFill>
                  <w14:solidFill>
                    <w14:schemeClr w14:val="tx1"/>
                  </w14:solidFill>
                </w14:textFill>
              </w:rPr>
              <w:t>0</w:t>
            </w:r>
          </w:p>
        </w:tc>
        <w:tc>
          <w:tcPr>
            <w:tcW w:w="599" w:type="pct"/>
            <w:noWrap w:val="0"/>
            <w:vAlign w:val="center"/>
          </w:tcPr>
          <w:p w14:paraId="4FD9F462">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bCs/>
                <w:color w:val="000000" w:themeColor="text1"/>
                <w:kern w:val="0"/>
                <w:sz w:val="21"/>
                <w:szCs w:val="21"/>
                <w:lang w:val="en-US" w:eastAsia="zh-CN"/>
                <w14:textFill>
                  <w14:solidFill>
                    <w14:schemeClr w14:val="tx1"/>
                  </w14:solidFill>
                </w14:textFill>
              </w:rPr>
              <w:t>0.009~0.011</w:t>
            </w:r>
          </w:p>
        </w:tc>
        <w:tc>
          <w:tcPr>
            <w:tcW w:w="668" w:type="pct"/>
            <w:noWrap w:val="0"/>
            <w:vAlign w:val="center"/>
          </w:tcPr>
          <w:p w14:paraId="736489E8">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22.00</w:t>
            </w:r>
          </w:p>
        </w:tc>
        <w:tc>
          <w:tcPr>
            <w:tcW w:w="480" w:type="pct"/>
            <w:noWrap w:val="0"/>
            <w:vAlign w:val="center"/>
          </w:tcPr>
          <w:p w14:paraId="1D9EC4BA">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w:t>
            </w:r>
          </w:p>
        </w:tc>
        <w:tc>
          <w:tcPr>
            <w:tcW w:w="491" w:type="pct"/>
            <w:noWrap w:val="0"/>
            <w:vAlign w:val="center"/>
          </w:tcPr>
          <w:p w14:paraId="2A3332DB">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达标</w:t>
            </w:r>
          </w:p>
        </w:tc>
      </w:tr>
      <w:tr w14:paraId="1D6EF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0" w:type="pct"/>
            <w:vMerge w:val="continue"/>
            <w:noWrap w:val="0"/>
            <w:vAlign w:val="center"/>
          </w:tcPr>
          <w:p w14:paraId="18BD8B7A">
            <w:pPr>
              <w:widowControl/>
              <w:adjustRightInd w:val="0"/>
              <w:snapToGrid w:val="0"/>
              <w:jc w:val="center"/>
              <w:rPr>
                <w:rFonts w:ascii="Times New Roman" w:hAnsi="Times New Roman" w:eastAsia="宋体" w:cs="Times New Roman"/>
                <w:bCs/>
                <w:color w:val="000000" w:themeColor="text1"/>
                <w:kern w:val="0"/>
                <w:sz w:val="21"/>
                <w:szCs w:val="21"/>
                <w14:textFill>
                  <w14:solidFill>
                    <w14:schemeClr w14:val="tx1"/>
                  </w14:solidFill>
                </w14:textFill>
              </w:rPr>
            </w:pPr>
          </w:p>
        </w:tc>
        <w:tc>
          <w:tcPr>
            <w:tcW w:w="355" w:type="pct"/>
            <w:vMerge w:val="continue"/>
            <w:noWrap w:val="0"/>
            <w:vAlign w:val="center"/>
          </w:tcPr>
          <w:p w14:paraId="68805CCD">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64" w:type="pct"/>
            <w:vMerge w:val="continue"/>
            <w:noWrap w:val="0"/>
            <w:vAlign w:val="center"/>
          </w:tcPr>
          <w:p w14:paraId="3E94CFBE">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83" w:type="pct"/>
            <w:noWrap w:val="0"/>
            <w:vAlign w:val="center"/>
          </w:tcPr>
          <w:p w14:paraId="3887A0E7">
            <w:pPr>
              <w:snapToGrid w:val="0"/>
              <w:spacing w:line="240" w:lineRule="auto"/>
              <w:jc w:val="center"/>
              <w:rPr>
                <w:rFonts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ascii="Times New Roman" w:hAnsi="Times New Roman" w:eastAsia="宋体" w:cs="Times New Roman"/>
                <w:bCs/>
                <w:color w:val="000000" w:themeColor="text1"/>
                <w:sz w:val="21"/>
                <w:szCs w:val="21"/>
                <w:lang w:val="en-US" w:eastAsia="zh-CN" w:bidi="ar-SA"/>
                <w14:textFill>
                  <w14:solidFill>
                    <w14:schemeClr w14:val="tx1"/>
                  </w14:solidFill>
                </w14:textFill>
              </w:rPr>
              <w:t>NO</w:t>
            </w:r>
            <w:r>
              <w:rPr>
                <w:rFonts w:ascii="Times New Roman" w:hAnsi="Times New Roman" w:eastAsia="宋体" w:cs="Times New Roman"/>
                <w:bCs/>
                <w:color w:val="000000" w:themeColor="text1"/>
                <w:sz w:val="21"/>
                <w:szCs w:val="21"/>
                <w:vertAlign w:val="subscript"/>
                <w:lang w:val="en-US" w:eastAsia="zh-CN" w:bidi="ar-SA"/>
                <w14:textFill>
                  <w14:solidFill>
                    <w14:schemeClr w14:val="tx1"/>
                  </w14:solidFill>
                </w14:textFill>
              </w:rPr>
              <w:t>2</w:t>
            </w:r>
          </w:p>
        </w:tc>
        <w:tc>
          <w:tcPr>
            <w:tcW w:w="747" w:type="pct"/>
            <w:noWrap w:val="0"/>
            <w:vAlign w:val="center"/>
          </w:tcPr>
          <w:p w14:paraId="755B8425">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24小时平均</w:t>
            </w:r>
          </w:p>
        </w:tc>
        <w:tc>
          <w:tcPr>
            <w:tcW w:w="450" w:type="pct"/>
            <w:noWrap w:val="0"/>
            <w:vAlign w:val="center"/>
          </w:tcPr>
          <w:p w14:paraId="1704145F">
            <w:pPr>
              <w:widowControl/>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0.08</w:t>
            </w:r>
            <w:r>
              <w:rPr>
                <w:rFonts w:hint="eastAsia" w:cs="Times New Roman"/>
                <w:color w:val="000000" w:themeColor="text1"/>
                <w:kern w:val="0"/>
                <w:sz w:val="21"/>
                <w:szCs w:val="21"/>
                <w:lang w:val="en-US" w:eastAsia="zh-CN"/>
                <w14:textFill>
                  <w14:solidFill>
                    <w14:schemeClr w14:val="tx1"/>
                  </w14:solidFill>
                </w14:textFill>
              </w:rPr>
              <w:t>0</w:t>
            </w:r>
          </w:p>
        </w:tc>
        <w:tc>
          <w:tcPr>
            <w:tcW w:w="599" w:type="pct"/>
            <w:noWrap w:val="0"/>
            <w:vAlign w:val="center"/>
          </w:tcPr>
          <w:p w14:paraId="7538ACC2">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bCs/>
                <w:color w:val="000000" w:themeColor="text1"/>
                <w:kern w:val="0"/>
                <w:sz w:val="21"/>
                <w:szCs w:val="21"/>
                <w14:textFill>
                  <w14:solidFill>
                    <w14:schemeClr w14:val="tx1"/>
                  </w14:solidFill>
                </w14:textFill>
              </w:rPr>
              <w:t>0.0</w:t>
            </w:r>
            <w:r>
              <w:rPr>
                <w:rFonts w:hint="eastAsia" w:cs="Times New Roman"/>
                <w:bCs/>
                <w:color w:val="000000" w:themeColor="text1"/>
                <w:kern w:val="0"/>
                <w:sz w:val="21"/>
                <w:szCs w:val="21"/>
                <w:lang w:val="en-US" w:eastAsia="zh-CN"/>
                <w14:textFill>
                  <w14:solidFill>
                    <w14:schemeClr w14:val="tx1"/>
                  </w14:solidFill>
                </w14:textFill>
              </w:rPr>
              <w:t>15</w:t>
            </w:r>
            <w:r>
              <w:rPr>
                <w:rFonts w:hint="eastAsia" w:ascii="Times New Roman" w:hAnsi="Times New Roman" w:eastAsia="宋体" w:cs="Times New Roman"/>
                <w:bCs/>
                <w:color w:val="000000" w:themeColor="text1"/>
                <w:kern w:val="0"/>
                <w:sz w:val="21"/>
                <w:szCs w:val="21"/>
                <w14:textFill>
                  <w14:solidFill>
                    <w14:schemeClr w14:val="tx1"/>
                  </w14:solidFill>
                </w14:textFill>
              </w:rPr>
              <w:t>~0.0</w:t>
            </w:r>
            <w:r>
              <w:rPr>
                <w:rFonts w:hint="eastAsia" w:cs="Times New Roman"/>
                <w:bCs/>
                <w:color w:val="000000" w:themeColor="text1"/>
                <w:kern w:val="0"/>
                <w:sz w:val="21"/>
                <w:szCs w:val="21"/>
                <w:lang w:val="en-US" w:eastAsia="zh-CN"/>
                <w14:textFill>
                  <w14:solidFill>
                    <w14:schemeClr w14:val="tx1"/>
                  </w14:solidFill>
                </w14:textFill>
              </w:rPr>
              <w:t>1</w:t>
            </w:r>
            <w:r>
              <w:rPr>
                <w:rFonts w:hint="eastAsia" w:ascii="Times New Roman" w:hAnsi="Times New Roman" w:eastAsia="宋体" w:cs="Times New Roman"/>
                <w:bCs/>
                <w:color w:val="000000" w:themeColor="text1"/>
                <w:kern w:val="0"/>
                <w:sz w:val="21"/>
                <w:szCs w:val="21"/>
                <w14:textFill>
                  <w14:solidFill>
                    <w14:schemeClr w14:val="tx1"/>
                  </w14:solidFill>
                </w14:textFill>
              </w:rPr>
              <w:t>7</w:t>
            </w:r>
          </w:p>
        </w:tc>
        <w:tc>
          <w:tcPr>
            <w:tcW w:w="668" w:type="pct"/>
            <w:noWrap w:val="0"/>
            <w:vAlign w:val="center"/>
          </w:tcPr>
          <w:p w14:paraId="7E7AAB93">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21.25</w:t>
            </w:r>
          </w:p>
        </w:tc>
        <w:tc>
          <w:tcPr>
            <w:tcW w:w="480" w:type="pct"/>
            <w:noWrap w:val="0"/>
            <w:vAlign w:val="center"/>
          </w:tcPr>
          <w:p w14:paraId="38862CF1">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w:t>
            </w:r>
          </w:p>
        </w:tc>
        <w:tc>
          <w:tcPr>
            <w:tcW w:w="491" w:type="pct"/>
            <w:noWrap w:val="0"/>
            <w:vAlign w:val="center"/>
          </w:tcPr>
          <w:p w14:paraId="3535DFC1">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达标</w:t>
            </w:r>
          </w:p>
        </w:tc>
      </w:tr>
      <w:tr w14:paraId="2DD6C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0" w:type="pct"/>
            <w:vMerge w:val="continue"/>
            <w:noWrap w:val="0"/>
            <w:vAlign w:val="center"/>
          </w:tcPr>
          <w:p w14:paraId="2F143F75">
            <w:pPr>
              <w:widowControl/>
              <w:adjustRightInd w:val="0"/>
              <w:snapToGrid w:val="0"/>
              <w:jc w:val="center"/>
              <w:rPr>
                <w:rFonts w:ascii="Times New Roman" w:hAnsi="Times New Roman" w:eastAsia="宋体" w:cs="Times New Roman"/>
                <w:bCs/>
                <w:color w:val="000000" w:themeColor="text1"/>
                <w:kern w:val="0"/>
                <w:sz w:val="21"/>
                <w:szCs w:val="21"/>
                <w14:textFill>
                  <w14:solidFill>
                    <w14:schemeClr w14:val="tx1"/>
                  </w14:solidFill>
                </w14:textFill>
              </w:rPr>
            </w:pPr>
          </w:p>
        </w:tc>
        <w:tc>
          <w:tcPr>
            <w:tcW w:w="355" w:type="pct"/>
            <w:vMerge w:val="continue"/>
            <w:noWrap w:val="0"/>
            <w:vAlign w:val="center"/>
          </w:tcPr>
          <w:p w14:paraId="25709B30">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64" w:type="pct"/>
            <w:vMerge w:val="continue"/>
            <w:noWrap w:val="0"/>
            <w:vAlign w:val="center"/>
          </w:tcPr>
          <w:p w14:paraId="54CE819E">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83" w:type="pct"/>
            <w:noWrap w:val="0"/>
            <w:vAlign w:val="center"/>
          </w:tcPr>
          <w:p w14:paraId="367077B5">
            <w:pPr>
              <w:widowControl/>
              <w:adjustRightInd w:val="0"/>
              <w:snapToGrid w:val="0"/>
              <w:jc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PM</w:t>
            </w:r>
            <w:r>
              <w:rPr>
                <w:rFonts w:ascii="Times New Roman" w:hAnsi="Times New Roman" w:eastAsia="宋体" w:cs="Times New Roman"/>
                <w:snapToGrid w:val="0"/>
                <w:color w:val="000000" w:themeColor="text1"/>
                <w:kern w:val="0"/>
                <w:sz w:val="21"/>
                <w:szCs w:val="21"/>
                <w:vertAlign w:val="subscript"/>
                <w14:textFill>
                  <w14:solidFill>
                    <w14:schemeClr w14:val="tx1"/>
                  </w14:solidFill>
                </w14:textFill>
              </w:rPr>
              <w:t>10</w:t>
            </w:r>
          </w:p>
        </w:tc>
        <w:tc>
          <w:tcPr>
            <w:tcW w:w="747" w:type="pct"/>
            <w:noWrap w:val="0"/>
            <w:vAlign w:val="center"/>
          </w:tcPr>
          <w:p w14:paraId="3EAFC986">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24小时平均</w:t>
            </w:r>
          </w:p>
        </w:tc>
        <w:tc>
          <w:tcPr>
            <w:tcW w:w="450" w:type="pct"/>
            <w:noWrap w:val="0"/>
            <w:vAlign w:val="center"/>
          </w:tcPr>
          <w:p w14:paraId="765C1A45">
            <w:pPr>
              <w:widowControl/>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0.05</w:t>
            </w:r>
            <w:r>
              <w:rPr>
                <w:rFonts w:hint="eastAsia" w:cs="Times New Roman"/>
                <w:color w:val="000000" w:themeColor="text1"/>
                <w:kern w:val="0"/>
                <w:sz w:val="21"/>
                <w:szCs w:val="21"/>
                <w:lang w:val="en-US" w:eastAsia="zh-CN"/>
                <w14:textFill>
                  <w14:solidFill>
                    <w14:schemeClr w14:val="tx1"/>
                  </w14:solidFill>
                </w14:textFill>
              </w:rPr>
              <w:t>0</w:t>
            </w:r>
          </w:p>
        </w:tc>
        <w:tc>
          <w:tcPr>
            <w:tcW w:w="599" w:type="pct"/>
            <w:noWrap w:val="0"/>
            <w:vAlign w:val="center"/>
          </w:tcPr>
          <w:p w14:paraId="00602C5B">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0.042~0.047</w:t>
            </w:r>
          </w:p>
        </w:tc>
        <w:tc>
          <w:tcPr>
            <w:tcW w:w="668" w:type="pct"/>
            <w:noWrap w:val="0"/>
            <w:vAlign w:val="center"/>
          </w:tcPr>
          <w:p w14:paraId="7AA430AF">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94.00</w:t>
            </w:r>
          </w:p>
        </w:tc>
        <w:tc>
          <w:tcPr>
            <w:tcW w:w="480" w:type="pct"/>
            <w:noWrap w:val="0"/>
            <w:vAlign w:val="center"/>
          </w:tcPr>
          <w:p w14:paraId="3A8AF326">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w:t>
            </w:r>
          </w:p>
        </w:tc>
        <w:tc>
          <w:tcPr>
            <w:tcW w:w="491" w:type="pct"/>
            <w:noWrap w:val="0"/>
            <w:vAlign w:val="center"/>
          </w:tcPr>
          <w:p w14:paraId="781E71EE">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达标</w:t>
            </w:r>
          </w:p>
        </w:tc>
      </w:tr>
      <w:tr w14:paraId="09187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0" w:type="pct"/>
            <w:vMerge w:val="continue"/>
            <w:noWrap w:val="0"/>
            <w:vAlign w:val="center"/>
          </w:tcPr>
          <w:p w14:paraId="18E1203F">
            <w:pPr>
              <w:widowControl/>
              <w:adjustRightInd w:val="0"/>
              <w:snapToGrid w:val="0"/>
              <w:jc w:val="center"/>
              <w:rPr>
                <w:rFonts w:ascii="Times New Roman" w:hAnsi="Times New Roman" w:eastAsia="宋体" w:cs="Times New Roman"/>
                <w:bCs/>
                <w:color w:val="000000" w:themeColor="text1"/>
                <w:kern w:val="0"/>
                <w:sz w:val="21"/>
                <w:szCs w:val="21"/>
                <w14:textFill>
                  <w14:solidFill>
                    <w14:schemeClr w14:val="tx1"/>
                  </w14:solidFill>
                </w14:textFill>
              </w:rPr>
            </w:pPr>
          </w:p>
        </w:tc>
        <w:tc>
          <w:tcPr>
            <w:tcW w:w="355" w:type="pct"/>
            <w:vMerge w:val="continue"/>
            <w:noWrap w:val="0"/>
            <w:vAlign w:val="center"/>
          </w:tcPr>
          <w:p w14:paraId="742431C4">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64" w:type="pct"/>
            <w:vMerge w:val="continue"/>
            <w:noWrap w:val="0"/>
            <w:vAlign w:val="center"/>
          </w:tcPr>
          <w:p w14:paraId="0D2F368F">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83" w:type="pct"/>
            <w:noWrap w:val="0"/>
            <w:vAlign w:val="center"/>
          </w:tcPr>
          <w:p w14:paraId="45F29B6F">
            <w:pPr>
              <w:widowControl/>
              <w:adjustRightInd w:val="0"/>
              <w:snapToGrid w:val="0"/>
              <w:jc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PM</w:t>
            </w:r>
            <w:r>
              <w:rPr>
                <w:rFonts w:ascii="Times New Roman" w:hAnsi="Times New Roman" w:eastAsia="宋体" w:cs="Times New Roman"/>
                <w:snapToGrid w:val="0"/>
                <w:color w:val="000000" w:themeColor="text1"/>
                <w:kern w:val="0"/>
                <w:sz w:val="21"/>
                <w:szCs w:val="21"/>
                <w:vertAlign w:val="subscript"/>
                <w14:textFill>
                  <w14:solidFill>
                    <w14:schemeClr w14:val="tx1"/>
                  </w14:solidFill>
                </w14:textFill>
              </w:rPr>
              <w:t>2.5</w:t>
            </w:r>
          </w:p>
        </w:tc>
        <w:tc>
          <w:tcPr>
            <w:tcW w:w="747" w:type="pct"/>
            <w:noWrap w:val="0"/>
            <w:vAlign w:val="center"/>
          </w:tcPr>
          <w:p w14:paraId="3C43C1DE">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24小时平均</w:t>
            </w:r>
          </w:p>
        </w:tc>
        <w:tc>
          <w:tcPr>
            <w:tcW w:w="450" w:type="pct"/>
            <w:noWrap w:val="0"/>
            <w:vAlign w:val="center"/>
          </w:tcPr>
          <w:p w14:paraId="3C55D4F6">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0.035</w:t>
            </w:r>
          </w:p>
        </w:tc>
        <w:tc>
          <w:tcPr>
            <w:tcW w:w="599" w:type="pct"/>
            <w:noWrap w:val="0"/>
            <w:vAlign w:val="center"/>
          </w:tcPr>
          <w:p w14:paraId="60F57E37">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0.0</w:t>
            </w:r>
            <w:r>
              <w:rPr>
                <w:rFonts w:hint="eastAsia" w:cs="Times New Roman"/>
                <w:color w:val="000000" w:themeColor="text1"/>
                <w:kern w:val="0"/>
                <w:sz w:val="21"/>
                <w:szCs w:val="21"/>
                <w:lang w:val="en-US" w:eastAsia="zh-CN"/>
                <w14:textFill>
                  <w14:solidFill>
                    <w14:schemeClr w14:val="tx1"/>
                  </w14:solidFill>
                </w14:textFill>
              </w:rPr>
              <w:t>23</w:t>
            </w:r>
            <w:r>
              <w:rPr>
                <w:rFonts w:ascii="Times New Roman" w:hAnsi="Times New Roman" w:eastAsia="宋体" w:cs="Times New Roman"/>
                <w:color w:val="000000" w:themeColor="text1"/>
                <w:kern w:val="0"/>
                <w:sz w:val="21"/>
                <w:szCs w:val="21"/>
                <w14:textFill>
                  <w14:solidFill>
                    <w14:schemeClr w14:val="tx1"/>
                  </w14:solidFill>
                </w14:textFill>
              </w:rPr>
              <w:t>~0.0</w:t>
            </w:r>
            <w:r>
              <w:rPr>
                <w:rFonts w:hint="eastAsia" w:cs="Times New Roman"/>
                <w:color w:val="000000" w:themeColor="text1"/>
                <w:kern w:val="0"/>
                <w:sz w:val="21"/>
                <w:szCs w:val="21"/>
                <w:lang w:val="en-US" w:eastAsia="zh-CN"/>
                <w14:textFill>
                  <w14:solidFill>
                    <w14:schemeClr w14:val="tx1"/>
                  </w14:solidFill>
                </w14:textFill>
              </w:rPr>
              <w:t>28</w:t>
            </w:r>
          </w:p>
        </w:tc>
        <w:tc>
          <w:tcPr>
            <w:tcW w:w="668" w:type="pct"/>
            <w:noWrap w:val="0"/>
            <w:vAlign w:val="center"/>
          </w:tcPr>
          <w:p w14:paraId="34F0AD21">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80.00</w:t>
            </w:r>
          </w:p>
        </w:tc>
        <w:tc>
          <w:tcPr>
            <w:tcW w:w="480" w:type="pct"/>
            <w:noWrap w:val="0"/>
            <w:vAlign w:val="center"/>
          </w:tcPr>
          <w:p w14:paraId="428ADD2C">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w:t>
            </w:r>
          </w:p>
        </w:tc>
        <w:tc>
          <w:tcPr>
            <w:tcW w:w="491" w:type="pct"/>
            <w:noWrap w:val="0"/>
            <w:vAlign w:val="center"/>
          </w:tcPr>
          <w:p w14:paraId="475EED97">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达标</w:t>
            </w:r>
          </w:p>
        </w:tc>
      </w:tr>
      <w:tr w14:paraId="2C795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0" w:type="pct"/>
            <w:vMerge w:val="continue"/>
            <w:noWrap w:val="0"/>
            <w:vAlign w:val="center"/>
          </w:tcPr>
          <w:p w14:paraId="4E24EDC5">
            <w:pPr>
              <w:widowControl/>
              <w:adjustRightInd w:val="0"/>
              <w:snapToGrid w:val="0"/>
              <w:jc w:val="center"/>
              <w:rPr>
                <w:rFonts w:ascii="Times New Roman" w:hAnsi="Times New Roman" w:eastAsia="宋体" w:cs="Times New Roman"/>
                <w:bCs/>
                <w:color w:val="000000" w:themeColor="text1"/>
                <w:kern w:val="0"/>
                <w:sz w:val="21"/>
                <w:szCs w:val="21"/>
                <w14:textFill>
                  <w14:solidFill>
                    <w14:schemeClr w14:val="tx1"/>
                  </w14:solidFill>
                </w14:textFill>
              </w:rPr>
            </w:pPr>
          </w:p>
        </w:tc>
        <w:tc>
          <w:tcPr>
            <w:tcW w:w="355" w:type="pct"/>
            <w:vMerge w:val="continue"/>
            <w:noWrap w:val="0"/>
            <w:vAlign w:val="center"/>
          </w:tcPr>
          <w:p w14:paraId="567FE431">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64" w:type="pct"/>
            <w:vMerge w:val="continue"/>
            <w:noWrap w:val="0"/>
            <w:vAlign w:val="center"/>
          </w:tcPr>
          <w:p w14:paraId="2579C138">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83" w:type="pct"/>
            <w:noWrap w:val="0"/>
            <w:vAlign w:val="center"/>
          </w:tcPr>
          <w:p w14:paraId="6FACB7D5">
            <w:pPr>
              <w:snapToGrid w:val="0"/>
              <w:spacing w:line="240" w:lineRule="auto"/>
              <w:jc w:val="center"/>
              <w:rPr>
                <w:rFonts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ascii="Times New Roman" w:hAnsi="Times New Roman" w:eastAsia="宋体" w:cs="Times New Roman"/>
                <w:bCs/>
                <w:color w:val="000000" w:themeColor="text1"/>
                <w:sz w:val="21"/>
                <w:szCs w:val="21"/>
                <w:lang w:val="en-US" w:eastAsia="zh-CN" w:bidi="ar-SA"/>
                <w14:textFill>
                  <w14:solidFill>
                    <w14:schemeClr w14:val="tx1"/>
                  </w14:solidFill>
                </w14:textFill>
              </w:rPr>
              <w:t>CO</w:t>
            </w:r>
          </w:p>
        </w:tc>
        <w:tc>
          <w:tcPr>
            <w:tcW w:w="747" w:type="pct"/>
            <w:noWrap w:val="0"/>
            <w:vAlign w:val="center"/>
          </w:tcPr>
          <w:p w14:paraId="08F03D3B">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24小时平均</w:t>
            </w:r>
          </w:p>
        </w:tc>
        <w:tc>
          <w:tcPr>
            <w:tcW w:w="450" w:type="pct"/>
            <w:noWrap w:val="0"/>
            <w:vAlign w:val="center"/>
          </w:tcPr>
          <w:p w14:paraId="32CBB90D">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4</w:t>
            </w:r>
            <w:r>
              <w:rPr>
                <w:rFonts w:hint="eastAsia" w:cs="Times New Roman"/>
                <w:color w:val="000000" w:themeColor="text1"/>
                <w:kern w:val="0"/>
                <w:sz w:val="21"/>
                <w:szCs w:val="21"/>
                <w:lang w:val="en-US" w:eastAsia="zh-CN"/>
                <w14:textFill>
                  <w14:solidFill>
                    <w14:schemeClr w14:val="tx1"/>
                  </w14:solidFill>
                </w14:textFill>
              </w:rPr>
              <w:t>.000</w:t>
            </w:r>
          </w:p>
        </w:tc>
        <w:tc>
          <w:tcPr>
            <w:tcW w:w="599" w:type="pct"/>
            <w:noWrap w:val="0"/>
            <w:vAlign w:val="center"/>
          </w:tcPr>
          <w:p w14:paraId="7C7832FF">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w:t>
            </w:r>
            <w:r>
              <w:rPr>
                <w:rFonts w:hint="eastAsia" w:ascii="Times New Roman" w:hAnsi="Times New Roman" w:eastAsia="宋体" w:cs="Times New Roman"/>
                <w:color w:val="000000" w:themeColor="text1"/>
                <w:kern w:val="0"/>
                <w:sz w:val="21"/>
                <w:szCs w:val="21"/>
                <w14:textFill>
                  <w14:solidFill>
                    <w14:schemeClr w14:val="tx1"/>
                  </w14:solidFill>
                </w14:textFill>
              </w:rPr>
              <w:t>3</w:t>
            </w:r>
            <w:r>
              <w:rPr>
                <w:rFonts w:hint="eastAsia" w:cs="Times New Roman"/>
                <w:color w:val="000000" w:themeColor="text1"/>
                <w:kern w:val="0"/>
                <w:sz w:val="21"/>
                <w:szCs w:val="21"/>
                <w:lang w:val="en-US" w:eastAsia="zh-CN"/>
                <w14:textFill>
                  <w14:solidFill>
                    <w14:schemeClr w14:val="tx1"/>
                  </w14:solidFill>
                </w14:textFill>
              </w:rPr>
              <w:t>9~0.49</w:t>
            </w:r>
          </w:p>
        </w:tc>
        <w:tc>
          <w:tcPr>
            <w:tcW w:w="668" w:type="pct"/>
            <w:noWrap w:val="0"/>
            <w:vAlign w:val="center"/>
          </w:tcPr>
          <w:p w14:paraId="70649C06">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12.25</w:t>
            </w:r>
          </w:p>
        </w:tc>
        <w:tc>
          <w:tcPr>
            <w:tcW w:w="480" w:type="pct"/>
            <w:noWrap w:val="0"/>
            <w:vAlign w:val="center"/>
          </w:tcPr>
          <w:p w14:paraId="06523502">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w:t>
            </w:r>
          </w:p>
        </w:tc>
        <w:tc>
          <w:tcPr>
            <w:tcW w:w="491" w:type="pct"/>
            <w:noWrap w:val="0"/>
            <w:vAlign w:val="center"/>
          </w:tcPr>
          <w:p w14:paraId="63ACF536">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达标</w:t>
            </w:r>
          </w:p>
        </w:tc>
      </w:tr>
      <w:tr w14:paraId="50F5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0" w:type="pct"/>
            <w:vMerge w:val="continue"/>
            <w:noWrap w:val="0"/>
            <w:vAlign w:val="center"/>
          </w:tcPr>
          <w:p w14:paraId="497A60EA">
            <w:pPr>
              <w:widowControl/>
              <w:adjustRightInd w:val="0"/>
              <w:snapToGrid w:val="0"/>
              <w:jc w:val="center"/>
              <w:rPr>
                <w:rFonts w:ascii="Times New Roman" w:hAnsi="Times New Roman" w:eastAsia="宋体" w:cs="Times New Roman"/>
                <w:bCs/>
                <w:color w:val="000000" w:themeColor="text1"/>
                <w:kern w:val="0"/>
                <w:sz w:val="21"/>
                <w:szCs w:val="21"/>
                <w14:textFill>
                  <w14:solidFill>
                    <w14:schemeClr w14:val="tx1"/>
                  </w14:solidFill>
                </w14:textFill>
              </w:rPr>
            </w:pPr>
          </w:p>
        </w:tc>
        <w:tc>
          <w:tcPr>
            <w:tcW w:w="355" w:type="pct"/>
            <w:vMerge w:val="continue"/>
            <w:noWrap w:val="0"/>
            <w:vAlign w:val="center"/>
          </w:tcPr>
          <w:p w14:paraId="731EBF34">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64" w:type="pct"/>
            <w:vMerge w:val="continue"/>
            <w:noWrap w:val="0"/>
            <w:vAlign w:val="center"/>
          </w:tcPr>
          <w:p w14:paraId="224BEB4D">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83" w:type="pct"/>
            <w:noWrap w:val="0"/>
            <w:vAlign w:val="center"/>
          </w:tcPr>
          <w:p w14:paraId="141C19C0">
            <w:pPr>
              <w:snapToGrid w:val="0"/>
              <w:spacing w:line="240" w:lineRule="auto"/>
              <w:jc w:val="center"/>
              <w:rPr>
                <w:rFonts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ascii="Times New Roman" w:hAnsi="Times New Roman" w:eastAsia="宋体" w:cs="Times New Roman"/>
                <w:bCs/>
                <w:color w:val="000000" w:themeColor="text1"/>
                <w:sz w:val="21"/>
                <w:szCs w:val="21"/>
                <w:lang w:val="en-US" w:eastAsia="zh-CN" w:bidi="ar-SA"/>
                <w14:textFill>
                  <w14:solidFill>
                    <w14:schemeClr w14:val="tx1"/>
                  </w14:solidFill>
                </w14:textFill>
              </w:rPr>
              <w:t>TSP</w:t>
            </w:r>
          </w:p>
        </w:tc>
        <w:tc>
          <w:tcPr>
            <w:tcW w:w="747" w:type="pct"/>
            <w:noWrap w:val="0"/>
            <w:vAlign w:val="center"/>
          </w:tcPr>
          <w:p w14:paraId="5B74CB78">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24小时平均</w:t>
            </w:r>
          </w:p>
        </w:tc>
        <w:tc>
          <w:tcPr>
            <w:tcW w:w="450" w:type="pct"/>
            <w:noWrap w:val="0"/>
            <w:vAlign w:val="center"/>
          </w:tcPr>
          <w:p w14:paraId="0D9D39C6">
            <w:pPr>
              <w:widowControl/>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0.12</w:t>
            </w:r>
            <w:r>
              <w:rPr>
                <w:rFonts w:hint="eastAsia" w:cs="Times New Roman"/>
                <w:color w:val="000000" w:themeColor="text1"/>
                <w:kern w:val="0"/>
                <w:sz w:val="21"/>
                <w:szCs w:val="21"/>
                <w:lang w:val="en-US" w:eastAsia="zh-CN"/>
                <w14:textFill>
                  <w14:solidFill>
                    <w14:schemeClr w14:val="tx1"/>
                  </w14:solidFill>
                </w14:textFill>
              </w:rPr>
              <w:t>0</w:t>
            </w:r>
          </w:p>
        </w:tc>
        <w:tc>
          <w:tcPr>
            <w:tcW w:w="599" w:type="pct"/>
            <w:noWrap w:val="0"/>
            <w:vAlign w:val="center"/>
          </w:tcPr>
          <w:p w14:paraId="36A3DBFF">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0.0</w:t>
            </w:r>
            <w:r>
              <w:rPr>
                <w:rFonts w:hint="eastAsia" w:ascii="Times New Roman" w:hAnsi="Times New Roman" w:eastAsia="宋体" w:cs="Times New Roman"/>
                <w:color w:val="000000" w:themeColor="text1"/>
                <w:kern w:val="0"/>
                <w:sz w:val="21"/>
                <w:szCs w:val="21"/>
                <w14:textFill>
                  <w14:solidFill>
                    <w14:schemeClr w14:val="tx1"/>
                  </w14:solidFill>
                </w14:textFill>
              </w:rPr>
              <w:t>8</w:t>
            </w:r>
            <w:r>
              <w:rPr>
                <w:rFonts w:hint="eastAsia" w:cs="Times New Roman"/>
                <w:color w:val="000000" w:themeColor="text1"/>
                <w:kern w:val="0"/>
                <w:sz w:val="21"/>
                <w:szCs w:val="21"/>
                <w:lang w:val="en-US" w:eastAsia="zh-CN"/>
                <w14:textFill>
                  <w14:solidFill>
                    <w14:schemeClr w14:val="tx1"/>
                  </w14:solidFill>
                </w14:textFill>
              </w:rPr>
              <w:t>9</w:t>
            </w:r>
            <w:r>
              <w:rPr>
                <w:rFonts w:ascii="Times New Roman" w:hAnsi="Times New Roman" w:eastAsia="宋体" w:cs="Times New Roman"/>
                <w:color w:val="000000" w:themeColor="text1"/>
                <w:kern w:val="0"/>
                <w:sz w:val="21"/>
                <w:szCs w:val="21"/>
                <w14:textFill>
                  <w14:solidFill>
                    <w14:schemeClr w14:val="tx1"/>
                  </w14:solidFill>
                </w14:textFill>
              </w:rPr>
              <w:t>~0.</w:t>
            </w:r>
            <w:r>
              <w:rPr>
                <w:rFonts w:hint="eastAsia" w:cs="Times New Roman"/>
                <w:color w:val="000000" w:themeColor="text1"/>
                <w:kern w:val="0"/>
                <w:sz w:val="21"/>
                <w:szCs w:val="21"/>
                <w:lang w:val="en-US" w:eastAsia="zh-CN"/>
                <w14:textFill>
                  <w14:solidFill>
                    <w14:schemeClr w14:val="tx1"/>
                  </w14:solidFill>
                </w14:textFill>
              </w:rPr>
              <w:t>097</w:t>
            </w:r>
          </w:p>
        </w:tc>
        <w:tc>
          <w:tcPr>
            <w:tcW w:w="668" w:type="pct"/>
            <w:noWrap w:val="0"/>
            <w:vAlign w:val="center"/>
          </w:tcPr>
          <w:p w14:paraId="51404110">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80.83</w:t>
            </w:r>
          </w:p>
        </w:tc>
        <w:tc>
          <w:tcPr>
            <w:tcW w:w="480" w:type="pct"/>
            <w:noWrap w:val="0"/>
            <w:vAlign w:val="center"/>
          </w:tcPr>
          <w:p w14:paraId="752906AA">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w:t>
            </w:r>
          </w:p>
        </w:tc>
        <w:tc>
          <w:tcPr>
            <w:tcW w:w="491" w:type="pct"/>
            <w:noWrap w:val="0"/>
            <w:vAlign w:val="center"/>
          </w:tcPr>
          <w:p w14:paraId="05DD9177">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达标</w:t>
            </w:r>
          </w:p>
        </w:tc>
      </w:tr>
      <w:tr w14:paraId="18803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0" w:type="pct"/>
            <w:vMerge w:val="continue"/>
            <w:noWrap w:val="0"/>
            <w:vAlign w:val="center"/>
          </w:tcPr>
          <w:p w14:paraId="61940957">
            <w:pPr>
              <w:widowControl/>
              <w:adjustRightInd w:val="0"/>
              <w:snapToGrid w:val="0"/>
              <w:jc w:val="center"/>
              <w:rPr>
                <w:rFonts w:ascii="Times New Roman" w:hAnsi="Times New Roman" w:eastAsia="宋体" w:cs="Times New Roman"/>
                <w:bCs/>
                <w:color w:val="000000" w:themeColor="text1"/>
                <w:kern w:val="0"/>
                <w:sz w:val="21"/>
                <w:szCs w:val="21"/>
                <w14:textFill>
                  <w14:solidFill>
                    <w14:schemeClr w14:val="tx1"/>
                  </w14:solidFill>
                </w14:textFill>
              </w:rPr>
            </w:pPr>
          </w:p>
        </w:tc>
        <w:tc>
          <w:tcPr>
            <w:tcW w:w="355" w:type="pct"/>
            <w:vMerge w:val="continue"/>
            <w:noWrap w:val="0"/>
            <w:vAlign w:val="center"/>
          </w:tcPr>
          <w:p w14:paraId="48B78043">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64" w:type="pct"/>
            <w:vMerge w:val="continue"/>
            <w:noWrap w:val="0"/>
            <w:vAlign w:val="center"/>
          </w:tcPr>
          <w:p w14:paraId="4CDA70CB">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83" w:type="pct"/>
            <w:noWrap w:val="0"/>
            <w:vAlign w:val="center"/>
          </w:tcPr>
          <w:p w14:paraId="360ADE5A">
            <w:pPr>
              <w:adjustRightInd w:val="0"/>
              <w:snapToGrid w:val="0"/>
              <w:spacing w:line="240" w:lineRule="auto"/>
              <w:jc w:val="center"/>
              <w:rPr>
                <w:rFonts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ascii="Times New Roman" w:hAnsi="Times New Roman" w:eastAsia="宋体" w:cs="Times New Roman"/>
                <w:bCs/>
                <w:color w:val="000000" w:themeColor="text1"/>
                <w:sz w:val="21"/>
                <w:szCs w:val="21"/>
                <w:lang w:val="en-US" w:eastAsia="zh-CN" w:bidi="ar-SA"/>
                <w14:textFill>
                  <w14:solidFill>
                    <w14:schemeClr w14:val="tx1"/>
                  </w14:solidFill>
                </w14:textFill>
              </w:rPr>
              <w:t>SO</w:t>
            </w:r>
            <w:r>
              <w:rPr>
                <w:rFonts w:ascii="Times New Roman" w:hAnsi="Times New Roman" w:eastAsia="宋体" w:cs="Times New Roman"/>
                <w:bCs/>
                <w:color w:val="000000" w:themeColor="text1"/>
                <w:sz w:val="21"/>
                <w:szCs w:val="21"/>
                <w:vertAlign w:val="subscript"/>
                <w:lang w:val="en-US" w:eastAsia="zh-CN" w:bidi="ar-SA"/>
                <w14:textFill>
                  <w14:solidFill>
                    <w14:schemeClr w14:val="tx1"/>
                  </w14:solidFill>
                </w14:textFill>
              </w:rPr>
              <w:t>2</w:t>
            </w:r>
          </w:p>
        </w:tc>
        <w:tc>
          <w:tcPr>
            <w:tcW w:w="747" w:type="pct"/>
            <w:noWrap w:val="0"/>
            <w:vAlign w:val="center"/>
          </w:tcPr>
          <w:p w14:paraId="78B34B7C">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1小时平均</w:t>
            </w:r>
          </w:p>
        </w:tc>
        <w:tc>
          <w:tcPr>
            <w:tcW w:w="450" w:type="pct"/>
            <w:noWrap w:val="0"/>
            <w:vAlign w:val="center"/>
          </w:tcPr>
          <w:p w14:paraId="6A4B088C">
            <w:pPr>
              <w:widowControl/>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0.15</w:t>
            </w:r>
            <w:r>
              <w:rPr>
                <w:rFonts w:hint="eastAsia" w:cs="Times New Roman"/>
                <w:color w:val="000000" w:themeColor="text1"/>
                <w:kern w:val="0"/>
                <w:sz w:val="21"/>
                <w:szCs w:val="21"/>
                <w:lang w:val="en-US" w:eastAsia="zh-CN"/>
                <w14:textFill>
                  <w14:solidFill>
                    <w14:schemeClr w14:val="tx1"/>
                  </w14:solidFill>
                </w14:textFill>
              </w:rPr>
              <w:t>0</w:t>
            </w:r>
          </w:p>
        </w:tc>
        <w:tc>
          <w:tcPr>
            <w:tcW w:w="599" w:type="pct"/>
            <w:noWrap w:val="0"/>
            <w:vAlign w:val="center"/>
          </w:tcPr>
          <w:p w14:paraId="15C85B0E">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0.00</w:t>
            </w:r>
            <w:r>
              <w:rPr>
                <w:rFonts w:hint="eastAsia" w:cs="Times New Roman"/>
                <w:color w:val="000000" w:themeColor="text1"/>
                <w:kern w:val="0"/>
                <w:sz w:val="21"/>
                <w:szCs w:val="21"/>
                <w:lang w:val="en-US" w:eastAsia="zh-CN"/>
                <w14:textFill>
                  <w14:solidFill>
                    <w14:schemeClr w14:val="tx1"/>
                  </w14:solidFill>
                </w14:textFill>
              </w:rPr>
              <w:t>8</w:t>
            </w:r>
            <w:r>
              <w:rPr>
                <w:rFonts w:ascii="Times New Roman" w:hAnsi="Times New Roman" w:eastAsia="宋体" w:cs="Times New Roman"/>
                <w:color w:val="000000" w:themeColor="text1"/>
                <w:kern w:val="0"/>
                <w:sz w:val="21"/>
                <w:szCs w:val="21"/>
                <w14:textFill>
                  <w14:solidFill>
                    <w14:schemeClr w14:val="tx1"/>
                  </w14:solidFill>
                </w14:textFill>
              </w:rPr>
              <w:t>~0.</w:t>
            </w:r>
            <w:r>
              <w:rPr>
                <w:rFonts w:hint="eastAsia" w:ascii="Times New Roman" w:hAnsi="Times New Roman" w:eastAsia="宋体" w:cs="Times New Roman"/>
                <w:color w:val="000000" w:themeColor="text1"/>
                <w:kern w:val="0"/>
                <w:sz w:val="21"/>
                <w:szCs w:val="21"/>
                <w14:textFill>
                  <w14:solidFill>
                    <w14:schemeClr w14:val="tx1"/>
                  </w14:solidFill>
                </w14:textFill>
              </w:rPr>
              <w:t>0</w:t>
            </w:r>
            <w:r>
              <w:rPr>
                <w:rFonts w:hint="eastAsia" w:cs="Times New Roman"/>
                <w:color w:val="000000" w:themeColor="text1"/>
                <w:kern w:val="0"/>
                <w:sz w:val="21"/>
                <w:szCs w:val="21"/>
                <w:lang w:val="en-US" w:eastAsia="zh-CN"/>
                <w14:textFill>
                  <w14:solidFill>
                    <w14:schemeClr w14:val="tx1"/>
                  </w14:solidFill>
                </w14:textFill>
              </w:rPr>
              <w:t>13</w:t>
            </w:r>
          </w:p>
        </w:tc>
        <w:tc>
          <w:tcPr>
            <w:tcW w:w="668" w:type="pct"/>
            <w:noWrap w:val="0"/>
            <w:vAlign w:val="center"/>
          </w:tcPr>
          <w:p w14:paraId="48A5F155">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8.66</w:t>
            </w:r>
          </w:p>
        </w:tc>
        <w:tc>
          <w:tcPr>
            <w:tcW w:w="480" w:type="pct"/>
            <w:noWrap w:val="0"/>
            <w:vAlign w:val="center"/>
          </w:tcPr>
          <w:p w14:paraId="1AF5033A">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w:t>
            </w:r>
          </w:p>
        </w:tc>
        <w:tc>
          <w:tcPr>
            <w:tcW w:w="491" w:type="pct"/>
            <w:noWrap w:val="0"/>
            <w:vAlign w:val="center"/>
          </w:tcPr>
          <w:p w14:paraId="5ADC2087">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达标</w:t>
            </w:r>
          </w:p>
        </w:tc>
      </w:tr>
      <w:tr w14:paraId="013FF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0" w:type="pct"/>
            <w:vMerge w:val="continue"/>
            <w:noWrap w:val="0"/>
            <w:vAlign w:val="center"/>
          </w:tcPr>
          <w:p w14:paraId="5768E77F">
            <w:pPr>
              <w:widowControl/>
              <w:adjustRightInd w:val="0"/>
              <w:snapToGrid w:val="0"/>
              <w:jc w:val="center"/>
              <w:rPr>
                <w:rFonts w:ascii="Times New Roman" w:hAnsi="Times New Roman" w:eastAsia="宋体" w:cs="Times New Roman"/>
                <w:bCs/>
                <w:color w:val="000000" w:themeColor="text1"/>
                <w:kern w:val="0"/>
                <w:sz w:val="21"/>
                <w:szCs w:val="21"/>
                <w14:textFill>
                  <w14:solidFill>
                    <w14:schemeClr w14:val="tx1"/>
                  </w14:solidFill>
                </w14:textFill>
              </w:rPr>
            </w:pPr>
          </w:p>
        </w:tc>
        <w:tc>
          <w:tcPr>
            <w:tcW w:w="355" w:type="pct"/>
            <w:vMerge w:val="continue"/>
            <w:noWrap w:val="0"/>
            <w:vAlign w:val="center"/>
          </w:tcPr>
          <w:p w14:paraId="72378F52">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64" w:type="pct"/>
            <w:vMerge w:val="continue"/>
            <w:noWrap w:val="0"/>
            <w:vAlign w:val="center"/>
          </w:tcPr>
          <w:p w14:paraId="31D8E7FF">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83" w:type="pct"/>
            <w:noWrap w:val="0"/>
            <w:vAlign w:val="center"/>
          </w:tcPr>
          <w:p w14:paraId="60BC93E5">
            <w:pPr>
              <w:adjustRightInd w:val="0"/>
              <w:snapToGrid w:val="0"/>
              <w:spacing w:line="240" w:lineRule="auto"/>
              <w:jc w:val="center"/>
              <w:rPr>
                <w:rFonts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ascii="Times New Roman" w:hAnsi="Times New Roman" w:eastAsia="宋体" w:cs="Times New Roman"/>
                <w:bCs/>
                <w:color w:val="000000" w:themeColor="text1"/>
                <w:sz w:val="21"/>
                <w:szCs w:val="21"/>
                <w:lang w:val="en-US" w:eastAsia="zh-CN" w:bidi="ar-SA"/>
                <w14:textFill>
                  <w14:solidFill>
                    <w14:schemeClr w14:val="tx1"/>
                  </w14:solidFill>
                </w14:textFill>
              </w:rPr>
              <w:t>NO</w:t>
            </w:r>
            <w:r>
              <w:rPr>
                <w:rFonts w:ascii="Times New Roman" w:hAnsi="Times New Roman" w:eastAsia="宋体" w:cs="Times New Roman"/>
                <w:bCs/>
                <w:color w:val="000000" w:themeColor="text1"/>
                <w:sz w:val="21"/>
                <w:szCs w:val="21"/>
                <w:vertAlign w:val="subscript"/>
                <w:lang w:val="en-US" w:eastAsia="zh-CN" w:bidi="ar-SA"/>
                <w14:textFill>
                  <w14:solidFill>
                    <w14:schemeClr w14:val="tx1"/>
                  </w14:solidFill>
                </w14:textFill>
              </w:rPr>
              <w:t>2</w:t>
            </w:r>
          </w:p>
        </w:tc>
        <w:tc>
          <w:tcPr>
            <w:tcW w:w="747" w:type="pct"/>
            <w:noWrap w:val="0"/>
            <w:vAlign w:val="center"/>
          </w:tcPr>
          <w:p w14:paraId="6C4A4275">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1小时平均</w:t>
            </w:r>
          </w:p>
        </w:tc>
        <w:tc>
          <w:tcPr>
            <w:tcW w:w="450" w:type="pct"/>
            <w:noWrap w:val="0"/>
            <w:vAlign w:val="center"/>
          </w:tcPr>
          <w:p w14:paraId="4EC522AA">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0.2</w:t>
            </w:r>
            <w:r>
              <w:rPr>
                <w:rFonts w:hint="eastAsia" w:cs="Times New Roman"/>
                <w:color w:val="000000" w:themeColor="text1"/>
                <w:kern w:val="0"/>
                <w:sz w:val="21"/>
                <w:szCs w:val="21"/>
                <w:lang w:val="en-US" w:eastAsia="zh-CN"/>
                <w14:textFill>
                  <w14:solidFill>
                    <w14:schemeClr w14:val="tx1"/>
                  </w14:solidFill>
                </w14:textFill>
              </w:rPr>
              <w:t>00</w:t>
            </w:r>
          </w:p>
        </w:tc>
        <w:tc>
          <w:tcPr>
            <w:tcW w:w="599" w:type="pct"/>
            <w:noWrap w:val="0"/>
            <w:vAlign w:val="center"/>
          </w:tcPr>
          <w:p w14:paraId="1F884AC3">
            <w:pPr>
              <w:widowControl/>
              <w:jc w:val="center"/>
              <w:rPr>
                <w:rFonts w:hint="eastAsia" w:ascii="Times New Roman" w:hAnsi="Times New Roman" w:eastAsia="宋体" w:cs="Times New Roman"/>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0.0</w:t>
            </w:r>
            <w:r>
              <w:rPr>
                <w:rFonts w:hint="eastAsia" w:cs="Times New Roman"/>
                <w:color w:val="000000" w:themeColor="text1"/>
                <w:kern w:val="0"/>
                <w:sz w:val="21"/>
                <w:szCs w:val="21"/>
                <w:lang w:val="en-US" w:eastAsia="zh-CN"/>
                <w14:textFill>
                  <w14:solidFill>
                    <w14:schemeClr w14:val="tx1"/>
                  </w14:solidFill>
                </w14:textFill>
              </w:rPr>
              <w:t>13</w:t>
            </w:r>
            <w:r>
              <w:rPr>
                <w:rFonts w:hint="eastAsia" w:ascii="Times New Roman" w:hAnsi="Times New Roman" w:eastAsia="宋体" w:cs="Times New Roman"/>
                <w:color w:val="000000" w:themeColor="text1"/>
                <w:kern w:val="0"/>
                <w:sz w:val="21"/>
                <w:szCs w:val="21"/>
                <w14:textFill>
                  <w14:solidFill>
                    <w14:schemeClr w14:val="tx1"/>
                  </w14:solidFill>
                </w14:textFill>
              </w:rPr>
              <w:t>~0.01</w:t>
            </w:r>
            <w:r>
              <w:rPr>
                <w:rFonts w:hint="eastAsia" w:cs="Times New Roman"/>
                <w:color w:val="000000" w:themeColor="text1"/>
                <w:kern w:val="0"/>
                <w:sz w:val="21"/>
                <w:szCs w:val="21"/>
                <w:lang w:val="en-US" w:eastAsia="zh-CN"/>
                <w14:textFill>
                  <w14:solidFill>
                    <w14:schemeClr w14:val="tx1"/>
                  </w14:solidFill>
                </w14:textFill>
              </w:rPr>
              <w:t>9</w:t>
            </w:r>
          </w:p>
        </w:tc>
        <w:tc>
          <w:tcPr>
            <w:tcW w:w="668" w:type="pct"/>
            <w:noWrap w:val="0"/>
            <w:vAlign w:val="center"/>
          </w:tcPr>
          <w:p w14:paraId="16C4AE40">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9.50</w:t>
            </w:r>
          </w:p>
        </w:tc>
        <w:tc>
          <w:tcPr>
            <w:tcW w:w="480" w:type="pct"/>
            <w:noWrap w:val="0"/>
            <w:vAlign w:val="center"/>
          </w:tcPr>
          <w:p w14:paraId="240BF5BD">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w:t>
            </w:r>
          </w:p>
        </w:tc>
        <w:tc>
          <w:tcPr>
            <w:tcW w:w="491" w:type="pct"/>
            <w:noWrap w:val="0"/>
            <w:vAlign w:val="center"/>
          </w:tcPr>
          <w:p w14:paraId="04BB859B">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达标</w:t>
            </w:r>
          </w:p>
        </w:tc>
      </w:tr>
      <w:tr w14:paraId="2BFE4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0" w:type="pct"/>
            <w:vMerge w:val="continue"/>
            <w:noWrap w:val="0"/>
            <w:vAlign w:val="center"/>
          </w:tcPr>
          <w:p w14:paraId="58EE3967">
            <w:pPr>
              <w:widowControl/>
              <w:adjustRightInd w:val="0"/>
              <w:snapToGrid w:val="0"/>
              <w:jc w:val="center"/>
              <w:rPr>
                <w:rFonts w:ascii="Times New Roman" w:hAnsi="Times New Roman" w:eastAsia="宋体" w:cs="Times New Roman"/>
                <w:bCs/>
                <w:color w:val="000000" w:themeColor="text1"/>
                <w:kern w:val="0"/>
                <w:sz w:val="21"/>
                <w:szCs w:val="21"/>
                <w14:textFill>
                  <w14:solidFill>
                    <w14:schemeClr w14:val="tx1"/>
                  </w14:solidFill>
                </w14:textFill>
              </w:rPr>
            </w:pPr>
          </w:p>
        </w:tc>
        <w:tc>
          <w:tcPr>
            <w:tcW w:w="355" w:type="pct"/>
            <w:vMerge w:val="continue"/>
            <w:noWrap w:val="0"/>
            <w:vAlign w:val="center"/>
          </w:tcPr>
          <w:p w14:paraId="01DC6377">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64" w:type="pct"/>
            <w:vMerge w:val="continue"/>
            <w:noWrap w:val="0"/>
            <w:vAlign w:val="center"/>
          </w:tcPr>
          <w:p w14:paraId="0CE3D172">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83" w:type="pct"/>
            <w:noWrap w:val="0"/>
            <w:vAlign w:val="center"/>
          </w:tcPr>
          <w:p w14:paraId="74D4C489">
            <w:pPr>
              <w:adjustRightInd w:val="0"/>
              <w:snapToGrid w:val="0"/>
              <w:spacing w:line="240" w:lineRule="auto"/>
              <w:jc w:val="center"/>
              <w:rPr>
                <w:rFonts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ascii="Times New Roman" w:hAnsi="Times New Roman" w:eastAsia="宋体" w:cs="Times New Roman"/>
                <w:bCs/>
                <w:color w:val="000000" w:themeColor="text1"/>
                <w:sz w:val="21"/>
                <w:szCs w:val="21"/>
                <w:lang w:val="en-US" w:eastAsia="zh-CN" w:bidi="ar-SA"/>
                <w14:textFill>
                  <w14:solidFill>
                    <w14:schemeClr w14:val="tx1"/>
                  </w14:solidFill>
                </w14:textFill>
              </w:rPr>
              <w:t>O</w:t>
            </w:r>
            <w:r>
              <w:rPr>
                <w:rFonts w:ascii="Times New Roman" w:hAnsi="Times New Roman" w:eastAsia="宋体" w:cs="Times New Roman"/>
                <w:bCs/>
                <w:color w:val="000000" w:themeColor="text1"/>
                <w:sz w:val="21"/>
                <w:szCs w:val="21"/>
                <w:vertAlign w:val="subscript"/>
                <w:lang w:val="en-US" w:eastAsia="zh-CN" w:bidi="ar-SA"/>
                <w14:textFill>
                  <w14:solidFill>
                    <w14:schemeClr w14:val="tx1"/>
                  </w14:solidFill>
                </w14:textFill>
              </w:rPr>
              <w:t>3</w:t>
            </w:r>
          </w:p>
        </w:tc>
        <w:tc>
          <w:tcPr>
            <w:tcW w:w="747" w:type="pct"/>
            <w:noWrap w:val="0"/>
            <w:vAlign w:val="center"/>
          </w:tcPr>
          <w:p w14:paraId="3238BC34">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1小时平均</w:t>
            </w:r>
          </w:p>
        </w:tc>
        <w:tc>
          <w:tcPr>
            <w:tcW w:w="450" w:type="pct"/>
            <w:noWrap w:val="0"/>
            <w:vAlign w:val="center"/>
          </w:tcPr>
          <w:p w14:paraId="0F1B44B8">
            <w:pPr>
              <w:widowControl/>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0.16</w:t>
            </w:r>
            <w:r>
              <w:rPr>
                <w:rFonts w:hint="eastAsia" w:cs="Times New Roman"/>
                <w:color w:val="000000" w:themeColor="text1"/>
                <w:kern w:val="0"/>
                <w:sz w:val="21"/>
                <w:szCs w:val="21"/>
                <w:lang w:val="en-US" w:eastAsia="zh-CN"/>
                <w14:textFill>
                  <w14:solidFill>
                    <w14:schemeClr w14:val="tx1"/>
                  </w14:solidFill>
                </w14:textFill>
              </w:rPr>
              <w:t>0</w:t>
            </w:r>
          </w:p>
        </w:tc>
        <w:tc>
          <w:tcPr>
            <w:tcW w:w="599" w:type="pct"/>
            <w:noWrap w:val="0"/>
            <w:vAlign w:val="center"/>
          </w:tcPr>
          <w:p w14:paraId="4354D2B6">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0.0</w:t>
            </w:r>
            <w:r>
              <w:rPr>
                <w:rFonts w:hint="eastAsia" w:cs="Times New Roman"/>
                <w:color w:val="000000" w:themeColor="text1"/>
                <w:kern w:val="0"/>
                <w:sz w:val="21"/>
                <w:szCs w:val="21"/>
                <w:lang w:val="en-US" w:eastAsia="zh-CN"/>
                <w14:textFill>
                  <w14:solidFill>
                    <w14:schemeClr w14:val="tx1"/>
                  </w14:solidFill>
                </w14:textFill>
              </w:rPr>
              <w:t>49</w:t>
            </w:r>
            <w:r>
              <w:rPr>
                <w:rFonts w:hint="eastAsia" w:ascii="Times New Roman" w:hAnsi="Times New Roman" w:eastAsia="宋体" w:cs="Times New Roman"/>
                <w:color w:val="000000" w:themeColor="text1"/>
                <w:kern w:val="0"/>
                <w:sz w:val="21"/>
                <w:szCs w:val="21"/>
                <w14:textFill>
                  <w14:solidFill>
                    <w14:schemeClr w14:val="tx1"/>
                  </w14:solidFill>
                </w14:textFill>
              </w:rPr>
              <w:t>~0.0</w:t>
            </w:r>
            <w:r>
              <w:rPr>
                <w:rFonts w:hint="eastAsia" w:cs="Times New Roman"/>
                <w:color w:val="000000" w:themeColor="text1"/>
                <w:kern w:val="0"/>
                <w:sz w:val="21"/>
                <w:szCs w:val="21"/>
                <w:lang w:val="en-US" w:eastAsia="zh-CN"/>
                <w14:textFill>
                  <w14:solidFill>
                    <w14:schemeClr w14:val="tx1"/>
                  </w14:solidFill>
                </w14:textFill>
              </w:rPr>
              <w:t>86</w:t>
            </w:r>
          </w:p>
        </w:tc>
        <w:tc>
          <w:tcPr>
            <w:tcW w:w="668" w:type="pct"/>
            <w:noWrap w:val="0"/>
            <w:vAlign w:val="center"/>
          </w:tcPr>
          <w:p w14:paraId="148FEE14">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53.75</w:t>
            </w:r>
          </w:p>
        </w:tc>
        <w:tc>
          <w:tcPr>
            <w:tcW w:w="480" w:type="pct"/>
            <w:noWrap w:val="0"/>
            <w:vAlign w:val="center"/>
          </w:tcPr>
          <w:p w14:paraId="69E2A322">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w:t>
            </w:r>
          </w:p>
        </w:tc>
        <w:tc>
          <w:tcPr>
            <w:tcW w:w="491" w:type="pct"/>
            <w:noWrap w:val="0"/>
            <w:vAlign w:val="center"/>
          </w:tcPr>
          <w:p w14:paraId="1079B7D8">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达标</w:t>
            </w:r>
          </w:p>
        </w:tc>
      </w:tr>
      <w:tr w14:paraId="41F5A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0" w:type="pct"/>
            <w:vMerge w:val="continue"/>
            <w:noWrap w:val="0"/>
            <w:vAlign w:val="center"/>
          </w:tcPr>
          <w:p w14:paraId="4303BDE8">
            <w:pPr>
              <w:widowControl/>
              <w:adjustRightInd w:val="0"/>
              <w:snapToGrid w:val="0"/>
              <w:jc w:val="center"/>
              <w:rPr>
                <w:rFonts w:ascii="Times New Roman" w:hAnsi="Times New Roman" w:eastAsia="宋体" w:cs="Times New Roman"/>
                <w:bCs/>
                <w:color w:val="000000" w:themeColor="text1"/>
                <w:kern w:val="0"/>
                <w:sz w:val="21"/>
                <w:szCs w:val="21"/>
                <w14:textFill>
                  <w14:solidFill>
                    <w14:schemeClr w14:val="tx1"/>
                  </w14:solidFill>
                </w14:textFill>
              </w:rPr>
            </w:pPr>
          </w:p>
        </w:tc>
        <w:tc>
          <w:tcPr>
            <w:tcW w:w="355" w:type="pct"/>
            <w:vMerge w:val="continue"/>
            <w:noWrap w:val="0"/>
            <w:vAlign w:val="center"/>
          </w:tcPr>
          <w:p w14:paraId="5B87E441">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64" w:type="pct"/>
            <w:vMerge w:val="continue"/>
            <w:noWrap w:val="0"/>
            <w:vAlign w:val="center"/>
          </w:tcPr>
          <w:p w14:paraId="17F1EC3F">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83" w:type="pct"/>
            <w:noWrap w:val="0"/>
            <w:vAlign w:val="center"/>
          </w:tcPr>
          <w:p w14:paraId="2E38F5CA">
            <w:pPr>
              <w:adjustRightInd w:val="0"/>
              <w:snapToGrid w:val="0"/>
              <w:spacing w:line="240" w:lineRule="auto"/>
              <w:jc w:val="center"/>
              <w:rPr>
                <w:rFonts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ascii="Times New Roman" w:hAnsi="Times New Roman" w:eastAsia="宋体" w:cs="Times New Roman"/>
                <w:bCs/>
                <w:color w:val="000000" w:themeColor="text1"/>
                <w:sz w:val="21"/>
                <w:szCs w:val="21"/>
                <w:lang w:val="en-US" w:eastAsia="zh-CN" w:bidi="ar-SA"/>
                <w14:textFill>
                  <w14:solidFill>
                    <w14:schemeClr w14:val="tx1"/>
                  </w14:solidFill>
                </w14:textFill>
              </w:rPr>
              <w:t>CO</w:t>
            </w:r>
          </w:p>
        </w:tc>
        <w:tc>
          <w:tcPr>
            <w:tcW w:w="747" w:type="pct"/>
            <w:noWrap w:val="0"/>
            <w:vAlign w:val="center"/>
          </w:tcPr>
          <w:p w14:paraId="299E5565">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1小时平均</w:t>
            </w:r>
          </w:p>
        </w:tc>
        <w:tc>
          <w:tcPr>
            <w:tcW w:w="450" w:type="pct"/>
            <w:noWrap w:val="0"/>
            <w:vAlign w:val="center"/>
          </w:tcPr>
          <w:p w14:paraId="236A285B">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10</w:t>
            </w:r>
            <w:r>
              <w:rPr>
                <w:rFonts w:hint="eastAsia" w:cs="Times New Roman"/>
                <w:color w:val="000000" w:themeColor="text1"/>
                <w:kern w:val="0"/>
                <w:sz w:val="21"/>
                <w:szCs w:val="21"/>
                <w:lang w:val="en-US" w:eastAsia="zh-CN"/>
                <w14:textFill>
                  <w14:solidFill>
                    <w14:schemeClr w14:val="tx1"/>
                  </w14:solidFill>
                </w14:textFill>
              </w:rPr>
              <w:t>.00</w:t>
            </w:r>
          </w:p>
        </w:tc>
        <w:tc>
          <w:tcPr>
            <w:tcW w:w="599" w:type="pct"/>
            <w:noWrap w:val="0"/>
            <w:vAlign w:val="center"/>
          </w:tcPr>
          <w:p w14:paraId="66D0D04E">
            <w:pPr>
              <w:widowControl/>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0.</w:t>
            </w:r>
            <w:r>
              <w:rPr>
                <w:rFonts w:hint="eastAsia" w:ascii="Times New Roman" w:hAnsi="Times New Roman" w:eastAsia="宋体" w:cs="Times New Roman"/>
                <w:color w:val="000000" w:themeColor="text1"/>
                <w:kern w:val="0"/>
                <w:sz w:val="21"/>
                <w:szCs w:val="21"/>
                <w:lang w:bidi="ar"/>
                <w14:textFill>
                  <w14:solidFill>
                    <w14:schemeClr w14:val="tx1"/>
                  </w14:solidFill>
                </w14:textFill>
              </w:rPr>
              <w:t>3</w:t>
            </w:r>
            <w:r>
              <w:rPr>
                <w:rFonts w:hint="eastAsia" w:cs="Times New Roman"/>
                <w:color w:val="000000" w:themeColor="text1"/>
                <w:kern w:val="0"/>
                <w:sz w:val="21"/>
                <w:szCs w:val="21"/>
                <w:lang w:val="en-US" w:eastAsia="zh-CN" w:bidi="ar"/>
                <w14:textFill>
                  <w14:solidFill>
                    <w14:schemeClr w14:val="tx1"/>
                  </w14:solidFill>
                </w14:textFill>
              </w:rPr>
              <w:t>1</w:t>
            </w:r>
            <w:r>
              <w:rPr>
                <w:rFonts w:ascii="Times New Roman" w:hAnsi="Times New Roman" w:eastAsia="宋体" w:cs="Times New Roman"/>
                <w:color w:val="000000" w:themeColor="text1"/>
                <w:kern w:val="0"/>
                <w:sz w:val="21"/>
                <w:szCs w:val="21"/>
                <w14:textFill>
                  <w14:solidFill>
                    <w14:schemeClr w14:val="tx1"/>
                  </w14:solidFill>
                </w14:textFill>
              </w:rPr>
              <w:t>~0.</w:t>
            </w:r>
            <w:r>
              <w:rPr>
                <w:rFonts w:hint="eastAsia" w:ascii="Times New Roman" w:hAnsi="Times New Roman" w:eastAsia="宋体" w:cs="Times New Roman"/>
                <w:color w:val="000000" w:themeColor="text1"/>
                <w:kern w:val="0"/>
                <w:sz w:val="21"/>
                <w:szCs w:val="21"/>
                <w14:textFill>
                  <w14:solidFill>
                    <w14:schemeClr w14:val="tx1"/>
                  </w14:solidFill>
                </w14:textFill>
              </w:rPr>
              <w:t>5</w:t>
            </w:r>
            <w:r>
              <w:rPr>
                <w:rFonts w:hint="eastAsia" w:cs="Times New Roman"/>
                <w:color w:val="000000" w:themeColor="text1"/>
                <w:kern w:val="0"/>
                <w:sz w:val="21"/>
                <w:szCs w:val="21"/>
                <w:lang w:val="en-US" w:eastAsia="zh-CN"/>
                <w14:textFill>
                  <w14:solidFill>
                    <w14:schemeClr w14:val="tx1"/>
                  </w14:solidFill>
                </w14:textFill>
              </w:rPr>
              <w:t>6</w:t>
            </w:r>
          </w:p>
        </w:tc>
        <w:tc>
          <w:tcPr>
            <w:tcW w:w="668" w:type="pct"/>
            <w:noWrap w:val="0"/>
            <w:vAlign w:val="center"/>
          </w:tcPr>
          <w:p w14:paraId="3F6EADE7">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5.60</w:t>
            </w:r>
          </w:p>
        </w:tc>
        <w:tc>
          <w:tcPr>
            <w:tcW w:w="480" w:type="pct"/>
            <w:noWrap w:val="0"/>
            <w:vAlign w:val="center"/>
          </w:tcPr>
          <w:p w14:paraId="39B2D0F4">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w:t>
            </w:r>
          </w:p>
        </w:tc>
        <w:tc>
          <w:tcPr>
            <w:tcW w:w="491" w:type="pct"/>
            <w:noWrap w:val="0"/>
            <w:vAlign w:val="center"/>
          </w:tcPr>
          <w:p w14:paraId="7A5F0EAE">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达标</w:t>
            </w:r>
          </w:p>
        </w:tc>
      </w:tr>
      <w:tr w14:paraId="5B729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0" w:type="pct"/>
            <w:vMerge w:val="continue"/>
            <w:noWrap w:val="0"/>
            <w:vAlign w:val="center"/>
          </w:tcPr>
          <w:p w14:paraId="69047DCC">
            <w:pPr>
              <w:widowControl/>
              <w:adjustRightInd w:val="0"/>
              <w:snapToGrid w:val="0"/>
              <w:jc w:val="center"/>
              <w:rPr>
                <w:rFonts w:ascii="Times New Roman" w:hAnsi="Times New Roman" w:eastAsia="宋体" w:cs="Times New Roman"/>
                <w:bCs/>
                <w:color w:val="000000" w:themeColor="text1"/>
                <w:kern w:val="0"/>
                <w:sz w:val="21"/>
                <w:szCs w:val="21"/>
                <w14:textFill>
                  <w14:solidFill>
                    <w14:schemeClr w14:val="tx1"/>
                  </w14:solidFill>
                </w14:textFill>
              </w:rPr>
            </w:pPr>
          </w:p>
        </w:tc>
        <w:tc>
          <w:tcPr>
            <w:tcW w:w="355" w:type="pct"/>
            <w:vMerge w:val="continue"/>
            <w:noWrap w:val="0"/>
            <w:vAlign w:val="center"/>
          </w:tcPr>
          <w:p w14:paraId="09CFD4DC">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64" w:type="pct"/>
            <w:vMerge w:val="continue"/>
            <w:noWrap w:val="0"/>
            <w:vAlign w:val="center"/>
          </w:tcPr>
          <w:p w14:paraId="7927DA90">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83" w:type="pct"/>
            <w:noWrap w:val="0"/>
            <w:vAlign w:val="center"/>
          </w:tcPr>
          <w:p w14:paraId="3772E3D4">
            <w:pPr>
              <w:adjustRightInd w:val="0"/>
              <w:snapToGrid w:val="0"/>
              <w:spacing w:line="240" w:lineRule="auto"/>
              <w:jc w:val="center"/>
              <w:rPr>
                <w:rFonts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ascii="Times New Roman" w:hAnsi="Times New Roman" w:eastAsia="宋体" w:cs="Times New Roman"/>
                <w:bCs/>
                <w:color w:val="000000" w:themeColor="text1"/>
                <w:sz w:val="21"/>
                <w:szCs w:val="21"/>
                <w:lang w:val="en-US" w:eastAsia="zh-CN" w:bidi="ar-SA"/>
                <w14:textFill>
                  <w14:solidFill>
                    <w14:schemeClr w14:val="tx1"/>
                  </w14:solidFill>
                </w14:textFill>
              </w:rPr>
              <w:t>O</w:t>
            </w:r>
            <w:r>
              <w:rPr>
                <w:rFonts w:ascii="Times New Roman" w:hAnsi="Times New Roman" w:eastAsia="宋体" w:cs="Times New Roman"/>
                <w:bCs/>
                <w:color w:val="000000" w:themeColor="text1"/>
                <w:sz w:val="21"/>
                <w:szCs w:val="21"/>
                <w:vertAlign w:val="subscript"/>
                <w:lang w:val="en-US" w:eastAsia="zh-CN" w:bidi="ar-SA"/>
                <w14:textFill>
                  <w14:solidFill>
                    <w14:schemeClr w14:val="tx1"/>
                  </w14:solidFill>
                </w14:textFill>
              </w:rPr>
              <w:t>3</w:t>
            </w:r>
          </w:p>
        </w:tc>
        <w:tc>
          <w:tcPr>
            <w:tcW w:w="747" w:type="pct"/>
            <w:noWrap w:val="0"/>
            <w:vAlign w:val="center"/>
          </w:tcPr>
          <w:p w14:paraId="6E2AE1FF">
            <w:pPr>
              <w:widowControl/>
              <w:adjustRightInd w:val="0"/>
              <w:snapToGrid w:val="0"/>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日最大8小时平均</w:t>
            </w:r>
          </w:p>
        </w:tc>
        <w:tc>
          <w:tcPr>
            <w:tcW w:w="450" w:type="pct"/>
            <w:noWrap w:val="0"/>
            <w:vAlign w:val="center"/>
          </w:tcPr>
          <w:p w14:paraId="6F44B504">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0.1</w:t>
            </w:r>
            <w:r>
              <w:rPr>
                <w:rFonts w:hint="eastAsia" w:cs="Times New Roman"/>
                <w:color w:val="000000" w:themeColor="text1"/>
                <w:kern w:val="0"/>
                <w:sz w:val="21"/>
                <w:szCs w:val="21"/>
                <w:lang w:val="en-US" w:eastAsia="zh-CN"/>
                <w14:textFill>
                  <w14:solidFill>
                    <w14:schemeClr w14:val="tx1"/>
                  </w14:solidFill>
                </w14:textFill>
              </w:rPr>
              <w:t>00</w:t>
            </w:r>
          </w:p>
        </w:tc>
        <w:tc>
          <w:tcPr>
            <w:tcW w:w="599" w:type="pct"/>
            <w:noWrap w:val="0"/>
            <w:vAlign w:val="center"/>
          </w:tcPr>
          <w:p w14:paraId="14BFF304">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0.0</w:t>
            </w:r>
            <w:r>
              <w:rPr>
                <w:rFonts w:hint="eastAsia" w:cs="Times New Roman"/>
                <w:color w:val="000000" w:themeColor="text1"/>
                <w:kern w:val="0"/>
                <w:sz w:val="21"/>
                <w:szCs w:val="21"/>
                <w:lang w:val="en-US" w:eastAsia="zh-CN"/>
                <w14:textFill>
                  <w14:solidFill>
                    <w14:schemeClr w14:val="tx1"/>
                  </w14:solidFill>
                </w14:textFill>
              </w:rPr>
              <w:t>65</w:t>
            </w:r>
            <w:r>
              <w:rPr>
                <w:rFonts w:hint="eastAsia" w:ascii="Times New Roman" w:hAnsi="Times New Roman" w:eastAsia="宋体" w:cs="Times New Roman"/>
                <w:color w:val="000000" w:themeColor="text1"/>
                <w:kern w:val="0"/>
                <w:sz w:val="21"/>
                <w:szCs w:val="21"/>
                <w14:textFill>
                  <w14:solidFill>
                    <w14:schemeClr w14:val="tx1"/>
                  </w14:solidFill>
                </w14:textFill>
              </w:rPr>
              <w:t>~0.0</w:t>
            </w:r>
            <w:r>
              <w:rPr>
                <w:rFonts w:hint="eastAsia" w:cs="Times New Roman"/>
                <w:color w:val="000000" w:themeColor="text1"/>
                <w:kern w:val="0"/>
                <w:sz w:val="21"/>
                <w:szCs w:val="21"/>
                <w:lang w:val="en-US" w:eastAsia="zh-CN"/>
                <w14:textFill>
                  <w14:solidFill>
                    <w14:schemeClr w14:val="tx1"/>
                  </w14:solidFill>
                </w14:textFill>
              </w:rPr>
              <w:t>70</w:t>
            </w:r>
          </w:p>
        </w:tc>
        <w:tc>
          <w:tcPr>
            <w:tcW w:w="668" w:type="pct"/>
            <w:noWrap w:val="0"/>
            <w:vAlign w:val="center"/>
          </w:tcPr>
          <w:p w14:paraId="667DCD19">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70.00</w:t>
            </w:r>
          </w:p>
        </w:tc>
        <w:tc>
          <w:tcPr>
            <w:tcW w:w="480" w:type="pct"/>
            <w:noWrap w:val="0"/>
            <w:vAlign w:val="center"/>
          </w:tcPr>
          <w:p w14:paraId="7893CCC0">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w:t>
            </w:r>
          </w:p>
        </w:tc>
        <w:tc>
          <w:tcPr>
            <w:tcW w:w="491" w:type="pct"/>
            <w:noWrap w:val="0"/>
            <w:vAlign w:val="center"/>
          </w:tcPr>
          <w:p w14:paraId="10016DF7">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达标</w:t>
            </w:r>
          </w:p>
        </w:tc>
      </w:tr>
      <w:tr w14:paraId="33CDD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0" w:type="pct"/>
            <w:vMerge w:val="continue"/>
            <w:noWrap w:val="0"/>
            <w:vAlign w:val="center"/>
          </w:tcPr>
          <w:p w14:paraId="307DB5EA">
            <w:pPr>
              <w:widowControl/>
              <w:adjustRightInd w:val="0"/>
              <w:snapToGrid w:val="0"/>
              <w:jc w:val="center"/>
              <w:rPr>
                <w:rFonts w:ascii="Times New Roman" w:hAnsi="Times New Roman" w:eastAsia="宋体" w:cs="Times New Roman"/>
                <w:bCs/>
                <w:color w:val="000000" w:themeColor="text1"/>
                <w:kern w:val="0"/>
                <w:sz w:val="21"/>
                <w:szCs w:val="21"/>
                <w14:textFill>
                  <w14:solidFill>
                    <w14:schemeClr w14:val="tx1"/>
                  </w14:solidFill>
                </w14:textFill>
              </w:rPr>
            </w:pPr>
          </w:p>
        </w:tc>
        <w:tc>
          <w:tcPr>
            <w:tcW w:w="355" w:type="pct"/>
            <w:vMerge w:val="continue"/>
            <w:noWrap w:val="0"/>
            <w:vAlign w:val="center"/>
          </w:tcPr>
          <w:p w14:paraId="0919455B">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64" w:type="pct"/>
            <w:vMerge w:val="continue"/>
            <w:noWrap w:val="0"/>
            <w:vAlign w:val="center"/>
          </w:tcPr>
          <w:p w14:paraId="4055DA23">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83" w:type="pct"/>
            <w:noWrap w:val="0"/>
            <w:vAlign w:val="center"/>
          </w:tcPr>
          <w:p w14:paraId="0CF67ED1">
            <w:pPr>
              <w:adjustRightInd w:val="0"/>
              <w:snapToGrid w:val="0"/>
              <w:spacing w:line="240" w:lineRule="auto"/>
              <w:jc w:val="center"/>
              <w:rPr>
                <w:rFonts w:hint="default"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hint="eastAsia" w:cs="Times New Roman"/>
                <w:bCs/>
                <w:color w:val="000000" w:themeColor="text1"/>
                <w:sz w:val="21"/>
                <w:szCs w:val="21"/>
                <w:lang w:val="en-US" w:eastAsia="zh-CN" w:bidi="ar-SA"/>
                <w14:textFill>
                  <w14:solidFill>
                    <w14:schemeClr w14:val="tx1"/>
                  </w14:solidFill>
                </w14:textFill>
              </w:rPr>
              <w:t>非甲烷总烃</w:t>
            </w:r>
          </w:p>
        </w:tc>
        <w:tc>
          <w:tcPr>
            <w:tcW w:w="747" w:type="pct"/>
            <w:noWrap w:val="0"/>
            <w:vAlign w:val="center"/>
          </w:tcPr>
          <w:p w14:paraId="49477F9E">
            <w:pPr>
              <w:widowControl/>
              <w:adjustRightInd w:val="0"/>
              <w:snapToGrid w:val="0"/>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1小时平均</w:t>
            </w:r>
          </w:p>
        </w:tc>
        <w:tc>
          <w:tcPr>
            <w:tcW w:w="450" w:type="pct"/>
            <w:noWrap w:val="0"/>
            <w:vAlign w:val="center"/>
          </w:tcPr>
          <w:p w14:paraId="15AA1D78">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2.000</w:t>
            </w:r>
          </w:p>
        </w:tc>
        <w:tc>
          <w:tcPr>
            <w:tcW w:w="599" w:type="pct"/>
            <w:noWrap w:val="0"/>
            <w:vAlign w:val="center"/>
          </w:tcPr>
          <w:p w14:paraId="279404AB">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bCs/>
                <w:color w:val="000000" w:themeColor="text1"/>
                <w:kern w:val="0"/>
                <w:sz w:val="21"/>
                <w:szCs w:val="21"/>
                <w:lang w:val="en-US" w:eastAsia="zh-CN"/>
                <w14:textFill>
                  <w14:solidFill>
                    <w14:schemeClr w14:val="tx1"/>
                  </w14:solidFill>
                </w14:textFill>
              </w:rPr>
              <w:t>1.04</w:t>
            </w:r>
            <w:r>
              <w:rPr>
                <w:rFonts w:hint="eastAsia" w:ascii="Times New Roman" w:hAnsi="Times New Roman" w:eastAsia="宋体" w:cs="Times New Roman"/>
                <w:bCs/>
                <w:color w:val="000000" w:themeColor="text1"/>
                <w:kern w:val="0"/>
                <w:sz w:val="21"/>
                <w:szCs w:val="21"/>
                <w14:textFill>
                  <w14:solidFill>
                    <w14:schemeClr w14:val="tx1"/>
                  </w14:solidFill>
                </w14:textFill>
              </w:rPr>
              <w:t>~</w:t>
            </w:r>
            <w:r>
              <w:rPr>
                <w:rFonts w:hint="eastAsia" w:cs="Times New Roman"/>
                <w:bCs/>
                <w:color w:val="000000" w:themeColor="text1"/>
                <w:kern w:val="0"/>
                <w:sz w:val="21"/>
                <w:szCs w:val="21"/>
                <w:lang w:val="en-US" w:eastAsia="zh-CN"/>
                <w14:textFill>
                  <w14:solidFill>
                    <w14:schemeClr w14:val="tx1"/>
                  </w14:solidFill>
                </w14:textFill>
              </w:rPr>
              <w:t>1.43</w:t>
            </w:r>
          </w:p>
        </w:tc>
        <w:tc>
          <w:tcPr>
            <w:tcW w:w="668" w:type="pct"/>
            <w:noWrap w:val="0"/>
            <w:vAlign w:val="center"/>
          </w:tcPr>
          <w:p w14:paraId="23246542">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71.5</w:t>
            </w:r>
          </w:p>
        </w:tc>
        <w:tc>
          <w:tcPr>
            <w:tcW w:w="480" w:type="pct"/>
            <w:noWrap w:val="0"/>
            <w:vAlign w:val="center"/>
          </w:tcPr>
          <w:p w14:paraId="0B51FF7B">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0</w:t>
            </w:r>
          </w:p>
        </w:tc>
        <w:tc>
          <w:tcPr>
            <w:tcW w:w="491" w:type="pct"/>
            <w:noWrap w:val="0"/>
            <w:vAlign w:val="center"/>
          </w:tcPr>
          <w:p w14:paraId="78578D4D">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达标</w:t>
            </w:r>
          </w:p>
        </w:tc>
      </w:tr>
      <w:tr w14:paraId="65A18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0" w:type="pct"/>
            <w:vMerge w:val="continue"/>
            <w:noWrap w:val="0"/>
            <w:vAlign w:val="center"/>
          </w:tcPr>
          <w:p w14:paraId="6648DA39">
            <w:pPr>
              <w:widowControl/>
              <w:adjustRightInd w:val="0"/>
              <w:snapToGrid w:val="0"/>
              <w:jc w:val="center"/>
              <w:rPr>
                <w:rFonts w:ascii="Times New Roman" w:hAnsi="Times New Roman" w:eastAsia="宋体" w:cs="Times New Roman"/>
                <w:bCs/>
                <w:color w:val="000000" w:themeColor="text1"/>
                <w:kern w:val="0"/>
                <w:sz w:val="21"/>
                <w:szCs w:val="21"/>
                <w14:textFill>
                  <w14:solidFill>
                    <w14:schemeClr w14:val="tx1"/>
                  </w14:solidFill>
                </w14:textFill>
              </w:rPr>
            </w:pPr>
          </w:p>
        </w:tc>
        <w:tc>
          <w:tcPr>
            <w:tcW w:w="355" w:type="pct"/>
            <w:vMerge w:val="continue"/>
            <w:noWrap w:val="0"/>
            <w:vAlign w:val="center"/>
          </w:tcPr>
          <w:p w14:paraId="09E123C7">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64" w:type="pct"/>
            <w:vMerge w:val="continue"/>
            <w:noWrap w:val="0"/>
            <w:vAlign w:val="center"/>
          </w:tcPr>
          <w:p w14:paraId="106BA9C4">
            <w:pPr>
              <w:widowControl w:val="0"/>
              <w:snapToGrid w:val="0"/>
              <w:spacing w:before="10"/>
              <w:jc w:val="center"/>
              <w:rPr>
                <w:rFonts w:ascii="Times New Roman" w:hAnsi="Times New Roman" w:eastAsia="宋体" w:cs="Times New Roman"/>
                <w:color w:val="000000" w:themeColor="text1"/>
                <w:kern w:val="0"/>
                <w:sz w:val="21"/>
                <w:szCs w:val="22"/>
                <w:lang w:val="en-US" w:eastAsia="zh-CN" w:bidi="ar-SA"/>
                <w14:textFill>
                  <w14:solidFill>
                    <w14:schemeClr w14:val="tx1"/>
                  </w14:solidFill>
                </w14:textFill>
              </w:rPr>
            </w:pPr>
          </w:p>
        </w:tc>
        <w:tc>
          <w:tcPr>
            <w:tcW w:w="383" w:type="pct"/>
            <w:noWrap w:val="0"/>
            <w:vAlign w:val="center"/>
          </w:tcPr>
          <w:p w14:paraId="134895C7">
            <w:pPr>
              <w:adjustRightInd w:val="0"/>
              <w:snapToGrid w:val="0"/>
              <w:spacing w:line="240" w:lineRule="auto"/>
              <w:jc w:val="center"/>
              <w:rPr>
                <w:rFonts w:hint="default" w:ascii="Times New Roman" w:hAnsi="Times New Roman" w:eastAsia="宋体" w:cs="Times New Roman"/>
                <w:bCs/>
                <w:color w:val="000000" w:themeColor="text1"/>
                <w:sz w:val="21"/>
                <w:szCs w:val="21"/>
                <w:lang w:val="en-US" w:eastAsia="zh-CN" w:bidi="ar-SA"/>
                <w14:textFill>
                  <w14:solidFill>
                    <w14:schemeClr w14:val="tx1"/>
                  </w14:solidFill>
                </w14:textFill>
              </w:rPr>
            </w:pPr>
            <w:r>
              <w:rPr>
                <w:rFonts w:hint="eastAsia" w:cs="Times New Roman"/>
                <w:bCs/>
                <w:color w:val="000000" w:themeColor="text1"/>
                <w:sz w:val="21"/>
                <w:szCs w:val="21"/>
                <w:lang w:val="en-US" w:eastAsia="zh-CN" w:bidi="ar-SA"/>
                <w14:textFill>
                  <w14:solidFill>
                    <w14:schemeClr w14:val="tx1"/>
                  </w14:solidFill>
                </w14:textFill>
              </w:rPr>
              <w:t>甲醛</w:t>
            </w:r>
          </w:p>
        </w:tc>
        <w:tc>
          <w:tcPr>
            <w:tcW w:w="747" w:type="pct"/>
            <w:noWrap w:val="0"/>
            <w:vAlign w:val="center"/>
          </w:tcPr>
          <w:p w14:paraId="324C9FC7">
            <w:pPr>
              <w:widowControl/>
              <w:adjustRightInd w:val="0"/>
              <w:snapToGrid w:val="0"/>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1小时平均</w:t>
            </w:r>
          </w:p>
        </w:tc>
        <w:tc>
          <w:tcPr>
            <w:tcW w:w="450" w:type="pct"/>
            <w:noWrap w:val="0"/>
            <w:vAlign w:val="center"/>
          </w:tcPr>
          <w:p w14:paraId="11B0ECA6">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0.005</w:t>
            </w:r>
          </w:p>
        </w:tc>
        <w:tc>
          <w:tcPr>
            <w:tcW w:w="599" w:type="pct"/>
            <w:noWrap w:val="0"/>
            <w:vAlign w:val="center"/>
          </w:tcPr>
          <w:p w14:paraId="6ECA1D51">
            <w:pPr>
              <w:widowControl/>
              <w:jc w:val="center"/>
              <w:rPr>
                <w:rFonts w:hint="default" w:ascii="Times New Roman" w:hAnsi="Times New Roman" w:eastAsia="宋体" w:cs="Times New Roman"/>
                <w:bCs/>
                <w:color w:val="000000" w:themeColor="text1"/>
                <w:kern w:val="0"/>
                <w:sz w:val="21"/>
                <w:szCs w:val="21"/>
                <w:lang w:val="en-US" w:eastAsia="zh-CN"/>
                <w14:textFill>
                  <w14:solidFill>
                    <w14:schemeClr w14:val="tx1"/>
                  </w14:solidFill>
                </w14:textFill>
              </w:rPr>
            </w:pPr>
            <w:r>
              <w:rPr>
                <w:rFonts w:hint="eastAsia" w:cs="Times New Roman"/>
                <w:bCs/>
                <w:color w:val="000000" w:themeColor="text1"/>
                <w:kern w:val="0"/>
                <w:sz w:val="21"/>
                <w:szCs w:val="21"/>
                <w:lang w:val="en-US" w:eastAsia="zh-CN"/>
                <w14:textFill>
                  <w14:solidFill>
                    <w14:schemeClr w14:val="tx1"/>
                  </w14:solidFill>
                </w14:textFill>
              </w:rPr>
              <w:t>ND</w:t>
            </w:r>
          </w:p>
        </w:tc>
        <w:tc>
          <w:tcPr>
            <w:tcW w:w="668" w:type="pct"/>
            <w:noWrap w:val="0"/>
            <w:vAlign w:val="center"/>
          </w:tcPr>
          <w:p w14:paraId="02FE97E6">
            <w:pPr>
              <w:widowControl/>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0</w:t>
            </w:r>
          </w:p>
        </w:tc>
        <w:tc>
          <w:tcPr>
            <w:tcW w:w="480" w:type="pct"/>
            <w:noWrap w:val="0"/>
            <w:vAlign w:val="center"/>
          </w:tcPr>
          <w:p w14:paraId="3FAE727D">
            <w:pPr>
              <w:widowControl/>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0</w:t>
            </w:r>
          </w:p>
        </w:tc>
        <w:tc>
          <w:tcPr>
            <w:tcW w:w="491" w:type="pct"/>
            <w:noWrap w:val="0"/>
            <w:vAlign w:val="center"/>
          </w:tcPr>
          <w:p w14:paraId="0AAE94AB">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w:t>
            </w:r>
          </w:p>
        </w:tc>
      </w:tr>
      <w:tr w14:paraId="55B0D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10"/>
            <w:noWrap w:val="0"/>
            <w:vAlign w:val="center"/>
          </w:tcPr>
          <w:p w14:paraId="18A6C5BD">
            <w:pPr>
              <w:widowControl/>
              <w:jc w:val="left"/>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备注：</w:t>
            </w:r>
            <w:r>
              <w:rPr>
                <w:rFonts w:hint="eastAsia" w:cs="Times New Roman"/>
                <w:color w:val="000000" w:themeColor="text1"/>
                <w:kern w:val="0"/>
                <w:sz w:val="21"/>
                <w:szCs w:val="21"/>
                <w:lang w:eastAsia="zh-CN"/>
                <w14:textFill>
                  <w14:solidFill>
                    <w14:schemeClr w14:val="tx1"/>
                  </w14:solidFill>
                </w14:textFill>
              </w:rPr>
              <w:t>“</w:t>
            </w:r>
            <w:r>
              <w:rPr>
                <w:rFonts w:hint="eastAsia" w:cs="Times New Roman"/>
                <w:color w:val="000000" w:themeColor="text1"/>
                <w:kern w:val="0"/>
                <w:sz w:val="21"/>
                <w:szCs w:val="21"/>
                <w:lang w:val="en-US" w:eastAsia="zh-CN"/>
                <w14:textFill>
                  <w14:solidFill>
                    <w14:schemeClr w14:val="tx1"/>
                  </w14:solidFill>
                </w14:textFill>
              </w:rPr>
              <w:t>ND</w:t>
            </w:r>
            <w:r>
              <w:rPr>
                <w:rFonts w:hint="eastAsia" w:cs="Times New Roman"/>
                <w:color w:val="000000" w:themeColor="text1"/>
                <w:kern w:val="0"/>
                <w:sz w:val="21"/>
                <w:szCs w:val="21"/>
                <w:lang w:eastAsia="zh-CN"/>
                <w14:textFill>
                  <w14:solidFill>
                    <w14:schemeClr w14:val="tx1"/>
                  </w14:solidFill>
                </w14:textFill>
              </w:rPr>
              <w:t>”</w:t>
            </w:r>
            <w:r>
              <w:rPr>
                <w:rFonts w:hint="eastAsia" w:cs="Times New Roman"/>
                <w:color w:val="000000" w:themeColor="text1"/>
                <w:kern w:val="0"/>
                <w:sz w:val="21"/>
                <w:szCs w:val="21"/>
                <w:lang w:val="en-US" w:eastAsia="zh-CN"/>
                <w14:textFill>
                  <w14:solidFill>
                    <w14:schemeClr w14:val="tx1"/>
                  </w14:solidFill>
                </w14:textFill>
              </w:rPr>
              <w:t>表示未检出</w:t>
            </w:r>
          </w:p>
        </w:tc>
      </w:tr>
    </w:tbl>
    <w:p w14:paraId="623AD54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ascii="Times New Roman" w:hAnsi="Times New Roman" w:eastAsia="宋体" w:cs="Times New Roman"/>
          <w:b w:val="0"/>
          <w:bCs/>
          <w:color w:val="000000" w:themeColor="text1"/>
          <w:kern w:val="2"/>
          <w:sz w:val="24"/>
          <w:szCs w:val="24"/>
          <w14:textFill>
            <w14:solidFill>
              <w14:schemeClr w14:val="tx1"/>
            </w14:solidFill>
          </w14:textFill>
        </w:rPr>
        <w:t>由</w:t>
      </w:r>
      <w:r>
        <w:rPr>
          <w:rFonts w:hint="eastAsia" w:ascii="Times New Roman" w:hAnsi="Times New Roman" w:eastAsia="宋体" w:cs="Times New Roman"/>
          <w:b w:val="0"/>
          <w:bCs/>
          <w:color w:val="000000" w:themeColor="text1"/>
          <w:kern w:val="2"/>
          <w:sz w:val="24"/>
          <w:szCs w:val="24"/>
          <w:lang w:val="en-US" w:eastAsia="zh-CN"/>
          <w14:textFill>
            <w14:solidFill>
              <w14:schemeClr w14:val="tx1"/>
            </w14:solidFill>
          </w14:textFill>
        </w:rPr>
        <w:t>检测结果</w:t>
      </w:r>
      <w:r>
        <w:rPr>
          <w:rFonts w:ascii="Times New Roman" w:hAnsi="Times New Roman" w:eastAsia="宋体" w:cs="Times New Roman"/>
          <w:b w:val="0"/>
          <w:bCs/>
          <w:color w:val="000000" w:themeColor="text1"/>
          <w:kern w:val="2"/>
          <w:sz w:val="24"/>
          <w:szCs w:val="24"/>
          <w14:textFill>
            <w14:solidFill>
              <w14:schemeClr w14:val="tx1"/>
            </w14:solidFill>
          </w14:textFill>
        </w:rPr>
        <w:t>，项目区</w:t>
      </w:r>
      <w:r>
        <w:rPr>
          <w:rFonts w:hint="eastAsia" w:cs="Times New Roman"/>
          <w:b w:val="0"/>
          <w:bCs/>
          <w:color w:val="000000" w:themeColor="text1"/>
          <w:kern w:val="2"/>
          <w:sz w:val="24"/>
          <w:szCs w:val="24"/>
          <w:lang w:val="en-US" w:eastAsia="zh-CN"/>
          <w14:textFill>
            <w14:solidFill>
              <w14:schemeClr w14:val="tx1"/>
            </w14:solidFill>
          </w14:textFill>
        </w:rPr>
        <w:t>东北</w:t>
      </w:r>
      <w:r>
        <w:rPr>
          <w:rFonts w:ascii="Times New Roman" w:hAnsi="Times New Roman" w:eastAsia="宋体" w:cs="Times New Roman"/>
          <w:b w:val="0"/>
          <w:bCs/>
          <w:color w:val="000000" w:themeColor="text1"/>
          <w:kern w:val="2"/>
          <w:sz w:val="24"/>
          <w:szCs w:val="24"/>
          <w14:textFill>
            <w14:solidFill>
              <w14:schemeClr w14:val="tx1"/>
            </w14:solidFill>
          </w14:textFill>
        </w:rPr>
        <w:t>面翠柏自然保护区SO</w:t>
      </w:r>
      <w:r>
        <w:rPr>
          <w:rFonts w:ascii="Times New Roman" w:hAnsi="Times New Roman" w:eastAsia="宋体" w:cs="Times New Roman"/>
          <w:b w:val="0"/>
          <w:bCs/>
          <w:color w:val="000000" w:themeColor="text1"/>
          <w:kern w:val="2"/>
          <w:sz w:val="24"/>
          <w:szCs w:val="24"/>
          <w:vertAlign w:val="subscript"/>
          <w14:textFill>
            <w14:solidFill>
              <w14:schemeClr w14:val="tx1"/>
            </w14:solidFill>
          </w14:textFill>
        </w:rPr>
        <w:t>2</w:t>
      </w:r>
      <w:r>
        <w:rPr>
          <w:rFonts w:ascii="Times New Roman" w:hAnsi="Times New Roman" w:eastAsia="宋体" w:cs="Times New Roman"/>
          <w:b w:val="0"/>
          <w:bCs/>
          <w:color w:val="000000" w:themeColor="text1"/>
          <w:kern w:val="2"/>
          <w:sz w:val="24"/>
          <w:szCs w:val="24"/>
          <w14:textFill>
            <w14:solidFill>
              <w14:schemeClr w14:val="tx1"/>
            </w14:solidFill>
          </w14:textFill>
        </w:rPr>
        <w:t>、NO</w:t>
      </w:r>
      <w:r>
        <w:rPr>
          <w:rFonts w:ascii="Times New Roman" w:hAnsi="Times New Roman" w:eastAsia="宋体" w:cs="Times New Roman"/>
          <w:b w:val="0"/>
          <w:bCs/>
          <w:color w:val="000000" w:themeColor="text1"/>
          <w:kern w:val="2"/>
          <w:sz w:val="24"/>
          <w:szCs w:val="24"/>
          <w:vertAlign w:val="subscript"/>
          <w14:textFill>
            <w14:solidFill>
              <w14:schemeClr w14:val="tx1"/>
            </w14:solidFill>
          </w14:textFill>
        </w:rPr>
        <w:t>2</w:t>
      </w:r>
      <w:r>
        <w:rPr>
          <w:rFonts w:ascii="Times New Roman" w:hAnsi="Times New Roman" w:eastAsia="宋体" w:cs="Times New Roman"/>
          <w:b w:val="0"/>
          <w:bCs/>
          <w:color w:val="000000" w:themeColor="text1"/>
          <w:kern w:val="2"/>
          <w:sz w:val="24"/>
          <w:szCs w:val="24"/>
          <w14:textFill>
            <w14:solidFill>
              <w14:schemeClr w14:val="tx1"/>
            </w14:solidFill>
          </w14:textFill>
        </w:rPr>
        <w:t>、CO、O</w:t>
      </w:r>
      <w:r>
        <w:rPr>
          <w:rFonts w:ascii="Times New Roman" w:hAnsi="Times New Roman" w:eastAsia="宋体" w:cs="Times New Roman"/>
          <w:b w:val="0"/>
          <w:bCs/>
          <w:color w:val="000000" w:themeColor="text1"/>
          <w:kern w:val="2"/>
          <w:sz w:val="24"/>
          <w:szCs w:val="24"/>
          <w:vertAlign w:val="subscript"/>
          <w14:textFill>
            <w14:solidFill>
              <w14:schemeClr w14:val="tx1"/>
            </w14:solidFill>
          </w14:textFill>
        </w:rPr>
        <w:t>3</w:t>
      </w:r>
      <w:r>
        <w:rPr>
          <w:rFonts w:ascii="Times New Roman" w:hAnsi="Times New Roman" w:eastAsia="宋体" w:cs="Times New Roman"/>
          <w:b w:val="0"/>
          <w:bCs/>
          <w:color w:val="000000" w:themeColor="text1"/>
          <w:kern w:val="2"/>
          <w:sz w:val="24"/>
          <w:szCs w:val="24"/>
          <w14:textFill>
            <w14:solidFill>
              <w14:schemeClr w14:val="tx1"/>
            </w14:solidFill>
          </w14:textFill>
        </w:rPr>
        <w:t>日均值及小时值均能满足</w:t>
      </w:r>
      <w:r>
        <w:rPr>
          <w:rFonts w:hint="eastAsia" w:ascii="Times New Roman" w:hAnsi="Times New Roman" w:eastAsia="宋体" w:cs="Times New Roman"/>
          <w:b w:val="0"/>
          <w:bCs/>
          <w:color w:val="000000" w:themeColor="text1"/>
          <w:kern w:val="2"/>
          <w:sz w:val="24"/>
          <w:szCs w:val="24"/>
          <w:lang w:eastAsia="zh-CN"/>
          <w14:textFill>
            <w14:solidFill>
              <w14:schemeClr w14:val="tx1"/>
            </w14:solidFill>
          </w14:textFill>
        </w:rPr>
        <w:t>《环境空气质量标准》（GB3095-20</w:t>
      </w:r>
      <w:r>
        <w:rPr>
          <w:rFonts w:hint="eastAsia" w:ascii="Times New Roman" w:hAnsi="Times New Roman" w:eastAsia="宋体" w:cs="Times New Roman"/>
          <w:b w:val="0"/>
          <w:bCs/>
          <w:color w:val="000000" w:themeColor="text1"/>
          <w:kern w:val="2"/>
          <w:sz w:val="24"/>
          <w:szCs w:val="24"/>
          <w:lang w:val="en-US" w:eastAsia="zh-CN"/>
          <w14:textFill>
            <w14:solidFill>
              <w14:schemeClr w14:val="tx1"/>
            </w14:solidFill>
          </w14:textFill>
        </w:rPr>
        <w:t>26</w:t>
      </w:r>
      <w:r>
        <w:rPr>
          <w:rFonts w:hint="eastAsia" w:ascii="Times New Roman" w:hAnsi="Times New Roman" w:eastAsia="宋体" w:cs="Times New Roman"/>
          <w:b w:val="0"/>
          <w:bCs/>
          <w:color w:val="000000" w:themeColor="text1"/>
          <w:kern w:val="2"/>
          <w:sz w:val="24"/>
          <w:szCs w:val="24"/>
          <w:lang w:eastAsia="zh-CN"/>
          <w14:textFill>
            <w14:solidFill>
              <w14:schemeClr w14:val="tx1"/>
            </w14:solidFill>
          </w14:textFill>
        </w:rPr>
        <w:t>）</w:t>
      </w:r>
      <w:r>
        <w:rPr>
          <w:rFonts w:hint="eastAsia" w:ascii="Times New Roman" w:hAnsi="Times New Roman" w:eastAsia="宋体" w:cs="Times New Roman"/>
          <w:b w:val="0"/>
          <w:bCs/>
          <w:color w:val="000000" w:themeColor="text1"/>
          <w:kern w:val="2"/>
          <w:sz w:val="24"/>
          <w:szCs w:val="24"/>
          <w:lang w:val="en-US" w:eastAsia="zh-CN"/>
          <w14:textFill>
            <w14:solidFill>
              <w14:schemeClr w14:val="tx1"/>
            </w14:solidFill>
          </w14:textFill>
        </w:rPr>
        <w:t>表1过渡阶段一级浓度限值和表2一级浓度限值</w:t>
      </w:r>
      <w:r>
        <w:rPr>
          <w:rFonts w:ascii="Times New Roman" w:hAnsi="Times New Roman" w:eastAsia="宋体" w:cs="Times New Roman"/>
          <w:b w:val="0"/>
          <w:bCs/>
          <w:color w:val="000000" w:themeColor="text1"/>
          <w:kern w:val="2"/>
          <w:sz w:val="24"/>
          <w:szCs w:val="24"/>
          <w14:textFill>
            <w14:solidFill>
              <w14:schemeClr w14:val="tx1"/>
            </w14:solidFill>
          </w14:textFill>
        </w:rPr>
        <w:t>，TSP、PM</w:t>
      </w:r>
      <w:r>
        <w:rPr>
          <w:rFonts w:ascii="Times New Roman" w:hAnsi="Times New Roman" w:eastAsia="宋体" w:cs="Times New Roman"/>
          <w:b w:val="0"/>
          <w:bCs/>
          <w:color w:val="000000" w:themeColor="text1"/>
          <w:kern w:val="2"/>
          <w:sz w:val="24"/>
          <w:szCs w:val="24"/>
          <w:vertAlign w:val="subscript"/>
          <w14:textFill>
            <w14:solidFill>
              <w14:schemeClr w14:val="tx1"/>
            </w14:solidFill>
          </w14:textFill>
        </w:rPr>
        <w:t>10</w:t>
      </w:r>
      <w:r>
        <w:rPr>
          <w:rFonts w:ascii="Times New Roman" w:hAnsi="Times New Roman" w:eastAsia="宋体" w:cs="Times New Roman"/>
          <w:b w:val="0"/>
          <w:bCs/>
          <w:color w:val="000000" w:themeColor="text1"/>
          <w:kern w:val="2"/>
          <w:sz w:val="24"/>
          <w:szCs w:val="24"/>
          <w14:textFill>
            <w14:solidFill>
              <w14:schemeClr w14:val="tx1"/>
            </w14:solidFill>
          </w14:textFill>
        </w:rPr>
        <w:t>、PM</w:t>
      </w:r>
      <w:r>
        <w:rPr>
          <w:rFonts w:ascii="Times New Roman" w:hAnsi="Times New Roman" w:eastAsia="宋体" w:cs="Times New Roman"/>
          <w:b w:val="0"/>
          <w:bCs/>
          <w:color w:val="000000" w:themeColor="text1"/>
          <w:kern w:val="2"/>
          <w:sz w:val="24"/>
          <w:szCs w:val="24"/>
          <w:vertAlign w:val="subscript"/>
          <w14:textFill>
            <w14:solidFill>
              <w14:schemeClr w14:val="tx1"/>
            </w14:solidFill>
          </w14:textFill>
        </w:rPr>
        <w:t>2.5</w:t>
      </w:r>
      <w:r>
        <w:rPr>
          <w:rFonts w:ascii="Times New Roman" w:hAnsi="Times New Roman" w:eastAsia="宋体" w:cs="Times New Roman"/>
          <w:b w:val="0"/>
          <w:bCs/>
          <w:color w:val="000000" w:themeColor="text1"/>
          <w:kern w:val="2"/>
          <w:sz w:val="24"/>
          <w:szCs w:val="24"/>
          <w14:textFill>
            <w14:solidFill>
              <w14:schemeClr w14:val="tx1"/>
            </w14:solidFill>
          </w14:textFill>
        </w:rPr>
        <w:t>日均值均能满足</w:t>
      </w:r>
      <w:r>
        <w:rPr>
          <w:rFonts w:hint="eastAsia" w:ascii="Times New Roman" w:hAnsi="Times New Roman" w:eastAsia="宋体" w:cs="Times New Roman"/>
          <w:b w:val="0"/>
          <w:bCs/>
          <w:color w:val="000000" w:themeColor="text1"/>
          <w:kern w:val="2"/>
          <w:sz w:val="24"/>
          <w:szCs w:val="24"/>
          <w:lang w:eastAsia="zh-CN"/>
          <w14:textFill>
            <w14:solidFill>
              <w14:schemeClr w14:val="tx1"/>
            </w14:solidFill>
          </w14:textFill>
        </w:rPr>
        <w:t>《环境空气质量标准》（GB3095-20</w:t>
      </w:r>
      <w:r>
        <w:rPr>
          <w:rFonts w:hint="eastAsia" w:ascii="Times New Roman" w:hAnsi="Times New Roman" w:eastAsia="宋体" w:cs="Times New Roman"/>
          <w:b w:val="0"/>
          <w:bCs/>
          <w:color w:val="000000" w:themeColor="text1"/>
          <w:kern w:val="2"/>
          <w:sz w:val="24"/>
          <w:szCs w:val="24"/>
          <w:lang w:val="en-US" w:eastAsia="zh-CN"/>
          <w14:textFill>
            <w14:solidFill>
              <w14:schemeClr w14:val="tx1"/>
            </w14:solidFill>
          </w14:textFill>
        </w:rPr>
        <w:t>26</w:t>
      </w:r>
      <w:r>
        <w:rPr>
          <w:rFonts w:hint="eastAsia" w:ascii="Times New Roman" w:hAnsi="Times New Roman" w:eastAsia="宋体" w:cs="Times New Roman"/>
          <w:b w:val="0"/>
          <w:bCs/>
          <w:color w:val="000000" w:themeColor="text1"/>
          <w:kern w:val="2"/>
          <w:sz w:val="24"/>
          <w:szCs w:val="24"/>
          <w:lang w:eastAsia="zh-CN"/>
          <w14:textFill>
            <w14:solidFill>
              <w14:schemeClr w14:val="tx1"/>
            </w14:solidFill>
          </w14:textFill>
        </w:rPr>
        <w:t>）</w:t>
      </w:r>
      <w:r>
        <w:rPr>
          <w:rFonts w:hint="eastAsia" w:ascii="Times New Roman" w:hAnsi="Times New Roman" w:eastAsia="宋体" w:cs="Times New Roman"/>
          <w:b w:val="0"/>
          <w:bCs/>
          <w:color w:val="000000" w:themeColor="text1"/>
          <w:kern w:val="2"/>
          <w:sz w:val="24"/>
          <w:szCs w:val="24"/>
          <w:lang w:val="en-US" w:eastAsia="zh-CN"/>
          <w14:textFill>
            <w14:solidFill>
              <w14:schemeClr w14:val="tx1"/>
            </w14:solidFill>
          </w14:textFill>
        </w:rPr>
        <w:t>表1过渡阶段一级浓度限值和表2一级浓度限值</w:t>
      </w:r>
      <w:r>
        <w:rPr>
          <w:rFonts w:ascii="Times New Roman" w:hAnsi="Times New Roman" w:eastAsia="宋体" w:cs="Times New Roman"/>
          <w:b w:val="0"/>
          <w:bCs/>
          <w:color w:val="000000" w:themeColor="text1"/>
          <w:kern w:val="2"/>
          <w:sz w:val="24"/>
          <w:szCs w:val="24"/>
          <w14:textFill>
            <w14:solidFill>
              <w14:schemeClr w14:val="tx1"/>
            </w14:solidFill>
          </w14:textFill>
        </w:rPr>
        <w:t>，</w:t>
      </w:r>
      <w:r>
        <w:rPr>
          <w:rFonts w:hint="eastAsia" w:cs="Times New Roman"/>
          <w:b w:val="0"/>
          <w:bCs/>
          <w:color w:val="000000" w:themeColor="text1"/>
          <w:kern w:val="2"/>
          <w:sz w:val="24"/>
          <w:szCs w:val="24"/>
          <w:lang w:val="en-US" w:eastAsia="zh-CN"/>
          <w14:textFill>
            <w14:solidFill>
              <w14:schemeClr w14:val="tx1"/>
            </w14:solidFill>
          </w14:textFill>
        </w:rPr>
        <w:t>甲醛</w:t>
      </w:r>
      <w:r>
        <w:rPr>
          <w:rFonts w:ascii="Times New Roman" w:hAnsi="Times New Roman" w:eastAsia="宋体" w:cs="Times New Roman"/>
          <w:b w:val="0"/>
          <w:bCs/>
          <w:color w:val="000000" w:themeColor="text1"/>
          <w:kern w:val="2"/>
          <w:sz w:val="24"/>
          <w:szCs w:val="24"/>
          <w14:textFill>
            <w14:solidFill>
              <w14:schemeClr w14:val="tx1"/>
            </w14:solidFill>
          </w14:textFill>
        </w:rPr>
        <w:t>满足《环境影响评价技术导则</w:t>
      </w:r>
      <w:r>
        <w:rPr>
          <w:rFonts w:hint="eastAsia" w:ascii="Times New Roman" w:hAnsi="Times New Roman" w:eastAsia="宋体" w:cs="Times New Roman"/>
          <w:b w:val="0"/>
          <w:bCs/>
          <w:color w:val="000000" w:themeColor="text1"/>
          <w:kern w:val="2"/>
          <w:sz w:val="24"/>
          <w:szCs w:val="24"/>
          <w:lang w:val="en-US" w:eastAsia="zh-CN"/>
          <w14:textFill>
            <w14:solidFill>
              <w14:schemeClr w14:val="tx1"/>
            </w14:solidFill>
          </w14:textFill>
        </w:rPr>
        <w:t xml:space="preserve"> </w:t>
      </w:r>
      <w:r>
        <w:rPr>
          <w:rFonts w:ascii="Times New Roman" w:hAnsi="Times New Roman" w:eastAsia="宋体" w:cs="Times New Roman"/>
          <w:b w:val="0"/>
          <w:bCs/>
          <w:color w:val="000000" w:themeColor="text1"/>
          <w:kern w:val="2"/>
          <w:sz w:val="24"/>
          <w:szCs w:val="24"/>
          <w14:textFill>
            <w14:solidFill>
              <w14:schemeClr w14:val="tx1"/>
            </w14:solidFill>
          </w14:textFill>
        </w:rPr>
        <w:t>大气环境》（HJ2.2-2018）中附录</w:t>
      </w:r>
      <w:r>
        <w:rPr>
          <w:rFonts w:hint="eastAsia" w:ascii="Times New Roman" w:hAnsi="Times New Roman" w:eastAsia="宋体" w:cs="Times New Roman"/>
          <w:b w:val="0"/>
          <w:bCs/>
          <w:color w:val="000000" w:themeColor="text1"/>
          <w:kern w:val="2"/>
          <w:sz w:val="24"/>
          <w:szCs w:val="24"/>
          <w14:textFill>
            <w14:solidFill>
              <w14:schemeClr w14:val="tx1"/>
            </w14:solidFill>
          </w14:textFill>
        </w:rPr>
        <w:t>D</w:t>
      </w:r>
      <w:r>
        <w:rPr>
          <w:rFonts w:ascii="Times New Roman" w:hAnsi="Times New Roman" w:eastAsia="宋体" w:cs="Times New Roman"/>
          <w:b w:val="0"/>
          <w:bCs/>
          <w:color w:val="000000" w:themeColor="text1"/>
          <w:kern w:val="2"/>
          <w:sz w:val="24"/>
          <w:szCs w:val="24"/>
          <w14:textFill>
            <w14:solidFill>
              <w14:schemeClr w14:val="tx1"/>
            </w14:solidFill>
          </w14:textFill>
        </w:rPr>
        <w:t>表D.1中浓度限值</w:t>
      </w:r>
      <w:r>
        <w:rPr>
          <w:rFonts w:hint="eastAsia" w:cs="Times New Roman"/>
          <w:b w:val="0"/>
          <w:bCs/>
          <w:color w:val="000000" w:themeColor="text1"/>
          <w:kern w:val="2"/>
          <w:sz w:val="24"/>
          <w:szCs w:val="24"/>
          <w:lang w:eastAsia="zh-CN"/>
          <w14:textFill>
            <w14:solidFill>
              <w14:schemeClr w14:val="tx1"/>
            </w14:solidFill>
          </w14:textFill>
        </w:rPr>
        <w:t>，</w:t>
      </w:r>
      <w:r>
        <w:rPr>
          <w:rFonts w:hint="eastAsia" w:cs="Times New Roman"/>
          <w:b w:val="0"/>
          <w:bCs/>
          <w:color w:val="000000" w:themeColor="text1"/>
          <w:kern w:val="2"/>
          <w:sz w:val="24"/>
          <w:szCs w:val="24"/>
          <w:lang w:val="en-US" w:eastAsia="zh-CN"/>
          <w14:textFill>
            <w14:solidFill>
              <w14:schemeClr w14:val="tx1"/>
            </w14:solidFill>
          </w14:textFill>
        </w:rPr>
        <w:t>非甲烷总烃满足《大气污染物综合排放标准详解》中非甲烷总烃参考限值</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p>
    <w:p w14:paraId="18738912">
      <w:pPr>
        <w:pStyle w:val="79"/>
        <w:bidi w:val="0"/>
        <w:rPr>
          <w:rFonts w:hint="default"/>
          <w:color w:val="000000" w:themeColor="text1"/>
          <w:lang w:val="en-US" w:eastAsia="zh-CN"/>
          <w14:textFill>
            <w14:solidFill>
              <w14:schemeClr w14:val="tx1"/>
            </w14:solidFill>
          </w14:textFill>
        </w:rPr>
        <w:sectPr>
          <w:pgSz w:w="16838" w:h="11906" w:orient="landscape"/>
          <w:pgMar w:top="1531" w:right="1701" w:bottom="1531" w:left="1701" w:header="851" w:footer="850" w:gutter="0"/>
          <w:pgBorders>
            <w:top w:val="none" w:sz="0" w:space="0"/>
            <w:left w:val="none" w:sz="0" w:space="0"/>
            <w:bottom w:val="none" w:sz="0" w:space="0"/>
            <w:right w:val="none" w:sz="0" w:space="0"/>
          </w:pgBorders>
          <w:cols w:space="0" w:num="1"/>
          <w:docGrid w:linePitch="312" w:charSpace="0"/>
        </w:sectPr>
      </w:pPr>
    </w:p>
    <w:p w14:paraId="359965C5">
      <w:pPr>
        <w:pStyle w:val="3"/>
        <w:bidi w:val="0"/>
        <w:rPr>
          <w:rFonts w:hint="eastAsia"/>
          <w:color w:val="000000" w:themeColor="text1"/>
          <w:lang w:val="en-US" w:eastAsia="zh-CN"/>
          <w14:textFill>
            <w14:solidFill>
              <w14:schemeClr w14:val="tx1"/>
            </w14:solidFill>
          </w14:textFill>
        </w:rPr>
      </w:pPr>
      <w:bookmarkStart w:id="474" w:name="_Toc14197"/>
      <w:bookmarkStart w:id="475" w:name="_Toc29284"/>
      <w:bookmarkStart w:id="476" w:name="_Toc8520"/>
      <w:r>
        <w:rPr>
          <w:rFonts w:hint="eastAsia"/>
          <w:color w:val="000000" w:themeColor="text1"/>
          <w:lang w:val="en-US" w:eastAsia="zh-CN"/>
          <w14:textFill>
            <w14:solidFill>
              <w14:schemeClr w14:val="tx1"/>
            </w14:solidFill>
          </w14:textFill>
        </w:rPr>
        <w:t>2.3 环境敏感区</w:t>
      </w:r>
      <w:bookmarkEnd w:id="474"/>
      <w:bookmarkEnd w:id="475"/>
      <w:bookmarkEnd w:id="476"/>
    </w:p>
    <w:p w14:paraId="333BBDE0">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项目大气环境评价范围内涉及易门县翠柏自然保护区。</w:t>
      </w:r>
    </w:p>
    <w:p w14:paraId="26FE1E17">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易门县翠柏地方级自然保护区（以下简称自然保护区）由《易门县人民政府关于对县环保局请求建立易门县翠柏地方级自然保护区的批复》易政复字</w:t>
      </w:r>
      <w:r>
        <w:rPr>
          <w:rFonts w:hint="eastAsia"/>
          <w:color w:val="000000" w:themeColor="text1"/>
          <w:lang w:val="en-US" w:eastAsia="zh-CN"/>
          <w14:textFill>
            <w14:solidFill>
              <w14:schemeClr w14:val="tx1"/>
            </w14:solidFill>
          </w14:textFill>
        </w:rPr>
        <w:t>〔2000〕20号</w:t>
      </w:r>
      <w:r>
        <w:rPr>
          <w:rFonts w:hint="default"/>
          <w:color w:val="000000" w:themeColor="text1"/>
          <w:lang w:val="en-US" w:eastAsia="zh-CN"/>
          <w14:textFill>
            <w14:solidFill>
              <w14:schemeClr w14:val="tx1"/>
            </w14:solidFill>
          </w14:textFill>
        </w:rPr>
        <w:t>文件同意建立。位于易门县六街街道境内，范围涉及六街街道茶树、二街、柏树、旧县四个村委会的林地范围，地处东经102°4′~102°18′，北纬24°43′~24°55′，自然保护区分为核心区、缓冲区、实验区三个部分，总面积为7800公顷。</w:t>
      </w:r>
    </w:p>
    <w:p w14:paraId="22740D8F">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2013年对易门县翠柏地方级自然保护区的保护范围做了调整，调整后分布的茶树、二街、六街、柏树、旧县、铁厂六个村（居）委会，自然保护区分为核心区、缓冲区、实验区三个部分，总面积为3168.3公顷。</w:t>
      </w:r>
    </w:p>
    <w:p w14:paraId="37A75728">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2015年根据滇中产业新区发展布局及经济社会发展的需要，通过实地调查、调整后范围包括翠柏集中分布的茶树、二街、六街、柏树、旧县、铁厂、白邑七个村（居）委会，地处东经102° 4'~108° 18’，北纬24°43'~29°55′，自然保护区总面积为3168.3公顷。</w:t>
      </w:r>
    </w:p>
    <w:p w14:paraId="207EACD9">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新规划调整的易门县翠柏自然保护区区域沿</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安易</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二级公路两侧村寨后翠柏成片分布，东至：东山山脊分水岭；南至：徐家箐房后山顶至铁厂白邑村交界；西至：白邑村、铁厂村马起库山梁、岔河坝接小街乡山林、茶树白龙水库、哨箐、峨罗邑大坡、大梁子、小瓦房、裱罗、大陆庄、老扁冲；北至：白龙水库、二台坡与安宁交界，保护面积3168.3公顷。</w:t>
      </w:r>
    </w:p>
    <w:p w14:paraId="63788A99">
      <w:pPr>
        <w:pStyle w:val="79"/>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根据调查，易门县翠柏地方级自然保护区核心区位于本项目西北侧与东南侧，西北侧与本项目直线距离为</w:t>
      </w:r>
      <w:r>
        <w:rPr>
          <w:rFonts w:hint="eastAsia"/>
          <w:color w:val="000000" w:themeColor="text1"/>
          <w:highlight w:val="none"/>
          <w:lang w:val="en-US" w:eastAsia="zh-CN"/>
          <w14:textFill>
            <w14:solidFill>
              <w14:schemeClr w14:val="tx1"/>
            </w14:solidFill>
          </w14:textFill>
        </w:rPr>
        <w:t>2.40</w:t>
      </w:r>
      <w:r>
        <w:rPr>
          <w:rFonts w:hint="default"/>
          <w:color w:val="000000" w:themeColor="text1"/>
          <w:highlight w:val="none"/>
          <w:lang w:val="en-US" w:eastAsia="zh-CN"/>
          <w14:textFill>
            <w14:solidFill>
              <w14:schemeClr w14:val="tx1"/>
            </w14:solidFill>
          </w14:textFill>
        </w:rPr>
        <w:t>km，东北侧与本项目直线距离为1.</w:t>
      </w:r>
      <w:r>
        <w:rPr>
          <w:rFonts w:hint="eastAsia"/>
          <w:color w:val="000000" w:themeColor="text1"/>
          <w:highlight w:val="none"/>
          <w:lang w:val="en-US" w:eastAsia="zh-CN"/>
          <w14:textFill>
            <w14:solidFill>
              <w14:schemeClr w14:val="tx1"/>
            </w14:solidFill>
          </w14:textFill>
        </w:rPr>
        <w:t>80</w:t>
      </w:r>
      <w:r>
        <w:rPr>
          <w:rFonts w:hint="default"/>
          <w:color w:val="000000" w:themeColor="text1"/>
          <w:highlight w:val="none"/>
          <w:lang w:val="en-US" w:eastAsia="zh-CN"/>
          <w14:textFill>
            <w14:solidFill>
              <w14:schemeClr w14:val="tx1"/>
            </w14:solidFill>
          </w14:textFill>
        </w:rPr>
        <w:t>km。因此，本项目不在易门县翠柏地方级自然保护区范围内。</w:t>
      </w:r>
    </w:p>
    <w:p w14:paraId="755CBDE3">
      <w:pPr>
        <w:keepNext/>
        <w:keepLines/>
        <w:widowControl w:val="0"/>
        <w:numPr>
          <w:ilvl w:val="0"/>
          <w:numId w:val="0"/>
        </w:numPr>
        <w:bidi w:val="0"/>
        <w:spacing w:before="360" w:after="360" w:line="480" w:lineRule="exact"/>
        <w:ind w:firstLine="0" w:firstLineChars="0"/>
        <w:jc w:val="both"/>
        <w:outlineLvl w:val="0"/>
        <w:rPr>
          <w:rFonts w:hint="eastAsia" w:ascii="Times New Roman" w:hAnsi="Times New Roman" w:eastAsia="宋体" w:cs="Times New Roman"/>
          <w:b/>
          <w:bCs/>
          <w:color w:val="000000" w:themeColor="text1"/>
          <w:kern w:val="44"/>
          <w:sz w:val="32"/>
          <w:szCs w:val="30"/>
          <w:lang w:val="en-US" w:eastAsia="zh-CN" w:bidi="ar-SA"/>
          <w14:textFill>
            <w14:solidFill>
              <w14:schemeClr w14:val="tx1"/>
            </w14:solidFill>
          </w14:textFill>
        </w:rPr>
      </w:pPr>
      <w:bookmarkStart w:id="477" w:name="_Toc5553"/>
      <w:bookmarkStart w:id="478" w:name="_Toc7410"/>
      <w:bookmarkStart w:id="479" w:name="_Toc29758"/>
      <w:r>
        <w:rPr>
          <w:rFonts w:hint="eastAsia" w:ascii="Times New Roman" w:hAnsi="Times New Roman" w:eastAsia="宋体" w:cs="Times New Roman"/>
          <w:b/>
          <w:bCs/>
          <w:color w:val="000000" w:themeColor="text1"/>
          <w:kern w:val="44"/>
          <w:sz w:val="32"/>
          <w:szCs w:val="30"/>
          <w:lang w:val="en-US" w:eastAsia="zh-CN" w:bidi="ar-SA"/>
          <w14:textFill>
            <w14:solidFill>
              <w14:schemeClr w14:val="tx1"/>
            </w14:solidFill>
          </w14:textFill>
        </w:rPr>
        <w:t>3、主要污染物及控制措施</w:t>
      </w:r>
      <w:bookmarkEnd w:id="477"/>
      <w:bookmarkEnd w:id="478"/>
      <w:bookmarkEnd w:id="479"/>
    </w:p>
    <w:p w14:paraId="1AA2A576">
      <w:pPr>
        <w:pStyle w:val="3"/>
        <w:bidi w:val="0"/>
        <w:rPr>
          <w:rFonts w:hint="eastAsia"/>
          <w:color w:val="000000" w:themeColor="text1"/>
          <w:lang w:val="en-US" w:eastAsia="zh-CN"/>
          <w14:textFill>
            <w14:solidFill>
              <w14:schemeClr w14:val="tx1"/>
            </w14:solidFill>
          </w14:textFill>
        </w:rPr>
      </w:pPr>
      <w:bookmarkStart w:id="480" w:name="_Toc26444"/>
      <w:bookmarkStart w:id="481" w:name="_Toc13722"/>
      <w:bookmarkStart w:id="482" w:name="_Toc14101"/>
      <w:r>
        <w:rPr>
          <w:rFonts w:hint="eastAsia"/>
          <w:color w:val="000000" w:themeColor="text1"/>
          <w:lang w:val="en-US" w:eastAsia="zh-CN"/>
          <w14:textFill>
            <w14:solidFill>
              <w14:schemeClr w14:val="tx1"/>
            </w14:solidFill>
          </w14:textFill>
        </w:rPr>
        <w:t>3.1 施工期污染物及控制措施</w:t>
      </w:r>
      <w:bookmarkEnd w:id="480"/>
      <w:bookmarkEnd w:id="481"/>
      <w:bookmarkEnd w:id="482"/>
    </w:p>
    <w:p w14:paraId="375BA2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32"/>
          <w:lang w:val="en-US" w:eastAsia="zh-CN"/>
          <w14:textFill>
            <w14:solidFill>
              <w14:schemeClr w14:val="tx1"/>
            </w14:solidFill>
          </w14:textFill>
        </w:rPr>
      </w:pPr>
      <w:r>
        <w:rPr>
          <w:rFonts w:hint="default" w:ascii="Times New Roman" w:hAnsi="Times New Roman" w:eastAsia="宋体" w:cs="Times New Roman"/>
          <w:color w:val="000000" w:themeColor="text1"/>
          <w:sz w:val="24"/>
          <w:szCs w:val="32"/>
          <w:lang w:val="en-US" w:eastAsia="zh-CN"/>
          <w14:textFill>
            <w14:solidFill>
              <w14:schemeClr w14:val="tx1"/>
            </w14:solidFill>
          </w14:textFill>
        </w:rPr>
        <w:t>本项目租用云南联帆建材科技有限公司内闲置厂房及闲置空地进行密胺餐具生产，施工期主要是对生产车间内部进行适应性改造，建设产品堆放区，在生产车间安装生产设备以及相关环保设施和配套辅助设施后投入使用</w:t>
      </w:r>
      <w:r>
        <w:rPr>
          <w:rFonts w:hint="eastAsia" w:ascii="Times New Roman" w:hAnsi="Times New Roman" w:eastAsia="宋体" w:cs="Times New Roman"/>
          <w:color w:val="000000" w:themeColor="text1"/>
          <w:sz w:val="24"/>
          <w:szCs w:val="32"/>
          <w:lang w:val="en-US" w:eastAsia="zh-CN"/>
          <w14:textFill>
            <w14:solidFill>
              <w14:schemeClr w14:val="tx1"/>
            </w14:solidFill>
          </w14:textFill>
        </w:rPr>
        <w:t>。</w:t>
      </w:r>
    </w:p>
    <w:p w14:paraId="04ED28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32"/>
          <w:lang w:val="en-US" w:eastAsia="zh-CN"/>
          <w14:textFill>
            <w14:solidFill>
              <w14:schemeClr w14:val="tx1"/>
            </w14:solidFill>
          </w14:textFill>
        </w:rPr>
      </w:pPr>
      <w:r>
        <w:rPr>
          <w:rFonts w:hint="default" w:ascii="Times New Roman" w:hAnsi="Times New Roman" w:eastAsia="宋体" w:cs="Times New Roman"/>
          <w:color w:val="000000" w:themeColor="text1"/>
          <w:sz w:val="24"/>
          <w:szCs w:val="32"/>
          <w:lang w:val="en-US" w:eastAsia="zh-CN"/>
          <w14:textFill>
            <w14:solidFill>
              <w14:schemeClr w14:val="tx1"/>
            </w14:solidFill>
          </w14:textFill>
        </w:rPr>
        <w:t>项目施工期产生的废气主要为车辆尾气及机械废气、扬尘、焊接烟尘。</w:t>
      </w:r>
    </w:p>
    <w:p w14:paraId="669D305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000000" w:themeColor="text1"/>
          <w:sz w:val="24"/>
          <w:szCs w:val="32"/>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32"/>
          <w:lang w:val="en-US" w:eastAsia="zh-CN"/>
          <w14:textFill>
            <w14:solidFill>
              <w14:schemeClr w14:val="tx1"/>
            </w14:solidFill>
          </w14:textFill>
        </w:rPr>
        <w:t>（1）车辆尾气及机械废气治理对策措施</w:t>
      </w:r>
    </w:p>
    <w:p w14:paraId="50F2D3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32"/>
          <w:lang w:val="en-US" w:eastAsia="zh-CN"/>
          <w14:textFill>
            <w14:solidFill>
              <w14:schemeClr w14:val="tx1"/>
            </w14:solidFill>
          </w14:textFill>
        </w:rPr>
      </w:pPr>
      <w:r>
        <w:rPr>
          <w:rFonts w:hint="default" w:ascii="Times New Roman" w:hAnsi="Times New Roman" w:eastAsia="宋体" w:cs="Times New Roman"/>
          <w:color w:val="000000" w:themeColor="text1"/>
          <w:sz w:val="24"/>
          <w:szCs w:val="32"/>
          <w:lang w:val="en-US" w:eastAsia="zh-CN"/>
          <w14:textFill>
            <w14:solidFill>
              <w14:schemeClr w14:val="tx1"/>
            </w14:solidFill>
          </w14:textFill>
        </w:rPr>
        <w:t>针对车辆汽车尾气及机械废气，尽量使用尾气达标的柴油施工机械设备。</w:t>
      </w:r>
    </w:p>
    <w:p w14:paraId="6E8393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000000" w:themeColor="text1"/>
          <w:sz w:val="24"/>
          <w:szCs w:val="32"/>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32"/>
          <w:lang w:val="en-US" w:eastAsia="zh-CN"/>
          <w14:textFill>
            <w14:solidFill>
              <w14:schemeClr w14:val="tx1"/>
            </w14:solidFill>
          </w14:textFill>
        </w:rPr>
        <w:t>（2）控制扬尘污染的对策措施</w:t>
      </w:r>
    </w:p>
    <w:p w14:paraId="52DC35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cs="Times New Roman"/>
          <w:color w:val="000000" w:themeColor="text1"/>
          <w:sz w:val="24"/>
          <w:szCs w:val="32"/>
          <w:lang w:val="en-US" w:eastAsia="zh-CN"/>
          <w14:textFill>
            <w14:solidFill>
              <w14:schemeClr w14:val="tx1"/>
            </w14:solidFill>
          </w14:textFill>
        </w:rPr>
        <w:t>①</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施工物料卸载应避免在大风天气时进行；</w:t>
      </w:r>
    </w:p>
    <w:p w14:paraId="49659F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32"/>
          <w:lang w:val="en-US" w:eastAsia="zh-CN"/>
          <w14:textFill>
            <w14:solidFill>
              <w14:schemeClr w14:val="tx1"/>
            </w14:solidFill>
          </w14:textFill>
        </w:rPr>
      </w:pPr>
      <w:r>
        <w:rPr>
          <w:rFonts w:hint="default" w:ascii="Times New Roman" w:hAnsi="Times New Roman" w:eastAsia="宋体" w:cs="Times New Roman"/>
          <w:color w:val="000000" w:themeColor="text1"/>
          <w:sz w:val="24"/>
          <w:szCs w:val="32"/>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4"/>
          <w:szCs w:val="32"/>
          <w:lang w:val="en-US" w:eastAsia="zh-CN"/>
          <w14:textFill>
            <w14:solidFill>
              <w14:schemeClr w14:val="tx1"/>
            </w14:solidFill>
          </w14:textFill>
        </w:rPr>
        <w:instrText xml:space="preserve">= 2 \* GB3</w:instrTex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fldChar w:fldCharType="separate"/>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②</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fldChar w:fldCharType="end"/>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施工场地要定期进行洒水降尘；</w:t>
      </w:r>
    </w:p>
    <w:p w14:paraId="4A1A84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32"/>
          <w:lang w:val="en-US" w:eastAsia="zh-CN"/>
          <w14:textFill>
            <w14:solidFill>
              <w14:schemeClr w14:val="tx1"/>
            </w14:solidFill>
          </w14:textFill>
        </w:rPr>
      </w:pPr>
      <w:r>
        <w:rPr>
          <w:rFonts w:hint="default" w:ascii="Times New Roman" w:hAnsi="Times New Roman" w:eastAsia="宋体" w:cs="Times New Roman"/>
          <w:color w:val="000000" w:themeColor="text1"/>
          <w:sz w:val="24"/>
          <w:szCs w:val="32"/>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4"/>
          <w:szCs w:val="32"/>
          <w:lang w:val="en-US" w:eastAsia="zh-CN"/>
          <w14:textFill>
            <w14:solidFill>
              <w14:schemeClr w14:val="tx1"/>
            </w14:solidFill>
          </w14:textFill>
        </w:rPr>
        <w:instrText xml:space="preserve">= 3 \* GB3</w:instrTex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fldChar w:fldCharType="separate"/>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③</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fldChar w:fldCharType="end"/>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物料堆存及运输采用封闭措施；</w:t>
      </w:r>
    </w:p>
    <w:p w14:paraId="2FC77D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32"/>
          <w:lang w:val="en-US" w:eastAsia="zh-CN"/>
          <w14:textFill>
            <w14:solidFill>
              <w14:schemeClr w14:val="tx1"/>
            </w14:solidFill>
          </w14:textFill>
        </w:rPr>
      </w:pPr>
      <w:r>
        <w:rPr>
          <w:rFonts w:hint="default" w:ascii="Times New Roman" w:hAnsi="Times New Roman" w:eastAsia="宋体" w:cs="Times New Roman"/>
          <w:color w:val="000000" w:themeColor="text1"/>
          <w:sz w:val="24"/>
          <w:szCs w:val="32"/>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4"/>
          <w:szCs w:val="32"/>
          <w:lang w:val="en-US" w:eastAsia="zh-CN"/>
          <w14:textFill>
            <w14:solidFill>
              <w14:schemeClr w14:val="tx1"/>
            </w14:solidFill>
          </w14:textFill>
        </w:rPr>
        <w:instrText xml:space="preserve">= 4 \* GB3</w:instrTex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fldChar w:fldCharType="separate"/>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④</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fldChar w:fldCharType="end"/>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施工垃圾应及时清运，适量洒水，减少扬尘。</w:t>
      </w:r>
    </w:p>
    <w:p w14:paraId="3FCCBC5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000000" w:themeColor="text1"/>
          <w:sz w:val="24"/>
          <w:szCs w:val="32"/>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32"/>
          <w:lang w:val="en-US" w:eastAsia="zh-CN"/>
          <w14:textFill>
            <w14:solidFill>
              <w14:schemeClr w14:val="tx1"/>
            </w14:solidFill>
          </w14:textFill>
        </w:rPr>
        <w:t>（3）焊接烟尘</w:t>
      </w:r>
    </w:p>
    <w:p w14:paraId="7C79A5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32"/>
          <w:lang w:val="en-US" w:eastAsia="zh-CN"/>
          <w14:textFill>
            <w14:solidFill>
              <w14:schemeClr w14:val="tx1"/>
            </w14:solidFill>
          </w14:textFill>
        </w:rPr>
      </w:pPr>
      <w:r>
        <w:rPr>
          <w:rFonts w:hint="default" w:ascii="Times New Roman" w:hAnsi="Times New Roman" w:eastAsia="宋体" w:cs="Times New Roman"/>
          <w:color w:val="000000" w:themeColor="text1"/>
          <w:sz w:val="24"/>
          <w:szCs w:val="32"/>
          <w:lang w:val="en-US" w:eastAsia="zh-CN"/>
          <w14:textFill>
            <w14:solidFill>
              <w14:schemeClr w14:val="tx1"/>
            </w14:solidFill>
          </w14:textFill>
        </w:rPr>
        <w:t>由于项目空旷，利于废气稀释、扩散，焊接烟尘经稀释扩散后排放。</w:t>
      </w:r>
    </w:p>
    <w:p w14:paraId="3A00A764">
      <w:pPr>
        <w:pStyle w:val="3"/>
        <w:bidi w:val="0"/>
        <w:rPr>
          <w:rFonts w:hint="eastAsia"/>
          <w:color w:val="000000" w:themeColor="text1"/>
          <w:lang w:val="en-US" w:eastAsia="zh-CN"/>
          <w14:textFill>
            <w14:solidFill>
              <w14:schemeClr w14:val="tx1"/>
            </w14:solidFill>
          </w14:textFill>
        </w:rPr>
      </w:pPr>
      <w:bookmarkStart w:id="483" w:name="_Toc26838"/>
      <w:bookmarkStart w:id="484" w:name="_Toc22643"/>
      <w:bookmarkStart w:id="485" w:name="_Toc14240"/>
      <w:r>
        <w:rPr>
          <w:rFonts w:hint="eastAsia"/>
          <w:color w:val="000000" w:themeColor="text1"/>
          <w:lang w:val="en-US" w:eastAsia="zh-CN"/>
          <w14:textFill>
            <w14:solidFill>
              <w14:schemeClr w14:val="tx1"/>
            </w14:solidFill>
          </w14:textFill>
        </w:rPr>
        <w:t>3.2运营期污染物及控制措施</w:t>
      </w:r>
      <w:bookmarkEnd w:id="483"/>
      <w:bookmarkEnd w:id="484"/>
      <w:bookmarkEnd w:id="485"/>
    </w:p>
    <w:p w14:paraId="152F96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项目运营期产生的废气主要为：电预热、模压成型、罩光废气</w:t>
      </w:r>
      <w:r>
        <w:rPr>
          <w:rFonts w:hint="eastAsia" w:ascii="Times New Roman" w:hAnsi="Times New Roman" w:eastAsia="宋体" w:cs="Times New Roman"/>
          <w:color w:val="000000" w:themeColor="text1"/>
          <w:sz w:val="24"/>
          <w:lang w:val="en-US" w:eastAsia="zh-CN"/>
          <w14:textFill>
            <w14:solidFill>
              <w14:schemeClr w14:val="tx1"/>
            </w14:solidFill>
          </w14:textFill>
        </w:rPr>
        <w:t>、称量打磨废气、人工修边废气、生产车间未收集废气等</w:t>
      </w:r>
      <w:r>
        <w:rPr>
          <w:rFonts w:hint="default" w:ascii="Times New Roman" w:hAnsi="Times New Roman" w:eastAsia="宋体" w:cs="Times New Roman"/>
          <w:color w:val="000000" w:themeColor="text1"/>
          <w:sz w:val="24"/>
          <w:lang w:val="en-US" w:eastAsia="zh-CN"/>
          <w14:textFill>
            <w14:solidFill>
              <w14:schemeClr w14:val="tx1"/>
            </w14:solidFill>
          </w14:textFill>
        </w:rPr>
        <w:t>。</w:t>
      </w:r>
    </w:p>
    <w:p w14:paraId="5440ECD4">
      <w:pPr>
        <w:keepNext/>
        <w:keepLines/>
        <w:widowControl w:val="0"/>
        <w:bidi w:val="0"/>
        <w:spacing w:beforeLines="0" w:beforeAutospacing="0" w:afterLines="0" w:afterAutospacing="0" w:line="360" w:lineRule="auto"/>
        <w:ind w:firstLine="0" w:firstLineChars="0"/>
        <w:jc w:val="both"/>
        <w:outlineLvl w:val="2"/>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bookmarkStart w:id="486" w:name="_Toc11636"/>
      <w:bookmarkStart w:id="487" w:name="_Toc3912"/>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3.2.1 废气产排污计算</w:t>
      </w:r>
      <w:bookmarkEnd w:id="486"/>
      <w:bookmarkEnd w:id="487"/>
    </w:p>
    <w:p w14:paraId="2EDFAB93">
      <w:pPr>
        <w:bidi w:val="0"/>
        <w:spacing w:line="360" w:lineRule="auto"/>
        <w:ind w:firstLine="482" w:firstLineChars="200"/>
        <w:rPr>
          <w:rFonts w:hint="eastAsia" w:ascii="Times New Roman" w:hAnsi="Times New Roman" w:eastAsia="宋体" w:cs="Times New Roman"/>
          <w:b/>
          <w:bCs/>
          <w:color w:val="000000" w:themeColor="text1"/>
          <w:sz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lang w:val="en-US" w:eastAsia="zh-CN"/>
          <w14:textFill>
            <w14:solidFill>
              <w14:schemeClr w14:val="tx1"/>
            </w14:solidFill>
          </w14:textFill>
        </w:rPr>
        <w:t>1、源强核算</w:t>
      </w:r>
    </w:p>
    <w:p w14:paraId="17B57DED">
      <w:pPr>
        <w:bidi w:val="0"/>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本项目废气主要包括：电预热、模压成型、罩光废气</w:t>
      </w:r>
      <w:r>
        <w:rPr>
          <w:rFonts w:hint="eastAsia" w:ascii="Times New Roman" w:hAnsi="Times New Roman" w:eastAsia="宋体" w:cs="Times New Roman"/>
          <w:color w:val="000000" w:themeColor="text1"/>
          <w:sz w:val="24"/>
          <w:lang w:val="en-US" w:eastAsia="zh-CN"/>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称量打磨废气</w:t>
      </w:r>
      <w:r>
        <w:rPr>
          <w:rFonts w:hint="eastAsia" w:ascii="Times New Roman" w:hAnsi="Times New Roman" w:eastAsia="宋体" w:cs="Times New Roman"/>
          <w:color w:val="000000" w:themeColor="text1"/>
          <w:sz w:val="24"/>
          <w:lang w:val="en-US" w:eastAsia="zh-CN"/>
          <w14:textFill>
            <w14:solidFill>
              <w14:schemeClr w14:val="tx1"/>
            </w14:solidFill>
          </w14:textFill>
        </w:rPr>
        <w:t>与</w:t>
      </w:r>
      <w:r>
        <w:rPr>
          <w:rFonts w:hint="eastAsia" w:cs="Times New Roman"/>
          <w:color w:val="000000" w:themeColor="text1"/>
          <w:sz w:val="24"/>
          <w:lang w:val="en-US" w:eastAsia="zh-CN"/>
          <w14:textFill>
            <w14:solidFill>
              <w14:schemeClr w14:val="tx1"/>
            </w14:solidFill>
          </w14:textFill>
        </w:rPr>
        <w:t>集气罩未收集无组织废气</w:t>
      </w:r>
      <w:r>
        <w:rPr>
          <w:rFonts w:hint="default" w:ascii="Times New Roman" w:hAnsi="Times New Roman" w:eastAsia="宋体" w:cs="Times New Roman"/>
          <w:color w:val="000000" w:themeColor="text1"/>
          <w:sz w:val="24"/>
          <w:lang w:val="en-US" w:eastAsia="zh-CN"/>
          <w14:textFill>
            <w14:solidFill>
              <w14:schemeClr w14:val="tx1"/>
            </w14:solidFill>
          </w14:textFill>
        </w:rPr>
        <w:t>。项目污染物源强主要采用</w:t>
      </w:r>
      <w:r>
        <w:rPr>
          <w:rFonts w:hint="eastAsia" w:ascii="Times New Roman" w:hAnsi="Times New Roman" w:eastAsia="宋体" w:cs="Times New Roman"/>
          <w:color w:val="000000" w:themeColor="text1"/>
          <w:sz w:val="24"/>
          <w:lang w:val="en-US" w:eastAsia="zh-CN"/>
          <w14:textFill>
            <w14:solidFill>
              <w14:schemeClr w14:val="tx1"/>
            </w14:solidFill>
          </w14:textFill>
        </w:rPr>
        <w:t>类比法以及</w:t>
      </w:r>
      <w:r>
        <w:rPr>
          <w:rFonts w:hint="default" w:ascii="Times New Roman" w:hAnsi="Times New Roman" w:eastAsia="宋体" w:cs="Times New Roman"/>
          <w:color w:val="000000" w:themeColor="text1"/>
          <w:sz w:val="24"/>
          <w:lang w:val="en-US" w:eastAsia="zh-CN"/>
          <w14:textFill>
            <w14:solidFill>
              <w14:schemeClr w14:val="tx1"/>
            </w14:solidFill>
          </w14:textFill>
        </w:rPr>
        <w:t>产排污系数法进行计算</w:t>
      </w:r>
      <w:r>
        <w:rPr>
          <w:rFonts w:hint="eastAsia" w:ascii="Times New Roman" w:hAnsi="Times New Roman" w:eastAsia="宋体" w:cs="Times New Roman"/>
          <w:color w:val="000000" w:themeColor="text1"/>
          <w:sz w:val="24"/>
          <w:lang w:val="en-US" w:eastAsia="zh-CN"/>
          <w14:textFill>
            <w14:solidFill>
              <w14:schemeClr w14:val="tx1"/>
            </w14:solidFill>
          </w14:textFill>
        </w:rPr>
        <w:t>。</w:t>
      </w:r>
    </w:p>
    <w:p w14:paraId="3E9BDBE0">
      <w:p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根据生态环境部2021年6月发布的《排放源统计调查产排污核算方法和系数手册》，本项目属于</w:t>
      </w:r>
      <w:r>
        <w:rPr>
          <w:rFonts w:hint="eastAsia" w:ascii="Times New Roman" w:hAnsi="Times New Roman" w:eastAsia="宋体" w:cs="Times New Roman"/>
          <w:color w:val="000000" w:themeColor="text1"/>
          <w:sz w:val="24"/>
          <w:lang w:val="en-US" w:eastAsia="zh-CN"/>
          <w14:textFill>
            <w14:solidFill>
              <w14:schemeClr w14:val="tx1"/>
            </w14:solidFill>
          </w14:textFill>
        </w:rPr>
        <w:t>第292塑料制品业系数手册中</w:t>
      </w:r>
      <w:r>
        <w:rPr>
          <w:rFonts w:hint="eastAsia" w:cs="Times New Roman"/>
          <w:color w:val="000000" w:themeColor="text1"/>
          <w:sz w:val="24"/>
          <w:lang w:val="en-US"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2927 日用塑料制品制造行业</w:t>
      </w:r>
      <w:r>
        <w:rPr>
          <w:rFonts w:hint="eastAsia" w:cs="Times New Roman"/>
          <w:color w:val="000000" w:themeColor="text1"/>
          <w:sz w:val="24"/>
          <w:lang w:val="en-US"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规定项目。甲醛产生量参考论文《密胺食品接触制品中游离甲醛的控制研究》（朱亚伟，王建玲，陈彤，何军，台州出入境检验检疫局技术中心，浙江台州318000），</w:t>
      </w:r>
      <w:r>
        <w:rPr>
          <w:rFonts w:hint="eastAsia" w:cs="Times New Roman"/>
          <w:color w:val="000000" w:themeColor="text1"/>
          <w:sz w:val="24"/>
          <w:lang w:val="en-US" w:eastAsia="zh-CN"/>
          <w14:textFill>
            <w14:solidFill>
              <w14:schemeClr w14:val="tx1"/>
            </w14:solidFill>
          </w14:textFill>
        </w:rPr>
        <w:t>论文采取正交实验设计，共进行18次实验，本次评价取实验最大游离甲醛均值，</w:t>
      </w:r>
      <w:r>
        <w:rPr>
          <w:rFonts w:hint="eastAsia" w:ascii="Times New Roman" w:hAnsi="Times New Roman" w:eastAsia="宋体" w:cs="Times New Roman"/>
          <w:color w:val="000000" w:themeColor="text1"/>
          <w:sz w:val="24"/>
          <w:lang w:val="en-US" w:eastAsia="zh-CN"/>
          <w14:textFill>
            <w14:solidFill>
              <w14:schemeClr w14:val="tx1"/>
            </w14:solidFill>
          </w14:textFill>
        </w:rPr>
        <w:t>13.79mg/kg。密胺粉称量</w:t>
      </w:r>
      <w:r>
        <w:rPr>
          <w:rFonts w:hint="eastAsia" w:cs="Times New Roman"/>
          <w:color w:val="000000" w:themeColor="text1"/>
          <w:sz w:val="24"/>
          <w:lang w:val="en-US" w:eastAsia="zh-CN"/>
          <w14:textFill>
            <w14:solidFill>
              <w14:schemeClr w14:val="tx1"/>
            </w14:solidFill>
          </w14:textFill>
        </w:rPr>
        <w:t>与打磨抛光产生粉尘参考《排放源统计调查产排污核算方法和系数手册》“2922 塑料板、管、型材制造行业系数表”中颗粒物产生量为6kg/t-产品。</w:t>
      </w:r>
    </w:p>
    <w:p w14:paraId="62B27552">
      <w:p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引用的可行性分析：从行业来看，</w:t>
      </w:r>
      <w:r>
        <w:rPr>
          <w:rFonts w:hint="eastAsia" w:cs="Times New Roman"/>
          <w:color w:val="000000" w:themeColor="text1"/>
          <w:sz w:val="24"/>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lang w:val="en-US" w:eastAsia="zh-CN"/>
          <w14:textFill>
            <w14:solidFill>
              <w14:schemeClr w14:val="tx1"/>
            </w14:solidFill>
          </w14:textFill>
        </w:rPr>
        <w:t>密胺餐具制造属于C2927</w:t>
      </w:r>
      <w:r>
        <w:rPr>
          <w:rFonts w:hint="eastAsia" w:cs="Times New Roman"/>
          <w:color w:val="000000" w:themeColor="text1"/>
          <w:sz w:val="24"/>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4"/>
          <w:lang w:val="en-US" w:eastAsia="zh-CN"/>
          <w14:textFill>
            <w14:solidFill>
              <w14:schemeClr w14:val="tx1"/>
            </w14:solidFill>
          </w14:textFill>
        </w:rPr>
        <w:t>日用塑料制品制造，与2922塑料板、管、型材制造同属C292塑料制品业大类，行业属性一致；从原料形态来看，密胺粉为粉状树脂原料，与2922系数所对应的“树脂、助剂”中粉状物料（如PVC树脂粉、钙粉等）的物理形态一致，均涉及粉料的转移和混合过程；从产污环节来看，2922系数对应的颗粒物主要产生于配料、混合工序中的粉料逸散，而本项目称量工序同样涉及密胺粉状原料的称量、分装和转移过程中产生的粉尘逸散机理与之高度相似，打磨工序则是对成型后的密胺制品进行表面机械加工，其产生的粉尘属于塑料制品后处理过程中的典型颗粒物排放，二者颗粒物的产生均源于物理性粉料操作及机械作用，而非化学反应。因此本项目称量与打磨抛光中的颗粒物产生源强参考《排放源统计调查产排污核算方法和系数手册》中“2922塑料板、管、型材制造的产污系数”具有较好的可行性</w:t>
      </w:r>
      <w:r>
        <w:rPr>
          <w:rFonts w:hint="eastAsia" w:cs="Times New Roman"/>
          <w:color w:val="000000" w:themeColor="text1"/>
          <w:sz w:val="24"/>
          <w:lang w:val="en-US"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则本项目产污系数见下表：</w:t>
      </w:r>
    </w:p>
    <w:p w14:paraId="0597B5B1">
      <w:pPr>
        <w:widowControl w:val="0"/>
        <w:bidi w:val="0"/>
        <w:spacing w:line="240" w:lineRule="auto"/>
        <w:ind w:firstLine="0" w:firstLineChars="0"/>
        <w:jc w:val="cente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表3.2-1 项目产污系数及去除效率一览表</w:t>
      </w:r>
    </w:p>
    <w:tbl>
      <w:tblPr>
        <w:tblStyle w:val="32"/>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2179"/>
        <w:gridCol w:w="1339"/>
        <w:gridCol w:w="1743"/>
        <w:gridCol w:w="1508"/>
        <w:gridCol w:w="1511"/>
      </w:tblGrid>
      <w:tr w14:paraId="009A9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6" w:type="pct"/>
            <w:vAlign w:val="center"/>
          </w:tcPr>
          <w:p w14:paraId="3503FBE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序号</w:t>
            </w:r>
          </w:p>
        </w:tc>
        <w:tc>
          <w:tcPr>
            <w:tcW w:w="1203" w:type="pct"/>
            <w:shd w:val="clear" w:color="auto" w:fill="auto"/>
            <w:vAlign w:val="center"/>
          </w:tcPr>
          <w:p w14:paraId="2FCB05E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产生工序</w:t>
            </w:r>
          </w:p>
        </w:tc>
        <w:tc>
          <w:tcPr>
            <w:tcW w:w="739" w:type="pct"/>
            <w:shd w:val="clear" w:color="auto" w:fill="auto"/>
            <w:vAlign w:val="center"/>
          </w:tcPr>
          <w:p w14:paraId="237F8E0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污染物</w:t>
            </w:r>
          </w:p>
        </w:tc>
        <w:tc>
          <w:tcPr>
            <w:tcW w:w="962" w:type="pct"/>
            <w:shd w:val="clear" w:color="auto" w:fill="auto"/>
            <w:vAlign w:val="center"/>
          </w:tcPr>
          <w:p w14:paraId="02FD387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产生源强</w:t>
            </w:r>
          </w:p>
        </w:tc>
        <w:tc>
          <w:tcPr>
            <w:tcW w:w="832" w:type="pct"/>
            <w:shd w:val="clear" w:color="auto" w:fill="auto"/>
            <w:vAlign w:val="center"/>
          </w:tcPr>
          <w:p w14:paraId="3ACA7C5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治理措施</w:t>
            </w:r>
          </w:p>
        </w:tc>
        <w:tc>
          <w:tcPr>
            <w:tcW w:w="834" w:type="pct"/>
            <w:shd w:val="clear" w:color="auto" w:fill="auto"/>
            <w:vAlign w:val="center"/>
          </w:tcPr>
          <w:p w14:paraId="4787E00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去除效率</w:t>
            </w:r>
          </w:p>
        </w:tc>
      </w:tr>
      <w:tr w14:paraId="42F27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26" w:type="pct"/>
            <w:vAlign w:val="center"/>
          </w:tcPr>
          <w:p w14:paraId="0F22CD0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1</w:t>
            </w:r>
          </w:p>
        </w:tc>
        <w:tc>
          <w:tcPr>
            <w:tcW w:w="1203" w:type="pct"/>
            <w:vMerge w:val="restart"/>
            <w:vAlign w:val="center"/>
          </w:tcPr>
          <w:p w14:paraId="78E3521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电预热、模压成型、罩光</w:t>
            </w:r>
          </w:p>
        </w:tc>
        <w:tc>
          <w:tcPr>
            <w:tcW w:w="739" w:type="pct"/>
            <w:vAlign w:val="center"/>
          </w:tcPr>
          <w:p w14:paraId="4D567C8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非甲烷总烃</w:t>
            </w:r>
          </w:p>
        </w:tc>
        <w:tc>
          <w:tcPr>
            <w:tcW w:w="962" w:type="pct"/>
            <w:vAlign w:val="center"/>
          </w:tcPr>
          <w:p w14:paraId="7966388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2.7kg/t-产品</w:t>
            </w:r>
          </w:p>
        </w:tc>
        <w:tc>
          <w:tcPr>
            <w:tcW w:w="832" w:type="pct"/>
            <w:vMerge w:val="restart"/>
            <w:vAlign w:val="center"/>
          </w:tcPr>
          <w:p w14:paraId="6B0ADDE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集气罩+</w:t>
            </w: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活性炭吸附/脱附+催化燃烧</w:t>
            </w:r>
          </w:p>
        </w:tc>
        <w:tc>
          <w:tcPr>
            <w:tcW w:w="834" w:type="pct"/>
            <w:vMerge w:val="restart"/>
            <w:vAlign w:val="center"/>
          </w:tcPr>
          <w:p w14:paraId="26315FB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收集效率90%，去除效率85%</w:t>
            </w:r>
          </w:p>
        </w:tc>
      </w:tr>
      <w:tr w14:paraId="50344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6" w:type="pct"/>
            <w:vAlign w:val="center"/>
          </w:tcPr>
          <w:p w14:paraId="378B319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2</w:t>
            </w:r>
          </w:p>
        </w:tc>
        <w:tc>
          <w:tcPr>
            <w:tcW w:w="1203" w:type="pct"/>
            <w:vMerge w:val="continue"/>
            <w:vAlign w:val="center"/>
          </w:tcPr>
          <w:p w14:paraId="06AF938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p>
        </w:tc>
        <w:tc>
          <w:tcPr>
            <w:tcW w:w="739" w:type="pct"/>
            <w:vAlign w:val="center"/>
          </w:tcPr>
          <w:p w14:paraId="0CD5006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甲醛</w:t>
            </w:r>
          </w:p>
        </w:tc>
        <w:tc>
          <w:tcPr>
            <w:tcW w:w="962" w:type="pct"/>
            <w:vAlign w:val="center"/>
          </w:tcPr>
          <w:p w14:paraId="6BC6775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13.79mg/kg</w:t>
            </w: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-原料</w:t>
            </w:r>
          </w:p>
        </w:tc>
        <w:tc>
          <w:tcPr>
            <w:tcW w:w="832" w:type="pct"/>
            <w:vMerge w:val="continue"/>
            <w:vAlign w:val="center"/>
          </w:tcPr>
          <w:p w14:paraId="613CE19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p>
        </w:tc>
        <w:tc>
          <w:tcPr>
            <w:tcW w:w="834" w:type="pct"/>
            <w:vMerge w:val="continue"/>
            <w:vAlign w:val="center"/>
          </w:tcPr>
          <w:p w14:paraId="73B34B6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p>
        </w:tc>
      </w:tr>
      <w:tr w14:paraId="6D742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26" w:type="pct"/>
            <w:vAlign w:val="center"/>
          </w:tcPr>
          <w:p w14:paraId="0D002FD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3</w:t>
            </w:r>
          </w:p>
        </w:tc>
        <w:tc>
          <w:tcPr>
            <w:tcW w:w="1203" w:type="pct"/>
            <w:vAlign w:val="center"/>
          </w:tcPr>
          <w:p w14:paraId="6C248AA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称量打磨</w:t>
            </w:r>
          </w:p>
        </w:tc>
        <w:tc>
          <w:tcPr>
            <w:tcW w:w="739" w:type="pct"/>
            <w:shd w:val="clear" w:color="auto" w:fill="auto"/>
            <w:vAlign w:val="center"/>
          </w:tcPr>
          <w:p w14:paraId="1E87898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颗粒物</w:t>
            </w:r>
          </w:p>
        </w:tc>
        <w:tc>
          <w:tcPr>
            <w:tcW w:w="962" w:type="pct"/>
            <w:shd w:val="clear" w:color="auto" w:fill="auto"/>
            <w:vAlign w:val="center"/>
          </w:tcPr>
          <w:p w14:paraId="7E433C5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6kg/t-产品</w:t>
            </w:r>
          </w:p>
        </w:tc>
        <w:tc>
          <w:tcPr>
            <w:tcW w:w="832" w:type="pct"/>
            <w:vAlign w:val="center"/>
          </w:tcPr>
          <w:p w14:paraId="408DAEB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布袋除尘</w:t>
            </w:r>
          </w:p>
        </w:tc>
        <w:tc>
          <w:tcPr>
            <w:tcW w:w="834" w:type="pct"/>
            <w:vAlign w:val="center"/>
          </w:tcPr>
          <w:p w14:paraId="11F3350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综合收集效率</w:t>
            </w: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85</w:t>
            </w: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%，综合去除效率99%</w:t>
            </w:r>
          </w:p>
        </w:tc>
      </w:tr>
    </w:tbl>
    <w:p w14:paraId="1AF24BF2">
      <w:pPr>
        <w:numPr>
          <w:ilvl w:val="0"/>
          <w:numId w:val="5"/>
        </w:numPr>
        <w:bidi w:val="0"/>
        <w:spacing w:line="360" w:lineRule="auto"/>
        <w:ind w:firstLine="482" w:firstLineChars="200"/>
        <w:rPr>
          <w:rFonts w:hint="eastAsia" w:ascii="Times New Roman" w:hAnsi="Times New Roman" w:eastAsia="宋体" w:cs="Times New Roman"/>
          <w:b/>
          <w:bCs/>
          <w:color w:val="000000" w:themeColor="text1"/>
          <w:sz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lang w:val="en-US" w:eastAsia="zh-CN"/>
          <w14:textFill>
            <w14:solidFill>
              <w14:schemeClr w14:val="tx1"/>
            </w14:solidFill>
          </w14:textFill>
        </w:rPr>
        <w:t>电预热、模压成型、罩光废气</w:t>
      </w:r>
    </w:p>
    <w:p w14:paraId="5364C425">
      <w:p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人工</w:t>
      </w:r>
      <w:r>
        <w:rPr>
          <w:rFonts w:hint="default" w:ascii="Times New Roman" w:hAnsi="Times New Roman" w:eastAsia="宋体" w:cs="Times New Roman"/>
          <w:color w:val="000000" w:themeColor="text1"/>
          <w:sz w:val="24"/>
          <w:lang w:val="en-US" w:eastAsia="zh-CN"/>
          <w14:textFill>
            <w14:solidFill>
              <w14:schemeClr w14:val="tx1"/>
            </w14:solidFill>
          </w14:textFill>
        </w:rPr>
        <w:t>将装有称量好的密胺粉的原料盒送入高频预热机内进行预热（电加热），加热温度约为80~90℃，预热时间约为300S，去除原料中的水分。将经过预热后结块的原料人工倒入经预热后闭合的模具中，压力约为140～170MPa，油压成型机采用电加热，加热温度180~200℃，压制1min，使原料在一定压力和温度下流动，发生交联反应，固化成型，开模得到初制品（又称素盘）。贴花后的素盘需要加金（加罩光粉），以增加产品的亮光度。罩光粉和水按照1:1比例进行调配，人工刷涂在产品表面，再放入油压机加压加热，加热温度为180℃，持续时间为30S，开模后得到加金的密胺餐具。</w:t>
      </w:r>
    </w:p>
    <w:p w14:paraId="1E77E59F">
      <w:pPr>
        <w:bidi w:val="0"/>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本项目年产密胺餐具1000t/a，使用原料密胺粉976.67+罩光粉30=1006.67t/a。根据产排污系数手册非甲烷总烃产生量为2.7kg/t-产品，甲醛参考《论文》本次评价取最大游离甲醛均值，甲醛产生系数为13.79mg/kg-原料。则本项目非甲烷总烃产生量为2.7t/a，甲醛产生量为0.01388t/a。</w:t>
      </w:r>
    </w:p>
    <w:p w14:paraId="720F77F9">
      <w:p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本项目共15台液压成型机，每台设备配置半径为20cm圆形软管侧吸集气罩进行废气收集。污染源到罩口的水平距离不超过20cm，控制风速不低于1.0米/秒，以确保收集效率不低于90%。侧吸式集气罩集气风量计算公式如下：</w:t>
      </w:r>
    </w:p>
    <w:p w14:paraId="691E16A8">
      <w:p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m:oMathPara>
        <m:oMath>
          <m:r>
            <m:rPr>
              <m:nor/>
            </m:rPr>
            <w:rPr>
              <w:rFonts w:hint="default" w:ascii="Times New Roman" w:hAnsi="Times New Roman" w:cs="Times New Roman"/>
              <w:i/>
              <w:color w:val="000000" w:themeColor="text1"/>
              <w:kern w:val="2"/>
              <w:sz w:val="24"/>
              <w:szCs w:val="24"/>
              <w:lang w:val="en-US" w:eastAsia="zh-CN" w:bidi="ar-SA"/>
              <w14:textFill>
                <w14:solidFill>
                  <w14:schemeClr w14:val="tx1"/>
                </w14:solidFill>
              </w14:textFill>
            </w:rPr>
            <m:t>Q</m:t>
          </m:r>
          <m:r>
            <m:rPr>
              <m:nor/>
              <m:sty m:val="p"/>
            </m:rPr>
            <w:rPr>
              <w:rFonts w:hint="default" w:ascii="Times New Roman" w:hAnsi="Times New Roman" w:cs="Times New Roman"/>
              <w:b w:val="0"/>
              <w:i w:val="0"/>
              <w:color w:val="000000" w:themeColor="text1"/>
              <w:kern w:val="2"/>
              <w:sz w:val="24"/>
              <w:szCs w:val="24"/>
              <w:lang w:val="en-US" w:eastAsia="zh-CN" w:bidi="ar-SA"/>
              <w14:textFill>
                <w14:solidFill>
                  <w14:schemeClr w14:val="tx1"/>
                </w14:solidFill>
              </w14:textFill>
            </w:rPr>
            <m:t>=（5</m:t>
          </m:r>
          <m:sSup>
            <m:sSupPr>
              <m:ctrlPr>
                <w:rPr>
                  <w:rFonts w:hint="default" w:ascii="Cambria Math" w:hAnsi="Cambria Math" w:cs="Times New Roman"/>
                  <w:i/>
                  <w:color w:val="000000" w:themeColor="text1"/>
                  <w:kern w:val="2"/>
                  <w:sz w:val="24"/>
                  <w:szCs w:val="24"/>
                  <w:lang w:val="en-US" w:eastAsia="zh-CN" w:bidi="ar-SA"/>
                  <w14:textFill>
                    <w14:solidFill>
                      <w14:schemeClr w14:val="tx1"/>
                    </w14:solidFill>
                  </w14:textFill>
                </w:rPr>
              </m:ctrlPr>
            </m:sSupPr>
            <m:e>
              <m:r>
                <m:rPr>
                  <m:nor/>
                </m:rPr>
                <w:rPr>
                  <w:rFonts w:hint="default" w:ascii="Times New Roman" w:hAnsi="Times New Roman" w:cs="Times New Roman"/>
                  <w:i/>
                  <w:color w:val="000000" w:themeColor="text1"/>
                  <w:kern w:val="2"/>
                  <w:sz w:val="24"/>
                  <w:szCs w:val="24"/>
                  <w:lang w:val="en-US" w:eastAsia="zh-CN" w:bidi="ar-SA"/>
                  <w14:textFill>
                    <w14:solidFill>
                      <w14:schemeClr w14:val="tx1"/>
                    </w14:solidFill>
                  </w14:textFill>
                </w:rPr>
                <m:t>X</m:t>
              </m:r>
              <m:ctrlPr>
                <w:rPr>
                  <w:rFonts w:hint="default" w:ascii="Cambria Math" w:hAnsi="Cambria Math" w:cs="Times New Roman"/>
                  <w:i/>
                  <w:color w:val="000000" w:themeColor="text1"/>
                  <w:kern w:val="2"/>
                  <w:sz w:val="24"/>
                  <w:szCs w:val="24"/>
                  <w:lang w:val="en-US" w:eastAsia="zh-CN" w:bidi="ar-SA"/>
                  <w14:textFill>
                    <w14:solidFill>
                      <w14:schemeClr w14:val="tx1"/>
                    </w14:solidFill>
                  </w14:textFill>
                </w:rPr>
              </m:ctrlPr>
            </m:e>
            <m:sup>
              <m:r>
                <m:rPr>
                  <m:nor/>
                  <m:sty m:val="p"/>
                </m:rPr>
                <w:rPr>
                  <w:rFonts w:hint="default" w:ascii="Times New Roman" w:hAnsi="Times New Roman" w:cs="Times New Roman"/>
                  <w:b w:val="0"/>
                  <w:i w:val="0"/>
                  <w:color w:val="000000" w:themeColor="text1"/>
                  <w:kern w:val="2"/>
                  <w:sz w:val="24"/>
                  <w:szCs w:val="24"/>
                  <w:lang w:val="en-US" w:eastAsia="zh-CN" w:bidi="ar-SA"/>
                  <w14:textFill>
                    <w14:solidFill>
                      <w14:schemeClr w14:val="tx1"/>
                    </w14:solidFill>
                  </w14:textFill>
                </w:rPr>
                <m:t>2</m:t>
              </m:r>
              <m:ctrlPr>
                <w:rPr>
                  <w:rFonts w:hint="default" w:ascii="Cambria Math" w:hAnsi="Cambria Math" w:cs="Times New Roman"/>
                  <w:i/>
                  <w:color w:val="000000" w:themeColor="text1"/>
                  <w:kern w:val="2"/>
                  <w:sz w:val="24"/>
                  <w:szCs w:val="24"/>
                  <w:lang w:val="en-US" w:eastAsia="zh-CN" w:bidi="ar-SA"/>
                  <w14:textFill>
                    <w14:solidFill>
                      <w14:schemeClr w14:val="tx1"/>
                    </w14:solidFill>
                  </w14:textFill>
                </w:rPr>
              </m:ctrlPr>
            </m:sup>
          </m:sSup>
          <m:r>
            <m:rPr>
              <m:nor/>
              <m:sty m:val="p"/>
            </m:rPr>
            <w:rPr>
              <w:rFonts w:hint="default" w:ascii="Times New Roman" w:hAnsi="Times New Roman" w:cs="Times New Roman"/>
              <w:b w:val="0"/>
              <w:i w:val="0"/>
              <w:color w:val="000000" w:themeColor="text1"/>
              <w:kern w:val="2"/>
              <w:sz w:val="24"/>
              <w:szCs w:val="24"/>
              <w:lang w:val="en-US" w:eastAsia="zh-CN" w:bidi="ar-SA"/>
              <w14:textFill>
                <w14:solidFill>
                  <w14:schemeClr w14:val="tx1"/>
                </w14:solidFill>
              </w14:textFill>
            </w:rPr>
            <m:t>+</m:t>
          </m:r>
          <m:r>
            <m:rPr>
              <m:nor/>
            </m:rPr>
            <w:rPr>
              <w:rFonts w:hint="default" w:ascii="Times New Roman" w:hAnsi="Times New Roman" w:cs="Times New Roman"/>
              <w:i/>
              <w:color w:val="000000" w:themeColor="text1"/>
              <w:kern w:val="2"/>
              <w:sz w:val="24"/>
              <w:szCs w:val="24"/>
              <w:lang w:val="en-US" w:eastAsia="zh-CN" w:bidi="ar-SA"/>
              <w14:textFill>
                <w14:solidFill>
                  <w14:schemeClr w14:val="tx1"/>
                </w14:solidFill>
              </w14:textFill>
            </w:rPr>
            <m:t>F</m:t>
          </m:r>
          <m:r>
            <m:rPr>
              <m:nor/>
              <m:sty m:val="p"/>
            </m:rPr>
            <w:rPr>
              <w:rFonts w:hint="default" w:ascii="Times New Roman" w:hAnsi="Times New Roman" w:cs="Times New Roman"/>
              <w:b w:val="0"/>
              <w:i w:val="0"/>
              <w:color w:val="000000" w:themeColor="text1"/>
              <w:kern w:val="2"/>
              <w:sz w:val="24"/>
              <w:szCs w:val="24"/>
              <w:lang w:val="en-US" w:eastAsia="zh-CN" w:bidi="ar-SA"/>
              <w14:textFill>
                <w14:solidFill>
                  <w14:schemeClr w14:val="tx1"/>
                </w14:solidFill>
              </w14:textFill>
            </w:rPr>
            <m:t>）×</m:t>
          </m:r>
          <m:r>
            <m:rPr>
              <m:nor/>
            </m:rPr>
            <w:rPr>
              <w:rFonts w:hint="default" w:ascii="Times New Roman" w:hAnsi="Times New Roman" w:cs="Times New Roman"/>
              <w:i/>
              <w:color w:val="000000" w:themeColor="text1"/>
              <w:kern w:val="2"/>
              <w:sz w:val="24"/>
              <w:szCs w:val="24"/>
              <w:lang w:val="en-US" w:eastAsia="zh-CN" w:bidi="ar-SA"/>
              <w14:textFill>
                <w14:solidFill>
                  <w14:schemeClr w14:val="tx1"/>
                </w14:solidFill>
              </w14:textFill>
            </w:rPr>
            <m:t>Vx</m:t>
          </m:r>
          <m:r>
            <m:rPr>
              <m:nor/>
              <m:sty m:val="p"/>
            </m:rPr>
            <w:rPr>
              <w:rFonts w:hint="default" w:ascii="Times New Roman" w:hAnsi="Times New Roman" w:cs="Times New Roman"/>
              <w:b w:val="0"/>
              <w:i w:val="0"/>
              <w:color w:val="000000" w:themeColor="text1"/>
              <w:kern w:val="2"/>
              <w:sz w:val="24"/>
              <w:szCs w:val="24"/>
              <w:lang w:val="en-US" w:eastAsia="zh-CN" w:bidi="ar-SA"/>
              <w14:textFill>
                <w14:solidFill>
                  <w14:schemeClr w14:val="tx1"/>
                </w14:solidFill>
              </w14:textFill>
            </w:rPr>
            <m:t>×3600</m:t>
          </m:r>
        </m:oMath>
      </m:oMathPara>
    </w:p>
    <w:p w14:paraId="0F2FCF8F">
      <w:pPr>
        <w:bidi w:val="0"/>
        <w:spacing w:line="360" w:lineRule="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式中：Q：集气罩集气风量，单位为m</w:t>
      </w:r>
      <w:r>
        <w:rPr>
          <w:rFonts w:hint="eastAsia" w:cs="Times New Roman"/>
          <w:color w:val="000000" w:themeColor="text1"/>
          <w:sz w:val="24"/>
          <w:vertAlign w:val="superscript"/>
          <w:lang w:val="en-US" w:eastAsia="zh-CN"/>
          <w14:textFill>
            <w14:solidFill>
              <w14:schemeClr w14:val="tx1"/>
            </w14:solidFill>
          </w14:textFill>
        </w:rPr>
        <w:t>3</w:t>
      </w:r>
      <w:r>
        <w:rPr>
          <w:rFonts w:hint="eastAsia" w:cs="Times New Roman"/>
          <w:color w:val="000000" w:themeColor="text1"/>
          <w:sz w:val="24"/>
          <w:lang w:val="en-US" w:eastAsia="zh-CN"/>
          <w14:textFill>
            <w14:solidFill>
              <w14:schemeClr w14:val="tx1"/>
            </w14:solidFill>
          </w14:textFill>
        </w:rPr>
        <w:t>/h；</w:t>
      </w:r>
    </w:p>
    <w:p w14:paraId="0374E4C8">
      <w:pPr>
        <w:bidi w:val="0"/>
        <w:spacing w:line="360" w:lineRule="auto"/>
        <w:ind w:firstLine="720" w:firstLineChars="3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X：污染源到罩口的水平距离，单位为m；</w:t>
      </w:r>
    </w:p>
    <w:p w14:paraId="0246E8C5">
      <w:pPr>
        <w:bidi w:val="0"/>
        <w:spacing w:line="360" w:lineRule="auto"/>
        <w:ind w:firstLine="720" w:firstLineChars="3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F：罩口面积，单位为m</w:t>
      </w:r>
      <w:r>
        <w:rPr>
          <w:rFonts w:hint="eastAsia" w:cs="Times New Roman"/>
          <w:color w:val="000000" w:themeColor="text1"/>
          <w:sz w:val="24"/>
          <w:vertAlign w:val="superscript"/>
          <w:lang w:val="en-US" w:eastAsia="zh-CN"/>
          <w14:textFill>
            <w14:solidFill>
              <w14:schemeClr w14:val="tx1"/>
            </w14:solidFill>
          </w14:textFill>
        </w:rPr>
        <w:t>2</w:t>
      </w:r>
      <w:r>
        <w:rPr>
          <w:rFonts w:hint="eastAsia" w:cs="Times New Roman"/>
          <w:color w:val="000000" w:themeColor="text1"/>
          <w:sz w:val="24"/>
          <w:lang w:val="en-US" w:eastAsia="zh-CN"/>
          <w14:textFill>
            <w14:solidFill>
              <w14:schemeClr w14:val="tx1"/>
            </w14:solidFill>
          </w14:textFill>
        </w:rPr>
        <w:t>；</w:t>
      </w:r>
    </w:p>
    <w:p w14:paraId="73F82935">
      <w:pPr>
        <w:bidi w:val="0"/>
        <w:spacing w:line="360" w:lineRule="auto"/>
        <w:ind w:firstLine="720" w:firstLineChars="3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Vx：污染源气体流速，单位为m/s。</w:t>
      </w:r>
    </w:p>
    <w:p w14:paraId="32A62D68">
      <w:pPr>
        <w:bidi w:val="0"/>
        <w:spacing w:line="360" w:lineRule="auto"/>
        <w:ind w:firstLine="480" w:firstLineChars="200"/>
        <w:rPr>
          <w:rFonts w:hint="default" w:ascii="Times New Roman" w:hAnsi="Times New Roman" w:eastAsia="宋体" w:cs="Times New Roman"/>
          <w:color w:val="000000" w:themeColor="text1"/>
          <w:sz w:val="24"/>
          <w:vertAlign w:val="baseline"/>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本项目电预热、模压成型、罩光污染源到罩口的距离为20cm，0.20m。集气罩为半径为20cm圆形软管侧吸集气罩，罩口面积为0.13m</w:t>
      </w:r>
      <w:r>
        <w:rPr>
          <w:rFonts w:hint="eastAsia" w:cs="Times New Roman"/>
          <w:color w:val="000000" w:themeColor="text1"/>
          <w:sz w:val="24"/>
          <w:vertAlign w:val="superscript"/>
          <w:lang w:val="en-US" w:eastAsia="zh-CN"/>
          <w14:textFill>
            <w14:solidFill>
              <w14:schemeClr w14:val="tx1"/>
            </w14:solidFill>
          </w14:textFill>
        </w:rPr>
        <w:t>2</w:t>
      </w:r>
      <w:r>
        <w:rPr>
          <w:rFonts w:hint="eastAsia" w:cs="Times New Roman"/>
          <w:color w:val="000000" w:themeColor="text1"/>
          <w:sz w:val="24"/>
          <w:vertAlign w:val="baseline"/>
          <w:lang w:val="en-US" w:eastAsia="zh-CN"/>
          <w14:textFill>
            <w14:solidFill>
              <w14:schemeClr w14:val="tx1"/>
            </w14:solidFill>
          </w14:textFill>
        </w:rPr>
        <w:t>。污染源气体流速根据《关于印发〈重点行业挥发性有机物综合治理方案〉的通知》（环大气〔2019〕53号），采用局部集气罩的，距集气罩开口面最远处的VOCs无组织排放位置，控制风速应不低于0.3米/秒，有行业要求的按相关规定执行。根据《局部排放设置控制风速检测与评估技术规范》侧吸式控制风速不低于1.0米/秒，本次评价取1.0m/s。根据上式计算得出单个集气罩理论风量为1188m</w:t>
      </w:r>
      <w:r>
        <w:rPr>
          <w:rFonts w:hint="eastAsia" w:cs="Times New Roman"/>
          <w:color w:val="000000" w:themeColor="text1"/>
          <w:sz w:val="24"/>
          <w:vertAlign w:val="superscript"/>
          <w:lang w:val="en-US" w:eastAsia="zh-CN"/>
          <w14:textFill>
            <w14:solidFill>
              <w14:schemeClr w14:val="tx1"/>
            </w14:solidFill>
          </w14:textFill>
        </w:rPr>
        <w:t>3</w:t>
      </w:r>
      <w:r>
        <w:rPr>
          <w:rFonts w:hint="eastAsia" w:cs="Times New Roman"/>
          <w:color w:val="000000" w:themeColor="text1"/>
          <w:sz w:val="24"/>
          <w:vertAlign w:val="baseline"/>
          <w:lang w:val="en-US" w:eastAsia="zh-CN"/>
          <w14:textFill>
            <w14:solidFill>
              <w14:schemeClr w14:val="tx1"/>
            </w14:solidFill>
          </w14:textFill>
        </w:rPr>
        <w:t>/h，则15台液压成型机该段工序风量为17820m</w:t>
      </w:r>
      <w:r>
        <w:rPr>
          <w:rFonts w:hint="eastAsia" w:cs="Times New Roman"/>
          <w:color w:val="000000" w:themeColor="text1"/>
          <w:sz w:val="24"/>
          <w:vertAlign w:val="superscript"/>
          <w:lang w:val="en-US" w:eastAsia="zh-CN"/>
          <w14:textFill>
            <w14:solidFill>
              <w14:schemeClr w14:val="tx1"/>
            </w14:solidFill>
          </w14:textFill>
        </w:rPr>
        <w:t>3</w:t>
      </w:r>
      <w:r>
        <w:rPr>
          <w:rFonts w:hint="eastAsia" w:cs="Times New Roman"/>
          <w:color w:val="000000" w:themeColor="text1"/>
          <w:sz w:val="24"/>
          <w:vertAlign w:val="baseline"/>
          <w:lang w:val="en-US" w:eastAsia="zh-CN"/>
          <w14:textFill>
            <w14:solidFill>
              <w14:schemeClr w14:val="tx1"/>
            </w14:solidFill>
          </w14:textFill>
        </w:rPr>
        <w:t>/h，同时考虑风损等因素，电预热、模压成型、罩光废气风机风量取20000m</w:t>
      </w:r>
      <w:r>
        <w:rPr>
          <w:rFonts w:hint="eastAsia" w:cs="Times New Roman"/>
          <w:color w:val="000000" w:themeColor="text1"/>
          <w:sz w:val="24"/>
          <w:vertAlign w:val="superscript"/>
          <w:lang w:val="en-US" w:eastAsia="zh-CN"/>
          <w14:textFill>
            <w14:solidFill>
              <w14:schemeClr w14:val="tx1"/>
            </w14:solidFill>
          </w14:textFill>
        </w:rPr>
        <w:t>3</w:t>
      </w:r>
      <w:r>
        <w:rPr>
          <w:rFonts w:hint="eastAsia" w:cs="Times New Roman"/>
          <w:color w:val="000000" w:themeColor="text1"/>
          <w:sz w:val="24"/>
          <w:vertAlign w:val="baseline"/>
          <w:lang w:val="en-US" w:eastAsia="zh-CN"/>
          <w14:textFill>
            <w14:solidFill>
              <w14:schemeClr w14:val="tx1"/>
            </w14:solidFill>
          </w14:textFill>
        </w:rPr>
        <w:t>/h。</w:t>
      </w:r>
    </w:p>
    <w:p w14:paraId="6B61D346">
      <w:pPr>
        <w:bidi w:val="0"/>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项目电预热、模压成型、罩光废气采用引风机（风机风量</w:t>
      </w:r>
      <w:r>
        <w:rPr>
          <w:rFonts w:hint="eastAsia" w:cs="Times New Roman"/>
          <w:color w:val="000000" w:themeColor="text1"/>
          <w:sz w:val="24"/>
          <w:lang w:val="en-US" w:eastAsia="zh-CN"/>
          <w14:textFill>
            <w14:solidFill>
              <w14:schemeClr w14:val="tx1"/>
            </w14:solidFill>
          </w14:textFill>
        </w:rPr>
        <w:t>20</w:t>
      </w:r>
      <w:r>
        <w:rPr>
          <w:rFonts w:hint="eastAsia" w:ascii="Times New Roman" w:hAnsi="Times New Roman" w:eastAsia="宋体" w:cs="Times New Roman"/>
          <w:color w:val="000000" w:themeColor="text1"/>
          <w:sz w:val="24"/>
          <w:lang w:val="en-US" w:eastAsia="zh-CN"/>
          <w14:textFill>
            <w14:solidFill>
              <w14:schemeClr w14:val="tx1"/>
            </w14:solidFill>
          </w14:textFill>
        </w:rPr>
        <w:t>000m</w:t>
      </w:r>
      <w:r>
        <w:rPr>
          <w:rFonts w:hint="eastAsia" w:ascii="Times New Roman" w:hAnsi="Times New Roman" w:eastAsia="宋体" w:cs="Times New Roman"/>
          <w:color w:val="000000" w:themeColor="text1"/>
          <w:sz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lang w:val="en-US" w:eastAsia="zh-CN"/>
          <w14:textFill>
            <w14:solidFill>
              <w14:schemeClr w14:val="tx1"/>
            </w14:solidFill>
          </w14:textFill>
        </w:rPr>
        <w:t>/h）+集气罩（收集效率90%）+</w:t>
      </w:r>
      <w:r>
        <w:rPr>
          <w:rFonts w:hint="eastAsia" w:cs="Times New Roman"/>
          <w:color w:val="000000" w:themeColor="text1"/>
          <w:sz w:val="24"/>
          <w:lang w:val="en-US" w:eastAsia="zh-CN"/>
          <w14:textFill>
            <w14:solidFill>
              <w14:schemeClr w14:val="tx1"/>
            </w14:solidFill>
          </w14:textFill>
        </w:rPr>
        <w:t>活性炭吸附/脱附+催化燃烧</w:t>
      </w:r>
      <w:r>
        <w:rPr>
          <w:rFonts w:hint="eastAsia" w:ascii="Times New Roman" w:hAnsi="Times New Roman" w:eastAsia="宋体" w:cs="Times New Roman"/>
          <w:color w:val="000000" w:themeColor="text1"/>
          <w:sz w:val="24"/>
          <w:lang w:val="en-US" w:eastAsia="zh-CN"/>
          <w14:textFill>
            <w14:solidFill>
              <w14:schemeClr w14:val="tx1"/>
            </w14:solidFill>
          </w14:textFill>
        </w:rPr>
        <w:t>处理后通过15m高排气筒（DA001）外排，</w:t>
      </w:r>
      <w:r>
        <w:rPr>
          <w:rFonts w:hint="eastAsia" w:cs="Times New Roman"/>
          <w:color w:val="000000" w:themeColor="text1"/>
          <w:sz w:val="24"/>
          <w:lang w:val="en-US" w:eastAsia="zh-CN"/>
          <w14:textFill>
            <w14:solidFill>
              <w14:schemeClr w14:val="tx1"/>
            </w14:solidFill>
          </w14:textFill>
        </w:rPr>
        <w:t>活性炭吸附/脱附+催化燃烧</w:t>
      </w:r>
      <w:r>
        <w:rPr>
          <w:rFonts w:hint="eastAsia" w:ascii="Times New Roman" w:hAnsi="Times New Roman" w:eastAsia="宋体" w:cs="Times New Roman"/>
          <w:color w:val="000000" w:themeColor="text1"/>
          <w:sz w:val="24"/>
          <w:lang w:val="en-US" w:eastAsia="zh-CN"/>
          <w14:textFill>
            <w14:solidFill>
              <w14:schemeClr w14:val="tx1"/>
            </w14:solidFill>
          </w14:textFill>
        </w:rPr>
        <w:t>根据《排放源统计调查产排污核算方法和系数手册》对非甲烷总烃的</w:t>
      </w:r>
      <w:r>
        <w:rPr>
          <w:rFonts w:hint="eastAsia" w:cs="Times New Roman"/>
          <w:color w:val="000000" w:themeColor="text1"/>
          <w:sz w:val="24"/>
          <w:lang w:val="en-US" w:eastAsia="zh-CN"/>
          <w14:textFill>
            <w14:solidFill>
              <w14:schemeClr w14:val="tx1"/>
            </w14:solidFill>
          </w14:textFill>
        </w:rPr>
        <w:t>去除</w:t>
      </w:r>
      <w:r>
        <w:rPr>
          <w:rFonts w:hint="eastAsia" w:ascii="Times New Roman" w:hAnsi="Times New Roman" w:eastAsia="宋体" w:cs="Times New Roman"/>
          <w:color w:val="000000" w:themeColor="text1"/>
          <w:sz w:val="24"/>
          <w:lang w:val="en-US" w:eastAsia="zh-CN"/>
          <w14:textFill>
            <w14:solidFill>
              <w14:schemeClr w14:val="tx1"/>
            </w14:solidFill>
          </w14:textFill>
        </w:rPr>
        <w:t>效率为85%。本项目年产260d，每天生产16h，则项目电预热、模压成型、罩光废气产排情况如下：</w:t>
      </w:r>
    </w:p>
    <w:p w14:paraId="055AC340">
      <w:pPr>
        <w:widowControl w:val="0"/>
        <w:bidi w:val="0"/>
        <w:spacing w:line="240" w:lineRule="auto"/>
        <w:ind w:firstLine="0" w:firstLineChars="0"/>
        <w:jc w:val="cente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 3.2-2</w:t>
      </w: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 xml:space="preserve"> </w:t>
      </w: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 xml:space="preserve"> 电预热、模压成型、罩光废气污染物产排情况一览表</w:t>
      </w:r>
    </w:p>
    <w:tbl>
      <w:tblPr>
        <w:tblStyle w:val="31"/>
        <w:tblW w:w="4887"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674"/>
        <w:gridCol w:w="711"/>
        <w:gridCol w:w="389"/>
        <w:gridCol w:w="686"/>
        <w:gridCol w:w="649"/>
        <w:gridCol w:w="747"/>
        <w:gridCol w:w="758"/>
        <w:gridCol w:w="877"/>
        <w:gridCol w:w="573"/>
        <w:gridCol w:w="634"/>
        <w:gridCol w:w="886"/>
        <w:gridCol w:w="1193"/>
      </w:tblGrid>
      <w:tr w14:paraId="4EBCDB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5" w:hRule="atLeast"/>
          <w:tblHeader/>
          <w:jc w:val="center"/>
        </w:trPr>
        <w:tc>
          <w:tcPr>
            <w:tcW w:w="384" w:type="pct"/>
            <w:vMerge w:val="restart"/>
            <w:noWrap w:val="0"/>
            <w:vAlign w:val="center"/>
          </w:tcPr>
          <w:p w14:paraId="4DFA48C1">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废气</w:t>
            </w:r>
          </w:p>
          <w:p w14:paraId="6B401692">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来源</w:t>
            </w:r>
          </w:p>
        </w:tc>
        <w:tc>
          <w:tcPr>
            <w:tcW w:w="1388" w:type="pct"/>
            <w:gridSpan w:val="4"/>
            <w:tcBorders>
              <w:bottom w:val="single" w:color="auto" w:sz="4" w:space="0"/>
            </w:tcBorders>
            <w:noWrap w:val="0"/>
            <w:tcMar>
              <w:left w:w="28" w:type="dxa"/>
              <w:right w:w="28" w:type="dxa"/>
            </w:tcMar>
            <w:vAlign w:val="center"/>
          </w:tcPr>
          <w:p w14:paraId="5AD10782">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排放参数</w:t>
            </w:r>
          </w:p>
        </w:tc>
        <w:tc>
          <w:tcPr>
            <w:tcW w:w="426" w:type="pct"/>
            <w:vMerge w:val="restart"/>
            <w:noWrap w:val="0"/>
            <w:tcMar>
              <w:left w:w="28" w:type="dxa"/>
              <w:right w:w="28" w:type="dxa"/>
            </w:tcMar>
            <w:vAlign w:val="center"/>
          </w:tcPr>
          <w:p w14:paraId="496713C7">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污染物名 称</w:t>
            </w:r>
          </w:p>
        </w:tc>
        <w:tc>
          <w:tcPr>
            <w:tcW w:w="932" w:type="pct"/>
            <w:gridSpan w:val="2"/>
            <w:noWrap w:val="0"/>
            <w:tcMar>
              <w:left w:w="28" w:type="dxa"/>
              <w:right w:w="28" w:type="dxa"/>
            </w:tcMar>
            <w:vAlign w:val="center"/>
          </w:tcPr>
          <w:p w14:paraId="16D1E2B3">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产生情况</w:t>
            </w:r>
          </w:p>
        </w:tc>
        <w:tc>
          <w:tcPr>
            <w:tcW w:w="1187" w:type="pct"/>
            <w:gridSpan w:val="3"/>
            <w:noWrap w:val="0"/>
            <w:tcMar>
              <w:left w:w="28" w:type="dxa"/>
              <w:right w:w="28" w:type="dxa"/>
            </w:tcMar>
            <w:vAlign w:val="center"/>
          </w:tcPr>
          <w:p w14:paraId="0CB29324">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排放情况</w:t>
            </w:r>
          </w:p>
        </w:tc>
        <w:tc>
          <w:tcPr>
            <w:tcW w:w="679" w:type="pct"/>
            <w:vMerge w:val="restart"/>
            <w:noWrap w:val="0"/>
            <w:tcMar>
              <w:left w:w="28" w:type="dxa"/>
              <w:right w:w="28" w:type="dxa"/>
            </w:tcMar>
            <w:vAlign w:val="center"/>
          </w:tcPr>
          <w:p w14:paraId="7483894B">
            <w:pPr>
              <w:widowControl w:val="0"/>
              <w:autoSpaceDE w:val="0"/>
              <w:autoSpaceDN w:val="0"/>
              <w:bidi w:val="0"/>
              <w:adjustRightInd w:val="0"/>
              <w:snapToGrid w:val="0"/>
              <w:spacing w:before="0" w:after="0" w:line="240" w:lineRule="auto"/>
              <w:ind w:firstLine="0" w:firstLineChars="0"/>
              <w:jc w:val="center"/>
              <w:textAlignment w:val="bottom"/>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处理效率</w:t>
            </w:r>
            <w:r>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w:t>
            </w:r>
          </w:p>
        </w:tc>
      </w:tr>
      <w:tr w14:paraId="50682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49" w:hRule="atLeast"/>
          <w:tblHeader/>
          <w:jc w:val="center"/>
        </w:trPr>
        <w:tc>
          <w:tcPr>
            <w:tcW w:w="384" w:type="pct"/>
            <w:vMerge w:val="continue"/>
            <w:noWrap w:val="0"/>
            <w:vAlign w:val="center"/>
          </w:tcPr>
          <w:p w14:paraId="30932F7C">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p>
        </w:tc>
        <w:tc>
          <w:tcPr>
            <w:tcW w:w="405" w:type="pct"/>
            <w:tcBorders>
              <w:top w:val="single" w:color="auto" w:sz="4" w:space="0"/>
            </w:tcBorders>
            <w:noWrap w:val="0"/>
            <w:tcMar>
              <w:left w:w="28" w:type="dxa"/>
              <w:right w:w="28" w:type="dxa"/>
            </w:tcMar>
            <w:vAlign w:val="center"/>
          </w:tcPr>
          <w:p w14:paraId="6EAC7467">
            <w:pPr>
              <w:widowControl w:val="0"/>
              <w:autoSpaceDE w:val="0"/>
              <w:autoSpaceDN w:val="0"/>
              <w:bidi w:val="0"/>
              <w:adjustRightInd w:val="0"/>
              <w:snapToGrid w:val="0"/>
              <w:spacing w:before="0" w:after="0" w:line="240" w:lineRule="auto"/>
              <w:ind w:firstLine="0" w:firstLineChars="0"/>
              <w:jc w:val="center"/>
              <w:textAlignment w:val="bottom"/>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编号</w:t>
            </w:r>
          </w:p>
        </w:tc>
        <w:tc>
          <w:tcPr>
            <w:tcW w:w="222" w:type="pct"/>
            <w:tcBorders>
              <w:top w:val="single" w:color="auto" w:sz="4" w:space="0"/>
            </w:tcBorders>
            <w:noWrap w:val="0"/>
            <w:tcMar>
              <w:left w:w="28" w:type="dxa"/>
              <w:right w:w="28" w:type="dxa"/>
            </w:tcMar>
            <w:vAlign w:val="center"/>
          </w:tcPr>
          <w:p w14:paraId="5CB3C58F">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高度</w:t>
            </w:r>
          </w:p>
          <w:p w14:paraId="3652D4E8">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(m)</w:t>
            </w:r>
          </w:p>
        </w:tc>
        <w:tc>
          <w:tcPr>
            <w:tcW w:w="391" w:type="pct"/>
            <w:noWrap w:val="0"/>
            <w:tcMar>
              <w:left w:w="28" w:type="dxa"/>
              <w:right w:w="28" w:type="dxa"/>
            </w:tcMar>
            <w:vAlign w:val="center"/>
          </w:tcPr>
          <w:p w14:paraId="64E954FE">
            <w:pPr>
              <w:widowControl w:val="0"/>
              <w:autoSpaceDE w:val="0"/>
              <w:autoSpaceDN w:val="0"/>
              <w:bidi w:val="0"/>
              <w:adjustRightInd w:val="0"/>
              <w:snapToGrid w:val="0"/>
              <w:spacing w:before="0" w:after="0" w:line="240" w:lineRule="auto"/>
              <w:ind w:firstLine="0" w:firstLineChars="0"/>
              <w:jc w:val="center"/>
              <w:textAlignment w:val="bottom"/>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内径（</w:t>
            </w: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m</w:t>
            </w:r>
            <w:r>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w:t>
            </w:r>
          </w:p>
        </w:tc>
        <w:tc>
          <w:tcPr>
            <w:tcW w:w="369" w:type="pct"/>
            <w:noWrap w:val="0"/>
            <w:tcMar>
              <w:left w:w="28" w:type="dxa"/>
              <w:right w:w="28" w:type="dxa"/>
            </w:tcMar>
            <w:vAlign w:val="center"/>
          </w:tcPr>
          <w:p w14:paraId="367BFF8E">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排气</w:t>
            </w:r>
          </w:p>
          <w:p w14:paraId="1DB05C63">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量</w:t>
            </w:r>
          </w:p>
          <w:p w14:paraId="4A212381">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b/>
                <w:bCs/>
                <w:caps w:val="0"/>
                <w:smallCaps w:val="0"/>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/h)</w:t>
            </w:r>
          </w:p>
        </w:tc>
        <w:tc>
          <w:tcPr>
            <w:tcW w:w="426" w:type="pct"/>
            <w:vMerge w:val="continue"/>
            <w:noWrap w:val="0"/>
            <w:tcMar>
              <w:left w:w="28" w:type="dxa"/>
              <w:right w:w="28" w:type="dxa"/>
            </w:tcMar>
            <w:vAlign w:val="center"/>
          </w:tcPr>
          <w:p w14:paraId="22ECB84C">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p>
        </w:tc>
        <w:tc>
          <w:tcPr>
            <w:tcW w:w="432" w:type="pct"/>
            <w:noWrap w:val="0"/>
            <w:tcMar>
              <w:left w:w="28" w:type="dxa"/>
              <w:right w:w="28" w:type="dxa"/>
            </w:tcMar>
            <w:vAlign w:val="center"/>
          </w:tcPr>
          <w:p w14:paraId="79475F22">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产生</w:t>
            </w:r>
          </w:p>
          <w:p w14:paraId="7B4F0492">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速率</w:t>
            </w:r>
          </w:p>
          <w:p w14:paraId="15B60100">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(kg/h)</w:t>
            </w:r>
          </w:p>
        </w:tc>
        <w:tc>
          <w:tcPr>
            <w:tcW w:w="499" w:type="pct"/>
            <w:noWrap w:val="0"/>
            <w:tcMar>
              <w:left w:w="28" w:type="dxa"/>
              <w:right w:w="28" w:type="dxa"/>
            </w:tcMar>
            <w:vAlign w:val="center"/>
          </w:tcPr>
          <w:p w14:paraId="107E8DD6">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产生</w:t>
            </w:r>
          </w:p>
          <w:p w14:paraId="663FFEC6">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浓度</w:t>
            </w:r>
          </w:p>
          <w:p w14:paraId="53B6B3F1">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(mg/m</w:t>
            </w:r>
            <w:r>
              <w:rPr>
                <w:rFonts w:hint="default" w:ascii="Times New Roman" w:hAnsi="Times New Roman" w:eastAsia="宋体" w:cs="Times New Roman"/>
                <w:b/>
                <w:bCs/>
                <w:caps w:val="0"/>
                <w:smallCaps w:val="0"/>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w:t>
            </w:r>
          </w:p>
        </w:tc>
        <w:tc>
          <w:tcPr>
            <w:tcW w:w="327" w:type="pct"/>
            <w:noWrap w:val="0"/>
            <w:tcMar>
              <w:left w:w="28" w:type="dxa"/>
              <w:right w:w="28" w:type="dxa"/>
            </w:tcMar>
            <w:vAlign w:val="center"/>
          </w:tcPr>
          <w:p w14:paraId="79FE8C0D">
            <w:pPr>
              <w:widowControl w:val="0"/>
              <w:autoSpaceDE w:val="0"/>
              <w:autoSpaceDN w:val="0"/>
              <w:bidi w:val="0"/>
              <w:adjustRightInd w:val="0"/>
              <w:snapToGrid w:val="0"/>
              <w:spacing w:before="0" w:after="0" w:line="240" w:lineRule="auto"/>
              <w:ind w:firstLine="0" w:firstLineChars="0"/>
              <w:jc w:val="center"/>
              <w:textAlignment w:val="bottom"/>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排放量</w:t>
            </w:r>
          </w:p>
          <w:p w14:paraId="6F927428">
            <w:pPr>
              <w:widowControl w:val="0"/>
              <w:autoSpaceDE w:val="0"/>
              <w:autoSpaceDN w:val="0"/>
              <w:bidi w:val="0"/>
              <w:adjustRightInd w:val="0"/>
              <w:snapToGrid w:val="0"/>
              <w:spacing w:before="0" w:after="0" w:line="240" w:lineRule="auto"/>
              <w:ind w:firstLine="0" w:firstLineChars="0"/>
              <w:jc w:val="center"/>
              <w:textAlignment w:val="bottom"/>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w:t>
            </w:r>
            <w:r>
              <w:rPr>
                <w:rFonts w:ascii="Times New Roman" w:hAnsi="Times New Roman" w:eastAsia="宋体" w:cs="Times New Roman"/>
                <w:b/>
                <w:bCs/>
                <w:caps w:val="0"/>
                <w:smallCaps w:val="0"/>
                <w:color w:val="000000" w:themeColor="text1"/>
                <w:kern w:val="0"/>
                <w:sz w:val="18"/>
                <w:szCs w:val="18"/>
                <w:highlight w:val="none"/>
                <w:lang w:val="en-US" w:eastAsia="zh-CN" w:bidi="ar-SA"/>
                <w14:textFill>
                  <w14:solidFill>
                    <w14:schemeClr w14:val="tx1"/>
                  </w14:solidFill>
                </w14:textFill>
              </w:rPr>
              <w:t>t/a</w:t>
            </w:r>
            <w:r>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w:t>
            </w:r>
          </w:p>
        </w:tc>
        <w:tc>
          <w:tcPr>
            <w:tcW w:w="355" w:type="pct"/>
            <w:noWrap w:val="0"/>
            <w:tcMar>
              <w:left w:w="28" w:type="dxa"/>
              <w:right w:w="28" w:type="dxa"/>
            </w:tcMar>
            <w:vAlign w:val="center"/>
          </w:tcPr>
          <w:p w14:paraId="75A0266E">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排放</w:t>
            </w:r>
          </w:p>
          <w:p w14:paraId="5367025A">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速率    (kg/h)</w:t>
            </w:r>
          </w:p>
        </w:tc>
        <w:tc>
          <w:tcPr>
            <w:tcW w:w="503" w:type="pct"/>
            <w:noWrap w:val="0"/>
            <w:tcMar>
              <w:left w:w="28" w:type="dxa"/>
              <w:right w:w="28" w:type="dxa"/>
            </w:tcMar>
            <w:vAlign w:val="center"/>
          </w:tcPr>
          <w:p w14:paraId="01974425">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排放</w:t>
            </w:r>
          </w:p>
          <w:p w14:paraId="63771A96">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浓度</w:t>
            </w:r>
          </w:p>
          <w:p w14:paraId="58032D2A">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(mg/m</w:t>
            </w:r>
            <w:r>
              <w:rPr>
                <w:rFonts w:hint="default" w:ascii="Times New Roman" w:hAnsi="Times New Roman" w:eastAsia="宋体" w:cs="Times New Roman"/>
                <w:b/>
                <w:bCs/>
                <w:caps w:val="0"/>
                <w:smallCaps w:val="0"/>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w:t>
            </w:r>
          </w:p>
        </w:tc>
        <w:tc>
          <w:tcPr>
            <w:tcW w:w="679" w:type="pct"/>
            <w:vMerge w:val="continue"/>
            <w:noWrap w:val="0"/>
            <w:tcMar>
              <w:left w:w="28" w:type="dxa"/>
              <w:right w:w="28" w:type="dxa"/>
            </w:tcMar>
            <w:vAlign w:val="center"/>
          </w:tcPr>
          <w:p w14:paraId="5AA7EF12">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p>
        </w:tc>
      </w:tr>
      <w:tr w14:paraId="4979A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36" w:hRule="atLeast"/>
          <w:jc w:val="center"/>
        </w:trPr>
        <w:tc>
          <w:tcPr>
            <w:tcW w:w="384" w:type="pct"/>
            <w:vMerge w:val="restart"/>
            <w:noWrap w:val="0"/>
            <w:vAlign w:val="center"/>
          </w:tcPr>
          <w:p w14:paraId="5903E1E7">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aps w:val="0"/>
                <w:smallCaps w:val="0"/>
                <w:color w:val="000000" w:themeColor="text1"/>
                <w:kern w:val="0"/>
                <w:sz w:val="21"/>
                <w:szCs w:val="21"/>
                <w:highlight w:val="none"/>
                <w:lang w:val="en-US" w:eastAsia="zh-CN" w:bidi="ar-SA"/>
                <w14:textFill>
                  <w14:solidFill>
                    <w14:schemeClr w14:val="tx1"/>
                  </w14:solidFill>
                </w14:textFill>
              </w:rPr>
              <w:t>电预热、模压罩光</w:t>
            </w:r>
          </w:p>
        </w:tc>
        <w:tc>
          <w:tcPr>
            <w:tcW w:w="405" w:type="pct"/>
            <w:vMerge w:val="restart"/>
            <w:noWrap w:val="0"/>
            <w:tcMar>
              <w:left w:w="28" w:type="dxa"/>
              <w:right w:w="28" w:type="dxa"/>
            </w:tcMar>
            <w:vAlign w:val="center"/>
          </w:tcPr>
          <w:p w14:paraId="228D2AE2">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t>DA001</w:t>
            </w:r>
          </w:p>
        </w:tc>
        <w:tc>
          <w:tcPr>
            <w:tcW w:w="222" w:type="pct"/>
            <w:vMerge w:val="restart"/>
            <w:noWrap w:val="0"/>
            <w:tcMar>
              <w:left w:w="28" w:type="dxa"/>
              <w:right w:w="28" w:type="dxa"/>
            </w:tcMar>
            <w:vAlign w:val="center"/>
          </w:tcPr>
          <w:p w14:paraId="688DE5D5">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t>15</w:t>
            </w:r>
          </w:p>
        </w:tc>
        <w:tc>
          <w:tcPr>
            <w:tcW w:w="391" w:type="pct"/>
            <w:vMerge w:val="restart"/>
            <w:noWrap w:val="0"/>
            <w:tcMar>
              <w:left w:w="28" w:type="dxa"/>
              <w:right w:w="28" w:type="dxa"/>
            </w:tcMar>
            <w:vAlign w:val="center"/>
          </w:tcPr>
          <w:p w14:paraId="7A05ED1C">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t>0.</w:t>
            </w:r>
            <w:r>
              <w:rPr>
                <w:rFonts w:hint="eastAsia" w:cs="Times New Roman"/>
                <w:bCs/>
                <w:caps w:val="0"/>
                <w:smallCaps w:val="0"/>
                <w:color w:val="000000" w:themeColor="text1"/>
                <w:kern w:val="0"/>
                <w:sz w:val="21"/>
                <w:szCs w:val="21"/>
                <w:highlight w:val="none"/>
                <w:lang w:val="en-US" w:eastAsia="zh-CN" w:bidi="ar-SA"/>
                <w14:textFill>
                  <w14:solidFill>
                    <w14:schemeClr w14:val="tx1"/>
                  </w14:solidFill>
                </w14:textFill>
              </w:rPr>
              <w:t>7</w:t>
            </w:r>
          </w:p>
        </w:tc>
        <w:tc>
          <w:tcPr>
            <w:tcW w:w="369" w:type="pct"/>
            <w:vMerge w:val="restart"/>
            <w:noWrap w:val="0"/>
            <w:tcMar>
              <w:left w:w="28" w:type="dxa"/>
              <w:right w:w="28" w:type="dxa"/>
            </w:tcMar>
            <w:vAlign w:val="center"/>
          </w:tcPr>
          <w:p w14:paraId="2875AC26">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cs="Times New Roman"/>
                <w:bCs/>
                <w:caps w:val="0"/>
                <w:smallCaps w:val="0"/>
                <w:color w:val="000000" w:themeColor="text1"/>
                <w:kern w:val="0"/>
                <w:sz w:val="21"/>
                <w:szCs w:val="21"/>
                <w:highlight w:val="none"/>
                <w:lang w:val="en-US" w:eastAsia="zh-CN" w:bidi="ar-SA"/>
                <w14:textFill>
                  <w14:solidFill>
                    <w14:schemeClr w14:val="tx1"/>
                  </w14:solidFill>
                </w14:textFill>
              </w:rPr>
              <w:t>20</w:t>
            </w:r>
            <w:r>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t>000</w:t>
            </w:r>
          </w:p>
        </w:tc>
        <w:tc>
          <w:tcPr>
            <w:tcW w:w="426" w:type="pct"/>
            <w:noWrap w:val="0"/>
            <w:tcMar>
              <w:left w:w="28" w:type="dxa"/>
              <w:right w:w="28" w:type="dxa"/>
            </w:tcMar>
            <w:vAlign w:val="center"/>
          </w:tcPr>
          <w:p w14:paraId="237D48A8">
            <w:pPr>
              <w:bidi w:val="0"/>
              <w:adjustRightInd w:val="0"/>
              <w:snapToGrid w:val="0"/>
              <w:spacing w:line="240" w:lineRule="auto"/>
              <w:ind w:firstLine="0" w:firstLineChars="0"/>
              <w:jc w:val="center"/>
              <w:rPr>
                <w:rFonts w:hint="default" w:ascii="Times New Roman" w:hAnsi="Times New Roman" w:eastAsia="宋体" w:cs="Times New Roman"/>
                <w:bCs/>
                <w:caps w:val="0"/>
                <w:smallCap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z w:val="21"/>
                <w:szCs w:val="21"/>
                <w:highlight w:val="none"/>
                <w:lang w:val="en-US" w:eastAsia="zh-CN"/>
                <w14:textFill>
                  <w14:solidFill>
                    <w14:schemeClr w14:val="tx1"/>
                  </w14:solidFill>
                </w14:textFill>
              </w:rPr>
              <w:t>非甲烷总烃</w:t>
            </w:r>
          </w:p>
        </w:tc>
        <w:tc>
          <w:tcPr>
            <w:tcW w:w="432" w:type="pct"/>
            <w:noWrap w:val="0"/>
            <w:tcMar>
              <w:left w:w="28" w:type="dxa"/>
              <w:right w:w="28" w:type="dxa"/>
            </w:tcMar>
            <w:vAlign w:val="center"/>
          </w:tcPr>
          <w:p w14:paraId="00CDAB78">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t>0.65</w:t>
            </w:r>
          </w:p>
        </w:tc>
        <w:tc>
          <w:tcPr>
            <w:tcW w:w="499" w:type="pct"/>
            <w:noWrap w:val="0"/>
            <w:tcMar>
              <w:left w:w="28" w:type="dxa"/>
              <w:right w:w="28" w:type="dxa"/>
            </w:tcMar>
            <w:vAlign w:val="center"/>
          </w:tcPr>
          <w:p w14:paraId="3B3AF9A3">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cs="Times New Roman"/>
                <w:bCs/>
                <w:caps w:val="0"/>
                <w:smallCaps w:val="0"/>
                <w:color w:val="000000" w:themeColor="text1"/>
                <w:kern w:val="0"/>
                <w:sz w:val="21"/>
                <w:szCs w:val="21"/>
                <w:highlight w:val="none"/>
                <w:lang w:val="en-US" w:eastAsia="zh-CN" w:bidi="ar-SA"/>
                <w14:textFill>
                  <w14:solidFill>
                    <w14:schemeClr w14:val="tx1"/>
                  </w14:solidFill>
                </w14:textFill>
              </w:rPr>
              <w:t>32.45</w:t>
            </w:r>
          </w:p>
        </w:tc>
        <w:tc>
          <w:tcPr>
            <w:tcW w:w="327" w:type="pct"/>
            <w:noWrap w:val="0"/>
            <w:tcMar>
              <w:left w:w="28" w:type="dxa"/>
              <w:right w:w="28" w:type="dxa"/>
            </w:tcMar>
            <w:vAlign w:val="center"/>
          </w:tcPr>
          <w:p w14:paraId="61D7A0E3">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t>0.36</w:t>
            </w:r>
          </w:p>
        </w:tc>
        <w:tc>
          <w:tcPr>
            <w:tcW w:w="355" w:type="pct"/>
            <w:noWrap w:val="0"/>
            <w:tcMar>
              <w:left w:w="28" w:type="dxa"/>
              <w:right w:w="28" w:type="dxa"/>
            </w:tcMar>
            <w:vAlign w:val="center"/>
          </w:tcPr>
          <w:p w14:paraId="459D410E">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t>0.09</w:t>
            </w:r>
          </w:p>
        </w:tc>
        <w:tc>
          <w:tcPr>
            <w:tcW w:w="503" w:type="pct"/>
            <w:noWrap w:val="0"/>
            <w:tcMar>
              <w:left w:w="28" w:type="dxa"/>
              <w:right w:w="28" w:type="dxa"/>
            </w:tcMar>
            <w:vAlign w:val="center"/>
          </w:tcPr>
          <w:p w14:paraId="05DEC7BD">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cs="Times New Roman"/>
                <w:bCs/>
                <w:caps w:val="0"/>
                <w:smallCaps w:val="0"/>
                <w:color w:val="000000" w:themeColor="text1"/>
                <w:kern w:val="0"/>
                <w:sz w:val="21"/>
                <w:szCs w:val="21"/>
                <w:highlight w:val="none"/>
                <w:lang w:val="en-US" w:eastAsia="zh-CN" w:bidi="ar-SA"/>
                <w14:textFill>
                  <w14:solidFill>
                    <w14:schemeClr w14:val="tx1"/>
                  </w14:solidFill>
                </w14:textFill>
              </w:rPr>
              <w:t>4.38</w:t>
            </w:r>
          </w:p>
        </w:tc>
        <w:tc>
          <w:tcPr>
            <w:tcW w:w="679" w:type="pct"/>
            <w:vMerge w:val="restart"/>
            <w:noWrap w:val="0"/>
            <w:tcMar>
              <w:left w:w="28" w:type="dxa"/>
              <w:right w:w="28" w:type="dxa"/>
            </w:tcMar>
            <w:vAlign w:val="center"/>
          </w:tcPr>
          <w:p w14:paraId="2E7E14D0">
            <w:pPr>
              <w:bidi w:val="0"/>
              <w:adjustRightInd w:val="0"/>
              <w:snapToGrid w:val="0"/>
              <w:spacing w:line="240" w:lineRule="auto"/>
              <w:ind w:firstLine="0" w:firstLineChars="0"/>
              <w:jc w:val="center"/>
              <w:rPr>
                <w:rFonts w:hint="default" w:ascii="Times New Roman" w:hAnsi="Times New Roman" w:eastAsia="宋体" w:cs="Times New Roman"/>
                <w:caps w:val="0"/>
                <w:smallCaps w:val="0"/>
                <w:color w:val="000000" w:themeColor="text1"/>
                <w:sz w:val="21"/>
                <w:szCs w:val="21"/>
                <w:highlight w:val="none"/>
                <w:lang w:val="en-US"/>
                <w14:textFill>
                  <w14:solidFill>
                    <w14:schemeClr w14:val="tx1"/>
                  </w14:solidFill>
                </w14:textFill>
              </w:rPr>
            </w:pPr>
            <w:r>
              <w:rPr>
                <w:rFonts w:hint="eastAsia" w:ascii="Times New Roman" w:hAnsi="Times New Roman" w:eastAsia="宋体" w:cs="Times New Roman"/>
                <w:caps w:val="0"/>
                <w:smallCaps w:val="0"/>
                <w:color w:val="000000" w:themeColor="text1"/>
                <w:sz w:val="21"/>
                <w:szCs w:val="21"/>
                <w:highlight w:val="none"/>
                <w:lang w:val="en-US" w:eastAsia="zh-CN"/>
                <w14:textFill>
                  <w14:solidFill>
                    <w14:schemeClr w14:val="tx1"/>
                  </w14:solidFill>
                </w14:textFill>
              </w:rPr>
              <w:t>85</w:t>
            </w:r>
          </w:p>
        </w:tc>
      </w:tr>
      <w:tr w14:paraId="551538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384" w:type="pct"/>
            <w:vMerge w:val="continue"/>
            <w:noWrap w:val="0"/>
            <w:vAlign w:val="center"/>
          </w:tcPr>
          <w:p w14:paraId="1F279B4B">
            <w:pPr>
              <w:widowControl w:val="0"/>
              <w:autoSpaceDE w:val="0"/>
              <w:autoSpaceDN w:val="0"/>
              <w:bidi w:val="0"/>
              <w:adjustRightInd w:val="0"/>
              <w:snapToGrid w:val="0"/>
              <w:spacing w:before="0" w:after="0" w:line="240" w:lineRule="auto"/>
              <w:ind w:firstLine="0" w:firstLineChars="0"/>
              <w:jc w:val="center"/>
              <w:textAlignment w:val="bottom"/>
              <w:rPr>
                <w:rFonts w:hint="eastAsia" w:ascii="Times New Roman" w:hAnsi="Times New Roman" w:eastAsia="宋体" w:cs="Times New Roman"/>
                <w:caps w:val="0"/>
                <w:smallCaps w:val="0"/>
                <w:color w:val="000000" w:themeColor="text1"/>
                <w:kern w:val="0"/>
                <w:sz w:val="21"/>
                <w:szCs w:val="21"/>
                <w:highlight w:val="none"/>
                <w:lang w:val="en-US" w:eastAsia="zh-CN" w:bidi="ar-SA"/>
                <w14:textFill>
                  <w14:solidFill>
                    <w14:schemeClr w14:val="tx1"/>
                  </w14:solidFill>
                </w14:textFill>
              </w:rPr>
            </w:pPr>
          </w:p>
        </w:tc>
        <w:tc>
          <w:tcPr>
            <w:tcW w:w="405" w:type="pct"/>
            <w:vMerge w:val="continue"/>
            <w:noWrap w:val="0"/>
            <w:tcMar>
              <w:left w:w="28" w:type="dxa"/>
              <w:right w:w="28" w:type="dxa"/>
            </w:tcMar>
            <w:vAlign w:val="center"/>
          </w:tcPr>
          <w:p w14:paraId="65EBE937">
            <w:pPr>
              <w:widowControl w:val="0"/>
              <w:autoSpaceDE w:val="0"/>
              <w:autoSpaceDN w:val="0"/>
              <w:bidi w:val="0"/>
              <w:adjustRightInd w:val="0"/>
              <w:snapToGrid w:val="0"/>
              <w:spacing w:before="0" w:after="0" w:line="240" w:lineRule="auto"/>
              <w:ind w:firstLine="0" w:firstLineChars="0"/>
              <w:jc w:val="center"/>
              <w:textAlignment w:val="bottom"/>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p>
        </w:tc>
        <w:tc>
          <w:tcPr>
            <w:tcW w:w="222" w:type="pct"/>
            <w:vMerge w:val="continue"/>
            <w:noWrap w:val="0"/>
            <w:tcMar>
              <w:left w:w="28" w:type="dxa"/>
              <w:right w:w="28" w:type="dxa"/>
            </w:tcMar>
            <w:vAlign w:val="center"/>
          </w:tcPr>
          <w:p w14:paraId="00948841">
            <w:pPr>
              <w:widowControl w:val="0"/>
              <w:autoSpaceDE w:val="0"/>
              <w:autoSpaceDN w:val="0"/>
              <w:bidi w:val="0"/>
              <w:adjustRightInd w:val="0"/>
              <w:snapToGrid w:val="0"/>
              <w:spacing w:before="0" w:after="0" w:line="240" w:lineRule="auto"/>
              <w:ind w:firstLine="0" w:firstLineChars="0"/>
              <w:jc w:val="center"/>
              <w:textAlignment w:val="bottom"/>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p>
        </w:tc>
        <w:tc>
          <w:tcPr>
            <w:tcW w:w="391" w:type="pct"/>
            <w:vMerge w:val="continue"/>
            <w:noWrap w:val="0"/>
            <w:tcMar>
              <w:left w:w="28" w:type="dxa"/>
              <w:right w:w="28" w:type="dxa"/>
            </w:tcMar>
            <w:vAlign w:val="center"/>
          </w:tcPr>
          <w:p w14:paraId="66B4D424">
            <w:pPr>
              <w:widowControl w:val="0"/>
              <w:autoSpaceDE w:val="0"/>
              <w:autoSpaceDN w:val="0"/>
              <w:bidi w:val="0"/>
              <w:adjustRightInd w:val="0"/>
              <w:snapToGrid w:val="0"/>
              <w:spacing w:before="0" w:after="0" w:line="240" w:lineRule="auto"/>
              <w:ind w:firstLine="0" w:firstLineChars="0"/>
              <w:jc w:val="center"/>
              <w:textAlignment w:val="bottom"/>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p>
        </w:tc>
        <w:tc>
          <w:tcPr>
            <w:tcW w:w="369" w:type="pct"/>
            <w:vMerge w:val="continue"/>
            <w:noWrap w:val="0"/>
            <w:tcMar>
              <w:left w:w="28" w:type="dxa"/>
              <w:right w:w="28" w:type="dxa"/>
            </w:tcMar>
            <w:vAlign w:val="center"/>
          </w:tcPr>
          <w:p w14:paraId="56195C2F">
            <w:pPr>
              <w:widowControl w:val="0"/>
              <w:autoSpaceDE w:val="0"/>
              <w:autoSpaceDN w:val="0"/>
              <w:bidi w:val="0"/>
              <w:adjustRightInd w:val="0"/>
              <w:snapToGrid w:val="0"/>
              <w:spacing w:before="0" w:after="0" w:line="240" w:lineRule="auto"/>
              <w:ind w:firstLine="0" w:firstLineChars="0"/>
              <w:jc w:val="center"/>
              <w:textAlignment w:val="bottom"/>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p>
        </w:tc>
        <w:tc>
          <w:tcPr>
            <w:tcW w:w="426" w:type="pct"/>
            <w:noWrap w:val="0"/>
            <w:tcMar>
              <w:left w:w="28" w:type="dxa"/>
              <w:right w:w="28" w:type="dxa"/>
            </w:tcMar>
            <w:vAlign w:val="center"/>
          </w:tcPr>
          <w:p w14:paraId="48E96CFD">
            <w:pPr>
              <w:bidi w:val="0"/>
              <w:adjustRightInd w:val="0"/>
              <w:snapToGrid w:val="0"/>
              <w:spacing w:line="240" w:lineRule="auto"/>
              <w:ind w:firstLine="0" w:firstLineChars="0"/>
              <w:jc w:val="center"/>
              <w:rPr>
                <w:rFonts w:hint="default" w:ascii="Times New Roman" w:hAnsi="Times New Roman" w:eastAsia="宋体" w:cs="Times New Roman"/>
                <w:caps w:val="0"/>
                <w:smallCap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z w:val="21"/>
                <w:szCs w:val="21"/>
                <w:highlight w:val="none"/>
                <w:lang w:val="en-US" w:eastAsia="zh-CN"/>
                <w14:textFill>
                  <w14:solidFill>
                    <w14:schemeClr w14:val="tx1"/>
                  </w14:solidFill>
                </w14:textFill>
              </w:rPr>
              <w:t>甲醛</w:t>
            </w:r>
          </w:p>
        </w:tc>
        <w:tc>
          <w:tcPr>
            <w:tcW w:w="432" w:type="pct"/>
            <w:noWrap w:val="0"/>
            <w:tcMar>
              <w:left w:w="28" w:type="dxa"/>
              <w:right w:w="28" w:type="dxa"/>
            </w:tcMar>
            <w:vAlign w:val="center"/>
          </w:tcPr>
          <w:p w14:paraId="14E81824">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t>0.003</w:t>
            </w:r>
          </w:p>
        </w:tc>
        <w:tc>
          <w:tcPr>
            <w:tcW w:w="499" w:type="pct"/>
            <w:noWrap w:val="0"/>
            <w:tcMar>
              <w:left w:w="28" w:type="dxa"/>
              <w:right w:w="28" w:type="dxa"/>
            </w:tcMar>
            <w:vAlign w:val="center"/>
          </w:tcPr>
          <w:p w14:paraId="4EA8A5D1">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t>0.</w:t>
            </w:r>
            <w:r>
              <w:rPr>
                <w:rFonts w:hint="eastAsia" w:cs="Times New Roman"/>
                <w:bCs/>
                <w:caps w:val="0"/>
                <w:smallCaps w:val="0"/>
                <w:color w:val="000000" w:themeColor="text1"/>
                <w:kern w:val="0"/>
                <w:sz w:val="21"/>
                <w:szCs w:val="21"/>
                <w:highlight w:val="none"/>
                <w:lang w:val="en-US" w:eastAsia="zh-CN" w:bidi="ar-SA"/>
                <w14:textFill>
                  <w14:solidFill>
                    <w14:schemeClr w14:val="tx1"/>
                  </w14:solidFill>
                </w14:textFill>
              </w:rPr>
              <w:t>14</w:t>
            </w:r>
          </w:p>
        </w:tc>
        <w:tc>
          <w:tcPr>
            <w:tcW w:w="327" w:type="pct"/>
            <w:noWrap w:val="0"/>
            <w:tcMar>
              <w:left w:w="28" w:type="dxa"/>
              <w:right w:w="28" w:type="dxa"/>
            </w:tcMar>
            <w:vAlign w:val="center"/>
          </w:tcPr>
          <w:p w14:paraId="65885232">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t>0.002</w:t>
            </w:r>
          </w:p>
        </w:tc>
        <w:tc>
          <w:tcPr>
            <w:tcW w:w="355" w:type="pct"/>
            <w:noWrap w:val="0"/>
            <w:tcMar>
              <w:left w:w="28" w:type="dxa"/>
              <w:right w:w="28" w:type="dxa"/>
            </w:tcMar>
            <w:vAlign w:val="center"/>
          </w:tcPr>
          <w:p w14:paraId="2F28861A">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t>0.0004</w:t>
            </w:r>
          </w:p>
        </w:tc>
        <w:tc>
          <w:tcPr>
            <w:tcW w:w="503" w:type="pct"/>
            <w:noWrap w:val="0"/>
            <w:tcMar>
              <w:left w:w="28" w:type="dxa"/>
              <w:right w:w="28" w:type="dxa"/>
            </w:tcMar>
            <w:vAlign w:val="center"/>
          </w:tcPr>
          <w:p w14:paraId="50F7A916">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t>0.0</w:t>
            </w:r>
            <w:r>
              <w:rPr>
                <w:rFonts w:hint="eastAsia" w:cs="Times New Roman"/>
                <w:bCs/>
                <w:caps w:val="0"/>
                <w:smallCaps w:val="0"/>
                <w:color w:val="000000" w:themeColor="text1"/>
                <w:kern w:val="0"/>
                <w:sz w:val="21"/>
                <w:szCs w:val="21"/>
                <w:highlight w:val="none"/>
                <w:lang w:val="en-US" w:eastAsia="zh-CN" w:bidi="ar-SA"/>
                <w14:textFill>
                  <w14:solidFill>
                    <w14:schemeClr w14:val="tx1"/>
                  </w14:solidFill>
                </w14:textFill>
              </w:rPr>
              <w:t>2</w:t>
            </w:r>
          </w:p>
        </w:tc>
        <w:tc>
          <w:tcPr>
            <w:tcW w:w="679" w:type="pct"/>
            <w:vMerge w:val="continue"/>
            <w:noWrap w:val="0"/>
            <w:tcMar>
              <w:left w:w="28" w:type="dxa"/>
              <w:right w:w="28" w:type="dxa"/>
            </w:tcMar>
            <w:vAlign w:val="center"/>
          </w:tcPr>
          <w:p w14:paraId="234E610D">
            <w:pPr>
              <w:bidi w:val="0"/>
              <w:adjustRightInd w:val="0"/>
              <w:snapToGrid w:val="0"/>
              <w:spacing w:line="240" w:lineRule="auto"/>
              <w:ind w:firstLine="0" w:firstLineChars="0"/>
              <w:jc w:val="center"/>
              <w:rPr>
                <w:rFonts w:hint="eastAsia" w:ascii="Times New Roman" w:hAnsi="Times New Roman" w:eastAsia="宋体" w:cs="Times New Roman"/>
                <w:caps w:val="0"/>
                <w:smallCaps w:val="0"/>
                <w:color w:val="000000" w:themeColor="text1"/>
                <w:sz w:val="21"/>
                <w:szCs w:val="21"/>
                <w:highlight w:val="none"/>
                <w:lang w:val="en-US" w:eastAsia="zh-CN"/>
                <w14:textFill>
                  <w14:solidFill>
                    <w14:schemeClr w14:val="tx1"/>
                  </w14:solidFill>
                </w14:textFill>
              </w:rPr>
            </w:pPr>
          </w:p>
        </w:tc>
      </w:tr>
    </w:tbl>
    <w:p w14:paraId="26D5BA8C">
      <w:p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根据上表，电预热、模压成型、罩光废气</w:t>
      </w:r>
      <w:r>
        <w:rPr>
          <w:rFonts w:hint="eastAsia" w:ascii="Times New Roman" w:hAnsi="Times New Roman" w:eastAsia="宋体" w:cs="Times New Roman"/>
          <w:color w:val="000000" w:themeColor="text1"/>
          <w:sz w:val="24"/>
          <w:lang w:val="en-US" w:eastAsia="zh-CN"/>
          <w14:textFill>
            <w14:solidFill>
              <w14:schemeClr w14:val="tx1"/>
            </w14:solidFill>
          </w14:textFill>
        </w:rPr>
        <w:t>中外排</w:t>
      </w:r>
      <w:r>
        <w:rPr>
          <w:rFonts w:hint="eastAsia" w:cs="Times New Roman"/>
          <w:color w:val="000000" w:themeColor="text1"/>
          <w:sz w:val="24"/>
          <w:lang w:val="en-US" w:eastAsia="zh-CN"/>
          <w14:textFill>
            <w14:solidFill>
              <w14:schemeClr w14:val="tx1"/>
            </w14:solidFill>
          </w14:textFill>
        </w:rPr>
        <w:t>非甲烷总烃与甲醛</w:t>
      </w:r>
      <w:r>
        <w:rPr>
          <w:rFonts w:hint="default" w:ascii="Times New Roman" w:hAnsi="Times New Roman" w:eastAsia="宋体" w:cs="Times New Roman"/>
          <w:color w:val="000000" w:themeColor="text1"/>
          <w:sz w:val="24"/>
          <w:lang w:val="en-US" w:eastAsia="zh-CN"/>
          <w14:textFill>
            <w14:solidFill>
              <w14:schemeClr w14:val="tx1"/>
            </w14:solidFill>
          </w14:textFill>
        </w:rPr>
        <w:t>满足《合成树脂工业污染物排放标准》（</w:t>
      </w:r>
      <w:r>
        <w:rPr>
          <w:rFonts w:hint="eastAsia" w:cs="Times New Roman"/>
          <w:color w:val="000000" w:themeColor="text1"/>
          <w:sz w:val="24"/>
          <w:lang w:val="en-US" w:eastAsia="zh-CN"/>
          <w14:textFill>
            <w14:solidFill>
              <w14:schemeClr w14:val="tx1"/>
            </w14:solidFill>
          </w14:textFill>
        </w:rPr>
        <w:t>GB31572-2015，含2024年修改单</w:t>
      </w:r>
      <w:r>
        <w:rPr>
          <w:rFonts w:hint="default" w:ascii="Times New Roman" w:hAnsi="Times New Roman" w:eastAsia="宋体" w:cs="Times New Roman"/>
          <w:color w:val="000000" w:themeColor="text1"/>
          <w:sz w:val="24"/>
          <w:lang w:val="en-US" w:eastAsia="zh-CN"/>
          <w14:textFill>
            <w14:solidFill>
              <w14:schemeClr w14:val="tx1"/>
            </w14:solidFill>
          </w14:textFill>
        </w:rPr>
        <w:t>）表4 大气污染物排放限值要求，即</w:t>
      </w:r>
      <w:r>
        <w:rPr>
          <w:rFonts w:hint="eastAsia" w:ascii="Times New Roman" w:hAnsi="Times New Roman" w:eastAsia="宋体" w:cs="Times New Roman"/>
          <w:color w:val="000000" w:themeColor="text1"/>
          <w:sz w:val="24"/>
          <w:lang w:val="en-US" w:eastAsia="zh-CN"/>
          <w14:textFill>
            <w14:solidFill>
              <w14:schemeClr w14:val="tx1"/>
            </w14:solidFill>
          </w14:textFill>
        </w:rPr>
        <w:t>非甲烷总烃</w:t>
      </w:r>
      <w:r>
        <w:rPr>
          <w:rFonts w:hint="default" w:ascii="Times New Roman" w:hAnsi="Times New Roman" w:eastAsia="宋体" w:cs="Times New Roman"/>
          <w:color w:val="000000" w:themeColor="text1"/>
          <w:sz w:val="24"/>
          <w:lang w:val="en-US" w:eastAsia="zh-CN"/>
          <w14:textFill>
            <w14:solidFill>
              <w14:schemeClr w14:val="tx1"/>
            </w14:solidFill>
          </w14:textFill>
        </w:rPr>
        <w:t>排放浓度≤</w:t>
      </w:r>
      <w:r>
        <w:rPr>
          <w:rFonts w:hint="eastAsia" w:ascii="Times New Roman" w:hAnsi="Times New Roman" w:eastAsia="宋体" w:cs="Times New Roman"/>
          <w:color w:val="000000" w:themeColor="text1"/>
          <w:sz w:val="24"/>
          <w:lang w:val="en-US" w:eastAsia="zh-CN"/>
          <w14:textFill>
            <w14:solidFill>
              <w14:schemeClr w14:val="tx1"/>
            </w14:solidFill>
          </w14:textFill>
        </w:rPr>
        <w:t>100</w:t>
      </w:r>
      <w:r>
        <w:rPr>
          <w:rFonts w:hint="default" w:ascii="Times New Roman" w:hAnsi="Times New Roman" w:eastAsia="宋体" w:cs="Times New Roman"/>
          <w:color w:val="000000" w:themeColor="text1"/>
          <w:sz w:val="24"/>
          <w:lang w:val="en-US" w:eastAsia="zh-CN"/>
          <w14:textFill>
            <w14:solidFill>
              <w14:schemeClr w14:val="tx1"/>
            </w14:solidFill>
          </w14:textFill>
        </w:rPr>
        <w:t>mg/m</w:t>
      </w:r>
      <w:r>
        <w:rPr>
          <w:rFonts w:hint="default" w:ascii="Times New Roman" w:hAnsi="Times New Roman" w:eastAsia="宋体" w:cs="Times New Roman"/>
          <w:color w:val="000000" w:themeColor="text1"/>
          <w:sz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lang w:val="en-US" w:eastAsia="zh-CN"/>
          <w14:textFill>
            <w14:solidFill>
              <w14:schemeClr w14:val="tx1"/>
            </w14:solidFill>
          </w14:textFill>
        </w:rPr>
        <w:t>、甲醛排放浓度≤5mg/m</w:t>
      </w:r>
      <w:r>
        <w:rPr>
          <w:rFonts w:hint="default" w:ascii="Times New Roman" w:hAnsi="Times New Roman" w:eastAsia="宋体" w:cs="Times New Roman"/>
          <w:color w:val="000000" w:themeColor="text1"/>
          <w:sz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lang w:val="en-US" w:eastAsia="zh-CN"/>
          <w14:textFill>
            <w14:solidFill>
              <w14:schemeClr w14:val="tx1"/>
            </w14:solidFill>
          </w14:textFill>
        </w:rPr>
        <w:t>。</w:t>
      </w:r>
    </w:p>
    <w:p w14:paraId="37217E47">
      <w:pPr>
        <w:bidi w:val="0"/>
        <w:spacing w:line="360" w:lineRule="auto"/>
        <w:ind w:firstLine="482"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lang w:val="en-US" w:eastAsia="zh-CN"/>
          <w14:textFill>
            <w14:solidFill>
              <w14:schemeClr w14:val="tx1"/>
            </w14:solidFill>
          </w14:textFill>
        </w:rPr>
        <w:t>（2）称量打磨废气</w:t>
      </w:r>
    </w:p>
    <w:p w14:paraId="41EDFA27">
      <w:pPr>
        <w:bidi w:val="0"/>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人工用铲子将密胺粉加入原料盒中，置于电子秤上称重。该过程会有少量称量粉尘产生</w:t>
      </w:r>
      <w:r>
        <w:rPr>
          <w:rFonts w:hint="eastAsia" w:ascii="Times New Roman" w:hAnsi="Times New Roman" w:eastAsia="宋体" w:cs="Times New Roman"/>
          <w:color w:val="000000" w:themeColor="text1"/>
          <w:sz w:val="24"/>
          <w:lang w:val="en-US" w:eastAsia="zh-CN"/>
          <w14:textFill>
            <w14:solidFill>
              <w14:schemeClr w14:val="tx1"/>
            </w14:solidFill>
          </w14:textFill>
        </w:rPr>
        <w:t>，称量平台上设有集气罩。半成品有毛边，不利于使用，员工将半成品装于塑料筐内，搬运至打磨、抛光区，先经人工修除飞边，再用砂带机和抛光机进行研磨，进一步把产品的毛边去掉，确保产品光洁度，打磨抛光区域设有集气罩。</w:t>
      </w:r>
    </w:p>
    <w:p w14:paraId="1C87450C">
      <w:p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本项目共</w:t>
      </w:r>
      <w:r>
        <w:rPr>
          <w:rFonts w:hint="eastAsia" w:cs="Times New Roman"/>
          <w:color w:val="000000" w:themeColor="text1"/>
          <w:sz w:val="24"/>
          <w:lang w:val="en-US" w:eastAsia="zh-CN"/>
          <w14:textFill>
            <w14:solidFill>
              <w14:schemeClr w14:val="tx1"/>
            </w14:solidFill>
          </w14:textFill>
        </w:rPr>
        <w:t>6个称料平台、2个自动修边机与2个手动修边机，</w:t>
      </w:r>
      <w:r>
        <w:rPr>
          <w:rFonts w:hint="default" w:ascii="Times New Roman" w:hAnsi="Times New Roman" w:eastAsia="宋体" w:cs="Times New Roman"/>
          <w:color w:val="000000" w:themeColor="text1"/>
          <w:sz w:val="24"/>
          <w:lang w:val="en-US" w:eastAsia="zh-CN"/>
          <w14:textFill>
            <w14:solidFill>
              <w14:schemeClr w14:val="tx1"/>
            </w14:solidFill>
          </w14:textFill>
        </w:rPr>
        <w:t>每台设备配置</w:t>
      </w:r>
      <w:r>
        <w:rPr>
          <w:rFonts w:hint="eastAsia" w:cs="Times New Roman"/>
          <w:color w:val="000000" w:themeColor="text1"/>
          <w:sz w:val="24"/>
          <w:lang w:val="en-US" w:eastAsia="zh-CN"/>
          <w14:textFill>
            <w14:solidFill>
              <w14:schemeClr w14:val="tx1"/>
            </w14:solidFill>
          </w14:textFill>
        </w:rPr>
        <w:t>方</w:t>
      </w:r>
      <w:r>
        <w:rPr>
          <w:rFonts w:hint="default" w:ascii="Times New Roman" w:hAnsi="Times New Roman" w:eastAsia="宋体" w:cs="Times New Roman"/>
          <w:color w:val="000000" w:themeColor="text1"/>
          <w:sz w:val="24"/>
          <w:lang w:val="en-US" w:eastAsia="zh-CN"/>
          <w14:textFill>
            <w14:solidFill>
              <w14:schemeClr w14:val="tx1"/>
            </w14:solidFill>
          </w14:textFill>
        </w:rPr>
        <w:t>形软管</w:t>
      </w:r>
      <w:r>
        <w:rPr>
          <w:rFonts w:hint="eastAsia" w:cs="Times New Roman"/>
          <w:color w:val="000000" w:themeColor="text1"/>
          <w:sz w:val="24"/>
          <w:lang w:val="en-US" w:eastAsia="zh-CN"/>
          <w14:textFill>
            <w14:solidFill>
              <w14:schemeClr w14:val="tx1"/>
            </w14:solidFill>
          </w14:textFill>
        </w:rPr>
        <w:t>顶吸</w:t>
      </w:r>
      <w:r>
        <w:rPr>
          <w:rFonts w:hint="default" w:ascii="Times New Roman" w:hAnsi="Times New Roman" w:eastAsia="宋体" w:cs="Times New Roman"/>
          <w:color w:val="000000" w:themeColor="text1"/>
          <w:sz w:val="24"/>
          <w:lang w:val="en-US" w:eastAsia="zh-CN"/>
          <w14:textFill>
            <w14:solidFill>
              <w14:schemeClr w14:val="tx1"/>
            </w14:solidFill>
          </w14:textFill>
        </w:rPr>
        <w:t>集气罩进行废气收集。集气罩开口与产气点距离不超过30cm，以提高废气的收集效率，收集效率不低于</w:t>
      </w:r>
      <w:r>
        <w:rPr>
          <w:rFonts w:hint="eastAsia" w:cs="Times New Roman"/>
          <w:color w:val="000000" w:themeColor="text1"/>
          <w:sz w:val="24"/>
          <w:lang w:val="en-US" w:eastAsia="zh-CN"/>
          <w14:textFill>
            <w14:solidFill>
              <w14:schemeClr w14:val="tx1"/>
            </w14:solidFill>
          </w14:textFill>
        </w:rPr>
        <w:t>85</w:t>
      </w:r>
      <w:r>
        <w:rPr>
          <w:rFonts w:hint="default" w:ascii="Times New Roman" w:hAnsi="Times New Roman" w:eastAsia="宋体" w:cs="Times New Roman"/>
          <w:color w:val="000000" w:themeColor="text1"/>
          <w:sz w:val="24"/>
          <w:lang w:val="en-US" w:eastAsia="zh-CN"/>
          <w14:textFill>
            <w14:solidFill>
              <w14:schemeClr w14:val="tx1"/>
            </w14:solidFill>
          </w14:textFill>
        </w:rPr>
        <w:t>%，根据集气罩风量计算公式参考《简明通风设计手册》中上吸式排风罩的风量计算公式，</w:t>
      </w:r>
      <w:r>
        <w:rPr>
          <w:rFonts w:hint="eastAsia" w:cs="Times New Roman"/>
          <w:color w:val="000000" w:themeColor="text1"/>
          <w:sz w:val="24"/>
          <w:lang w:val="en-US" w:eastAsia="zh-CN"/>
          <w14:textFill>
            <w14:solidFill>
              <w14:schemeClr w14:val="tx1"/>
            </w14:solidFill>
          </w14:textFill>
        </w:rPr>
        <w:t>计算公式如下：</w:t>
      </w:r>
    </w:p>
    <w:p w14:paraId="72FF354C">
      <w:p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m:oMathPara>
        <m:oMath>
          <m:r>
            <m:rPr>
              <m:nor/>
              <m:sty m:val="p"/>
            </m:rPr>
            <w:rPr>
              <w:rFonts w:hint="default" w:ascii="Times New Roman" w:hAnsi="Times New Roman" w:eastAsia="宋体" w:cs="Times New Roman"/>
              <w:b w:val="0"/>
              <w:i w:val="0"/>
              <w:color w:val="000000" w:themeColor="text1"/>
              <w:sz w:val="24"/>
              <w:lang w:val="en-US" w:eastAsia="zh-CN"/>
              <w14:textFill>
                <w14:solidFill>
                  <w14:schemeClr w14:val="tx1"/>
                </w14:solidFill>
              </w14:textFill>
            </w:rPr>
            <m:t>Q=</m:t>
          </m:r>
          <m:r>
            <m:rPr>
              <m:nor/>
              <m:sty m:val="p"/>
            </m:rPr>
            <w:rPr>
              <w:rFonts w:hint="default" w:ascii="Times New Roman" w:hAnsi="Times New Roman" w:cs="Times New Roman"/>
              <w:b w:val="0"/>
              <w:i w:val="0"/>
              <w:color w:val="000000" w:themeColor="text1"/>
              <w:sz w:val="24"/>
              <w:lang w:val="en-US" w:eastAsia="zh-CN"/>
              <w14:textFill>
                <w14:solidFill>
                  <w14:schemeClr w14:val="tx1"/>
                </w14:solidFill>
              </w14:textFill>
            </w:rPr>
            <m:t>k×P×H</m:t>
          </m:r>
          <m:r>
            <m:rPr>
              <m:nor/>
              <m:sty m:val="p"/>
            </m:rPr>
            <w:rPr>
              <w:rFonts w:hint="default" w:ascii="Times New Roman" w:hAnsi="Times New Roman" w:eastAsia="宋体" w:cs="Times New Roman"/>
              <w:b w:val="0"/>
              <w:i w:val="0"/>
              <w:color w:val="000000" w:themeColor="text1"/>
              <w:sz w:val="24"/>
              <w:lang w:val="en-US" w:eastAsia="zh-CN"/>
              <w14:textFill>
                <w14:solidFill>
                  <w14:schemeClr w14:val="tx1"/>
                </w14:solidFill>
              </w14:textFill>
            </w:rPr>
            <m:t>×Vx×3600</m:t>
          </m:r>
        </m:oMath>
      </m:oMathPara>
    </w:p>
    <w:p w14:paraId="4962C457">
      <w:p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式中：Q：集气罩集气风量，单位为m</w:t>
      </w:r>
      <w:r>
        <w:rPr>
          <w:rFonts w:hint="default" w:ascii="Times New Roman" w:hAnsi="Times New Roman" w:eastAsia="宋体" w:cs="Times New Roman"/>
          <w:color w:val="000000" w:themeColor="text1"/>
          <w:sz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lang w:val="en-US" w:eastAsia="zh-CN"/>
          <w14:textFill>
            <w14:solidFill>
              <w14:schemeClr w14:val="tx1"/>
            </w14:solidFill>
          </w14:textFill>
        </w:rPr>
        <w:t>/h；</w:t>
      </w:r>
    </w:p>
    <w:p w14:paraId="0AF62F22">
      <w:p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k：考虑沿高度发布不均匀的安全系数，通常取k=1.4；</w:t>
      </w:r>
    </w:p>
    <w:p w14:paraId="720C1A0B">
      <w:p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H</w:t>
      </w:r>
      <w:r>
        <w:rPr>
          <w:rFonts w:hint="default" w:ascii="Times New Roman" w:hAnsi="Times New Roman" w:eastAsia="宋体" w:cs="Times New Roman"/>
          <w:color w:val="000000" w:themeColor="text1"/>
          <w:sz w:val="24"/>
          <w:lang w:val="en-US" w:eastAsia="zh-CN"/>
          <w14:textFill>
            <w14:solidFill>
              <w14:schemeClr w14:val="tx1"/>
            </w14:solidFill>
          </w14:textFill>
        </w:rPr>
        <w:t>：污染源到罩口的水平距离，单位为m</w:t>
      </w:r>
      <w:r>
        <w:rPr>
          <w:rFonts w:hint="eastAsia" w:cs="Times New Roman"/>
          <w:color w:val="000000" w:themeColor="text1"/>
          <w:sz w:val="24"/>
          <w:lang w:val="en-US" w:eastAsia="zh-CN"/>
          <w14:textFill>
            <w14:solidFill>
              <w14:schemeClr w14:val="tx1"/>
            </w14:solidFill>
          </w14:textFill>
        </w:rPr>
        <w:t>，按0.3m计</w:t>
      </w:r>
      <w:r>
        <w:rPr>
          <w:rFonts w:hint="default" w:ascii="Times New Roman" w:hAnsi="Times New Roman" w:eastAsia="宋体" w:cs="Times New Roman"/>
          <w:color w:val="000000" w:themeColor="text1"/>
          <w:sz w:val="24"/>
          <w:lang w:val="en-US" w:eastAsia="zh-CN"/>
          <w14:textFill>
            <w14:solidFill>
              <w14:schemeClr w14:val="tx1"/>
            </w14:solidFill>
          </w14:textFill>
        </w:rPr>
        <w:t>；</w:t>
      </w:r>
    </w:p>
    <w:p w14:paraId="62907999">
      <w:p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P</w:t>
      </w:r>
      <w:r>
        <w:rPr>
          <w:rFonts w:hint="default" w:ascii="Times New Roman" w:hAnsi="Times New Roman" w:eastAsia="宋体" w:cs="Times New Roman"/>
          <w:color w:val="000000" w:themeColor="text1"/>
          <w:sz w:val="24"/>
          <w:lang w:val="en-US"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排放罩敞开面的周长</w:t>
      </w:r>
      <w:r>
        <w:rPr>
          <w:rFonts w:hint="default" w:ascii="Times New Roman" w:hAnsi="Times New Roman" w:eastAsia="宋体" w:cs="Times New Roman"/>
          <w:color w:val="000000" w:themeColor="text1"/>
          <w:sz w:val="24"/>
          <w:lang w:val="en-US" w:eastAsia="zh-CN"/>
          <w14:textFill>
            <w14:solidFill>
              <w14:schemeClr w14:val="tx1"/>
            </w14:solidFill>
          </w14:textFill>
        </w:rPr>
        <w:t>，单位为m</w:t>
      </w:r>
      <w:r>
        <w:rPr>
          <w:rFonts w:hint="eastAsia" w:cs="Times New Roman"/>
          <w:color w:val="000000" w:themeColor="text1"/>
          <w:sz w:val="24"/>
          <w:lang w:val="en-US" w:eastAsia="zh-CN"/>
          <w14:textFill>
            <w14:solidFill>
              <w14:schemeClr w14:val="tx1"/>
            </w14:solidFill>
          </w14:textFill>
        </w:rPr>
        <w:t>，集气罩尺寸0.3×0.2m，周长为1m</w:t>
      </w:r>
      <w:r>
        <w:rPr>
          <w:rFonts w:hint="default" w:ascii="Times New Roman" w:hAnsi="Times New Roman" w:eastAsia="宋体" w:cs="Times New Roman"/>
          <w:color w:val="000000" w:themeColor="text1"/>
          <w:sz w:val="24"/>
          <w:lang w:val="en-US" w:eastAsia="zh-CN"/>
          <w14:textFill>
            <w14:solidFill>
              <w14:schemeClr w14:val="tx1"/>
            </w14:solidFill>
          </w14:textFill>
        </w:rPr>
        <w:t>；</w:t>
      </w:r>
    </w:p>
    <w:p w14:paraId="18259C74">
      <w:p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Vx：污染源气体流速，单位为m/s。，参考《局部排风设施控制风速检测与评估技术规范》表1控制点的控制风速，本项目取值0.3m/s。</w:t>
      </w:r>
    </w:p>
    <w:p w14:paraId="15021687">
      <w:p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根据上式计算得集气罩理论风量为453.6m</w:t>
      </w:r>
      <w:r>
        <w:rPr>
          <w:rFonts w:hint="eastAsia" w:cs="Times New Roman"/>
          <w:color w:val="000000" w:themeColor="text1"/>
          <w:sz w:val="24"/>
          <w:vertAlign w:val="superscript"/>
          <w:lang w:val="en-US" w:eastAsia="zh-CN"/>
          <w14:textFill>
            <w14:solidFill>
              <w14:schemeClr w14:val="tx1"/>
            </w14:solidFill>
          </w14:textFill>
        </w:rPr>
        <w:t>3</w:t>
      </w:r>
      <w:r>
        <w:rPr>
          <w:rFonts w:hint="eastAsia" w:cs="Times New Roman"/>
          <w:color w:val="000000" w:themeColor="text1"/>
          <w:sz w:val="24"/>
          <w:lang w:val="en-US" w:eastAsia="zh-CN"/>
          <w14:textFill>
            <w14:solidFill>
              <w14:schemeClr w14:val="tx1"/>
            </w14:solidFill>
          </w14:textFill>
        </w:rPr>
        <w:t>/h，共10个集气罩，则处理风量为4536m</w:t>
      </w:r>
      <w:r>
        <w:rPr>
          <w:rFonts w:hint="eastAsia" w:cs="Times New Roman"/>
          <w:color w:val="000000" w:themeColor="text1"/>
          <w:sz w:val="24"/>
          <w:vertAlign w:val="superscript"/>
          <w:lang w:val="en-US" w:eastAsia="zh-CN"/>
          <w14:textFill>
            <w14:solidFill>
              <w14:schemeClr w14:val="tx1"/>
            </w14:solidFill>
          </w14:textFill>
        </w:rPr>
        <w:t>3</w:t>
      </w:r>
      <w:r>
        <w:rPr>
          <w:rFonts w:hint="eastAsia" w:cs="Times New Roman"/>
          <w:color w:val="000000" w:themeColor="text1"/>
          <w:sz w:val="24"/>
          <w:lang w:val="en-US" w:eastAsia="zh-CN"/>
          <w14:textFill>
            <w14:solidFill>
              <w14:schemeClr w14:val="tx1"/>
            </w14:solidFill>
          </w14:textFill>
        </w:rPr>
        <w:t>/h，同时考虑风损等因素，称量打磨废气风机风量取7000m</w:t>
      </w:r>
      <w:r>
        <w:rPr>
          <w:rFonts w:hint="eastAsia" w:cs="Times New Roman"/>
          <w:color w:val="000000" w:themeColor="text1"/>
          <w:sz w:val="24"/>
          <w:vertAlign w:val="superscript"/>
          <w:lang w:val="en-US" w:eastAsia="zh-CN"/>
          <w14:textFill>
            <w14:solidFill>
              <w14:schemeClr w14:val="tx1"/>
            </w14:solidFill>
          </w14:textFill>
        </w:rPr>
        <w:t>3</w:t>
      </w:r>
      <w:r>
        <w:rPr>
          <w:rFonts w:hint="eastAsia" w:cs="Times New Roman"/>
          <w:color w:val="000000" w:themeColor="text1"/>
          <w:sz w:val="24"/>
          <w:lang w:val="en-US" w:eastAsia="zh-CN"/>
          <w14:textFill>
            <w14:solidFill>
              <w14:schemeClr w14:val="tx1"/>
            </w14:solidFill>
          </w14:textFill>
        </w:rPr>
        <w:t>/h。</w:t>
      </w:r>
    </w:p>
    <w:p w14:paraId="5E741C0F">
      <w:pPr>
        <w:bidi w:val="0"/>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本项目年产密胺餐具1000t/a，</w:t>
      </w:r>
      <w:r>
        <w:rPr>
          <w:rFonts w:hint="eastAsia" w:ascii="Times New Roman" w:hAnsi="Times New Roman" w:eastAsia="宋体" w:cs="Times New Roman"/>
          <w:color w:val="000000" w:themeColor="text1"/>
          <w:sz w:val="24"/>
          <w:lang w:val="en-US" w:eastAsia="zh-CN"/>
          <w14:textFill>
            <w14:solidFill>
              <w14:schemeClr w14:val="tx1"/>
            </w14:solidFill>
          </w14:textFill>
        </w:rPr>
        <w:t>根据</w:t>
      </w:r>
      <w:r>
        <w:rPr>
          <w:rFonts w:hint="default" w:ascii="Times New Roman" w:hAnsi="Times New Roman" w:eastAsia="宋体" w:cs="Times New Roman"/>
          <w:color w:val="000000" w:themeColor="text1"/>
          <w:sz w:val="24"/>
          <w:lang w:val="en-US" w:eastAsia="zh-CN"/>
          <w14:textFill>
            <w14:solidFill>
              <w14:schemeClr w14:val="tx1"/>
            </w14:solidFill>
          </w14:textFill>
        </w:rPr>
        <w:t>《排放源统计调查产排污核算方法和系数手册》</w:t>
      </w:r>
      <w:r>
        <w:rPr>
          <w:rFonts w:hint="eastAsia" w:cs="Times New Roman"/>
          <w:color w:val="000000" w:themeColor="text1"/>
          <w:sz w:val="24"/>
          <w:lang w:val="en-US" w:eastAsia="zh-CN"/>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2922 塑料板、管、型材制造行业系数表</w:t>
      </w:r>
      <w:r>
        <w:rPr>
          <w:rFonts w:hint="eastAsia" w:cs="Times New Roman"/>
          <w:color w:val="000000" w:themeColor="text1"/>
          <w:sz w:val="24"/>
          <w:lang w:val="en-US" w:eastAsia="zh-CN"/>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中颗粒物产生量为6kg/t-产品</w:t>
      </w:r>
      <w:r>
        <w:rPr>
          <w:rFonts w:hint="eastAsia" w:cs="Times New Roman"/>
          <w:color w:val="000000" w:themeColor="text1"/>
          <w:sz w:val="24"/>
          <w:lang w:val="en-US"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则称量打磨废气颗粒物产生量为</w:t>
      </w:r>
      <w:r>
        <w:rPr>
          <w:rFonts w:hint="eastAsia" w:cs="Times New Roman"/>
          <w:color w:val="000000" w:themeColor="text1"/>
          <w:sz w:val="24"/>
          <w:lang w:val="en-US" w:eastAsia="zh-CN"/>
          <w14:textFill>
            <w14:solidFill>
              <w14:schemeClr w14:val="tx1"/>
            </w14:solidFill>
          </w14:textFill>
        </w:rPr>
        <w:t>6</w:t>
      </w:r>
      <w:r>
        <w:rPr>
          <w:rFonts w:hint="eastAsia" w:ascii="Times New Roman" w:hAnsi="Times New Roman" w:eastAsia="宋体" w:cs="Times New Roman"/>
          <w:color w:val="000000" w:themeColor="text1"/>
          <w:sz w:val="24"/>
          <w:lang w:val="en-US" w:eastAsia="zh-CN"/>
          <w14:textFill>
            <w14:solidFill>
              <w14:schemeClr w14:val="tx1"/>
            </w14:solidFill>
          </w14:textFill>
        </w:rPr>
        <w:t>t/a。</w:t>
      </w:r>
    </w:p>
    <w:p w14:paraId="43849596">
      <w:pPr>
        <w:bidi w:val="0"/>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项目称量打磨废气产生颗粒物通过引风机（风机风量</w:t>
      </w:r>
      <w:r>
        <w:rPr>
          <w:rFonts w:hint="eastAsia" w:cs="Times New Roman"/>
          <w:color w:val="000000" w:themeColor="text1"/>
          <w:sz w:val="24"/>
          <w:lang w:val="en-US" w:eastAsia="zh-CN"/>
          <w14:textFill>
            <w14:solidFill>
              <w14:schemeClr w14:val="tx1"/>
            </w14:solidFill>
          </w14:textFill>
        </w:rPr>
        <w:t>7</w:t>
      </w:r>
      <w:r>
        <w:rPr>
          <w:rFonts w:hint="eastAsia" w:ascii="Times New Roman" w:hAnsi="Times New Roman" w:eastAsia="宋体" w:cs="Times New Roman"/>
          <w:color w:val="000000" w:themeColor="text1"/>
          <w:sz w:val="24"/>
          <w:lang w:val="en-US" w:eastAsia="zh-CN"/>
          <w14:textFill>
            <w14:solidFill>
              <w14:schemeClr w14:val="tx1"/>
            </w14:solidFill>
          </w14:textFill>
        </w:rPr>
        <w:t>000m</w:t>
      </w:r>
      <w:r>
        <w:rPr>
          <w:rFonts w:hint="eastAsia" w:ascii="Times New Roman" w:hAnsi="Times New Roman" w:eastAsia="宋体" w:cs="Times New Roman"/>
          <w:color w:val="000000" w:themeColor="text1"/>
          <w:sz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lang w:val="en-US" w:eastAsia="zh-CN"/>
          <w14:textFill>
            <w14:solidFill>
              <w14:schemeClr w14:val="tx1"/>
            </w14:solidFill>
          </w14:textFill>
        </w:rPr>
        <w:t>/h）+集气罩（收集效率85%）+布袋除尘器处理后通过15m高排气筒（DA002）外排。布袋除尘器去除效率99%，本项目年产260d，每天生产16h，则项目称量打磨废气产排情况如下：</w:t>
      </w:r>
    </w:p>
    <w:p w14:paraId="654FDBFF">
      <w:pPr>
        <w:widowControl w:val="0"/>
        <w:bidi w:val="0"/>
        <w:spacing w:line="240" w:lineRule="auto"/>
        <w:ind w:firstLine="0" w:firstLineChars="0"/>
        <w:jc w:val="cente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表3.2-3</w:t>
      </w: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 xml:space="preserve"> </w:t>
      </w: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 xml:space="preserve"> 称量打磨废气污染物产排情况一览表</w:t>
      </w:r>
    </w:p>
    <w:tbl>
      <w:tblPr>
        <w:tblStyle w:val="31"/>
        <w:tblW w:w="499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785"/>
        <w:gridCol w:w="886"/>
        <w:gridCol w:w="409"/>
        <w:gridCol w:w="653"/>
        <w:gridCol w:w="643"/>
        <w:gridCol w:w="804"/>
        <w:gridCol w:w="819"/>
        <w:gridCol w:w="944"/>
        <w:gridCol w:w="619"/>
        <w:gridCol w:w="875"/>
        <w:gridCol w:w="851"/>
        <w:gridCol w:w="688"/>
      </w:tblGrid>
      <w:tr w14:paraId="5A0A0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tblHeader/>
          <w:jc w:val="center"/>
        </w:trPr>
        <w:tc>
          <w:tcPr>
            <w:tcW w:w="461" w:type="pct"/>
            <w:vMerge w:val="restart"/>
            <w:noWrap w:val="0"/>
            <w:vAlign w:val="center"/>
          </w:tcPr>
          <w:p w14:paraId="6078AFBC">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废气</w:t>
            </w:r>
          </w:p>
          <w:p w14:paraId="6275DFED">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来源</w:t>
            </w:r>
          </w:p>
        </w:tc>
        <w:tc>
          <w:tcPr>
            <w:tcW w:w="1409" w:type="pct"/>
            <w:gridSpan w:val="4"/>
            <w:tcBorders>
              <w:bottom w:val="single" w:color="auto" w:sz="4" w:space="0"/>
            </w:tcBorders>
            <w:noWrap w:val="0"/>
            <w:tcMar>
              <w:left w:w="28" w:type="dxa"/>
              <w:right w:w="28" w:type="dxa"/>
            </w:tcMar>
            <w:vAlign w:val="center"/>
          </w:tcPr>
          <w:p w14:paraId="37745F08">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排放参数</w:t>
            </w:r>
          </w:p>
        </w:tc>
        <w:tc>
          <w:tcPr>
            <w:tcW w:w="471" w:type="pct"/>
            <w:vMerge w:val="restart"/>
            <w:noWrap w:val="0"/>
            <w:tcMar>
              <w:left w:w="28" w:type="dxa"/>
              <w:right w:w="28" w:type="dxa"/>
            </w:tcMar>
            <w:vAlign w:val="center"/>
          </w:tcPr>
          <w:p w14:paraId="3174FA8B">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污染物名 称</w:t>
            </w:r>
          </w:p>
        </w:tc>
        <w:tc>
          <w:tcPr>
            <w:tcW w:w="1028" w:type="pct"/>
            <w:gridSpan w:val="2"/>
            <w:noWrap w:val="0"/>
            <w:tcMar>
              <w:left w:w="28" w:type="dxa"/>
              <w:right w:w="28" w:type="dxa"/>
            </w:tcMar>
            <w:vAlign w:val="center"/>
          </w:tcPr>
          <w:p w14:paraId="0072ABE6">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产生情况</w:t>
            </w:r>
          </w:p>
        </w:tc>
        <w:tc>
          <w:tcPr>
            <w:tcW w:w="1227" w:type="pct"/>
            <w:gridSpan w:val="3"/>
            <w:noWrap w:val="0"/>
            <w:tcMar>
              <w:left w:w="28" w:type="dxa"/>
              <w:right w:w="28" w:type="dxa"/>
            </w:tcMar>
            <w:vAlign w:val="center"/>
          </w:tcPr>
          <w:p w14:paraId="6B6FF334">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排放情况</w:t>
            </w:r>
          </w:p>
        </w:tc>
        <w:tc>
          <w:tcPr>
            <w:tcW w:w="400" w:type="pct"/>
            <w:vMerge w:val="restart"/>
            <w:noWrap w:val="0"/>
            <w:tcMar>
              <w:left w:w="28" w:type="dxa"/>
              <w:right w:w="28" w:type="dxa"/>
            </w:tcMar>
            <w:vAlign w:val="center"/>
          </w:tcPr>
          <w:p w14:paraId="79C9AFBC">
            <w:pPr>
              <w:widowControl w:val="0"/>
              <w:autoSpaceDE w:val="0"/>
              <w:autoSpaceDN w:val="0"/>
              <w:bidi w:val="0"/>
              <w:adjustRightInd w:val="0"/>
              <w:snapToGrid w:val="0"/>
              <w:spacing w:before="0" w:after="0" w:line="240" w:lineRule="auto"/>
              <w:ind w:firstLine="0" w:firstLineChars="0"/>
              <w:jc w:val="center"/>
              <w:textAlignment w:val="bottom"/>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处理效率</w:t>
            </w:r>
            <w:r>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w:t>
            </w:r>
          </w:p>
        </w:tc>
      </w:tr>
      <w:tr w14:paraId="7B34E1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49" w:hRule="atLeast"/>
          <w:tblHeader/>
          <w:jc w:val="center"/>
        </w:trPr>
        <w:tc>
          <w:tcPr>
            <w:tcW w:w="461" w:type="pct"/>
            <w:vMerge w:val="continue"/>
            <w:noWrap w:val="0"/>
            <w:vAlign w:val="center"/>
          </w:tcPr>
          <w:p w14:paraId="0AFC9629">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p>
        </w:tc>
        <w:tc>
          <w:tcPr>
            <w:tcW w:w="517" w:type="pct"/>
            <w:tcBorders>
              <w:top w:val="single" w:color="auto" w:sz="4" w:space="0"/>
            </w:tcBorders>
            <w:noWrap w:val="0"/>
            <w:tcMar>
              <w:left w:w="28" w:type="dxa"/>
              <w:right w:w="28" w:type="dxa"/>
            </w:tcMar>
            <w:vAlign w:val="center"/>
          </w:tcPr>
          <w:p w14:paraId="2A435090">
            <w:pPr>
              <w:widowControl w:val="0"/>
              <w:autoSpaceDE w:val="0"/>
              <w:autoSpaceDN w:val="0"/>
              <w:bidi w:val="0"/>
              <w:adjustRightInd w:val="0"/>
              <w:snapToGrid w:val="0"/>
              <w:spacing w:before="0" w:after="0" w:line="240" w:lineRule="auto"/>
              <w:ind w:firstLine="0" w:firstLineChars="0"/>
              <w:jc w:val="center"/>
              <w:textAlignment w:val="bottom"/>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编号</w:t>
            </w:r>
          </w:p>
        </w:tc>
        <w:tc>
          <w:tcPr>
            <w:tcW w:w="251" w:type="pct"/>
            <w:tcBorders>
              <w:top w:val="single" w:color="auto" w:sz="4" w:space="0"/>
            </w:tcBorders>
            <w:noWrap w:val="0"/>
            <w:tcMar>
              <w:left w:w="28" w:type="dxa"/>
              <w:right w:w="28" w:type="dxa"/>
            </w:tcMar>
            <w:vAlign w:val="center"/>
          </w:tcPr>
          <w:p w14:paraId="1DAA9136">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高度</w:t>
            </w:r>
          </w:p>
          <w:p w14:paraId="4F317883">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(m)</w:t>
            </w:r>
          </w:p>
        </w:tc>
        <w:tc>
          <w:tcPr>
            <w:tcW w:w="260" w:type="pct"/>
            <w:noWrap w:val="0"/>
            <w:tcMar>
              <w:left w:w="28" w:type="dxa"/>
              <w:right w:w="28" w:type="dxa"/>
            </w:tcMar>
            <w:vAlign w:val="center"/>
          </w:tcPr>
          <w:p w14:paraId="1414DED8">
            <w:pPr>
              <w:widowControl w:val="0"/>
              <w:autoSpaceDE w:val="0"/>
              <w:autoSpaceDN w:val="0"/>
              <w:bidi w:val="0"/>
              <w:adjustRightInd w:val="0"/>
              <w:snapToGrid w:val="0"/>
              <w:spacing w:before="0" w:after="0" w:line="240" w:lineRule="auto"/>
              <w:ind w:firstLine="0" w:firstLineChars="0"/>
              <w:jc w:val="center"/>
              <w:textAlignment w:val="bottom"/>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内径（</w:t>
            </w: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m</w:t>
            </w:r>
            <w:r>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w:t>
            </w:r>
          </w:p>
        </w:tc>
        <w:tc>
          <w:tcPr>
            <w:tcW w:w="381" w:type="pct"/>
            <w:noWrap w:val="0"/>
            <w:tcMar>
              <w:left w:w="28" w:type="dxa"/>
              <w:right w:w="28" w:type="dxa"/>
            </w:tcMar>
            <w:vAlign w:val="center"/>
          </w:tcPr>
          <w:p w14:paraId="059ACFF1">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排气</w:t>
            </w:r>
          </w:p>
          <w:p w14:paraId="184ADEE4">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量</w:t>
            </w:r>
          </w:p>
          <w:p w14:paraId="13310F91">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b/>
                <w:bCs/>
                <w:caps w:val="0"/>
                <w:smallCaps w:val="0"/>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/h)</w:t>
            </w:r>
          </w:p>
        </w:tc>
        <w:tc>
          <w:tcPr>
            <w:tcW w:w="471" w:type="pct"/>
            <w:vMerge w:val="continue"/>
            <w:noWrap w:val="0"/>
            <w:tcMar>
              <w:left w:w="28" w:type="dxa"/>
              <w:right w:w="28" w:type="dxa"/>
            </w:tcMar>
            <w:vAlign w:val="center"/>
          </w:tcPr>
          <w:p w14:paraId="473DCA07">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p>
        </w:tc>
        <w:tc>
          <w:tcPr>
            <w:tcW w:w="479" w:type="pct"/>
            <w:noWrap w:val="0"/>
            <w:tcMar>
              <w:left w:w="28" w:type="dxa"/>
              <w:right w:w="28" w:type="dxa"/>
            </w:tcMar>
            <w:vAlign w:val="center"/>
          </w:tcPr>
          <w:p w14:paraId="6BCAC9E6">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产生</w:t>
            </w:r>
          </w:p>
          <w:p w14:paraId="7F179CE0">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速率</w:t>
            </w:r>
          </w:p>
          <w:p w14:paraId="4B4BB678">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(kg/h)</w:t>
            </w:r>
          </w:p>
        </w:tc>
        <w:tc>
          <w:tcPr>
            <w:tcW w:w="548" w:type="pct"/>
            <w:noWrap w:val="0"/>
            <w:tcMar>
              <w:left w:w="28" w:type="dxa"/>
              <w:right w:w="28" w:type="dxa"/>
            </w:tcMar>
            <w:vAlign w:val="center"/>
          </w:tcPr>
          <w:p w14:paraId="44D0FD2E">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产生</w:t>
            </w:r>
          </w:p>
          <w:p w14:paraId="558EFCB1">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浓度</w:t>
            </w:r>
          </w:p>
          <w:p w14:paraId="20328643">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(mg/m</w:t>
            </w:r>
            <w:r>
              <w:rPr>
                <w:rFonts w:hint="default" w:ascii="Times New Roman" w:hAnsi="Times New Roman" w:eastAsia="宋体" w:cs="Times New Roman"/>
                <w:b/>
                <w:bCs/>
                <w:caps w:val="0"/>
                <w:smallCaps w:val="0"/>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w:t>
            </w:r>
          </w:p>
        </w:tc>
        <w:tc>
          <w:tcPr>
            <w:tcW w:w="368" w:type="pct"/>
            <w:noWrap w:val="0"/>
            <w:tcMar>
              <w:left w:w="28" w:type="dxa"/>
              <w:right w:w="28" w:type="dxa"/>
            </w:tcMar>
            <w:vAlign w:val="center"/>
          </w:tcPr>
          <w:p w14:paraId="2BBAB31B">
            <w:pPr>
              <w:widowControl w:val="0"/>
              <w:autoSpaceDE w:val="0"/>
              <w:autoSpaceDN w:val="0"/>
              <w:bidi w:val="0"/>
              <w:adjustRightInd w:val="0"/>
              <w:snapToGrid w:val="0"/>
              <w:spacing w:before="0" w:after="0" w:line="240" w:lineRule="auto"/>
              <w:ind w:firstLine="0" w:firstLineChars="0"/>
              <w:jc w:val="center"/>
              <w:textAlignment w:val="bottom"/>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排放量</w:t>
            </w:r>
          </w:p>
          <w:p w14:paraId="325BDC9C">
            <w:pPr>
              <w:widowControl w:val="0"/>
              <w:autoSpaceDE w:val="0"/>
              <w:autoSpaceDN w:val="0"/>
              <w:bidi w:val="0"/>
              <w:adjustRightInd w:val="0"/>
              <w:snapToGrid w:val="0"/>
              <w:spacing w:before="0" w:after="0" w:line="240" w:lineRule="auto"/>
              <w:ind w:firstLine="0" w:firstLineChars="0"/>
              <w:jc w:val="center"/>
              <w:textAlignment w:val="bottom"/>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w:t>
            </w:r>
            <w:r>
              <w:rPr>
                <w:rFonts w:ascii="Times New Roman" w:hAnsi="Times New Roman" w:eastAsia="宋体" w:cs="Times New Roman"/>
                <w:b/>
                <w:bCs/>
                <w:caps w:val="0"/>
                <w:smallCaps w:val="0"/>
                <w:color w:val="000000" w:themeColor="text1"/>
                <w:kern w:val="0"/>
                <w:sz w:val="18"/>
                <w:szCs w:val="18"/>
                <w:highlight w:val="none"/>
                <w:lang w:val="en-US" w:eastAsia="zh-CN" w:bidi="ar-SA"/>
                <w14:textFill>
                  <w14:solidFill>
                    <w14:schemeClr w14:val="tx1"/>
                  </w14:solidFill>
                </w14:textFill>
              </w:rPr>
              <w:t>t/a</w:t>
            </w:r>
            <w:r>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w:t>
            </w:r>
          </w:p>
        </w:tc>
        <w:tc>
          <w:tcPr>
            <w:tcW w:w="362" w:type="pct"/>
            <w:noWrap w:val="0"/>
            <w:tcMar>
              <w:left w:w="28" w:type="dxa"/>
              <w:right w:w="28" w:type="dxa"/>
            </w:tcMar>
            <w:vAlign w:val="center"/>
          </w:tcPr>
          <w:p w14:paraId="0B11FFBA">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排放</w:t>
            </w:r>
          </w:p>
          <w:p w14:paraId="5C904BE3">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速率</w:t>
            </w:r>
            <w:r>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kg/h</w:t>
            </w:r>
            <w:r>
              <w:rPr>
                <w:rFonts w:hint="eastAsia"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w:t>
            </w:r>
          </w:p>
        </w:tc>
        <w:tc>
          <w:tcPr>
            <w:tcW w:w="497" w:type="pct"/>
            <w:noWrap w:val="0"/>
            <w:tcMar>
              <w:left w:w="28" w:type="dxa"/>
              <w:right w:w="28" w:type="dxa"/>
            </w:tcMar>
            <w:vAlign w:val="center"/>
          </w:tcPr>
          <w:p w14:paraId="6E13DE6A">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排放</w:t>
            </w:r>
          </w:p>
          <w:p w14:paraId="014826A8">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浓度</w:t>
            </w:r>
          </w:p>
          <w:p w14:paraId="10963F90">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(mg/m</w:t>
            </w:r>
            <w:r>
              <w:rPr>
                <w:rFonts w:hint="default" w:ascii="Times New Roman" w:hAnsi="Times New Roman" w:eastAsia="宋体" w:cs="Times New Roman"/>
                <w:b/>
                <w:bCs/>
                <w:caps w:val="0"/>
                <w:smallCaps w:val="0"/>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t>)</w:t>
            </w:r>
          </w:p>
        </w:tc>
        <w:tc>
          <w:tcPr>
            <w:tcW w:w="400" w:type="pct"/>
            <w:vMerge w:val="continue"/>
            <w:noWrap w:val="0"/>
            <w:tcMar>
              <w:left w:w="28" w:type="dxa"/>
              <w:right w:w="28" w:type="dxa"/>
            </w:tcMar>
            <w:vAlign w:val="center"/>
          </w:tcPr>
          <w:p w14:paraId="4AD8302D">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
                <w:bCs/>
                <w:caps w:val="0"/>
                <w:smallCaps w:val="0"/>
                <w:color w:val="000000" w:themeColor="text1"/>
                <w:kern w:val="0"/>
                <w:sz w:val="21"/>
                <w:szCs w:val="21"/>
                <w:highlight w:val="none"/>
                <w:lang w:val="en-US" w:eastAsia="zh-CN" w:bidi="ar-SA"/>
                <w14:textFill>
                  <w14:solidFill>
                    <w14:schemeClr w14:val="tx1"/>
                  </w14:solidFill>
                </w14:textFill>
              </w:rPr>
            </w:pPr>
          </w:p>
        </w:tc>
      </w:tr>
      <w:tr w14:paraId="57FD5A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9" w:hRule="atLeast"/>
          <w:jc w:val="center"/>
        </w:trPr>
        <w:tc>
          <w:tcPr>
            <w:tcW w:w="461" w:type="pct"/>
            <w:noWrap w:val="0"/>
            <w:vAlign w:val="center"/>
          </w:tcPr>
          <w:p w14:paraId="5B4C6BFD">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aps w:val="0"/>
                <w:smallCaps w:val="0"/>
                <w:color w:val="000000" w:themeColor="text1"/>
                <w:kern w:val="0"/>
                <w:sz w:val="21"/>
                <w:szCs w:val="21"/>
                <w:highlight w:val="none"/>
                <w:lang w:val="en-US" w:eastAsia="zh-CN" w:bidi="ar-SA"/>
                <w14:textFill>
                  <w14:solidFill>
                    <w14:schemeClr w14:val="tx1"/>
                  </w14:solidFill>
                </w14:textFill>
              </w:rPr>
              <w:t>称量打磨</w:t>
            </w:r>
          </w:p>
        </w:tc>
        <w:tc>
          <w:tcPr>
            <w:tcW w:w="517" w:type="pct"/>
            <w:noWrap w:val="0"/>
            <w:tcMar>
              <w:left w:w="28" w:type="dxa"/>
              <w:right w:w="28" w:type="dxa"/>
            </w:tcMar>
            <w:vAlign w:val="center"/>
          </w:tcPr>
          <w:p w14:paraId="29F4DB56">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t>DA002</w:t>
            </w:r>
          </w:p>
        </w:tc>
        <w:tc>
          <w:tcPr>
            <w:tcW w:w="251" w:type="pct"/>
            <w:noWrap w:val="0"/>
            <w:tcMar>
              <w:left w:w="28" w:type="dxa"/>
              <w:right w:w="28" w:type="dxa"/>
            </w:tcMar>
            <w:vAlign w:val="center"/>
          </w:tcPr>
          <w:p w14:paraId="6A5D7FDF">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t>15</w:t>
            </w:r>
          </w:p>
        </w:tc>
        <w:tc>
          <w:tcPr>
            <w:tcW w:w="260" w:type="pct"/>
            <w:noWrap w:val="0"/>
            <w:tcMar>
              <w:left w:w="28" w:type="dxa"/>
              <w:right w:w="28" w:type="dxa"/>
            </w:tcMar>
            <w:vAlign w:val="center"/>
          </w:tcPr>
          <w:p w14:paraId="34C2F71F">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t>0.</w:t>
            </w:r>
            <w:r>
              <w:rPr>
                <w:rFonts w:hint="eastAsia" w:cs="Times New Roman"/>
                <w:bCs/>
                <w:caps w:val="0"/>
                <w:smallCaps w:val="0"/>
                <w:color w:val="000000" w:themeColor="text1"/>
                <w:kern w:val="0"/>
                <w:sz w:val="21"/>
                <w:szCs w:val="21"/>
                <w:highlight w:val="none"/>
                <w:lang w:val="en-US" w:eastAsia="zh-CN" w:bidi="ar-SA"/>
                <w14:textFill>
                  <w14:solidFill>
                    <w14:schemeClr w14:val="tx1"/>
                  </w14:solidFill>
                </w14:textFill>
              </w:rPr>
              <w:t>4</w:t>
            </w:r>
          </w:p>
        </w:tc>
        <w:tc>
          <w:tcPr>
            <w:tcW w:w="381" w:type="pct"/>
            <w:noWrap w:val="0"/>
            <w:tcMar>
              <w:left w:w="28" w:type="dxa"/>
              <w:right w:w="28" w:type="dxa"/>
            </w:tcMar>
            <w:vAlign w:val="center"/>
          </w:tcPr>
          <w:p w14:paraId="2F11E241">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cs="Times New Roman"/>
                <w:bCs/>
                <w:caps w:val="0"/>
                <w:smallCaps w:val="0"/>
                <w:color w:val="000000" w:themeColor="text1"/>
                <w:kern w:val="0"/>
                <w:sz w:val="21"/>
                <w:szCs w:val="21"/>
                <w:highlight w:val="none"/>
                <w:lang w:val="en-US" w:eastAsia="zh-CN" w:bidi="ar-SA"/>
                <w14:textFill>
                  <w14:solidFill>
                    <w14:schemeClr w14:val="tx1"/>
                  </w14:solidFill>
                </w14:textFill>
              </w:rPr>
              <w:t>7</w:t>
            </w:r>
            <w:r>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t>000</w:t>
            </w:r>
          </w:p>
        </w:tc>
        <w:tc>
          <w:tcPr>
            <w:tcW w:w="471" w:type="pct"/>
            <w:noWrap w:val="0"/>
            <w:tcMar>
              <w:left w:w="28" w:type="dxa"/>
              <w:right w:w="28" w:type="dxa"/>
            </w:tcMar>
            <w:vAlign w:val="center"/>
          </w:tcPr>
          <w:p w14:paraId="56498932">
            <w:pPr>
              <w:bidi w:val="0"/>
              <w:adjustRightInd w:val="0"/>
              <w:snapToGrid w:val="0"/>
              <w:spacing w:line="240" w:lineRule="auto"/>
              <w:ind w:firstLine="0" w:firstLineChars="0"/>
              <w:jc w:val="center"/>
              <w:rPr>
                <w:rFonts w:hint="default" w:ascii="Times New Roman" w:hAnsi="Times New Roman" w:eastAsia="宋体" w:cs="Times New Roman"/>
                <w:bCs/>
                <w:caps w:val="0"/>
                <w:smallCap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z w:val="21"/>
                <w:szCs w:val="21"/>
                <w:highlight w:val="none"/>
                <w:lang w:val="en-US" w:eastAsia="zh-CN"/>
                <w14:textFill>
                  <w14:solidFill>
                    <w14:schemeClr w14:val="tx1"/>
                  </w14:solidFill>
                </w14:textFill>
              </w:rPr>
              <w:t>颗粒物</w:t>
            </w:r>
          </w:p>
        </w:tc>
        <w:tc>
          <w:tcPr>
            <w:tcW w:w="479" w:type="pct"/>
            <w:noWrap w:val="0"/>
            <w:tcMar>
              <w:left w:w="28" w:type="dxa"/>
              <w:right w:w="28" w:type="dxa"/>
            </w:tcMar>
            <w:vAlign w:val="center"/>
          </w:tcPr>
          <w:p w14:paraId="09C87C5A">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t>1.44</w:t>
            </w:r>
          </w:p>
        </w:tc>
        <w:tc>
          <w:tcPr>
            <w:tcW w:w="548" w:type="pct"/>
            <w:noWrap w:val="0"/>
            <w:tcMar>
              <w:left w:w="28" w:type="dxa"/>
              <w:right w:w="28" w:type="dxa"/>
            </w:tcMar>
            <w:vAlign w:val="center"/>
          </w:tcPr>
          <w:p w14:paraId="118953DF">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cs="Times New Roman"/>
                <w:bCs/>
                <w:caps w:val="0"/>
                <w:smallCaps w:val="0"/>
                <w:color w:val="000000" w:themeColor="text1"/>
                <w:kern w:val="0"/>
                <w:sz w:val="21"/>
                <w:szCs w:val="21"/>
                <w:highlight w:val="none"/>
                <w:lang w:val="en-US" w:eastAsia="zh-CN" w:bidi="ar-SA"/>
                <w14:textFill>
                  <w14:solidFill>
                    <w14:schemeClr w14:val="tx1"/>
                  </w14:solidFill>
                </w14:textFill>
              </w:rPr>
              <w:t>206.04</w:t>
            </w:r>
          </w:p>
        </w:tc>
        <w:tc>
          <w:tcPr>
            <w:tcW w:w="368" w:type="pct"/>
            <w:noWrap w:val="0"/>
            <w:tcMar>
              <w:left w:w="28" w:type="dxa"/>
              <w:right w:w="28" w:type="dxa"/>
            </w:tcMar>
            <w:vAlign w:val="center"/>
          </w:tcPr>
          <w:p w14:paraId="03E669B7">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t>0.05</w:t>
            </w:r>
          </w:p>
        </w:tc>
        <w:tc>
          <w:tcPr>
            <w:tcW w:w="362" w:type="pct"/>
            <w:noWrap w:val="0"/>
            <w:tcMar>
              <w:left w:w="28" w:type="dxa"/>
              <w:right w:w="28" w:type="dxa"/>
            </w:tcMar>
            <w:vAlign w:val="center"/>
          </w:tcPr>
          <w:p w14:paraId="552E661A">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t>0.01</w:t>
            </w:r>
          </w:p>
        </w:tc>
        <w:tc>
          <w:tcPr>
            <w:tcW w:w="497" w:type="pct"/>
            <w:noWrap w:val="0"/>
            <w:tcMar>
              <w:left w:w="28" w:type="dxa"/>
              <w:right w:w="28" w:type="dxa"/>
            </w:tcMar>
            <w:vAlign w:val="center"/>
          </w:tcPr>
          <w:p w14:paraId="258C2265">
            <w:pPr>
              <w:widowControl w:val="0"/>
              <w:autoSpaceDE w:val="0"/>
              <w:autoSpaceDN w:val="0"/>
              <w:bidi w:val="0"/>
              <w:adjustRightInd w:val="0"/>
              <w:snapToGrid w:val="0"/>
              <w:spacing w:before="0" w:after="0" w:line="240" w:lineRule="auto"/>
              <w:ind w:firstLine="0" w:firstLineChars="0"/>
              <w:jc w:val="center"/>
              <w:textAlignment w:val="bottom"/>
              <w:rPr>
                <w:rFonts w:hint="default" w:ascii="Times New Roman" w:hAnsi="Times New Roman" w:eastAsia="宋体" w:cs="Times New Roman"/>
                <w:bCs/>
                <w:caps w:val="0"/>
                <w:smallCaps w:val="0"/>
                <w:color w:val="000000" w:themeColor="text1"/>
                <w:kern w:val="0"/>
                <w:sz w:val="21"/>
                <w:szCs w:val="21"/>
                <w:highlight w:val="none"/>
                <w:lang w:val="en-US" w:eastAsia="zh-CN" w:bidi="ar-SA"/>
                <w14:textFill>
                  <w14:solidFill>
                    <w14:schemeClr w14:val="tx1"/>
                  </w14:solidFill>
                </w14:textFill>
              </w:rPr>
            </w:pPr>
            <w:r>
              <w:rPr>
                <w:rFonts w:hint="eastAsia" w:cs="Times New Roman"/>
                <w:bCs/>
                <w:caps w:val="0"/>
                <w:smallCaps w:val="0"/>
                <w:color w:val="000000" w:themeColor="text1"/>
                <w:kern w:val="0"/>
                <w:sz w:val="21"/>
                <w:szCs w:val="21"/>
                <w:highlight w:val="none"/>
                <w:lang w:val="en-US" w:eastAsia="zh-CN" w:bidi="ar-SA"/>
                <w14:textFill>
                  <w14:solidFill>
                    <w14:schemeClr w14:val="tx1"/>
                  </w14:solidFill>
                </w14:textFill>
              </w:rPr>
              <w:t>1.75</w:t>
            </w:r>
          </w:p>
        </w:tc>
        <w:tc>
          <w:tcPr>
            <w:tcW w:w="400" w:type="pct"/>
            <w:noWrap w:val="0"/>
            <w:tcMar>
              <w:left w:w="28" w:type="dxa"/>
              <w:right w:w="28" w:type="dxa"/>
            </w:tcMar>
            <w:vAlign w:val="center"/>
          </w:tcPr>
          <w:p w14:paraId="546909E3">
            <w:pPr>
              <w:bidi w:val="0"/>
              <w:adjustRightInd w:val="0"/>
              <w:snapToGrid w:val="0"/>
              <w:spacing w:line="240" w:lineRule="auto"/>
              <w:ind w:firstLine="0" w:firstLineChars="0"/>
              <w:jc w:val="center"/>
              <w:rPr>
                <w:rFonts w:hint="default" w:ascii="Times New Roman" w:hAnsi="Times New Roman" w:eastAsia="宋体" w:cs="Times New Roman"/>
                <w:caps w:val="0"/>
                <w:smallCaps w:val="0"/>
                <w:color w:val="000000" w:themeColor="text1"/>
                <w:sz w:val="21"/>
                <w:szCs w:val="21"/>
                <w:highlight w:val="none"/>
                <w:lang w:val="en-US"/>
                <w14:textFill>
                  <w14:solidFill>
                    <w14:schemeClr w14:val="tx1"/>
                  </w14:solidFill>
                </w14:textFill>
              </w:rPr>
            </w:pPr>
            <w:r>
              <w:rPr>
                <w:rFonts w:hint="eastAsia" w:ascii="Times New Roman" w:hAnsi="Times New Roman" w:eastAsia="宋体" w:cs="Times New Roman"/>
                <w:caps w:val="0"/>
                <w:smallCaps w:val="0"/>
                <w:color w:val="000000" w:themeColor="text1"/>
                <w:sz w:val="21"/>
                <w:szCs w:val="21"/>
                <w:highlight w:val="none"/>
                <w:lang w:val="en-US" w:eastAsia="zh-CN"/>
                <w14:textFill>
                  <w14:solidFill>
                    <w14:schemeClr w14:val="tx1"/>
                  </w14:solidFill>
                </w14:textFill>
              </w:rPr>
              <w:t>99</w:t>
            </w:r>
          </w:p>
        </w:tc>
      </w:tr>
    </w:tbl>
    <w:p w14:paraId="0BE88B9D">
      <w:p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根据上表，称量打磨废气</w:t>
      </w:r>
      <w:r>
        <w:rPr>
          <w:rFonts w:hint="eastAsia" w:ascii="Times New Roman" w:hAnsi="Times New Roman" w:eastAsia="宋体" w:cs="Times New Roman"/>
          <w:color w:val="000000" w:themeColor="text1"/>
          <w:sz w:val="24"/>
          <w:lang w:val="en-US" w:eastAsia="zh-CN"/>
          <w14:textFill>
            <w14:solidFill>
              <w14:schemeClr w14:val="tx1"/>
            </w14:solidFill>
          </w14:textFill>
        </w:rPr>
        <w:t>中</w:t>
      </w:r>
      <w:r>
        <w:rPr>
          <w:rFonts w:hint="default" w:ascii="Times New Roman" w:hAnsi="Times New Roman" w:eastAsia="宋体" w:cs="Times New Roman"/>
          <w:color w:val="000000" w:themeColor="text1"/>
          <w:sz w:val="24"/>
          <w:lang w:val="en-US" w:eastAsia="zh-CN"/>
          <w14:textFill>
            <w14:solidFill>
              <w14:schemeClr w14:val="tx1"/>
            </w14:solidFill>
          </w14:textFill>
        </w:rPr>
        <w:t>颗粒物满足《合成树脂工业污染物排放标准》（</w:t>
      </w:r>
      <w:r>
        <w:rPr>
          <w:rFonts w:hint="eastAsia" w:cs="Times New Roman"/>
          <w:color w:val="000000" w:themeColor="text1"/>
          <w:sz w:val="24"/>
          <w:lang w:val="en-US" w:eastAsia="zh-CN"/>
          <w14:textFill>
            <w14:solidFill>
              <w14:schemeClr w14:val="tx1"/>
            </w14:solidFill>
          </w14:textFill>
        </w:rPr>
        <w:t>GB31572-2015，含2024年修改单</w:t>
      </w:r>
      <w:r>
        <w:rPr>
          <w:rFonts w:hint="default" w:ascii="Times New Roman" w:hAnsi="Times New Roman" w:eastAsia="宋体" w:cs="Times New Roman"/>
          <w:color w:val="000000" w:themeColor="text1"/>
          <w:sz w:val="24"/>
          <w:lang w:val="en-US" w:eastAsia="zh-CN"/>
          <w14:textFill>
            <w14:solidFill>
              <w14:schemeClr w14:val="tx1"/>
            </w14:solidFill>
          </w14:textFill>
        </w:rPr>
        <w:t>）表4 大气污染物排放限值要求，即颗粒物排放浓度≤</w:t>
      </w:r>
      <w:r>
        <w:rPr>
          <w:rFonts w:hint="eastAsia" w:cs="Times New Roman"/>
          <w:color w:val="000000" w:themeColor="text1"/>
          <w:sz w:val="24"/>
          <w:lang w:val="en-US" w:eastAsia="zh-CN"/>
          <w14:textFill>
            <w14:solidFill>
              <w14:schemeClr w14:val="tx1"/>
            </w14:solidFill>
          </w14:textFill>
        </w:rPr>
        <w:t>30</w:t>
      </w:r>
      <w:r>
        <w:rPr>
          <w:rFonts w:hint="default" w:ascii="Times New Roman" w:hAnsi="Times New Roman" w:eastAsia="宋体" w:cs="Times New Roman"/>
          <w:color w:val="000000" w:themeColor="text1"/>
          <w:sz w:val="24"/>
          <w:lang w:val="en-US" w:eastAsia="zh-CN"/>
          <w14:textFill>
            <w14:solidFill>
              <w14:schemeClr w14:val="tx1"/>
            </w14:solidFill>
          </w14:textFill>
        </w:rPr>
        <w:t>mg/m</w:t>
      </w:r>
      <w:r>
        <w:rPr>
          <w:rFonts w:hint="default" w:ascii="Times New Roman" w:hAnsi="Times New Roman" w:eastAsia="宋体" w:cs="Times New Roman"/>
          <w:color w:val="000000" w:themeColor="text1"/>
          <w:sz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lang w:val="en-US" w:eastAsia="zh-CN"/>
          <w14:textFill>
            <w14:solidFill>
              <w14:schemeClr w14:val="tx1"/>
            </w14:solidFill>
          </w14:textFill>
        </w:rPr>
        <w:t>。</w:t>
      </w:r>
    </w:p>
    <w:p w14:paraId="21C1FFE1">
      <w:pPr>
        <w:bidi w:val="0"/>
        <w:spacing w:line="360" w:lineRule="auto"/>
        <w:ind w:firstLine="482" w:firstLineChars="200"/>
        <w:rPr>
          <w:rFonts w:hint="default" w:ascii="Times New Roman" w:hAnsi="Times New Roman" w:eastAsia="宋体" w:cs="Times New Roman"/>
          <w:b/>
          <w:bCs/>
          <w:color w:val="000000" w:themeColor="text1"/>
          <w:sz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lang w:val="en-US" w:eastAsia="zh-CN"/>
          <w14:textFill>
            <w14:solidFill>
              <w14:schemeClr w14:val="tx1"/>
            </w14:solidFill>
          </w14:textFill>
        </w:rPr>
        <w:t>（3）无组织废气</w:t>
      </w:r>
    </w:p>
    <w:p w14:paraId="573887F0">
      <w:p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项目无组织废气主要为电预热、模压罩光废气与称量打磨废气未收集所产生的无组织废气</w:t>
      </w:r>
      <w:r>
        <w:rPr>
          <w:rFonts w:hint="eastAsia" w:cs="Times New Roman"/>
          <w:color w:val="000000" w:themeColor="text1"/>
          <w:sz w:val="24"/>
          <w:lang w:val="en-US" w:eastAsia="zh-CN"/>
          <w14:textFill>
            <w14:solidFill>
              <w14:schemeClr w14:val="tx1"/>
            </w14:solidFill>
          </w14:textFill>
        </w:rPr>
        <w:t>以及异味等，</w:t>
      </w:r>
      <w:r>
        <w:rPr>
          <w:rFonts w:hint="eastAsia" w:ascii="Times New Roman" w:hAnsi="Times New Roman" w:eastAsia="宋体" w:cs="Times New Roman"/>
          <w:color w:val="000000" w:themeColor="text1"/>
          <w:sz w:val="24"/>
          <w:lang w:val="en-US" w:eastAsia="zh-CN"/>
          <w14:textFill>
            <w14:solidFill>
              <w14:schemeClr w14:val="tx1"/>
            </w14:solidFill>
          </w14:textFill>
        </w:rPr>
        <w:t>通过车间沉降</w:t>
      </w:r>
      <w:r>
        <w:rPr>
          <w:rFonts w:hint="eastAsia" w:cs="Times New Roman"/>
          <w:color w:val="000000" w:themeColor="text1"/>
          <w:sz w:val="24"/>
          <w:lang w:val="en-US" w:eastAsia="zh-CN"/>
          <w14:textFill>
            <w14:solidFill>
              <w14:schemeClr w14:val="tx1"/>
            </w14:solidFill>
          </w14:textFill>
        </w:rPr>
        <w:t>、厂内绿化吸收，空气稀释</w:t>
      </w:r>
      <w:r>
        <w:rPr>
          <w:rFonts w:hint="eastAsia" w:ascii="Times New Roman" w:hAnsi="Times New Roman" w:eastAsia="宋体" w:cs="Times New Roman"/>
          <w:color w:val="000000" w:themeColor="text1"/>
          <w:sz w:val="24"/>
          <w:lang w:val="en-US" w:eastAsia="zh-CN"/>
          <w14:textFill>
            <w14:solidFill>
              <w14:schemeClr w14:val="tx1"/>
            </w14:solidFill>
          </w14:textFill>
        </w:rPr>
        <w:t>等措施降低周边环境的影响。</w:t>
      </w:r>
    </w:p>
    <w:p w14:paraId="601283DE">
      <w:pPr>
        <w:widowControl w:val="0"/>
        <w:bidi w:val="0"/>
        <w:spacing w:line="360" w:lineRule="auto"/>
        <w:ind w:firstLine="480" w:firstLineChars="200"/>
        <w:jc w:val="both"/>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1）电预热、模压罩光废气未收集</w:t>
      </w:r>
    </w:p>
    <w:p w14:paraId="6852179A">
      <w:pPr>
        <w:widowControl w:val="0"/>
        <w:bidi w:val="0"/>
        <w:spacing w:line="360" w:lineRule="auto"/>
        <w:ind w:firstLine="480" w:firstLineChars="200"/>
        <w:jc w:val="both"/>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项目电预热、模压罩光废气通过引风机（风机风量</w:t>
      </w:r>
      <w:r>
        <w:rPr>
          <w:rFonts w:hint="eastAsia" w:cs="Times New Roman"/>
          <w:color w:val="000000" w:themeColor="text1"/>
          <w:kern w:val="2"/>
          <w:sz w:val="24"/>
          <w:szCs w:val="24"/>
          <w:lang w:val="en-US" w:eastAsia="zh-CN" w:bidi="ar-SA"/>
          <w14:textFill>
            <w14:solidFill>
              <w14:schemeClr w14:val="tx1"/>
            </w14:solidFill>
          </w14:textFill>
        </w:rPr>
        <w:t>20</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000m</w:t>
      </w:r>
      <w:r>
        <w:rPr>
          <w:rFonts w:hint="eastAsia" w:ascii="Times New Roman" w:hAnsi="Times New Roman" w:eastAsia="宋体" w:cs="Times New Roman"/>
          <w:color w:val="000000" w:themeColor="text1"/>
          <w:kern w:val="2"/>
          <w:sz w:val="24"/>
          <w:szCs w:val="24"/>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/h）+集气罩（收集效率90%）+</w:t>
      </w:r>
      <w:r>
        <w:rPr>
          <w:rFonts w:hint="eastAsia" w:cs="Times New Roman"/>
          <w:color w:val="000000" w:themeColor="text1"/>
          <w:kern w:val="2"/>
          <w:sz w:val="24"/>
          <w:szCs w:val="24"/>
          <w:lang w:val="en-US" w:eastAsia="zh-CN" w:bidi="ar-SA"/>
          <w14:textFill>
            <w14:solidFill>
              <w14:schemeClr w14:val="tx1"/>
            </w14:solidFill>
          </w14:textFill>
        </w:rPr>
        <w:t>活性炭吸附/脱附+催化燃烧</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处理后通过15m高排气筒（DA001）外排，污染物产生量为非甲烷总烃2.7t/a、甲醛0.01388t/a，集气罩收集效率为90%，则电预热、模压罩光废气未收集量为非甲烷总烃0.27t/a、</w:t>
      </w:r>
      <w:r>
        <w:rPr>
          <w:rFonts w:hint="eastAsia" w:cs="Times New Roman"/>
          <w:color w:val="000000" w:themeColor="text1"/>
          <w:kern w:val="2"/>
          <w:sz w:val="24"/>
          <w:szCs w:val="24"/>
          <w:lang w:val="en-US" w:eastAsia="zh-CN" w:bidi="ar-SA"/>
          <w14:textFill>
            <w14:solidFill>
              <w14:schemeClr w14:val="tx1"/>
            </w14:solidFill>
          </w14:textFill>
        </w:rPr>
        <w:t>甲醛</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0.001t/a，该部分废气车间无组织排放。</w:t>
      </w:r>
    </w:p>
    <w:p w14:paraId="7958140A">
      <w:pPr>
        <w:widowControl w:val="0"/>
        <w:bidi w:val="0"/>
        <w:spacing w:line="360" w:lineRule="auto"/>
        <w:ind w:firstLine="480" w:firstLineChars="200"/>
        <w:jc w:val="both"/>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2）称量打磨废气未收集</w:t>
      </w:r>
    </w:p>
    <w:p w14:paraId="5C197DD4">
      <w:pPr>
        <w:widowControl w:val="0"/>
        <w:bidi w:val="0"/>
        <w:spacing w:line="360" w:lineRule="auto"/>
        <w:ind w:firstLine="480" w:firstLineChars="200"/>
        <w:jc w:val="both"/>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项目称量废气通过引风机（风机风量</w:t>
      </w:r>
      <w:r>
        <w:rPr>
          <w:rFonts w:hint="eastAsia" w:cs="Times New Roman"/>
          <w:color w:val="000000" w:themeColor="text1"/>
          <w:kern w:val="2"/>
          <w:sz w:val="24"/>
          <w:szCs w:val="24"/>
          <w:lang w:val="en-US" w:eastAsia="zh-CN" w:bidi="ar-SA"/>
          <w14:textFill>
            <w14:solidFill>
              <w14:schemeClr w14:val="tx1"/>
            </w14:solidFill>
          </w14:textFill>
        </w:rPr>
        <w:t>7</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000m</w:t>
      </w:r>
      <w:r>
        <w:rPr>
          <w:rFonts w:hint="eastAsia" w:ascii="Times New Roman" w:hAnsi="Times New Roman" w:eastAsia="宋体" w:cs="Times New Roman"/>
          <w:color w:val="000000" w:themeColor="text1"/>
          <w:kern w:val="2"/>
          <w:sz w:val="24"/>
          <w:szCs w:val="24"/>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/h）+集气罩（收集效率85%）+布袋除尘器处理后通过15m高排气筒（DA002）外排，污染物产生量为颗粒物</w:t>
      </w:r>
      <w:r>
        <w:rPr>
          <w:rFonts w:hint="eastAsia" w:cs="Times New Roman"/>
          <w:color w:val="000000" w:themeColor="text1"/>
          <w:kern w:val="2"/>
          <w:sz w:val="24"/>
          <w:szCs w:val="24"/>
          <w:lang w:val="en-US" w:eastAsia="zh-CN" w:bidi="ar-SA"/>
          <w14:textFill>
            <w14:solidFill>
              <w14:schemeClr w14:val="tx1"/>
            </w14:solidFill>
          </w14:textFill>
        </w:rPr>
        <w:t>6</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t/a，集气罩收集效率为85%，则称量打磨废气未收集量为0.</w:t>
      </w:r>
      <w:r>
        <w:rPr>
          <w:rFonts w:hint="eastAsia" w:cs="Times New Roman"/>
          <w:color w:val="000000" w:themeColor="text1"/>
          <w:kern w:val="2"/>
          <w:sz w:val="24"/>
          <w:szCs w:val="24"/>
          <w:lang w:val="en-US" w:eastAsia="zh-CN" w:bidi="ar-SA"/>
          <w14:textFill>
            <w14:solidFill>
              <w14:schemeClr w14:val="tx1"/>
            </w14:solidFill>
          </w14:textFill>
        </w:rPr>
        <w:t>90</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t/a。颗粒物大部分在车间内自然沉降，且项目生产车间均为封闭厂房，约有60%未收集到粉尘在车间内自然沉降，则称量打磨废气未收集废气无组织排放量为0.</w:t>
      </w:r>
      <w:r>
        <w:rPr>
          <w:rFonts w:hint="eastAsia" w:cs="Times New Roman"/>
          <w:color w:val="000000" w:themeColor="text1"/>
          <w:kern w:val="2"/>
          <w:sz w:val="24"/>
          <w:szCs w:val="24"/>
          <w:lang w:val="en-US" w:eastAsia="zh-CN" w:bidi="ar-SA"/>
          <w14:textFill>
            <w14:solidFill>
              <w14:schemeClr w14:val="tx1"/>
            </w14:solidFill>
          </w14:textFill>
        </w:rPr>
        <w:t>36</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t/a。</w:t>
      </w:r>
    </w:p>
    <w:p w14:paraId="51567A2C">
      <w:pPr>
        <w:numPr>
          <w:ilvl w:val="0"/>
          <w:numId w:val="0"/>
        </w:numPr>
        <w:bidi w:val="0"/>
        <w:spacing w:line="360" w:lineRule="auto"/>
        <w:ind w:firstLine="480" w:firstLineChars="200"/>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pPr>
      <w:r>
        <w:rPr>
          <w:rFonts w:hint="eastAsia" w:cs="Times New Roman"/>
          <w:b w:val="0"/>
          <w:bCs w:val="0"/>
          <w:color w:val="000000" w:themeColor="text1"/>
          <w:kern w:val="2"/>
          <w:sz w:val="24"/>
          <w:szCs w:val="24"/>
          <w:lang w:val="en-US" w:eastAsia="zh-CN" w:bidi="ar-SA"/>
          <w14:textFill>
            <w14:solidFill>
              <w14:schemeClr w14:val="tx1"/>
            </w14:solidFill>
          </w14:textFill>
        </w:rPr>
        <w:t>3）异味</w:t>
      </w:r>
    </w:p>
    <w:p w14:paraId="65A9D308">
      <w:pPr>
        <w:numPr>
          <w:ilvl w:val="0"/>
          <w:numId w:val="0"/>
        </w:numPr>
        <w:bidi w:val="0"/>
        <w:spacing w:line="360" w:lineRule="auto"/>
        <w:ind w:firstLine="480" w:firstLineChars="200"/>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本项目属</w:t>
      </w:r>
      <w:r>
        <w:rPr>
          <w:rFonts w:hint="eastAsia" w:cs="Times New Roman"/>
          <w:b w:val="0"/>
          <w:bCs w:val="0"/>
          <w:color w:val="000000" w:themeColor="text1"/>
          <w:kern w:val="2"/>
          <w:sz w:val="24"/>
          <w:szCs w:val="24"/>
          <w:lang w:val="en-US" w:eastAsia="zh-CN" w:bidi="ar-SA"/>
          <w14:textFill>
            <w14:solidFill>
              <w14:schemeClr w14:val="tx1"/>
            </w14:solidFill>
          </w14:textFill>
        </w:rPr>
        <w:t>日用</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塑料制品制造，主要生产</w:t>
      </w:r>
      <w:r>
        <w:rPr>
          <w:rFonts w:hint="eastAsia" w:cs="Times New Roman"/>
          <w:b w:val="0"/>
          <w:bCs w:val="0"/>
          <w:color w:val="000000" w:themeColor="text1"/>
          <w:kern w:val="2"/>
          <w:sz w:val="24"/>
          <w:szCs w:val="24"/>
          <w:lang w:val="en-US" w:eastAsia="zh-CN" w:bidi="ar-SA"/>
          <w14:textFill>
            <w14:solidFill>
              <w14:schemeClr w14:val="tx1"/>
            </w14:solidFill>
          </w14:textFill>
        </w:rPr>
        <w:t>密胺餐具</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等产品。物料熔融状态下产生的有机废气中将伴生异味气体，异味随设备上方设置的集气罩收集后通过负压风管进入活性炭吸附/脱附+催化燃烧处理，少量呈无组织形式排放在生产车间内。由于</w:t>
      </w:r>
      <w:r>
        <w:rPr>
          <w:rFonts w:hint="eastAsia" w:cs="Times New Roman"/>
          <w:b w:val="0"/>
          <w:bCs w:val="0"/>
          <w:color w:val="000000" w:themeColor="text1"/>
          <w:kern w:val="2"/>
          <w:sz w:val="24"/>
          <w:szCs w:val="24"/>
          <w:lang w:val="en-US" w:eastAsia="zh-CN" w:bidi="ar-SA"/>
          <w14:textFill>
            <w14:solidFill>
              <w14:schemeClr w14:val="tx1"/>
            </w14:solidFill>
          </w14:textFill>
        </w:rPr>
        <w:t>异味</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的逸出和扩散机理较为复杂，难以准确估算其产生量。为此，本评价仅就</w:t>
      </w:r>
      <w:r>
        <w:rPr>
          <w:rFonts w:hint="eastAsia" w:cs="Times New Roman"/>
          <w:b w:val="0"/>
          <w:bCs w:val="0"/>
          <w:color w:val="000000" w:themeColor="text1"/>
          <w:kern w:val="2"/>
          <w:sz w:val="24"/>
          <w:szCs w:val="24"/>
          <w:lang w:val="en-US" w:eastAsia="zh-CN" w:bidi="ar-SA"/>
          <w14:textFill>
            <w14:solidFill>
              <w14:schemeClr w14:val="tx1"/>
            </w14:solidFill>
          </w14:textFill>
        </w:rPr>
        <w:t>异味</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的产生环节提出污染防治措施，不做其产生量估算。</w:t>
      </w:r>
    </w:p>
    <w:p w14:paraId="1296909E">
      <w:pPr>
        <w:numPr>
          <w:ilvl w:val="0"/>
          <w:numId w:val="0"/>
        </w:numPr>
        <w:bidi w:val="0"/>
        <w:spacing w:line="360" w:lineRule="auto"/>
        <w:ind w:firstLine="482" w:firstLineChars="200"/>
        <w:rPr>
          <w:rFonts w:hint="eastAsia" w:ascii="Times New Roman" w:hAnsi="Times New Roman" w:eastAsia="宋体" w:cs="Times New Roman"/>
          <w:b/>
          <w:bCs/>
          <w:color w:val="000000" w:themeColor="text1"/>
          <w:sz w:val="24"/>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2、</w:t>
      </w:r>
      <w:r>
        <w:rPr>
          <w:rFonts w:hint="eastAsia" w:ascii="Times New Roman" w:hAnsi="Times New Roman" w:eastAsia="宋体" w:cs="Times New Roman"/>
          <w:b/>
          <w:bCs/>
          <w:color w:val="000000" w:themeColor="text1"/>
          <w:sz w:val="24"/>
          <w:lang w:val="en-US" w:eastAsia="zh-CN"/>
          <w14:textFill>
            <w14:solidFill>
              <w14:schemeClr w14:val="tx1"/>
            </w14:solidFill>
          </w14:textFill>
        </w:rPr>
        <w:t>废气产排情况</w:t>
      </w:r>
    </w:p>
    <w:p w14:paraId="6BC3CD44">
      <w:pPr>
        <w:bidi w:val="0"/>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本项目各工序废气产生及排放情况见表3.2-4。</w:t>
      </w:r>
    </w:p>
    <w:p w14:paraId="101D9E79">
      <w:pPr>
        <w:widowControl w:val="0"/>
        <w:bidi w:val="0"/>
        <w:spacing w:line="240" w:lineRule="auto"/>
        <w:ind w:firstLine="0" w:firstLineChars="0"/>
        <w:jc w:val="cente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w:t>
      </w: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3.2-4</w:t>
      </w: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 xml:space="preserve">   </w:t>
      </w: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项目</w:t>
      </w: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废气产排污情况一览表</w:t>
      </w:r>
    </w:p>
    <w:tbl>
      <w:tblPr>
        <w:tblStyle w:val="31"/>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4"/>
        <w:gridCol w:w="1286"/>
        <w:gridCol w:w="1087"/>
        <w:gridCol w:w="825"/>
        <w:gridCol w:w="1663"/>
        <w:gridCol w:w="724"/>
        <w:gridCol w:w="1063"/>
        <w:gridCol w:w="1037"/>
      </w:tblGrid>
      <w:tr w14:paraId="0B341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blHeader/>
        </w:trPr>
        <w:tc>
          <w:tcPr>
            <w:tcW w:w="706" w:type="pct"/>
            <w:tcMar>
              <w:top w:w="0" w:type="dxa"/>
              <w:left w:w="57" w:type="dxa"/>
              <w:bottom w:w="0" w:type="dxa"/>
              <w:right w:w="57" w:type="dxa"/>
            </w:tcMar>
            <w:vAlign w:val="center"/>
          </w:tcPr>
          <w:p w14:paraId="7F36E8FA">
            <w:pPr>
              <w:bidi w:val="0"/>
              <w:adjustRightInd w:val="0"/>
              <w:snapToGrid w:val="0"/>
              <w:spacing w:line="240" w:lineRule="auto"/>
              <w:ind w:firstLine="0" w:firstLineChars="0"/>
              <w:jc w:val="center"/>
              <w:textAlignment w:val="baseline"/>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产排污环节</w:t>
            </w:r>
          </w:p>
        </w:tc>
        <w:tc>
          <w:tcPr>
            <w:tcW w:w="718" w:type="pct"/>
            <w:tcMar>
              <w:top w:w="0" w:type="dxa"/>
              <w:left w:w="57" w:type="dxa"/>
              <w:bottom w:w="0" w:type="dxa"/>
              <w:right w:w="57" w:type="dxa"/>
            </w:tcMar>
            <w:vAlign w:val="center"/>
          </w:tcPr>
          <w:p w14:paraId="2FB349FA">
            <w:pPr>
              <w:bidi w:val="0"/>
              <w:adjustRightInd w:val="0"/>
              <w:snapToGrid w:val="0"/>
              <w:spacing w:line="240" w:lineRule="auto"/>
              <w:ind w:firstLine="0" w:firstLineChars="0"/>
              <w:jc w:val="center"/>
              <w:textAlignment w:val="baseline"/>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污染物种类</w:t>
            </w:r>
          </w:p>
        </w:tc>
        <w:tc>
          <w:tcPr>
            <w:tcW w:w="607" w:type="pct"/>
            <w:tcMar>
              <w:top w:w="0" w:type="dxa"/>
              <w:left w:w="57" w:type="dxa"/>
              <w:bottom w:w="0" w:type="dxa"/>
              <w:right w:w="57" w:type="dxa"/>
            </w:tcMar>
            <w:vAlign w:val="center"/>
          </w:tcPr>
          <w:p w14:paraId="6DAAF27A">
            <w:pPr>
              <w:bidi w:val="0"/>
              <w:adjustRightInd w:val="0"/>
              <w:snapToGrid w:val="0"/>
              <w:spacing w:line="240" w:lineRule="auto"/>
              <w:ind w:firstLine="0" w:firstLineChars="0"/>
              <w:jc w:val="center"/>
              <w:textAlignment w:val="baseline"/>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污染物产生量t/a</w:t>
            </w:r>
          </w:p>
        </w:tc>
        <w:tc>
          <w:tcPr>
            <w:tcW w:w="461" w:type="pct"/>
            <w:tcMar>
              <w:top w:w="0" w:type="dxa"/>
              <w:left w:w="57" w:type="dxa"/>
              <w:bottom w:w="0" w:type="dxa"/>
              <w:right w:w="57" w:type="dxa"/>
            </w:tcMar>
            <w:vAlign w:val="center"/>
          </w:tcPr>
          <w:p w14:paraId="7D0875D8">
            <w:pPr>
              <w:bidi w:val="0"/>
              <w:adjustRightInd w:val="0"/>
              <w:snapToGrid w:val="0"/>
              <w:spacing w:line="240" w:lineRule="auto"/>
              <w:ind w:firstLine="0" w:firstLineChars="0"/>
              <w:jc w:val="center"/>
              <w:textAlignment w:val="baseline"/>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排放形式</w:t>
            </w:r>
          </w:p>
        </w:tc>
        <w:tc>
          <w:tcPr>
            <w:tcW w:w="928" w:type="pct"/>
            <w:tcMar>
              <w:top w:w="0" w:type="dxa"/>
              <w:left w:w="57" w:type="dxa"/>
              <w:bottom w:w="0" w:type="dxa"/>
              <w:right w:w="57" w:type="dxa"/>
            </w:tcMar>
            <w:vAlign w:val="center"/>
          </w:tcPr>
          <w:p w14:paraId="146BF96C">
            <w:pPr>
              <w:bidi w:val="0"/>
              <w:adjustRightInd w:val="0"/>
              <w:snapToGrid w:val="0"/>
              <w:spacing w:line="240" w:lineRule="auto"/>
              <w:ind w:firstLine="0" w:firstLineChars="0"/>
              <w:jc w:val="center"/>
              <w:textAlignment w:val="baseline"/>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治理设施</w:t>
            </w:r>
          </w:p>
        </w:tc>
        <w:tc>
          <w:tcPr>
            <w:tcW w:w="404" w:type="pct"/>
            <w:tcMar>
              <w:top w:w="0" w:type="dxa"/>
              <w:left w:w="57" w:type="dxa"/>
              <w:bottom w:w="0" w:type="dxa"/>
              <w:right w:w="57" w:type="dxa"/>
            </w:tcMar>
            <w:vAlign w:val="center"/>
          </w:tcPr>
          <w:p w14:paraId="15AF54BC">
            <w:pPr>
              <w:bidi w:val="0"/>
              <w:adjustRightInd w:val="0"/>
              <w:snapToGrid w:val="0"/>
              <w:spacing w:line="240" w:lineRule="auto"/>
              <w:ind w:firstLine="0" w:firstLineChars="0"/>
              <w:jc w:val="center"/>
              <w:textAlignment w:val="baseline"/>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lang w:val="en-US" w:eastAsia="zh-CN"/>
                <w14:textFill>
                  <w14:solidFill>
                    <w14:schemeClr w14:val="tx1"/>
                  </w14:solidFill>
                </w14:textFill>
              </w:rPr>
              <w:t>去除</w:t>
            </w:r>
            <w:r>
              <w:rPr>
                <w:rFonts w:hint="default" w:ascii="Times New Roman" w:hAnsi="Times New Roman" w:eastAsia="宋体" w:cs="Times New Roman"/>
                <w:b/>
                <w:bCs w:val="0"/>
                <w:color w:val="000000" w:themeColor="text1"/>
                <w:sz w:val="21"/>
                <w:szCs w:val="21"/>
                <w14:textFill>
                  <w14:solidFill>
                    <w14:schemeClr w14:val="tx1"/>
                  </w14:solidFill>
                </w14:textFill>
              </w:rPr>
              <w:t>效率</w:t>
            </w:r>
          </w:p>
        </w:tc>
        <w:tc>
          <w:tcPr>
            <w:tcW w:w="593" w:type="pct"/>
            <w:tcMar>
              <w:top w:w="0" w:type="dxa"/>
              <w:left w:w="57" w:type="dxa"/>
              <w:bottom w:w="0" w:type="dxa"/>
              <w:right w:w="57" w:type="dxa"/>
            </w:tcMar>
            <w:vAlign w:val="center"/>
          </w:tcPr>
          <w:p w14:paraId="206012CD">
            <w:pPr>
              <w:bidi w:val="0"/>
              <w:adjustRightInd w:val="0"/>
              <w:snapToGrid w:val="0"/>
              <w:spacing w:line="240" w:lineRule="auto"/>
              <w:ind w:firstLine="0" w:firstLineChars="0"/>
              <w:jc w:val="center"/>
              <w:textAlignment w:val="baseline"/>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污染物排放量t/a</w:t>
            </w:r>
          </w:p>
        </w:tc>
        <w:tc>
          <w:tcPr>
            <w:tcW w:w="579" w:type="pct"/>
            <w:tcMar>
              <w:top w:w="0" w:type="dxa"/>
              <w:left w:w="57" w:type="dxa"/>
              <w:bottom w:w="0" w:type="dxa"/>
              <w:right w:w="57" w:type="dxa"/>
            </w:tcMar>
            <w:vAlign w:val="center"/>
          </w:tcPr>
          <w:p w14:paraId="3806878E">
            <w:pPr>
              <w:bidi w:val="0"/>
              <w:adjustRightInd w:val="0"/>
              <w:snapToGrid w:val="0"/>
              <w:spacing w:line="240" w:lineRule="auto"/>
              <w:ind w:firstLine="0" w:firstLineChars="0"/>
              <w:jc w:val="center"/>
              <w:textAlignment w:val="baseline"/>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污染物排放浓度mg/m</w:t>
            </w:r>
            <w:r>
              <w:rPr>
                <w:rFonts w:hint="default" w:ascii="Times New Roman" w:hAnsi="Times New Roman" w:eastAsia="宋体" w:cs="Times New Roman"/>
                <w:b/>
                <w:bCs w:val="0"/>
                <w:color w:val="000000" w:themeColor="text1"/>
                <w:sz w:val="21"/>
                <w:szCs w:val="21"/>
                <w:vertAlign w:val="superscript"/>
                <w14:textFill>
                  <w14:solidFill>
                    <w14:schemeClr w14:val="tx1"/>
                  </w14:solidFill>
                </w14:textFill>
              </w:rPr>
              <w:t>3</w:t>
            </w:r>
          </w:p>
        </w:tc>
      </w:tr>
      <w:tr w14:paraId="22114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706" w:type="pct"/>
            <w:vMerge w:val="restart"/>
            <w:shd w:val="clear" w:color="auto" w:fill="auto"/>
            <w:tcMar>
              <w:top w:w="0" w:type="dxa"/>
              <w:left w:w="57" w:type="dxa"/>
              <w:bottom w:w="0" w:type="dxa"/>
              <w:right w:w="57" w:type="dxa"/>
            </w:tcMar>
            <w:vAlign w:val="center"/>
          </w:tcPr>
          <w:p w14:paraId="57A7CF85">
            <w:pPr>
              <w:widowControl w:val="0"/>
              <w:autoSpaceDE w:val="0"/>
              <w:autoSpaceDN w:val="0"/>
              <w:bidi w:val="0"/>
              <w:adjustRightInd w:val="0"/>
              <w:snapToGrid w:val="0"/>
              <w:spacing w:before="0" w:after="0" w:line="240" w:lineRule="auto"/>
              <w:ind w:firstLine="0" w:firstLineChars="0"/>
              <w:jc w:val="center"/>
              <w:textAlignment w:val="bottom"/>
              <w:rPr>
                <w:rFonts w:hint="eastAsia" w:ascii="Times New Roman" w:hAnsi="Times New Roman" w:eastAsia="宋体" w:cs="Times New Roman"/>
                <w:caps w:val="0"/>
                <w:smallCap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aps w:val="0"/>
                <w:smallCaps w:val="0"/>
                <w:color w:val="000000" w:themeColor="text1"/>
                <w:kern w:val="0"/>
                <w:sz w:val="21"/>
                <w:szCs w:val="21"/>
                <w:highlight w:val="none"/>
                <w:lang w:val="en-US" w:eastAsia="zh-CN" w:bidi="ar-SA"/>
                <w14:textFill>
                  <w14:solidFill>
                    <w14:schemeClr w14:val="tx1"/>
                  </w14:solidFill>
                </w14:textFill>
              </w:rPr>
              <w:t>电预热、模压罩光</w:t>
            </w:r>
          </w:p>
        </w:tc>
        <w:tc>
          <w:tcPr>
            <w:tcW w:w="718" w:type="pct"/>
            <w:tcMar>
              <w:top w:w="0" w:type="dxa"/>
              <w:left w:w="57" w:type="dxa"/>
              <w:bottom w:w="0" w:type="dxa"/>
              <w:right w:w="57" w:type="dxa"/>
            </w:tcMar>
            <w:vAlign w:val="center"/>
          </w:tcPr>
          <w:p w14:paraId="32B2CDB2">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非甲烷总烃</w:t>
            </w:r>
          </w:p>
        </w:tc>
        <w:tc>
          <w:tcPr>
            <w:tcW w:w="607" w:type="pct"/>
            <w:tcMar>
              <w:top w:w="0" w:type="dxa"/>
              <w:left w:w="57" w:type="dxa"/>
              <w:bottom w:w="0" w:type="dxa"/>
              <w:right w:w="57" w:type="dxa"/>
            </w:tcMar>
            <w:vAlign w:val="center"/>
          </w:tcPr>
          <w:p w14:paraId="49B77C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2.7</w:t>
            </w:r>
            <w:r>
              <w:rPr>
                <w:rFonts w:hint="eastAsia" w:cs="Times New Roman"/>
                <w:b w:val="0"/>
                <w:bCs w:val="0"/>
                <w:color w:val="000000" w:themeColor="text1"/>
                <w:sz w:val="21"/>
                <w:szCs w:val="21"/>
                <w:vertAlign w:val="baseline"/>
                <w:lang w:val="en-US" w:eastAsia="zh-CN"/>
                <w14:textFill>
                  <w14:solidFill>
                    <w14:schemeClr w14:val="tx1"/>
                  </w14:solidFill>
                </w14:textFill>
              </w:rPr>
              <w:t>0</w:t>
            </w:r>
          </w:p>
        </w:tc>
        <w:tc>
          <w:tcPr>
            <w:tcW w:w="461" w:type="pct"/>
            <w:vMerge w:val="restart"/>
            <w:tcMar>
              <w:top w:w="0" w:type="dxa"/>
              <w:left w:w="57" w:type="dxa"/>
              <w:bottom w:w="0" w:type="dxa"/>
              <w:right w:w="57" w:type="dxa"/>
            </w:tcMar>
            <w:vAlign w:val="center"/>
          </w:tcPr>
          <w:p w14:paraId="514C3BB9">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有组织</w:t>
            </w:r>
          </w:p>
        </w:tc>
        <w:tc>
          <w:tcPr>
            <w:tcW w:w="928" w:type="pct"/>
            <w:vMerge w:val="restart"/>
            <w:tcMar>
              <w:top w:w="0" w:type="dxa"/>
              <w:left w:w="57" w:type="dxa"/>
              <w:bottom w:w="0" w:type="dxa"/>
              <w:right w:w="57" w:type="dxa"/>
            </w:tcMar>
            <w:vAlign w:val="center"/>
          </w:tcPr>
          <w:p w14:paraId="078AA41B">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引风机+集气罩+</w:t>
            </w:r>
            <w:r>
              <w:rPr>
                <w:rFonts w:hint="eastAsia" w:cs="Times New Roman"/>
                <w:color w:val="000000" w:themeColor="text1"/>
                <w:sz w:val="21"/>
                <w:szCs w:val="21"/>
                <w:lang w:val="en-US" w:eastAsia="zh-CN"/>
                <w14:textFill>
                  <w14:solidFill>
                    <w14:schemeClr w14:val="tx1"/>
                  </w14:solidFill>
                </w14:textFill>
              </w:rPr>
              <w:t>活性炭吸附/脱附+催化燃烧</w:t>
            </w:r>
          </w:p>
        </w:tc>
        <w:tc>
          <w:tcPr>
            <w:tcW w:w="404" w:type="pct"/>
            <w:vMerge w:val="restart"/>
            <w:tcMar>
              <w:top w:w="0" w:type="dxa"/>
              <w:left w:w="57" w:type="dxa"/>
              <w:bottom w:w="0" w:type="dxa"/>
              <w:right w:w="57" w:type="dxa"/>
            </w:tcMar>
            <w:vAlign w:val="center"/>
          </w:tcPr>
          <w:p w14:paraId="6A97BC4F">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85</w:t>
            </w:r>
          </w:p>
        </w:tc>
        <w:tc>
          <w:tcPr>
            <w:tcW w:w="593" w:type="pct"/>
            <w:tcMar>
              <w:top w:w="0" w:type="dxa"/>
              <w:left w:w="57" w:type="dxa"/>
              <w:bottom w:w="0" w:type="dxa"/>
              <w:right w:w="57" w:type="dxa"/>
            </w:tcMar>
            <w:vAlign w:val="center"/>
          </w:tcPr>
          <w:p w14:paraId="2C85D6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0.36</w:t>
            </w:r>
          </w:p>
        </w:tc>
        <w:tc>
          <w:tcPr>
            <w:tcW w:w="579" w:type="pct"/>
            <w:tcMar>
              <w:top w:w="0" w:type="dxa"/>
              <w:left w:w="57" w:type="dxa"/>
              <w:bottom w:w="0" w:type="dxa"/>
              <w:right w:w="57" w:type="dxa"/>
            </w:tcMar>
            <w:vAlign w:val="center"/>
          </w:tcPr>
          <w:p w14:paraId="582693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12.52</w:t>
            </w:r>
          </w:p>
        </w:tc>
      </w:tr>
      <w:tr w14:paraId="5448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706" w:type="pct"/>
            <w:vMerge w:val="continue"/>
            <w:tcMar>
              <w:top w:w="0" w:type="dxa"/>
              <w:left w:w="57" w:type="dxa"/>
              <w:bottom w:w="0" w:type="dxa"/>
              <w:right w:w="57" w:type="dxa"/>
            </w:tcMar>
            <w:vAlign w:val="center"/>
          </w:tcPr>
          <w:p w14:paraId="03A01215">
            <w:pPr>
              <w:bidi w:val="0"/>
              <w:adjustRightInd w:val="0"/>
              <w:snapToGrid w:val="0"/>
              <w:spacing w:line="240" w:lineRule="auto"/>
              <w:ind w:firstLine="0" w:firstLineChars="0"/>
              <w:jc w:val="center"/>
              <w:textAlignment w:val="baseline"/>
              <w:rPr>
                <w:rFonts w:hint="eastAsia" w:ascii="Times New Roman" w:hAnsi="Times New Roman" w:eastAsia="宋体" w:cs="Times New Roman"/>
                <w:bCs/>
                <w:color w:val="000000" w:themeColor="text1"/>
                <w:sz w:val="21"/>
                <w:szCs w:val="21"/>
                <w:lang w:val="en-US" w:eastAsia="zh-CN"/>
                <w14:textFill>
                  <w14:solidFill>
                    <w14:schemeClr w14:val="tx1"/>
                  </w14:solidFill>
                </w14:textFill>
              </w:rPr>
            </w:pPr>
          </w:p>
        </w:tc>
        <w:tc>
          <w:tcPr>
            <w:tcW w:w="718" w:type="pct"/>
            <w:tcMar>
              <w:top w:w="0" w:type="dxa"/>
              <w:left w:w="57" w:type="dxa"/>
              <w:bottom w:w="0" w:type="dxa"/>
              <w:right w:w="57" w:type="dxa"/>
            </w:tcMar>
            <w:vAlign w:val="center"/>
          </w:tcPr>
          <w:p w14:paraId="4EEE2F6A">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甲烷</w:t>
            </w:r>
          </w:p>
        </w:tc>
        <w:tc>
          <w:tcPr>
            <w:tcW w:w="607" w:type="pct"/>
            <w:tcMar>
              <w:top w:w="0" w:type="dxa"/>
              <w:left w:w="57" w:type="dxa"/>
              <w:bottom w:w="0" w:type="dxa"/>
              <w:right w:w="57" w:type="dxa"/>
            </w:tcMar>
            <w:vAlign w:val="center"/>
          </w:tcPr>
          <w:p w14:paraId="758A6D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0.01</w:t>
            </w:r>
          </w:p>
        </w:tc>
        <w:tc>
          <w:tcPr>
            <w:tcW w:w="461" w:type="pct"/>
            <w:vMerge w:val="continue"/>
            <w:tcMar>
              <w:top w:w="0" w:type="dxa"/>
              <w:left w:w="57" w:type="dxa"/>
              <w:bottom w:w="0" w:type="dxa"/>
              <w:right w:w="57" w:type="dxa"/>
            </w:tcMar>
            <w:vAlign w:val="center"/>
          </w:tcPr>
          <w:p w14:paraId="5D3826F9">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928" w:type="pct"/>
            <w:vMerge w:val="continue"/>
            <w:tcMar>
              <w:top w:w="0" w:type="dxa"/>
              <w:left w:w="57" w:type="dxa"/>
              <w:bottom w:w="0" w:type="dxa"/>
              <w:right w:w="57" w:type="dxa"/>
            </w:tcMar>
            <w:vAlign w:val="center"/>
          </w:tcPr>
          <w:p w14:paraId="0353C0A1">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404" w:type="pct"/>
            <w:vMerge w:val="continue"/>
            <w:tcMar>
              <w:top w:w="0" w:type="dxa"/>
              <w:left w:w="57" w:type="dxa"/>
              <w:bottom w:w="0" w:type="dxa"/>
              <w:right w:w="57" w:type="dxa"/>
            </w:tcMar>
            <w:vAlign w:val="center"/>
          </w:tcPr>
          <w:p w14:paraId="19A390F8">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593" w:type="pct"/>
            <w:tcMar>
              <w:top w:w="0" w:type="dxa"/>
              <w:left w:w="57" w:type="dxa"/>
              <w:bottom w:w="0" w:type="dxa"/>
              <w:right w:w="57" w:type="dxa"/>
            </w:tcMar>
            <w:vAlign w:val="center"/>
          </w:tcPr>
          <w:p w14:paraId="3A0E68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0.002</w:t>
            </w:r>
          </w:p>
        </w:tc>
        <w:tc>
          <w:tcPr>
            <w:tcW w:w="579" w:type="pct"/>
            <w:tcMar>
              <w:top w:w="0" w:type="dxa"/>
              <w:left w:w="57" w:type="dxa"/>
              <w:bottom w:w="0" w:type="dxa"/>
              <w:right w:w="57" w:type="dxa"/>
            </w:tcMar>
            <w:vAlign w:val="center"/>
          </w:tcPr>
          <w:p w14:paraId="651CDD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0.06</w:t>
            </w:r>
          </w:p>
        </w:tc>
      </w:tr>
      <w:tr w14:paraId="423F9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706" w:type="pct"/>
            <w:tcMar>
              <w:top w:w="0" w:type="dxa"/>
              <w:left w:w="57" w:type="dxa"/>
              <w:bottom w:w="0" w:type="dxa"/>
              <w:right w:w="57" w:type="dxa"/>
            </w:tcMar>
            <w:vAlign w:val="center"/>
          </w:tcPr>
          <w:p w14:paraId="3B18503D">
            <w:pPr>
              <w:bidi w:val="0"/>
              <w:adjustRightInd w:val="0"/>
              <w:snapToGrid w:val="0"/>
              <w:spacing w:line="240" w:lineRule="auto"/>
              <w:ind w:firstLine="0" w:firstLineChars="0"/>
              <w:jc w:val="center"/>
              <w:textAlignment w:val="baseline"/>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称量打磨</w:t>
            </w:r>
          </w:p>
        </w:tc>
        <w:tc>
          <w:tcPr>
            <w:tcW w:w="718" w:type="pct"/>
            <w:tcMar>
              <w:top w:w="0" w:type="dxa"/>
              <w:left w:w="57" w:type="dxa"/>
              <w:bottom w:w="0" w:type="dxa"/>
              <w:right w:w="57" w:type="dxa"/>
            </w:tcMar>
            <w:vAlign w:val="center"/>
          </w:tcPr>
          <w:p w14:paraId="44DE0643">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颗粒物</w:t>
            </w:r>
          </w:p>
        </w:tc>
        <w:tc>
          <w:tcPr>
            <w:tcW w:w="607" w:type="pct"/>
            <w:tcMar>
              <w:top w:w="0" w:type="dxa"/>
              <w:left w:w="57" w:type="dxa"/>
              <w:bottom w:w="0" w:type="dxa"/>
              <w:right w:w="57" w:type="dxa"/>
            </w:tcMar>
            <w:vAlign w:val="center"/>
          </w:tcPr>
          <w:p w14:paraId="5E8513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cs="Times New Roman"/>
                <w:b w:val="0"/>
                <w:bCs w:val="0"/>
                <w:color w:val="000000" w:themeColor="text1"/>
                <w:sz w:val="21"/>
                <w:szCs w:val="21"/>
                <w:vertAlign w:val="baseline"/>
                <w:lang w:val="en-US" w:eastAsia="zh-CN"/>
                <w14:textFill>
                  <w14:solidFill>
                    <w14:schemeClr w14:val="tx1"/>
                  </w14:solidFill>
                </w14:textFill>
              </w:rPr>
              <w:t>6.00</w:t>
            </w:r>
          </w:p>
        </w:tc>
        <w:tc>
          <w:tcPr>
            <w:tcW w:w="461" w:type="pct"/>
            <w:vMerge w:val="continue"/>
            <w:tcMar>
              <w:top w:w="0" w:type="dxa"/>
              <w:left w:w="57" w:type="dxa"/>
              <w:bottom w:w="0" w:type="dxa"/>
              <w:right w:w="57" w:type="dxa"/>
            </w:tcMar>
            <w:vAlign w:val="center"/>
          </w:tcPr>
          <w:p w14:paraId="17126D66">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928" w:type="pct"/>
            <w:tcMar>
              <w:top w:w="0" w:type="dxa"/>
              <w:left w:w="57" w:type="dxa"/>
              <w:bottom w:w="0" w:type="dxa"/>
              <w:right w:w="57" w:type="dxa"/>
            </w:tcMar>
            <w:vAlign w:val="center"/>
          </w:tcPr>
          <w:p w14:paraId="224E7831">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引风机+集气罩+布袋除尘器</w:t>
            </w:r>
          </w:p>
        </w:tc>
        <w:tc>
          <w:tcPr>
            <w:tcW w:w="404" w:type="pct"/>
            <w:tcMar>
              <w:top w:w="0" w:type="dxa"/>
              <w:left w:w="57" w:type="dxa"/>
              <w:bottom w:w="0" w:type="dxa"/>
              <w:right w:w="57" w:type="dxa"/>
            </w:tcMar>
            <w:vAlign w:val="center"/>
          </w:tcPr>
          <w:p w14:paraId="087CEC76">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99</w:t>
            </w:r>
          </w:p>
        </w:tc>
        <w:tc>
          <w:tcPr>
            <w:tcW w:w="593" w:type="pct"/>
            <w:tcMar>
              <w:top w:w="0" w:type="dxa"/>
              <w:left w:w="57" w:type="dxa"/>
              <w:bottom w:w="0" w:type="dxa"/>
              <w:right w:w="57" w:type="dxa"/>
            </w:tcMar>
            <w:vAlign w:val="center"/>
          </w:tcPr>
          <w:p w14:paraId="58F128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0.0</w:t>
            </w:r>
            <w:r>
              <w:rPr>
                <w:rFonts w:hint="eastAsia" w:cs="Times New Roman"/>
                <w:b w:val="0"/>
                <w:bCs w:val="0"/>
                <w:color w:val="000000" w:themeColor="text1"/>
                <w:sz w:val="21"/>
                <w:szCs w:val="21"/>
                <w:vertAlign w:val="baseline"/>
                <w:lang w:val="en-US" w:eastAsia="zh-CN"/>
                <w14:textFill>
                  <w14:solidFill>
                    <w14:schemeClr w14:val="tx1"/>
                  </w14:solidFill>
                </w14:textFill>
              </w:rPr>
              <w:t>5</w:t>
            </w:r>
          </w:p>
        </w:tc>
        <w:tc>
          <w:tcPr>
            <w:tcW w:w="579" w:type="pct"/>
            <w:tcMar>
              <w:top w:w="0" w:type="dxa"/>
              <w:left w:w="57" w:type="dxa"/>
              <w:bottom w:w="0" w:type="dxa"/>
              <w:right w:w="57" w:type="dxa"/>
            </w:tcMar>
            <w:vAlign w:val="center"/>
          </w:tcPr>
          <w:p w14:paraId="658DE4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6.13</w:t>
            </w:r>
          </w:p>
        </w:tc>
      </w:tr>
      <w:tr w14:paraId="673AE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706" w:type="pct"/>
            <w:vMerge w:val="restart"/>
            <w:tcMar>
              <w:top w:w="0" w:type="dxa"/>
              <w:left w:w="57" w:type="dxa"/>
              <w:bottom w:w="0" w:type="dxa"/>
              <w:right w:w="57" w:type="dxa"/>
            </w:tcMar>
            <w:vAlign w:val="center"/>
          </w:tcPr>
          <w:p w14:paraId="4BDF3E43">
            <w:pPr>
              <w:bidi w:val="0"/>
              <w:adjustRightInd w:val="0"/>
              <w:snapToGrid w:val="0"/>
              <w:spacing w:line="240" w:lineRule="auto"/>
              <w:ind w:firstLine="0" w:firstLineChars="0"/>
              <w:jc w:val="center"/>
              <w:textAlignment w:val="baseline"/>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电预热、模压罩光未收集</w:t>
            </w:r>
          </w:p>
        </w:tc>
        <w:tc>
          <w:tcPr>
            <w:tcW w:w="718" w:type="pct"/>
            <w:tcMar>
              <w:top w:w="0" w:type="dxa"/>
              <w:left w:w="57" w:type="dxa"/>
              <w:bottom w:w="0" w:type="dxa"/>
              <w:right w:w="57" w:type="dxa"/>
            </w:tcMar>
            <w:vAlign w:val="center"/>
          </w:tcPr>
          <w:p w14:paraId="2E9C5853">
            <w:pPr>
              <w:bidi w:val="0"/>
              <w:adjustRightInd w:val="0"/>
              <w:snapToGrid w:val="0"/>
              <w:spacing w:line="240" w:lineRule="auto"/>
              <w:ind w:firstLine="0" w:firstLineChars="0"/>
              <w:jc w:val="center"/>
              <w:textAlignment w:val="baseline"/>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非甲烷总烃</w:t>
            </w:r>
          </w:p>
        </w:tc>
        <w:tc>
          <w:tcPr>
            <w:tcW w:w="607" w:type="pct"/>
            <w:tcMar>
              <w:top w:w="0" w:type="dxa"/>
              <w:left w:w="57" w:type="dxa"/>
              <w:bottom w:w="0" w:type="dxa"/>
              <w:right w:w="57" w:type="dxa"/>
            </w:tcMar>
            <w:vAlign w:val="center"/>
          </w:tcPr>
          <w:p w14:paraId="65E941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0.27</w:t>
            </w:r>
          </w:p>
        </w:tc>
        <w:tc>
          <w:tcPr>
            <w:tcW w:w="461" w:type="pct"/>
            <w:vMerge w:val="restart"/>
            <w:tcMar>
              <w:top w:w="0" w:type="dxa"/>
              <w:left w:w="57" w:type="dxa"/>
              <w:bottom w:w="0" w:type="dxa"/>
              <w:right w:w="57" w:type="dxa"/>
            </w:tcMar>
            <w:vAlign w:val="center"/>
          </w:tcPr>
          <w:p w14:paraId="1BCEA104">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无组织</w:t>
            </w:r>
          </w:p>
        </w:tc>
        <w:tc>
          <w:tcPr>
            <w:tcW w:w="928" w:type="pct"/>
            <w:tcMar>
              <w:top w:w="0" w:type="dxa"/>
              <w:left w:w="57" w:type="dxa"/>
              <w:bottom w:w="0" w:type="dxa"/>
              <w:right w:w="57" w:type="dxa"/>
            </w:tcMar>
            <w:vAlign w:val="center"/>
          </w:tcPr>
          <w:p w14:paraId="49BE9B2C">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404" w:type="pct"/>
            <w:tcMar>
              <w:top w:w="0" w:type="dxa"/>
              <w:left w:w="57" w:type="dxa"/>
              <w:bottom w:w="0" w:type="dxa"/>
              <w:right w:w="57" w:type="dxa"/>
            </w:tcMar>
            <w:vAlign w:val="center"/>
          </w:tcPr>
          <w:p w14:paraId="5949BA5B">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593" w:type="pct"/>
            <w:tcMar>
              <w:top w:w="0" w:type="dxa"/>
              <w:left w:w="57" w:type="dxa"/>
              <w:bottom w:w="0" w:type="dxa"/>
              <w:right w:w="57" w:type="dxa"/>
            </w:tcMar>
            <w:vAlign w:val="center"/>
          </w:tcPr>
          <w:p w14:paraId="50EDE5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0.27</w:t>
            </w:r>
          </w:p>
        </w:tc>
        <w:tc>
          <w:tcPr>
            <w:tcW w:w="579" w:type="pct"/>
            <w:tcMar>
              <w:top w:w="0" w:type="dxa"/>
              <w:left w:w="57" w:type="dxa"/>
              <w:bottom w:w="0" w:type="dxa"/>
              <w:right w:w="57" w:type="dxa"/>
            </w:tcMar>
            <w:vAlign w:val="center"/>
          </w:tcPr>
          <w:p w14:paraId="3AAD76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w:t>
            </w:r>
          </w:p>
        </w:tc>
      </w:tr>
      <w:tr w14:paraId="69739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706" w:type="pct"/>
            <w:vMerge w:val="continue"/>
            <w:tcMar>
              <w:top w:w="0" w:type="dxa"/>
              <w:left w:w="57" w:type="dxa"/>
              <w:bottom w:w="0" w:type="dxa"/>
              <w:right w:w="57" w:type="dxa"/>
            </w:tcMar>
            <w:vAlign w:val="center"/>
          </w:tcPr>
          <w:p w14:paraId="306E6061">
            <w:pPr>
              <w:bidi w:val="0"/>
              <w:adjustRightInd w:val="0"/>
              <w:snapToGrid w:val="0"/>
              <w:spacing w:line="240" w:lineRule="auto"/>
              <w:ind w:firstLine="0" w:firstLineChars="0"/>
              <w:jc w:val="center"/>
              <w:textAlignment w:val="baseline"/>
              <w:rPr>
                <w:rFonts w:hint="eastAsia" w:ascii="Times New Roman" w:hAnsi="Times New Roman" w:eastAsia="宋体" w:cs="Times New Roman"/>
                <w:bCs/>
                <w:color w:val="000000" w:themeColor="text1"/>
                <w:sz w:val="21"/>
                <w:szCs w:val="21"/>
                <w:lang w:val="en-US" w:eastAsia="zh-CN"/>
                <w14:textFill>
                  <w14:solidFill>
                    <w14:schemeClr w14:val="tx1"/>
                  </w14:solidFill>
                </w14:textFill>
              </w:rPr>
            </w:pPr>
          </w:p>
        </w:tc>
        <w:tc>
          <w:tcPr>
            <w:tcW w:w="718" w:type="pct"/>
            <w:tcMar>
              <w:top w:w="0" w:type="dxa"/>
              <w:left w:w="57" w:type="dxa"/>
              <w:bottom w:w="0" w:type="dxa"/>
              <w:right w:w="57" w:type="dxa"/>
            </w:tcMar>
            <w:vAlign w:val="center"/>
          </w:tcPr>
          <w:p w14:paraId="0A06CEA7">
            <w:pPr>
              <w:bidi w:val="0"/>
              <w:adjustRightInd w:val="0"/>
              <w:snapToGrid w:val="0"/>
              <w:spacing w:line="240" w:lineRule="auto"/>
              <w:ind w:firstLine="0" w:firstLineChars="0"/>
              <w:jc w:val="center"/>
              <w:textAlignment w:val="baseline"/>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甲烷</w:t>
            </w:r>
          </w:p>
        </w:tc>
        <w:tc>
          <w:tcPr>
            <w:tcW w:w="607" w:type="pct"/>
            <w:tcMar>
              <w:top w:w="0" w:type="dxa"/>
              <w:left w:w="57" w:type="dxa"/>
              <w:bottom w:w="0" w:type="dxa"/>
              <w:right w:w="57" w:type="dxa"/>
            </w:tcMar>
            <w:vAlign w:val="center"/>
          </w:tcPr>
          <w:p w14:paraId="2D31D6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0.001</w:t>
            </w:r>
          </w:p>
        </w:tc>
        <w:tc>
          <w:tcPr>
            <w:tcW w:w="461" w:type="pct"/>
            <w:vMerge w:val="continue"/>
            <w:tcMar>
              <w:top w:w="0" w:type="dxa"/>
              <w:left w:w="57" w:type="dxa"/>
              <w:bottom w:w="0" w:type="dxa"/>
              <w:right w:w="57" w:type="dxa"/>
            </w:tcMar>
            <w:vAlign w:val="center"/>
          </w:tcPr>
          <w:p w14:paraId="7A3C2B9E">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928" w:type="pct"/>
            <w:tcMar>
              <w:top w:w="0" w:type="dxa"/>
              <w:left w:w="57" w:type="dxa"/>
              <w:bottom w:w="0" w:type="dxa"/>
              <w:right w:w="57" w:type="dxa"/>
            </w:tcMar>
            <w:vAlign w:val="center"/>
          </w:tcPr>
          <w:p w14:paraId="3F23F1E8">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404" w:type="pct"/>
            <w:tcMar>
              <w:top w:w="0" w:type="dxa"/>
              <w:left w:w="57" w:type="dxa"/>
              <w:bottom w:w="0" w:type="dxa"/>
              <w:right w:w="57" w:type="dxa"/>
            </w:tcMar>
            <w:vAlign w:val="center"/>
          </w:tcPr>
          <w:p w14:paraId="3EB624DE">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593" w:type="pct"/>
            <w:tcMar>
              <w:top w:w="0" w:type="dxa"/>
              <w:left w:w="57" w:type="dxa"/>
              <w:bottom w:w="0" w:type="dxa"/>
              <w:right w:w="57" w:type="dxa"/>
            </w:tcMar>
            <w:vAlign w:val="center"/>
          </w:tcPr>
          <w:p w14:paraId="00F47A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0.001</w:t>
            </w:r>
          </w:p>
        </w:tc>
        <w:tc>
          <w:tcPr>
            <w:tcW w:w="579" w:type="pct"/>
            <w:tcMar>
              <w:top w:w="0" w:type="dxa"/>
              <w:left w:w="57" w:type="dxa"/>
              <w:bottom w:w="0" w:type="dxa"/>
              <w:right w:w="57" w:type="dxa"/>
            </w:tcMar>
            <w:vAlign w:val="center"/>
          </w:tcPr>
          <w:p w14:paraId="670792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w:t>
            </w:r>
          </w:p>
        </w:tc>
      </w:tr>
      <w:tr w14:paraId="5FBF8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706" w:type="pct"/>
            <w:tcMar>
              <w:top w:w="0" w:type="dxa"/>
              <w:left w:w="57" w:type="dxa"/>
              <w:bottom w:w="0" w:type="dxa"/>
              <w:right w:w="57" w:type="dxa"/>
            </w:tcMar>
            <w:vAlign w:val="center"/>
          </w:tcPr>
          <w:p w14:paraId="5AF874B9">
            <w:pPr>
              <w:bidi w:val="0"/>
              <w:adjustRightInd w:val="0"/>
              <w:snapToGrid w:val="0"/>
              <w:spacing w:line="240" w:lineRule="auto"/>
              <w:ind w:firstLine="0" w:firstLineChars="0"/>
              <w:jc w:val="center"/>
              <w:textAlignment w:val="baseline"/>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称量打磨未收集</w:t>
            </w:r>
          </w:p>
        </w:tc>
        <w:tc>
          <w:tcPr>
            <w:tcW w:w="718" w:type="pct"/>
            <w:tcMar>
              <w:top w:w="0" w:type="dxa"/>
              <w:left w:w="57" w:type="dxa"/>
              <w:bottom w:w="0" w:type="dxa"/>
              <w:right w:w="57" w:type="dxa"/>
            </w:tcMar>
            <w:vAlign w:val="center"/>
          </w:tcPr>
          <w:p w14:paraId="037E3EF5">
            <w:pPr>
              <w:bidi w:val="0"/>
              <w:adjustRightInd w:val="0"/>
              <w:snapToGrid w:val="0"/>
              <w:spacing w:line="240" w:lineRule="auto"/>
              <w:ind w:firstLine="0" w:firstLineChars="0"/>
              <w:jc w:val="center"/>
              <w:textAlignment w:val="baseline"/>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颗粒物</w:t>
            </w:r>
          </w:p>
        </w:tc>
        <w:tc>
          <w:tcPr>
            <w:tcW w:w="607" w:type="pct"/>
            <w:tcMar>
              <w:top w:w="0" w:type="dxa"/>
              <w:left w:w="57" w:type="dxa"/>
              <w:bottom w:w="0" w:type="dxa"/>
              <w:right w:w="57" w:type="dxa"/>
            </w:tcMar>
            <w:vAlign w:val="center"/>
          </w:tcPr>
          <w:p w14:paraId="624D94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0.</w:t>
            </w:r>
            <w:r>
              <w:rPr>
                <w:rFonts w:hint="eastAsia" w:cs="Times New Roman"/>
                <w:b w:val="0"/>
                <w:bCs w:val="0"/>
                <w:color w:val="000000" w:themeColor="text1"/>
                <w:sz w:val="21"/>
                <w:szCs w:val="21"/>
                <w:vertAlign w:val="baseline"/>
                <w:lang w:val="en-US" w:eastAsia="zh-CN"/>
                <w14:textFill>
                  <w14:solidFill>
                    <w14:schemeClr w14:val="tx1"/>
                  </w14:solidFill>
                </w14:textFill>
              </w:rPr>
              <w:t>90</w:t>
            </w:r>
          </w:p>
        </w:tc>
        <w:tc>
          <w:tcPr>
            <w:tcW w:w="461" w:type="pct"/>
            <w:vMerge w:val="continue"/>
            <w:tcMar>
              <w:top w:w="0" w:type="dxa"/>
              <w:left w:w="57" w:type="dxa"/>
              <w:bottom w:w="0" w:type="dxa"/>
              <w:right w:w="57" w:type="dxa"/>
            </w:tcMar>
            <w:vAlign w:val="center"/>
          </w:tcPr>
          <w:p w14:paraId="71F27E06">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928" w:type="pct"/>
            <w:tcMar>
              <w:top w:w="0" w:type="dxa"/>
              <w:left w:w="57" w:type="dxa"/>
              <w:bottom w:w="0" w:type="dxa"/>
              <w:right w:w="57" w:type="dxa"/>
            </w:tcMar>
            <w:vAlign w:val="center"/>
          </w:tcPr>
          <w:p w14:paraId="324D3852">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车间沉降</w:t>
            </w:r>
          </w:p>
        </w:tc>
        <w:tc>
          <w:tcPr>
            <w:tcW w:w="404" w:type="pct"/>
            <w:tcMar>
              <w:top w:w="0" w:type="dxa"/>
              <w:left w:w="57" w:type="dxa"/>
              <w:bottom w:w="0" w:type="dxa"/>
              <w:right w:w="57" w:type="dxa"/>
            </w:tcMar>
            <w:vAlign w:val="center"/>
          </w:tcPr>
          <w:p w14:paraId="5ACC7D8E">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60</w:t>
            </w:r>
          </w:p>
        </w:tc>
        <w:tc>
          <w:tcPr>
            <w:tcW w:w="593" w:type="pct"/>
            <w:tcMar>
              <w:top w:w="0" w:type="dxa"/>
              <w:left w:w="57" w:type="dxa"/>
              <w:bottom w:w="0" w:type="dxa"/>
              <w:right w:w="57" w:type="dxa"/>
            </w:tcMar>
            <w:vAlign w:val="center"/>
          </w:tcPr>
          <w:p w14:paraId="6B9B28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0.</w:t>
            </w:r>
            <w:r>
              <w:rPr>
                <w:rFonts w:hint="eastAsia" w:cs="Times New Roman"/>
                <w:b w:val="0"/>
                <w:bCs w:val="0"/>
                <w:color w:val="000000" w:themeColor="text1"/>
                <w:sz w:val="21"/>
                <w:szCs w:val="21"/>
                <w:vertAlign w:val="baseline"/>
                <w:lang w:val="en-US" w:eastAsia="zh-CN"/>
                <w14:textFill>
                  <w14:solidFill>
                    <w14:schemeClr w14:val="tx1"/>
                  </w14:solidFill>
                </w14:textFill>
              </w:rPr>
              <w:t>36</w:t>
            </w:r>
          </w:p>
        </w:tc>
        <w:tc>
          <w:tcPr>
            <w:tcW w:w="579" w:type="pct"/>
            <w:tcMar>
              <w:top w:w="0" w:type="dxa"/>
              <w:left w:w="57" w:type="dxa"/>
              <w:bottom w:w="0" w:type="dxa"/>
              <w:right w:w="57" w:type="dxa"/>
            </w:tcMar>
            <w:vAlign w:val="center"/>
          </w:tcPr>
          <w:p w14:paraId="56D4A2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w:t>
            </w:r>
          </w:p>
        </w:tc>
      </w:tr>
      <w:tr w14:paraId="474EE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706" w:type="pct"/>
            <w:vMerge w:val="restart"/>
            <w:tcMar>
              <w:top w:w="0" w:type="dxa"/>
              <w:left w:w="57" w:type="dxa"/>
              <w:bottom w:w="0" w:type="dxa"/>
              <w:right w:w="57" w:type="dxa"/>
            </w:tcMar>
            <w:vAlign w:val="center"/>
          </w:tcPr>
          <w:p w14:paraId="426E8448">
            <w:pPr>
              <w:bidi w:val="0"/>
              <w:adjustRightInd w:val="0"/>
              <w:snapToGrid w:val="0"/>
              <w:spacing w:line="240" w:lineRule="auto"/>
              <w:ind w:firstLine="0" w:firstLineChars="0"/>
              <w:jc w:val="center"/>
              <w:textAlignment w:val="baseline"/>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合计</w:t>
            </w:r>
          </w:p>
        </w:tc>
        <w:tc>
          <w:tcPr>
            <w:tcW w:w="718" w:type="pct"/>
            <w:vMerge w:val="restart"/>
            <w:tcMar>
              <w:top w:w="0" w:type="dxa"/>
              <w:left w:w="57" w:type="dxa"/>
              <w:bottom w:w="0" w:type="dxa"/>
              <w:right w:w="57" w:type="dxa"/>
            </w:tcMar>
            <w:vAlign w:val="center"/>
          </w:tcPr>
          <w:p w14:paraId="58D72F6D">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非甲烷总烃</w:t>
            </w:r>
          </w:p>
        </w:tc>
        <w:tc>
          <w:tcPr>
            <w:tcW w:w="607" w:type="pct"/>
            <w:tcMar>
              <w:top w:w="0" w:type="dxa"/>
              <w:left w:w="57" w:type="dxa"/>
              <w:bottom w:w="0" w:type="dxa"/>
              <w:right w:w="57" w:type="dxa"/>
            </w:tcMar>
            <w:vAlign w:val="center"/>
          </w:tcPr>
          <w:p w14:paraId="65D3BE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2.7</w:t>
            </w:r>
          </w:p>
        </w:tc>
        <w:tc>
          <w:tcPr>
            <w:tcW w:w="776" w:type="dxa"/>
            <w:tcMar>
              <w:top w:w="0" w:type="dxa"/>
              <w:left w:w="57" w:type="dxa"/>
              <w:bottom w:w="0" w:type="dxa"/>
              <w:right w:w="57" w:type="dxa"/>
            </w:tcMar>
            <w:vAlign w:val="center"/>
          </w:tcPr>
          <w:p w14:paraId="15975EAC">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有组织</w:t>
            </w:r>
          </w:p>
        </w:tc>
        <w:tc>
          <w:tcPr>
            <w:tcW w:w="928" w:type="pct"/>
            <w:tcMar>
              <w:top w:w="0" w:type="dxa"/>
              <w:left w:w="57" w:type="dxa"/>
              <w:bottom w:w="0" w:type="dxa"/>
              <w:right w:w="57" w:type="dxa"/>
            </w:tcMar>
            <w:vAlign w:val="center"/>
          </w:tcPr>
          <w:p w14:paraId="1BF5D0A2">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404" w:type="pct"/>
            <w:tcMar>
              <w:top w:w="0" w:type="dxa"/>
              <w:left w:w="57" w:type="dxa"/>
              <w:bottom w:w="0" w:type="dxa"/>
              <w:right w:w="57" w:type="dxa"/>
            </w:tcMar>
            <w:vAlign w:val="center"/>
          </w:tcPr>
          <w:p w14:paraId="4A9AD234">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593" w:type="pct"/>
            <w:tcMar>
              <w:top w:w="0" w:type="dxa"/>
              <w:left w:w="57" w:type="dxa"/>
              <w:bottom w:w="0" w:type="dxa"/>
              <w:right w:w="57" w:type="dxa"/>
            </w:tcMar>
            <w:vAlign w:val="center"/>
          </w:tcPr>
          <w:p w14:paraId="220FA8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0.36</w:t>
            </w:r>
          </w:p>
        </w:tc>
        <w:tc>
          <w:tcPr>
            <w:tcW w:w="579" w:type="pct"/>
            <w:tcMar>
              <w:top w:w="0" w:type="dxa"/>
              <w:left w:w="57" w:type="dxa"/>
              <w:bottom w:w="0" w:type="dxa"/>
              <w:right w:w="57" w:type="dxa"/>
            </w:tcMar>
            <w:vAlign w:val="center"/>
          </w:tcPr>
          <w:p w14:paraId="654F7C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w:t>
            </w:r>
          </w:p>
        </w:tc>
      </w:tr>
      <w:tr w14:paraId="1822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706" w:type="pct"/>
            <w:vMerge w:val="continue"/>
            <w:tcMar>
              <w:top w:w="0" w:type="dxa"/>
              <w:left w:w="57" w:type="dxa"/>
              <w:bottom w:w="0" w:type="dxa"/>
              <w:right w:w="57" w:type="dxa"/>
            </w:tcMar>
            <w:vAlign w:val="center"/>
          </w:tcPr>
          <w:p w14:paraId="72B22E00">
            <w:pPr>
              <w:bidi w:val="0"/>
              <w:adjustRightInd w:val="0"/>
              <w:snapToGrid w:val="0"/>
              <w:spacing w:line="240" w:lineRule="auto"/>
              <w:ind w:firstLine="0" w:firstLineChars="0"/>
              <w:jc w:val="center"/>
              <w:textAlignment w:val="baseline"/>
              <w:rPr>
                <w:rFonts w:hint="eastAsia" w:ascii="Times New Roman" w:hAnsi="Times New Roman" w:eastAsia="宋体" w:cs="Times New Roman"/>
                <w:bCs/>
                <w:color w:val="000000" w:themeColor="text1"/>
                <w:sz w:val="21"/>
                <w:szCs w:val="21"/>
                <w:lang w:val="en-US" w:eastAsia="zh-CN"/>
                <w14:textFill>
                  <w14:solidFill>
                    <w14:schemeClr w14:val="tx1"/>
                  </w14:solidFill>
                </w14:textFill>
              </w:rPr>
            </w:pPr>
          </w:p>
        </w:tc>
        <w:tc>
          <w:tcPr>
            <w:tcW w:w="718" w:type="pct"/>
            <w:vMerge w:val="continue"/>
            <w:tcMar>
              <w:top w:w="0" w:type="dxa"/>
              <w:left w:w="57" w:type="dxa"/>
              <w:bottom w:w="0" w:type="dxa"/>
              <w:right w:w="57" w:type="dxa"/>
            </w:tcMar>
            <w:vAlign w:val="center"/>
          </w:tcPr>
          <w:p w14:paraId="0EA81DF5">
            <w:pPr>
              <w:bidi w:val="0"/>
              <w:adjustRightInd w:val="0"/>
              <w:snapToGrid w:val="0"/>
              <w:spacing w:line="240" w:lineRule="auto"/>
              <w:ind w:firstLine="0" w:firstLineChars="0"/>
              <w:jc w:val="center"/>
              <w:textAlignment w:val="baseline"/>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607" w:type="pct"/>
            <w:tcMar>
              <w:top w:w="0" w:type="dxa"/>
              <w:left w:w="57" w:type="dxa"/>
              <w:bottom w:w="0" w:type="dxa"/>
              <w:right w:w="57" w:type="dxa"/>
            </w:tcMar>
            <w:vAlign w:val="center"/>
          </w:tcPr>
          <w:p w14:paraId="258902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0.27</w:t>
            </w:r>
          </w:p>
        </w:tc>
        <w:tc>
          <w:tcPr>
            <w:tcW w:w="776" w:type="dxa"/>
            <w:tcMar>
              <w:top w:w="0" w:type="dxa"/>
              <w:left w:w="57" w:type="dxa"/>
              <w:bottom w:w="0" w:type="dxa"/>
              <w:right w:w="57" w:type="dxa"/>
            </w:tcMar>
            <w:vAlign w:val="center"/>
          </w:tcPr>
          <w:p w14:paraId="17869A08">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无组织</w:t>
            </w:r>
          </w:p>
        </w:tc>
        <w:tc>
          <w:tcPr>
            <w:tcW w:w="928" w:type="pct"/>
            <w:tcMar>
              <w:top w:w="0" w:type="dxa"/>
              <w:left w:w="57" w:type="dxa"/>
              <w:bottom w:w="0" w:type="dxa"/>
              <w:right w:w="57" w:type="dxa"/>
            </w:tcMar>
            <w:vAlign w:val="center"/>
          </w:tcPr>
          <w:p w14:paraId="4820A2D6">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404" w:type="pct"/>
            <w:tcMar>
              <w:top w:w="0" w:type="dxa"/>
              <w:left w:w="57" w:type="dxa"/>
              <w:bottom w:w="0" w:type="dxa"/>
              <w:right w:w="57" w:type="dxa"/>
            </w:tcMar>
            <w:vAlign w:val="center"/>
          </w:tcPr>
          <w:p w14:paraId="2358A51A">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593" w:type="pct"/>
            <w:tcMar>
              <w:top w:w="0" w:type="dxa"/>
              <w:left w:w="57" w:type="dxa"/>
              <w:bottom w:w="0" w:type="dxa"/>
              <w:right w:w="57" w:type="dxa"/>
            </w:tcMar>
            <w:vAlign w:val="center"/>
          </w:tcPr>
          <w:p w14:paraId="6E7760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0.27</w:t>
            </w:r>
          </w:p>
        </w:tc>
        <w:tc>
          <w:tcPr>
            <w:tcW w:w="579" w:type="pct"/>
            <w:tcMar>
              <w:top w:w="0" w:type="dxa"/>
              <w:left w:w="57" w:type="dxa"/>
              <w:bottom w:w="0" w:type="dxa"/>
              <w:right w:w="57" w:type="dxa"/>
            </w:tcMar>
            <w:vAlign w:val="center"/>
          </w:tcPr>
          <w:p w14:paraId="78A78B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w:t>
            </w:r>
          </w:p>
        </w:tc>
      </w:tr>
      <w:tr w14:paraId="26DBE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706" w:type="pct"/>
            <w:vMerge w:val="continue"/>
            <w:tcMar>
              <w:top w:w="0" w:type="dxa"/>
              <w:left w:w="57" w:type="dxa"/>
              <w:bottom w:w="0" w:type="dxa"/>
              <w:right w:w="57" w:type="dxa"/>
            </w:tcMar>
            <w:vAlign w:val="center"/>
          </w:tcPr>
          <w:p w14:paraId="69F48AD3">
            <w:pPr>
              <w:bidi w:val="0"/>
              <w:adjustRightInd w:val="0"/>
              <w:snapToGrid w:val="0"/>
              <w:spacing w:line="240" w:lineRule="auto"/>
              <w:ind w:firstLine="0" w:firstLineChars="0"/>
              <w:jc w:val="center"/>
              <w:textAlignment w:val="baseline"/>
              <w:rPr>
                <w:rFonts w:hint="eastAsia" w:ascii="Times New Roman" w:hAnsi="Times New Roman" w:eastAsia="宋体" w:cs="Times New Roman"/>
                <w:bCs/>
                <w:color w:val="000000" w:themeColor="text1"/>
                <w:sz w:val="21"/>
                <w:szCs w:val="21"/>
                <w:lang w:val="en-US" w:eastAsia="zh-CN"/>
                <w14:textFill>
                  <w14:solidFill>
                    <w14:schemeClr w14:val="tx1"/>
                  </w14:solidFill>
                </w14:textFill>
              </w:rPr>
            </w:pPr>
          </w:p>
        </w:tc>
        <w:tc>
          <w:tcPr>
            <w:tcW w:w="718" w:type="pct"/>
            <w:vMerge w:val="restart"/>
            <w:tcMar>
              <w:top w:w="0" w:type="dxa"/>
              <w:left w:w="57" w:type="dxa"/>
              <w:bottom w:w="0" w:type="dxa"/>
              <w:right w:w="57" w:type="dxa"/>
            </w:tcMar>
            <w:vAlign w:val="center"/>
          </w:tcPr>
          <w:p w14:paraId="3ECB9F10">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甲醛</w:t>
            </w:r>
          </w:p>
        </w:tc>
        <w:tc>
          <w:tcPr>
            <w:tcW w:w="607" w:type="pct"/>
            <w:tcMar>
              <w:top w:w="0" w:type="dxa"/>
              <w:left w:w="57" w:type="dxa"/>
              <w:bottom w:w="0" w:type="dxa"/>
              <w:right w:w="57" w:type="dxa"/>
            </w:tcMar>
            <w:vAlign w:val="center"/>
          </w:tcPr>
          <w:p w14:paraId="30F787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0.01</w:t>
            </w:r>
          </w:p>
        </w:tc>
        <w:tc>
          <w:tcPr>
            <w:tcW w:w="776" w:type="dxa"/>
            <w:tcMar>
              <w:top w:w="0" w:type="dxa"/>
              <w:left w:w="57" w:type="dxa"/>
              <w:bottom w:w="0" w:type="dxa"/>
              <w:right w:w="57" w:type="dxa"/>
            </w:tcMar>
            <w:vAlign w:val="center"/>
          </w:tcPr>
          <w:p w14:paraId="68028B57">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有组织</w:t>
            </w:r>
          </w:p>
        </w:tc>
        <w:tc>
          <w:tcPr>
            <w:tcW w:w="1563" w:type="dxa"/>
            <w:tcMar>
              <w:top w:w="0" w:type="dxa"/>
              <w:left w:w="57" w:type="dxa"/>
              <w:bottom w:w="0" w:type="dxa"/>
              <w:right w:w="57" w:type="dxa"/>
            </w:tcMar>
            <w:vAlign w:val="center"/>
          </w:tcPr>
          <w:p w14:paraId="7E08D038">
            <w:pPr>
              <w:bidi w:val="0"/>
              <w:adjustRightInd w:val="0"/>
              <w:snapToGrid w:val="0"/>
              <w:spacing w:line="240" w:lineRule="auto"/>
              <w:ind w:firstLine="0" w:firstLineChars="0"/>
              <w:jc w:val="center"/>
              <w:textAlignment w:val="baseline"/>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681" w:type="dxa"/>
            <w:tcMar>
              <w:top w:w="0" w:type="dxa"/>
              <w:left w:w="57" w:type="dxa"/>
              <w:bottom w:w="0" w:type="dxa"/>
              <w:right w:w="57" w:type="dxa"/>
            </w:tcMar>
            <w:vAlign w:val="center"/>
          </w:tcPr>
          <w:p w14:paraId="0A088493">
            <w:pPr>
              <w:bidi w:val="0"/>
              <w:adjustRightInd w:val="0"/>
              <w:snapToGrid w:val="0"/>
              <w:spacing w:line="240" w:lineRule="auto"/>
              <w:ind w:firstLine="0" w:firstLineChars="0"/>
              <w:jc w:val="center"/>
              <w:textAlignment w:val="baseline"/>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593" w:type="pct"/>
            <w:tcMar>
              <w:top w:w="0" w:type="dxa"/>
              <w:left w:w="57" w:type="dxa"/>
              <w:bottom w:w="0" w:type="dxa"/>
              <w:right w:w="57" w:type="dxa"/>
            </w:tcMar>
            <w:vAlign w:val="center"/>
          </w:tcPr>
          <w:p w14:paraId="058176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0.002</w:t>
            </w:r>
          </w:p>
        </w:tc>
        <w:tc>
          <w:tcPr>
            <w:tcW w:w="579" w:type="pct"/>
            <w:tcMar>
              <w:top w:w="0" w:type="dxa"/>
              <w:left w:w="57" w:type="dxa"/>
              <w:bottom w:w="0" w:type="dxa"/>
              <w:right w:w="57" w:type="dxa"/>
            </w:tcMar>
            <w:vAlign w:val="center"/>
          </w:tcPr>
          <w:p w14:paraId="1CF56A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w:t>
            </w:r>
          </w:p>
        </w:tc>
      </w:tr>
      <w:tr w14:paraId="17498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706" w:type="pct"/>
            <w:vMerge w:val="continue"/>
            <w:tcMar>
              <w:top w:w="0" w:type="dxa"/>
              <w:left w:w="57" w:type="dxa"/>
              <w:bottom w:w="0" w:type="dxa"/>
              <w:right w:w="57" w:type="dxa"/>
            </w:tcMar>
            <w:vAlign w:val="center"/>
          </w:tcPr>
          <w:p w14:paraId="413431D2">
            <w:pPr>
              <w:bidi w:val="0"/>
              <w:adjustRightInd w:val="0"/>
              <w:snapToGrid w:val="0"/>
              <w:spacing w:line="240" w:lineRule="auto"/>
              <w:ind w:firstLine="0" w:firstLineChars="0"/>
              <w:jc w:val="center"/>
              <w:textAlignment w:val="baseline"/>
              <w:rPr>
                <w:rFonts w:hint="eastAsia" w:ascii="Times New Roman" w:hAnsi="Times New Roman" w:eastAsia="宋体" w:cs="Times New Roman"/>
                <w:bCs/>
                <w:color w:val="000000" w:themeColor="text1"/>
                <w:sz w:val="21"/>
                <w:szCs w:val="21"/>
                <w:lang w:val="en-US" w:eastAsia="zh-CN"/>
                <w14:textFill>
                  <w14:solidFill>
                    <w14:schemeClr w14:val="tx1"/>
                  </w14:solidFill>
                </w14:textFill>
              </w:rPr>
            </w:pPr>
          </w:p>
        </w:tc>
        <w:tc>
          <w:tcPr>
            <w:tcW w:w="718" w:type="pct"/>
            <w:vMerge w:val="continue"/>
            <w:tcMar>
              <w:top w:w="0" w:type="dxa"/>
              <w:left w:w="57" w:type="dxa"/>
              <w:bottom w:w="0" w:type="dxa"/>
              <w:right w:w="57" w:type="dxa"/>
            </w:tcMar>
            <w:vAlign w:val="center"/>
          </w:tcPr>
          <w:p w14:paraId="6A490DEA">
            <w:pPr>
              <w:bidi w:val="0"/>
              <w:adjustRightInd w:val="0"/>
              <w:snapToGrid w:val="0"/>
              <w:spacing w:line="240" w:lineRule="auto"/>
              <w:ind w:firstLine="0" w:firstLineChars="0"/>
              <w:jc w:val="center"/>
              <w:textAlignment w:val="baseline"/>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607" w:type="pct"/>
            <w:tcMar>
              <w:top w:w="0" w:type="dxa"/>
              <w:left w:w="57" w:type="dxa"/>
              <w:bottom w:w="0" w:type="dxa"/>
              <w:right w:w="57" w:type="dxa"/>
            </w:tcMar>
            <w:vAlign w:val="center"/>
          </w:tcPr>
          <w:p w14:paraId="2F65B7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0.001</w:t>
            </w:r>
          </w:p>
        </w:tc>
        <w:tc>
          <w:tcPr>
            <w:tcW w:w="776" w:type="dxa"/>
            <w:tcMar>
              <w:top w:w="0" w:type="dxa"/>
              <w:left w:w="57" w:type="dxa"/>
              <w:bottom w:w="0" w:type="dxa"/>
              <w:right w:w="57" w:type="dxa"/>
            </w:tcMar>
            <w:vAlign w:val="center"/>
          </w:tcPr>
          <w:p w14:paraId="05BF5B24">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无组织</w:t>
            </w:r>
          </w:p>
        </w:tc>
        <w:tc>
          <w:tcPr>
            <w:tcW w:w="1563" w:type="dxa"/>
            <w:tcMar>
              <w:top w:w="0" w:type="dxa"/>
              <w:left w:w="57" w:type="dxa"/>
              <w:bottom w:w="0" w:type="dxa"/>
              <w:right w:w="57" w:type="dxa"/>
            </w:tcMar>
            <w:vAlign w:val="center"/>
          </w:tcPr>
          <w:p w14:paraId="4DB6FA8C">
            <w:pPr>
              <w:bidi w:val="0"/>
              <w:adjustRightInd w:val="0"/>
              <w:snapToGrid w:val="0"/>
              <w:spacing w:line="240" w:lineRule="auto"/>
              <w:ind w:firstLine="0" w:firstLineChars="0"/>
              <w:jc w:val="center"/>
              <w:textAlignment w:val="baseline"/>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681" w:type="dxa"/>
            <w:tcMar>
              <w:top w:w="0" w:type="dxa"/>
              <w:left w:w="57" w:type="dxa"/>
              <w:bottom w:w="0" w:type="dxa"/>
              <w:right w:w="57" w:type="dxa"/>
            </w:tcMar>
            <w:vAlign w:val="center"/>
          </w:tcPr>
          <w:p w14:paraId="6A2BDEB6">
            <w:pPr>
              <w:bidi w:val="0"/>
              <w:adjustRightInd w:val="0"/>
              <w:snapToGrid w:val="0"/>
              <w:spacing w:line="240" w:lineRule="auto"/>
              <w:ind w:firstLine="0" w:firstLineChars="0"/>
              <w:jc w:val="center"/>
              <w:textAlignment w:val="baseline"/>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593" w:type="pct"/>
            <w:tcMar>
              <w:top w:w="0" w:type="dxa"/>
              <w:left w:w="57" w:type="dxa"/>
              <w:bottom w:w="0" w:type="dxa"/>
              <w:right w:w="57" w:type="dxa"/>
            </w:tcMar>
            <w:vAlign w:val="center"/>
          </w:tcPr>
          <w:p w14:paraId="736086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0.001</w:t>
            </w:r>
          </w:p>
        </w:tc>
        <w:tc>
          <w:tcPr>
            <w:tcW w:w="579" w:type="pct"/>
            <w:tcMar>
              <w:top w:w="0" w:type="dxa"/>
              <w:left w:w="57" w:type="dxa"/>
              <w:bottom w:w="0" w:type="dxa"/>
              <w:right w:w="57" w:type="dxa"/>
            </w:tcMar>
            <w:vAlign w:val="center"/>
          </w:tcPr>
          <w:p w14:paraId="726928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w:t>
            </w:r>
          </w:p>
        </w:tc>
      </w:tr>
      <w:tr w14:paraId="02690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706" w:type="pct"/>
            <w:vMerge w:val="continue"/>
            <w:tcMar>
              <w:top w:w="0" w:type="dxa"/>
              <w:left w:w="57" w:type="dxa"/>
              <w:bottom w:w="0" w:type="dxa"/>
              <w:right w:w="57" w:type="dxa"/>
            </w:tcMar>
            <w:vAlign w:val="center"/>
          </w:tcPr>
          <w:p w14:paraId="581C533E">
            <w:pPr>
              <w:bidi w:val="0"/>
              <w:adjustRightInd w:val="0"/>
              <w:snapToGrid w:val="0"/>
              <w:spacing w:line="240" w:lineRule="auto"/>
              <w:ind w:firstLine="0" w:firstLineChars="0"/>
              <w:jc w:val="center"/>
              <w:textAlignment w:val="baseline"/>
              <w:rPr>
                <w:rFonts w:hint="eastAsia" w:ascii="Times New Roman" w:hAnsi="Times New Roman" w:eastAsia="宋体" w:cs="Times New Roman"/>
                <w:bCs/>
                <w:color w:val="000000" w:themeColor="text1"/>
                <w:sz w:val="21"/>
                <w:szCs w:val="21"/>
                <w:lang w:val="en-US" w:eastAsia="zh-CN"/>
                <w14:textFill>
                  <w14:solidFill>
                    <w14:schemeClr w14:val="tx1"/>
                  </w14:solidFill>
                </w14:textFill>
              </w:rPr>
            </w:pPr>
          </w:p>
        </w:tc>
        <w:tc>
          <w:tcPr>
            <w:tcW w:w="718" w:type="pct"/>
            <w:vMerge w:val="restart"/>
            <w:tcMar>
              <w:top w:w="0" w:type="dxa"/>
              <w:left w:w="57" w:type="dxa"/>
              <w:bottom w:w="0" w:type="dxa"/>
              <w:right w:w="57" w:type="dxa"/>
            </w:tcMar>
            <w:vAlign w:val="center"/>
          </w:tcPr>
          <w:p w14:paraId="0681CFC2">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颗粒物</w:t>
            </w:r>
          </w:p>
        </w:tc>
        <w:tc>
          <w:tcPr>
            <w:tcW w:w="607" w:type="pct"/>
            <w:tcMar>
              <w:top w:w="0" w:type="dxa"/>
              <w:left w:w="57" w:type="dxa"/>
              <w:bottom w:w="0" w:type="dxa"/>
              <w:right w:w="57" w:type="dxa"/>
            </w:tcMar>
            <w:vAlign w:val="center"/>
          </w:tcPr>
          <w:p w14:paraId="0CB38A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cs="Times New Roman"/>
                <w:b w:val="0"/>
                <w:bCs w:val="0"/>
                <w:color w:val="000000" w:themeColor="text1"/>
                <w:sz w:val="21"/>
                <w:szCs w:val="21"/>
                <w:vertAlign w:val="baseline"/>
                <w:lang w:val="en-US" w:eastAsia="zh-CN"/>
                <w14:textFill>
                  <w14:solidFill>
                    <w14:schemeClr w14:val="tx1"/>
                  </w14:solidFill>
                </w14:textFill>
              </w:rPr>
              <w:t>6.00</w:t>
            </w:r>
          </w:p>
        </w:tc>
        <w:tc>
          <w:tcPr>
            <w:tcW w:w="776" w:type="dxa"/>
            <w:tcMar>
              <w:top w:w="0" w:type="dxa"/>
              <w:left w:w="57" w:type="dxa"/>
              <w:bottom w:w="0" w:type="dxa"/>
              <w:right w:w="57" w:type="dxa"/>
            </w:tcMar>
            <w:vAlign w:val="center"/>
          </w:tcPr>
          <w:p w14:paraId="6967953C">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有组织</w:t>
            </w:r>
          </w:p>
        </w:tc>
        <w:tc>
          <w:tcPr>
            <w:tcW w:w="1563" w:type="dxa"/>
            <w:tcMar>
              <w:top w:w="0" w:type="dxa"/>
              <w:left w:w="57" w:type="dxa"/>
              <w:bottom w:w="0" w:type="dxa"/>
              <w:right w:w="57" w:type="dxa"/>
            </w:tcMar>
            <w:vAlign w:val="center"/>
          </w:tcPr>
          <w:p w14:paraId="72699E78">
            <w:pPr>
              <w:bidi w:val="0"/>
              <w:adjustRightInd w:val="0"/>
              <w:snapToGrid w:val="0"/>
              <w:spacing w:line="240" w:lineRule="auto"/>
              <w:ind w:firstLine="0" w:firstLineChars="0"/>
              <w:jc w:val="center"/>
              <w:textAlignment w:val="baseline"/>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681" w:type="dxa"/>
            <w:tcMar>
              <w:top w:w="0" w:type="dxa"/>
              <w:left w:w="57" w:type="dxa"/>
              <w:bottom w:w="0" w:type="dxa"/>
              <w:right w:w="57" w:type="dxa"/>
            </w:tcMar>
            <w:vAlign w:val="center"/>
          </w:tcPr>
          <w:p w14:paraId="7E512325">
            <w:pPr>
              <w:bidi w:val="0"/>
              <w:adjustRightInd w:val="0"/>
              <w:snapToGrid w:val="0"/>
              <w:spacing w:line="240" w:lineRule="auto"/>
              <w:ind w:firstLine="0" w:firstLineChars="0"/>
              <w:jc w:val="center"/>
              <w:textAlignment w:val="baseline"/>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593" w:type="pct"/>
            <w:tcMar>
              <w:top w:w="0" w:type="dxa"/>
              <w:left w:w="57" w:type="dxa"/>
              <w:bottom w:w="0" w:type="dxa"/>
              <w:right w:w="57" w:type="dxa"/>
            </w:tcMar>
            <w:vAlign w:val="center"/>
          </w:tcPr>
          <w:p w14:paraId="4E33C1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0.03</w:t>
            </w:r>
          </w:p>
        </w:tc>
        <w:tc>
          <w:tcPr>
            <w:tcW w:w="579" w:type="pct"/>
            <w:tcMar>
              <w:top w:w="0" w:type="dxa"/>
              <w:left w:w="57" w:type="dxa"/>
              <w:bottom w:w="0" w:type="dxa"/>
              <w:right w:w="57" w:type="dxa"/>
            </w:tcMar>
            <w:vAlign w:val="center"/>
          </w:tcPr>
          <w:p w14:paraId="501956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w:t>
            </w:r>
          </w:p>
        </w:tc>
      </w:tr>
      <w:tr w14:paraId="1D4FC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706" w:type="pct"/>
            <w:vMerge w:val="continue"/>
            <w:tcMar>
              <w:top w:w="0" w:type="dxa"/>
              <w:left w:w="57" w:type="dxa"/>
              <w:bottom w:w="0" w:type="dxa"/>
              <w:right w:w="57" w:type="dxa"/>
            </w:tcMar>
            <w:vAlign w:val="center"/>
          </w:tcPr>
          <w:p w14:paraId="1FFAEC3F">
            <w:pPr>
              <w:bidi w:val="0"/>
              <w:adjustRightInd w:val="0"/>
              <w:snapToGrid w:val="0"/>
              <w:spacing w:line="240" w:lineRule="auto"/>
              <w:ind w:firstLine="0" w:firstLineChars="0"/>
              <w:jc w:val="center"/>
              <w:textAlignment w:val="baseline"/>
              <w:rPr>
                <w:rFonts w:hint="eastAsia" w:ascii="Times New Roman" w:hAnsi="Times New Roman" w:eastAsia="宋体" w:cs="Times New Roman"/>
                <w:bCs/>
                <w:color w:val="000000" w:themeColor="text1"/>
                <w:sz w:val="21"/>
                <w:szCs w:val="21"/>
                <w:lang w:val="en-US" w:eastAsia="zh-CN"/>
                <w14:textFill>
                  <w14:solidFill>
                    <w14:schemeClr w14:val="tx1"/>
                  </w14:solidFill>
                </w14:textFill>
              </w:rPr>
            </w:pPr>
          </w:p>
        </w:tc>
        <w:tc>
          <w:tcPr>
            <w:tcW w:w="718" w:type="pct"/>
            <w:vMerge w:val="continue"/>
            <w:tcMar>
              <w:top w:w="0" w:type="dxa"/>
              <w:left w:w="57" w:type="dxa"/>
              <w:bottom w:w="0" w:type="dxa"/>
              <w:right w:w="57" w:type="dxa"/>
            </w:tcMar>
            <w:vAlign w:val="center"/>
          </w:tcPr>
          <w:p w14:paraId="07683110">
            <w:pPr>
              <w:bidi w:val="0"/>
              <w:adjustRightInd w:val="0"/>
              <w:snapToGrid w:val="0"/>
              <w:spacing w:line="240" w:lineRule="auto"/>
              <w:ind w:firstLine="0" w:firstLineChars="0"/>
              <w:jc w:val="center"/>
              <w:textAlignment w:val="baseline"/>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607" w:type="pct"/>
            <w:tcMar>
              <w:top w:w="0" w:type="dxa"/>
              <w:left w:w="57" w:type="dxa"/>
              <w:bottom w:w="0" w:type="dxa"/>
              <w:right w:w="57" w:type="dxa"/>
            </w:tcMar>
            <w:vAlign w:val="center"/>
          </w:tcPr>
          <w:p w14:paraId="7622E9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0.</w:t>
            </w:r>
            <w:r>
              <w:rPr>
                <w:rFonts w:hint="eastAsia" w:cs="Times New Roman"/>
                <w:b w:val="0"/>
                <w:bCs w:val="0"/>
                <w:color w:val="000000" w:themeColor="text1"/>
                <w:sz w:val="21"/>
                <w:szCs w:val="21"/>
                <w:vertAlign w:val="baseline"/>
                <w:lang w:val="en-US" w:eastAsia="zh-CN"/>
                <w14:textFill>
                  <w14:solidFill>
                    <w14:schemeClr w14:val="tx1"/>
                  </w14:solidFill>
                </w14:textFill>
              </w:rPr>
              <w:t>90</w:t>
            </w:r>
          </w:p>
        </w:tc>
        <w:tc>
          <w:tcPr>
            <w:tcW w:w="776" w:type="dxa"/>
            <w:tcMar>
              <w:top w:w="0" w:type="dxa"/>
              <w:left w:w="57" w:type="dxa"/>
              <w:bottom w:w="0" w:type="dxa"/>
              <w:right w:w="57" w:type="dxa"/>
            </w:tcMar>
            <w:vAlign w:val="center"/>
          </w:tcPr>
          <w:p w14:paraId="134A49E7">
            <w:pPr>
              <w:bidi w:val="0"/>
              <w:adjustRightInd w:val="0"/>
              <w:snapToGrid w:val="0"/>
              <w:spacing w:line="240" w:lineRule="auto"/>
              <w:ind w:firstLine="0" w:firstLineChars="0"/>
              <w:jc w:val="center"/>
              <w:textAlignment w:val="baseline"/>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无组织</w:t>
            </w:r>
          </w:p>
        </w:tc>
        <w:tc>
          <w:tcPr>
            <w:tcW w:w="1563" w:type="dxa"/>
            <w:tcMar>
              <w:top w:w="0" w:type="dxa"/>
              <w:left w:w="57" w:type="dxa"/>
              <w:bottom w:w="0" w:type="dxa"/>
              <w:right w:w="57" w:type="dxa"/>
            </w:tcMar>
            <w:vAlign w:val="center"/>
          </w:tcPr>
          <w:p w14:paraId="3C6BF16E">
            <w:pPr>
              <w:bidi w:val="0"/>
              <w:adjustRightInd w:val="0"/>
              <w:snapToGrid w:val="0"/>
              <w:spacing w:line="240" w:lineRule="auto"/>
              <w:ind w:firstLine="0" w:firstLineChars="0"/>
              <w:jc w:val="center"/>
              <w:textAlignment w:val="baseline"/>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681" w:type="dxa"/>
            <w:tcMar>
              <w:top w:w="0" w:type="dxa"/>
              <w:left w:w="57" w:type="dxa"/>
              <w:bottom w:w="0" w:type="dxa"/>
              <w:right w:w="57" w:type="dxa"/>
            </w:tcMar>
            <w:vAlign w:val="center"/>
          </w:tcPr>
          <w:p w14:paraId="50786E3F">
            <w:pPr>
              <w:bidi w:val="0"/>
              <w:adjustRightInd w:val="0"/>
              <w:snapToGrid w:val="0"/>
              <w:spacing w:line="240" w:lineRule="auto"/>
              <w:ind w:firstLine="0" w:firstLineChars="0"/>
              <w:jc w:val="center"/>
              <w:textAlignment w:val="baseline"/>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593" w:type="pct"/>
            <w:tcMar>
              <w:top w:w="0" w:type="dxa"/>
              <w:left w:w="57" w:type="dxa"/>
              <w:bottom w:w="0" w:type="dxa"/>
              <w:right w:w="57" w:type="dxa"/>
            </w:tcMar>
            <w:vAlign w:val="center"/>
          </w:tcPr>
          <w:p w14:paraId="239329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0.</w:t>
            </w:r>
            <w:r>
              <w:rPr>
                <w:rFonts w:hint="eastAsia" w:cs="Times New Roman"/>
                <w:b w:val="0"/>
                <w:bCs w:val="0"/>
                <w:color w:val="000000" w:themeColor="text1"/>
                <w:sz w:val="21"/>
                <w:szCs w:val="21"/>
                <w:vertAlign w:val="baseline"/>
                <w:lang w:val="en-US" w:eastAsia="zh-CN"/>
                <w14:textFill>
                  <w14:solidFill>
                    <w14:schemeClr w14:val="tx1"/>
                  </w14:solidFill>
                </w14:textFill>
              </w:rPr>
              <w:t>36</w:t>
            </w:r>
          </w:p>
        </w:tc>
        <w:tc>
          <w:tcPr>
            <w:tcW w:w="579" w:type="pct"/>
            <w:tcMar>
              <w:top w:w="0" w:type="dxa"/>
              <w:left w:w="57" w:type="dxa"/>
              <w:bottom w:w="0" w:type="dxa"/>
              <w:right w:w="57" w:type="dxa"/>
            </w:tcMar>
            <w:vAlign w:val="center"/>
          </w:tcPr>
          <w:p w14:paraId="09DC13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w:t>
            </w:r>
          </w:p>
        </w:tc>
      </w:tr>
    </w:tbl>
    <w:p w14:paraId="27A8BD4A">
      <w:pPr>
        <w:numPr>
          <w:ilvl w:val="0"/>
          <w:numId w:val="0"/>
        </w:numPr>
        <w:bidi w:val="0"/>
        <w:spacing w:line="360" w:lineRule="auto"/>
        <w:ind w:left="0" w:leftChars="0" w:firstLine="482" w:firstLineChars="200"/>
        <w:rPr>
          <w:rFonts w:hint="eastAsia" w:ascii="Times New Roman" w:hAnsi="Times New Roman" w:eastAsia="宋体" w:cs="Times New Roman"/>
          <w:b/>
          <w:bCs/>
          <w:color w:val="000000" w:themeColor="text1"/>
          <w:sz w:val="24"/>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3、</w:t>
      </w:r>
      <w:r>
        <w:rPr>
          <w:rFonts w:hint="eastAsia" w:ascii="Times New Roman" w:hAnsi="Times New Roman" w:eastAsia="宋体" w:cs="Times New Roman"/>
          <w:b/>
          <w:bCs/>
          <w:color w:val="000000" w:themeColor="text1"/>
          <w:sz w:val="24"/>
          <w:lang w:val="en-US" w:eastAsia="zh-CN"/>
          <w14:textFill>
            <w14:solidFill>
              <w14:schemeClr w14:val="tx1"/>
            </w14:solidFill>
          </w14:textFill>
        </w:rPr>
        <w:t>排气筒达标可行性分析</w:t>
      </w:r>
    </w:p>
    <w:p w14:paraId="018AC8E9">
      <w:pPr>
        <w:bidi w:val="0"/>
        <w:spacing w:after="0" w:line="360" w:lineRule="auto"/>
        <w:ind w:left="0" w:firstLine="480" w:firstLineChars="200"/>
        <w:rPr>
          <w:rFonts w:ascii="Times New Roman" w:hAnsi="Times New Roman" w:eastAsia="宋体" w:cs="Times New Roman"/>
          <w:color w:val="000000" w:themeColor="text1"/>
          <w:sz w:val="24"/>
          <w:lang w:val="en-US" w:eastAsia="zh-CN" w:bidi="ar-SA"/>
          <w14:textFill>
            <w14:solidFill>
              <w14:schemeClr w14:val="tx1"/>
            </w14:solidFill>
          </w14:textFill>
        </w:rPr>
      </w:pPr>
      <w:r>
        <w:rPr>
          <w:rFonts w:ascii="Times New Roman" w:hAnsi="Times New Roman" w:eastAsia="宋体" w:cs="Times New Roman"/>
          <w:color w:val="000000" w:themeColor="text1"/>
          <w:sz w:val="24"/>
          <w:lang w:val="en-US" w:eastAsia="zh-CN" w:bidi="ar-SA"/>
          <w14:textFill>
            <w14:solidFill>
              <w14:schemeClr w14:val="tx1"/>
            </w14:solidFill>
          </w14:textFill>
        </w:rPr>
        <w:t>根据上述，项目</w:t>
      </w:r>
      <w:r>
        <w:rPr>
          <w:rFonts w:hint="eastAsia" w:ascii="Times New Roman" w:hAnsi="Times New Roman" w:eastAsia="宋体" w:cs="Times New Roman"/>
          <w:color w:val="000000" w:themeColor="text1"/>
          <w:sz w:val="24"/>
          <w:lang w:val="en-US" w:eastAsia="zh-CN" w:bidi="ar-SA"/>
          <w14:textFill>
            <w14:solidFill>
              <w14:schemeClr w14:val="tx1"/>
            </w14:solidFill>
          </w14:textFill>
        </w:rPr>
        <w:t>电预热、模压罩光</w:t>
      </w:r>
      <w:r>
        <w:rPr>
          <w:rFonts w:ascii="Times New Roman" w:hAnsi="Times New Roman" w:eastAsia="宋体" w:cs="Times New Roman"/>
          <w:color w:val="000000" w:themeColor="text1"/>
          <w:sz w:val="24"/>
          <w:lang w:val="en-US" w:eastAsia="zh-CN" w:bidi="ar-SA"/>
          <w14:textFill>
            <w14:solidFill>
              <w14:schemeClr w14:val="tx1"/>
            </w14:solidFill>
          </w14:textFill>
        </w:rPr>
        <w:t>废气通过</w:t>
      </w:r>
      <w:r>
        <w:rPr>
          <w:rFonts w:hint="eastAsia" w:cs="Times New Roman"/>
          <w:color w:val="000000" w:themeColor="text1"/>
          <w:sz w:val="24"/>
          <w:lang w:val="en-US" w:eastAsia="zh-CN" w:bidi="ar-SA"/>
          <w14:textFill>
            <w14:solidFill>
              <w14:schemeClr w14:val="tx1"/>
            </w14:solidFill>
          </w14:textFill>
        </w:rPr>
        <w:t>活性炭吸附/脱附+催化燃烧</w:t>
      </w:r>
      <w:r>
        <w:rPr>
          <w:rFonts w:ascii="Times New Roman" w:hAnsi="Times New Roman" w:eastAsia="宋体" w:cs="Times New Roman"/>
          <w:color w:val="000000" w:themeColor="text1"/>
          <w:sz w:val="24"/>
          <w:lang w:val="en-US" w:eastAsia="zh-CN" w:bidi="ar-SA"/>
          <w14:textFill>
            <w14:solidFill>
              <w14:schemeClr w14:val="tx1"/>
            </w14:solidFill>
          </w14:textFill>
        </w:rPr>
        <w:t>装置处理后经风量为</w:t>
      </w:r>
      <w:r>
        <w:rPr>
          <w:rFonts w:hint="eastAsia" w:cs="Times New Roman"/>
          <w:color w:val="000000" w:themeColor="text1"/>
          <w:sz w:val="24"/>
          <w:lang w:val="en-US" w:eastAsia="zh-CN" w:bidi="ar-SA"/>
          <w14:textFill>
            <w14:solidFill>
              <w14:schemeClr w14:val="tx1"/>
            </w14:solidFill>
          </w14:textFill>
        </w:rPr>
        <w:t>20</w:t>
      </w:r>
      <w:r>
        <w:rPr>
          <w:rFonts w:hint="eastAsia" w:ascii="Times New Roman" w:hAnsi="Times New Roman" w:eastAsia="宋体" w:cs="Times New Roman"/>
          <w:color w:val="000000" w:themeColor="text1"/>
          <w:sz w:val="24"/>
          <w:lang w:val="en-US" w:eastAsia="zh-CN" w:bidi="ar-SA"/>
          <w14:textFill>
            <w14:solidFill>
              <w14:schemeClr w14:val="tx1"/>
            </w14:solidFill>
          </w14:textFill>
        </w:rPr>
        <w:t>000</w:t>
      </w:r>
      <w:r>
        <w:rPr>
          <w:rFonts w:ascii="Times New Roman" w:hAnsi="Times New Roman" w:eastAsia="宋体" w:cs="Times New Roman"/>
          <w:color w:val="000000" w:themeColor="text1"/>
          <w:sz w:val="24"/>
          <w:lang w:val="en-US" w:eastAsia="zh-CN" w:bidi="ar-SA"/>
          <w14:textFill>
            <w14:solidFill>
              <w14:schemeClr w14:val="tx1"/>
            </w14:solidFill>
          </w14:textFill>
        </w:rPr>
        <w:t>m</w:t>
      </w:r>
      <w:r>
        <w:rPr>
          <w:rFonts w:ascii="Times New Roman" w:hAnsi="Times New Roman" w:eastAsia="宋体" w:cs="Times New Roman"/>
          <w:color w:val="000000" w:themeColor="text1"/>
          <w:sz w:val="24"/>
          <w:vertAlign w:val="superscript"/>
          <w:lang w:val="en-US" w:eastAsia="zh-CN" w:bidi="ar-SA"/>
          <w14:textFill>
            <w14:solidFill>
              <w14:schemeClr w14:val="tx1"/>
            </w14:solidFill>
          </w14:textFill>
        </w:rPr>
        <w:t>3</w:t>
      </w:r>
      <w:r>
        <w:rPr>
          <w:rFonts w:ascii="Times New Roman" w:hAnsi="Times New Roman" w:eastAsia="宋体" w:cs="Times New Roman"/>
          <w:color w:val="000000" w:themeColor="text1"/>
          <w:sz w:val="24"/>
          <w:lang w:val="en-US" w:eastAsia="zh-CN" w:bidi="ar-SA"/>
          <w14:textFill>
            <w14:solidFill>
              <w14:schemeClr w14:val="tx1"/>
            </w14:solidFill>
          </w14:textFill>
        </w:rPr>
        <w:t>/h的风机引到DA001排放。</w:t>
      </w:r>
      <w:r>
        <w:rPr>
          <w:rFonts w:hint="eastAsia" w:ascii="Times New Roman" w:hAnsi="Times New Roman" w:eastAsia="宋体" w:cs="Times New Roman"/>
          <w:color w:val="000000" w:themeColor="text1"/>
          <w:sz w:val="24"/>
          <w:lang w:val="en-US" w:eastAsia="zh-CN" w:bidi="ar-SA"/>
          <w14:textFill>
            <w14:solidFill>
              <w14:schemeClr w14:val="tx1"/>
            </w14:solidFill>
          </w14:textFill>
        </w:rPr>
        <w:t>项目称量废气通过引风机（风机风量7000m</w:t>
      </w:r>
      <w:r>
        <w:rPr>
          <w:rFonts w:hint="eastAsia" w:ascii="Times New Roman" w:hAnsi="Times New Roman" w:eastAsia="宋体" w:cs="Times New Roman"/>
          <w:color w:val="000000" w:themeColor="text1"/>
          <w:sz w:val="24"/>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sz w:val="24"/>
          <w:lang w:val="en-US" w:eastAsia="zh-CN" w:bidi="ar-SA"/>
          <w14:textFill>
            <w14:solidFill>
              <w14:schemeClr w14:val="tx1"/>
            </w14:solidFill>
          </w14:textFill>
        </w:rPr>
        <w:t>/h）+集气罩（收集效率85%）+布袋除尘器处理后通过15m高排气筒（DA002）外排</w:t>
      </w:r>
      <w:r>
        <w:rPr>
          <w:rFonts w:hint="eastAsia" w:cs="Times New Roman"/>
          <w:color w:val="000000" w:themeColor="text1"/>
          <w:sz w:val="24"/>
          <w:lang w:val="en-US" w:eastAsia="zh-CN" w:bidi="ar-SA"/>
          <w14:textFill>
            <w14:solidFill>
              <w14:schemeClr w14:val="tx1"/>
            </w14:solidFill>
          </w14:textFill>
        </w:rPr>
        <w:t>，项目运营期</w:t>
      </w:r>
      <w:r>
        <w:rPr>
          <w:rFonts w:ascii="Times New Roman" w:hAnsi="Times New Roman" w:eastAsia="宋体" w:cs="Times New Roman"/>
          <w:color w:val="000000" w:themeColor="text1"/>
          <w:sz w:val="24"/>
          <w:lang w:val="en-US" w:eastAsia="zh-CN" w:bidi="ar-SA"/>
          <w14:textFill>
            <w14:solidFill>
              <w14:schemeClr w14:val="tx1"/>
            </w14:solidFill>
          </w14:textFill>
        </w:rPr>
        <w:t>排气筒达标分析见下表：</w:t>
      </w:r>
    </w:p>
    <w:p w14:paraId="12F0E6FE">
      <w:pPr>
        <w:bidi w:val="0"/>
        <w:spacing w:after="0" w:line="240" w:lineRule="auto"/>
        <w:ind w:left="0" w:firstLine="0" w:firstLineChars="0"/>
        <w:jc w:val="center"/>
        <w:rPr>
          <w:rFonts w:ascii="Times New Roman" w:hAnsi="Times New Roman" w:eastAsia="宋体" w:cs="Times New Roman"/>
          <w:b/>
          <w:color w:val="000000" w:themeColor="text1"/>
          <w:sz w:val="21"/>
          <w:szCs w:val="22"/>
          <w:lang w:val="en-US" w:eastAsia="zh-CN" w:bidi="ar-SA"/>
          <w14:textFill>
            <w14:solidFill>
              <w14:schemeClr w14:val="tx1"/>
            </w14:solidFill>
          </w14:textFill>
        </w:rPr>
      </w:pPr>
      <w:r>
        <w:rPr>
          <w:rFonts w:ascii="Times New Roman" w:hAnsi="Times New Roman" w:eastAsia="宋体" w:cs="Times New Roman"/>
          <w:b/>
          <w:color w:val="000000" w:themeColor="text1"/>
          <w:sz w:val="21"/>
          <w:szCs w:val="22"/>
          <w:lang w:val="en-US" w:eastAsia="zh-CN" w:bidi="ar-SA"/>
          <w14:textFill>
            <w14:solidFill>
              <w14:schemeClr w14:val="tx1"/>
            </w14:solidFill>
          </w14:textFill>
        </w:rPr>
        <w:t>表3.</w:t>
      </w:r>
      <w:r>
        <w:rPr>
          <w:rFonts w:hint="eastAsia" w:ascii="Times New Roman" w:hAnsi="Times New Roman" w:eastAsia="宋体" w:cs="Times New Roman"/>
          <w:b/>
          <w:color w:val="000000" w:themeColor="text1"/>
          <w:sz w:val="21"/>
          <w:szCs w:val="22"/>
          <w:lang w:val="en-US" w:eastAsia="zh-CN" w:bidi="ar-SA"/>
          <w14:textFill>
            <w14:solidFill>
              <w14:schemeClr w14:val="tx1"/>
            </w14:solidFill>
          </w14:textFill>
        </w:rPr>
        <w:t>2</w:t>
      </w:r>
      <w:r>
        <w:rPr>
          <w:rFonts w:ascii="Times New Roman" w:hAnsi="Times New Roman" w:eastAsia="宋体" w:cs="Times New Roman"/>
          <w:b/>
          <w:color w:val="000000" w:themeColor="text1"/>
          <w:sz w:val="21"/>
          <w:szCs w:val="22"/>
          <w:lang w:val="en-US" w:eastAsia="zh-CN" w:bidi="ar-SA"/>
          <w14:textFill>
            <w14:solidFill>
              <w14:schemeClr w14:val="tx1"/>
            </w14:solidFill>
          </w14:textFill>
        </w:rPr>
        <w:t>-</w:t>
      </w:r>
      <w:r>
        <w:rPr>
          <w:rFonts w:hint="eastAsia" w:ascii="Times New Roman" w:hAnsi="Times New Roman" w:eastAsia="宋体" w:cs="Times New Roman"/>
          <w:b/>
          <w:color w:val="000000" w:themeColor="text1"/>
          <w:sz w:val="21"/>
          <w:szCs w:val="22"/>
          <w:lang w:val="en-US" w:eastAsia="zh-CN" w:bidi="ar-SA"/>
          <w14:textFill>
            <w14:solidFill>
              <w14:schemeClr w14:val="tx1"/>
            </w14:solidFill>
          </w14:textFill>
        </w:rPr>
        <w:t>5</w:t>
      </w:r>
      <w:r>
        <w:rPr>
          <w:rFonts w:ascii="Times New Roman" w:hAnsi="Times New Roman" w:eastAsia="宋体" w:cs="Times New Roman"/>
          <w:b/>
          <w:color w:val="000000" w:themeColor="text1"/>
          <w:sz w:val="21"/>
          <w:szCs w:val="22"/>
          <w:lang w:val="en-US" w:eastAsia="zh-CN" w:bidi="ar-SA"/>
          <w14:textFill>
            <w14:solidFill>
              <w14:schemeClr w14:val="tx1"/>
            </w14:solidFill>
          </w14:textFill>
        </w:rPr>
        <w:t xml:space="preserve">  </w:t>
      </w:r>
      <w:r>
        <w:rPr>
          <w:rFonts w:hint="eastAsia" w:ascii="Times New Roman" w:hAnsi="Times New Roman" w:eastAsia="宋体" w:cs="Times New Roman"/>
          <w:b/>
          <w:color w:val="000000" w:themeColor="text1"/>
          <w:sz w:val="21"/>
          <w:szCs w:val="22"/>
          <w:lang w:val="en-US" w:eastAsia="zh-CN" w:bidi="ar-SA"/>
          <w14:textFill>
            <w14:solidFill>
              <w14:schemeClr w14:val="tx1"/>
            </w14:solidFill>
          </w14:textFill>
        </w:rPr>
        <w:t>项目运营期有组织废气</w:t>
      </w:r>
      <w:r>
        <w:rPr>
          <w:rFonts w:ascii="Times New Roman" w:hAnsi="Times New Roman" w:eastAsia="宋体" w:cs="Times New Roman"/>
          <w:b/>
          <w:color w:val="000000" w:themeColor="text1"/>
          <w:sz w:val="21"/>
          <w:szCs w:val="22"/>
          <w:lang w:val="en-US" w:eastAsia="zh-CN" w:bidi="ar-SA"/>
          <w14:textFill>
            <w14:solidFill>
              <w14:schemeClr w14:val="tx1"/>
            </w14:solidFill>
          </w14:textFill>
        </w:rPr>
        <w:t>达标分析</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4"/>
        <w:gridCol w:w="915"/>
        <w:gridCol w:w="1188"/>
        <w:gridCol w:w="1151"/>
        <w:gridCol w:w="1373"/>
        <w:gridCol w:w="1374"/>
        <w:gridCol w:w="765"/>
        <w:gridCol w:w="1250"/>
      </w:tblGrid>
      <w:tr w14:paraId="4C253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pct"/>
            <w:vAlign w:val="center"/>
          </w:tcPr>
          <w:p w14:paraId="06F655A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名称</w:t>
            </w:r>
          </w:p>
        </w:tc>
        <w:tc>
          <w:tcPr>
            <w:tcW w:w="504" w:type="pct"/>
            <w:vAlign w:val="center"/>
          </w:tcPr>
          <w:p w14:paraId="2FFD74F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污染物</w:t>
            </w:r>
          </w:p>
        </w:tc>
        <w:tc>
          <w:tcPr>
            <w:tcW w:w="655" w:type="pct"/>
            <w:vAlign w:val="center"/>
          </w:tcPr>
          <w:p w14:paraId="010A84F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排放浓度（mg/m</w:t>
            </w:r>
            <w:r>
              <w:rPr>
                <w:rFonts w:hint="default" w:ascii="Times New Roman" w:hAnsi="Times New Roman" w:eastAsia="宋体" w:cs="Times New Roman"/>
                <w:b/>
                <w:bCs/>
                <w:color w:val="000000" w:themeColor="text1"/>
                <w:kern w:val="2"/>
                <w:sz w:val="21"/>
                <w:szCs w:val="21"/>
                <w:vertAlign w:val="superscript"/>
                <w:lang w:val="en-US" w:eastAsia="zh-CN" w:bidi="ar-SA"/>
                <w14:textFill>
                  <w14:solidFill>
                    <w14:schemeClr w14:val="tx1"/>
                  </w14:solidFill>
                </w14:textFill>
              </w:rPr>
              <w:t>3</w:t>
            </w: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w:t>
            </w:r>
          </w:p>
        </w:tc>
        <w:tc>
          <w:tcPr>
            <w:tcW w:w="635" w:type="pct"/>
            <w:vAlign w:val="center"/>
          </w:tcPr>
          <w:p w14:paraId="6D1079E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排放速率（kg/h）</w:t>
            </w:r>
          </w:p>
        </w:tc>
        <w:tc>
          <w:tcPr>
            <w:tcW w:w="757" w:type="pct"/>
            <w:vAlign w:val="center"/>
          </w:tcPr>
          <w:p w14:paraId="338E81F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排放浓度限值（mg/m</w:t>
            </w:r>
            <w:r>
              <w:rPr>
                <w:rFonts w:hint="default" w:ascii="Times New Roman" w:hAnsi="Times New Roman" w:eastAsia="宋体" w:cs="Times New Roman"/>
                <w:b/>
                <w:bCs/>
                <w:color w:val="000000" w:themeColor="text1"/>
                <w:kern w:val="2"/>
                <w:sz w:val="21"/>
                <w:szCs w:val="21"/>
                <w:vertAlign w:val="superscript"/>
                <w:lang w:val="en-US" w:eastAsia="zh-CN" w:bidi="ar-SA"/>
                <w14:textFill>
                  <w14:solidFill>
                    <w14:schemeClr w14:val="tx1"/>
                  </w14:solidFill>
                </w14:textFill>
              </w:rPr>
              <w:t>3</w:t>
            </w: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w:t>
            </w:r>
          </w:p>
        </w:tc>
        <w:tc>
          <w:tcPr>
            <w:tcW w:w="758" w:type="pct"/>
            <w:vAlign w:val="center"/>
          </w:tcPr>
          <w:p w14:paraId="0FC9530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排放速率限值（kg/h）</w:t>
            </w:r>
          </w:p>
        </w:tc>
        <w:tc>
          <w:tcPr>
            <w:tcW w:w="422" w:type="pct"/>
            <w:vAlign w:val="center"/>
          </w:tcPr>
          <w:p w14:paraId="22CED9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达标情况</w:t>
            </w:r>
          </w:p>
        </w:tc>
        <w:tc>
          <w:tcPr>
            <w:tcW w:w="689" w:type="pct"/>
            <w:vAlign w:val="center"/>
          </w:tcPr>
          <w:p w14:paraId="27C071C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执行标准</w:t>
            </w:r>
          </w:p>
        </w:tc>
      </w:tr>
      <w:tr w14:paraId="5A19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576" w:type="pct"/>
            <w:vMerge w:val="restart"/>
            <w:vAlign w:val="center"/>
          </w:tcPr>
          <w:p w14:paraId="61572B4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电预热、模压罩光废气</w:t>
            </w:r>
          </w:p>
        </w:tc>
        <w:tc>
          <w:tcPr>
            <w:tcW w:w="504" w:type="pct"/>
            <w:vAlign w:val="center"/>
          </w:tcPr>
          <w:p w14:paraId="7E66BDE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非甲烷总烃</w:t>
            </w:r>
          </w:p>
        </w:tc>
        <w:tc>
          <w:tcPr>
            <w:tcW w:w="655" w:type="pct"/>
            <w:vAlign w:val="center"/>
          </w:tcPr>
          <w:p w14:paraId="7A99205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4.38</w:t>
            </w:r>
          </w:p>
        </w:tc>
        <w:tc>
          <w:tcPr>
            <w:tcW w:w="635" w:type="pct"/>
            <w:vAlign w:val="center"/>
          </w:tcPr>
          <w:p w14:paraId="3BB501D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0.09</w:t>
            </w:r>
          </w:p>
        </w:tc>
        <w:tc>
          <w:tcPr>
            <w:tcW w:w="757" w:type="pct"/>
            <w:vAlign w:val="center"/>
          </w:tcPr>
          <w:p w14:paraId="509984C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1</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w:t>
            </w:r>
          </w:p>
        </w:tc>
        <w:tc>
          <w:tcPr>
            <w:tcW w:w="758" w:type="pct"/>
            <w:vAlign w:val="center"/>
          </w:tcPr>
          <w:p w14:paraId="55CC114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422" w:type="pct"/>
            <w:vAlign w:val="center"/>
          </w:tcPr>
          <w:p w14:paraId="01E91B9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c>
          <w:tcPr>
            <w:tcW w:w="689" w:type="pct"/>
            <w:vMerge w:val="restart"/>
            <w:vAlign w:val="center"/>
          </w:tcPr>
          <w:p w14:paraId="506F653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《合成树脂工业污染物排放标准》（</w:t>
            </w:r>
            <w:r>
              <w:rPr>
                <w:rFonts w:hint="eastAsia" w:cs="Times New Roman"/>
                <w:color w:val="000000" w:themeColor="text1"/>
                <w:kern w:val="2"/>
                <w:sz w:val="21"/>
                <w:szCs w:val="21"/>
                <w:lang w:val="en-US" w:eastAsia="zh-CN" w:bidi="ar-SA"/>
                <w14:textFill>
                  <w14:solidFill>
                    <w14:schemeClr w14:val="tx1"/>
                  </w14:solidFill>
                </w14:textFill>
              </w:rPr>
              <w:t>GB31572-2015，含2024年修改单</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r>
      <w:tr w14:paraId="25F48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6" w:type="pct"/>
            <w:vMerge w:val="continue"/>
            <w:vAlign w:val="center"/>
          </w:tcPr>
          <w:p w14:paraId="2E0E4F6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504" w:type="pct"/>
            <w:vAlign w:val="center"/>
          </w:tcPr>
          <w:p w14:paraId="3F95513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甲醛</w:t>
            </w:r>
          </w:p>
        </w:tc>
        <w:tc>
          <w:tcPr>
            <w:tcW w:w="655" w:type="pct"/>
            <w:vAlign w:val="center"/>
          </w:tcPr>
          <w:p w14:paraId="1CD630F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w:t>
            </w:r>
            <w:r>
              <w:rPr>
                <w:rFonts w:hint="eastAsia" w:cs="Times New Roman"/>
                <w:color w:val="000000" w:themeColor="text1"/>
                <w:kern w:val="2"/>
                <w:sz w:val="21"/>
                <w:szCs w:val="21"/>
                <w:lang w:val="en-US" w:eastAsia="zh-CN" w:bidi="ar-SA"/>
                <w14:textFill>
                  <w14:solidFill>
                    <w14:schemeClr w14:val="tx1"/>
                  </w14:solidFill>
                </w14:textFill>
              </w:rPr>
              <w:t>02</w:t>
            </w:r>
          </w:p>
        </w:tc>
        <w:tc>
          <w:tcPr>
            <w:tcW w:w="635" w:type="pct"/>
            <w:vAlign w:val="center"/>
          </w:tcPr>
          <w:p w14:paraId="3F0A09E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0.0004</w:t>
            </w:r>
          </w:p>
        </w:tc>
        <w:tc>
          <w:tcPr>
            <w:tcW w:w="757" w:type="pct"/>
            <w:vAlign w:val="center"/>
          </w:tcPr>
          <w:p w14:paraId="509F0E3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5</w:t>
            </w:r>
          </w:p>
        </w:tc>
        <w:tc>
          <w:tcPr>
            <w:tcW w:w="758" w:type="pct"/>
            <w:vAlign w:val="center"/>
          </w:tcPr>
          <w:p w14:paraId="291BD5D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422" w:type="pct"/>
            <w:vAlign w:val="center"/>
          </w:tcPr>
          <w:p w14:paraId="5D33206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c>
          <w:tcPr>
            <w:tcW w:w="689" w:type="pct"/>
            <w:vMerge w:val="continue"/>
            <w:vAlign w:val="center"/>
          </w:tcPr>
          <w:p w14:paraId="6CECCF4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r>
      <w:tr w14:paraId="24BDF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6" w:type="pct"/>
            <w:shd w:val="clear" w:color="auto" w:fill="auto"/>
            <w:vAlign w:val="center"/>
          </w:tcPr>
          <w:p w14:paraId="2D348F4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称量打磨</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废气</w:t>
            </w:r>
          </w:p>
        </w:tc>
        <w:tc>
          <w:tcPr>
            <w:tcW w:w="504" w:type="pct"/>
            <w:shd w:val="clear" w:color="auto" w:fill="auto"/>
            <w:vAlign w:val="center"/>
          </w:tcPr>
          <w:p w14:paraId="2FFAD7F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颗粒物</w:t>
            </w:r>
          </w:p>
        </w:tc>
        <w:tc>
          <w:tcPr>
            <w:tcW w:w="655" w:type="pct"/>
            <w:shd w:val="clear" w:color="auto" w:fill="auto"/>
            <w:vAlign w:val="center"/>
          </w:tcPr>
          <w:p w14:paraId="5F24ACD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1.75</w:t>
            </w:r>
          </w:p>
        </w:tc>
        <w:tc>
          <w:tcPr>
            <w:tcW w:w="635" w:type="pct"/>
            <w:shd w:val="clear" w:color="auto" w:fill="auto"/>
            <w:vAlign w:val="center"/>
          </w:tcPr>
          <w:p w14:paraId="583E444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0.0</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w:t>
            </w:r>
          </w:p>
        </w:tc>
        <w:tc>
          <w:tcPr>
            <w:tcW w:w="757" w:type="pct"/>
            <w:shd w:val="clear" w:color="auto" w:fill="auto"/>
            <w:vAlign w:val="center"/>
          </w:tcPr>
          <w:p w14:paraId="1544CFE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30</w:t>
            </w:r>
          </w:p>
        </w:tc>
        <w:tc>
          <w:tcPr>
            <w:tcW w:w="758" w:type="pct"/>
            <w:shd w:val="clear" w:color="auto" w:fill="auto"/>
            <w:vAlign w:val="center"/>
          </w:tcPr>
          <w:p w14:paraId="43F2A2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w:t>
            </w:r>
          </w:p>
        </w:tc>
        <w:tc>
          <w:tcPr>
            <w:tcW w:w="422" w:type="pct"/>
            <w:shd w:val="clear" w:color="auto" w:fill="auto"/>
            <w:vAlign w:val="center"/>
          </w:tcPr>
          <w:p w14:paraId="0252BB9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达标</w:t>
            </w:r>
          </w:p>
        </w:tc>
        <w:tc>
          <w:tcPr>
            <w:tcW w:w="689" w:type="pct"/>
            <w:vMerge w:val="continue"/>
            <w:vAlign w:val="center"/>
          </w:tcPr>
          <w:p w14:paraId="7431B49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r>
    </w:tbl>
    <w:p w14:paraId="41ED0B13">
      <w:p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通过以上分析，</w:t>
      </w:r>
      <w:r>
        <w:rPr>
          <w:rFonts w:hint="eastAsia" w:ascii="Times New Roman" w:hAnsi="Times New Roman" w:eastAsia="宋体" w:cs="Times New Roman"/>
          <w:color w:val="000000" w:themeColor="text1"/>
          <w:sz w:val="24"/>
          <w:lang w:val="en-US" w:eastAsia="zh-CN"/>
          <w14:textFill>
            <w14:solidFill>
              <w14:schemeClr w14:val="tx1"/>
            </w14:solidFill>
          </w14:textFill>
        </w:rPr>
        <w:t>该项目电预热、模压成型、罩光废气通过引风机（风机风量</w:t>
      </w:r>
      <w:r>
        <w:rPr>
          <w:rFonts w:hint="eastAsia" w:cs="Times New Roman"/>
          <w:color w:val="000000" w:themeColor="text1"/>
          <w:sz w:val="24"/>
          <w:lang w:val="en-US" w:eastAsia="zh-CN"/>
          <w14:textFill>
            <w14:solidFill>
              <w14:schemeClr w14:val="tx1"/>
            </w14:solidFill>
          </w14:textFill>
        </w:rPr>
        <w:t>20</w:t>
      </w:r>
      <w:r>
        <w:rPr>
          <w:rFonts w:hint="eastAsia" w:ascii="Times New Roman" w:hAnsi="Times New Roman" w:eastAsia="宋体" w:cs="Times New Roman"/>
          <w:color w:val="000000" w:themeColor="text1"/>
          <w:sz w:val="24"/>
          <w:lang w:val="en-US" w:eastAsia="zh-CN"/>
          <w14:textFill>
            <w14:solidFill>
              <w14:schemeClr w14:val="tx1"/>
            </w14:solidFill>
          </w14:textFill>
        </w:rPr>
        <w:t>000m</w:t>
      </w:r>
      <w:r>
        <w:rPr>
          <w:rFonts w:hint="eastAsia" w:ascii="Times New Roman" w:hAnsi="Times New Roman" w:eastAsia="宋体" w:cs="Times New Roman"/>
          <w:color w:val="000000" w:themeColor="text1"/>
          <w:sz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lang w:val="en-US" w:eastAsia="zh-CN"/>
          <w14:textFill>
            <w14:solidFill>
              <w14:schemeClr w14:val="tx1"/>
            </w14:solidFill>
          </w14:textFill>
        </w:rPr>
        <w:t>/h）+集气罩（收集效率90%）+</w:t>
      </w:r>
      <w:r>
        <w:rPr>
          <w:rFonts w:hint="eastAsia" w:cs="Times New Roman"/>
          <w:color w:val="000000" w:themeColor="text1"/>
          <w:sz w:val="24"/>
          <w:lang w:val="en-US" w:eastAsia="zh-CN"/>
          <w14:textFill>
            <w14:solidFill>
              <w14:schemeClr w14:val="tx1"/>
            </w14:solidFill>
          </w14:textFill>
        </w:rPr>
        <w:t>活性炭吸附/脱附+催化燃烧</w:t>
      </w:r>
      <w:r>
        <w:rPr>
          <w:rFonts w:hint="eastAsia" w:ascii="Times New Roman" w:hAnsi="Times New Roman" w:eastAsia="宋体" w:cs="Times New Roman"/>
          <w:color w:val="000000" w:themeColor="text1"/>
          <w:sz w:val="24"/>
          <w:lang w:val="en-US" w:eastAsia="zh-CN"/>
          <w14:textFill>
            <w14:solidFill>
              <w14:schemeClr w14:val="tx1"/>
            </w14:solidFill>
          </w14:textFill>
        </w:rPr>
        <w:t>处理后通过15m高排气筒（DA001）外排。电预热、模压成型、罩光废气中的非甲烷总烃与甲醛满足</w:t>
      </w:r>
      <w:r>
        <w:rPr>
          <w:rFonts w:hint="default" w:ascii="Times New Roman" w:hAnsi="Times New Roman" w:eastAsia="宋体" w:cs="Times New Roman"/>
          <w:color w:val="000000" w:themeColor="text1"/>
          <w:sz w:val="24"/>
          <w:lang w:val="en-US" w:eastAsia="zh-CN"/>
          <w14:textFill>
            <w14:solidFill>
              <w14:schemeClr w14:val="tx1"/>
            </w14:solidFill>
          </w14:textFill>
        </w:rPr>
        <w:t>《合成树脂工业污染物排放标准》（</w:t>
      </w:r>
      <w:r>
        <w:rPr>
          <w:rFonts w:hint="eastAsia" w:cs="Times New Roman"/>
          <w:color w:val="000000" w:themeColor="text1"/>
          <w:sz w:val="24"/>
          <w:lang w:val="en-US" w:eastAsia="zh-CN"/>
          <w14:textFill>
            <w14:solidFill>
              <w14:schemeClr w14:val="tx1"/>
            </w14:solidFill>
          </w14:textFill>
        </w:rPr>
        <w:t>GB31572-2015，含2024年修改单</w:t>
      </w:r>
      <w:r>
        <w:rPr>
          <w:rFonts w:hint="default" w:ascii="Times New Roman" w:hAnsi="Times New Roman" w:eastAsia="宋体" w:cs="Times New Roman"/>
          <w:color w:val="000000" w:themeColor="text1"/>
          <w:sz w:val="24"/>
          <w:lang w:val="en-US" w:eastAsia="zh-CN"/>
          <w14:textFill>
            <w14:solidFill>
              <w14:schemeClr w14:val="tx1"/>
            </w14:solidFill>
          </w14:textFill>
        </w:rPr>
        <w:t>）表4 大气污染物排放限值要求，即</w:t>
      </w:r>
      <w:r>
        <w:rPr>
          <w:rFonts w:hint="eastAsia" w:ascii="Times New Roman" w:hAnsi="Times New Roman" w:eastAsia="宋体" w:cs="Times New Roman"/>
          <w:color w:val="000000" w:themeColor="text1"/>
          <w:sz w:val="24"/>
          <w:lang w:val="en-US" w:eastAsia="zh-CN"/>
          <w14:textFill>
            <w14:solidFill>
              <w14:schemeClr w14:val="tx1"/>
            </w14:solidFill>
          </w14:textFill>
        </w:rPr>
        <w:t>非甲烷总烃</w:t>
      </w:r>
      <w:r>
        <w:rPr>
          <w:rFonts w:hint="default" w:ascii="Times New Roman" w:hAnsi="Times New Roman" w:eastAsia="宋体" w:cs="Times New Roman"/>
          <w:color w:val="000000" w:themeColor="text1"/>
          <w:sz w:val="24"/>
          <w:lang w:val="en-US" w:eastAsia="zh-CN"/>
          <w14:textFill>
            <w14:solidFill>
              <w14:schemeClr w14:val="tx1"/>
            </w14:solidFill>
          </w14:textFill>
        </w:rPr>
        <w:t>排放浓度≤</w:t>
      </w:r>
      <w:r>
        <w:rPr>
          <w:rFonts w:hint="eastAsia" w:ascii="Times New Roman" w:hAnsi="Times New Roman" w:eastAsia="宋体" w:cs="Times New Roman"/>
          <w:color w:val="000000" w:themeColor="text1"/>
          <w:sz w:val="24"/>
          <w:lang w:val="en-US" w:eastAsia="zh-CN"/>
          <w14:textFill>
            <w14:solidFill>
              <w14:schemeClr w14:val="tx1"/>
            </w14:solidFill>
          </w14:textFill>
        </w:rPr>
        <w:t>100</w:t>
      </w:r>
      <w:r>
        <w:rPr>
          <w:rFonts w:hint="default" w:ascii="Times New Roman" w:hAnsi="Times New Roman" w:eastAsia="宋体" w:cs="Times New Roman"/>
          <w:color w:val="000000" w:themeColor="text1"/>
          <w:sz w:val="24"/>
          <w:lang w:val="en-US" w:eastAsia="zh-CN"/>
          <w14:textFill>
            <w14:solidFill>
              <w14:schemeClr w14:val="tx1"/>
            </w14:solidFill>
          </w14:textFill>
        </w:rPr>
        <w:t>mg/m</w:t>
      </w:r>
      <w:r>
        <w:rPr>
          <w:rFonts w:hint="default" w:ascii="Times New Roman" w:hAnsi="Times New Roman" w:eastAsia="宋体" w:cs="Times New Roman"/>
          <w:color w:val="000000" w:themeColor="text1"/>
          <w:sz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lang w:val="en-US" w:eastAsia="zh-CN"/>
          <w14:textFill>
            <w14:solidFill>
              <w14:schemeClr w14:val="tx1"/>
            </w14:solidFill>
          </w14:textFill>
        </w:rPr>
        <w:t>、甲醛排放浓度≤5mg/m</w:t>
      </w:r>
      <w:r>
        <w:rPr>
          <w:rFonts w:hint="default" w:ascii="Times New Roman" w:hAnsi="Times New Roman" w:eastAsia="宋体" w:cs="Times New Roman"/>
          <w:color w:val="000000" w:themeColor="text1"/>
          <w:sz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lang w:val="en-US" w:eastAsia="zh-CN"/>
          <w14:textFill>
            <w14:solidFill>
              <w14:schemeClr w14:val="tx1"/>
            </w14:solidFill>
          </w14:textFill>
        </w:rPr>
        <w:t>。称量打磨废气通过引风机（风机风量</w:t>
      </w:r>
      <w:r>
        <w:rPr>
          <w:rFonts w:hint="eastAsia" w:cs="Times New Roman"/>
          <w:color w:val="000000" w:themeColor="text1"/>
          <w:sz w:val="24"/>
          <w:lang w:val="en-US" w:eastAsia="zh-CN"/>
          <w14:textFill>
            <w14:solidFill>
              <w14:schemeClr w14:val="tx1"/>
            </w14:solidFill>
          </w14:textFill>
        </w:rPr>
        <w:t>7</w:t>
      </w:r>
      <w:r>
        <w:rPr>
          <w:rFonts w:hint="default" w:ascii="Times New Roman" w:hAnsi="Times New Roman" w:eastAsia="宋体" w:cs="Times New Roman"/>
          <w:color w:val="000000" w:themeColor="text1"/>
          <w:sz w:val="24"/>
          <w:lang w:val="en-US" w:eastAsia="zh-CN"/>
          <w14:textFill>
            <w14:solidFill>
              <w14:schemeClr w14:val="tx1"/>
            </w14:solidFill>
          </w14:textFill>
        </w:rPr>
        <w:t>000m</w:t>
      </w:r>
      <w:r>
        <w:rPr>
          <w:rFonts w:hint="default" w:ascii="Times New Roman" w:hAnsi="Times New Roman" w:eastAsia="宋体" w:cs="Times New Roman"/>
          <w:color w:val="000000" w:themeColor="text1"/>
          <w:sz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lang w:val="en-US" w:eastAsia="zh-CN"/>
          <w14:textFill>
            <w14:solidFill>
              <w14:schemeClr w14:val="tx1"/>
            </w14:solidFill>
          </w14:textFill>
        </w:rPr>
        <w:t>/h）+集气罩（收集效率85%）+布袋除尘器处理后通过15m高排气筒（DA002）外排</w:t>
      </w:r>
      <w:r>
        <w:rPr>
          <w:rFonts w:hint="eastAsia" w:ascii="Times New Roman" w:hAnsi="Times New Roman" w:eastAsia="宋体" w:cs="Times New Roman"/>
          <w:color w:val="000000" w:themeColor="text1"/>
          <w:sz w:val="24"/>
          <w:lang w:val="en-US" w:eastAsia="zh-CN"/>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称量打磨废气</w:t>
      </w:r>
      <w:r>
        <w:rPr>
          <w:rFonts w:hint="eastAsia" w:ascii="Calibri" w:hAnsi="Times New Roman" w:eastAsia="宋体" w:cs="Times New Roman"/>
          <w:color w:val="000000" w:themeColor="text1"/>
          <w:sz w:val="24"/>
          <w:lang w:val="en-US" w:eastAsia="zh-CN"/>
          <w14:textFill>
            <w14:solidFill>
              <w14:schemeClr w14:val="tx1"/>
            </w14:solidFill>
          </w14:textFill>
        </w:rPr>
        <w:t>中</w:t>
      </w:r>
      <w:r>
        <w:rPr>
          <w:rFonts w:hint="default" w:ascii="Times New Roman" w:hAnsi="Times New Roman" w:eastAsia="宋体" w:cs="Times New Roman"/>
          <w:color w:val="000000" w:themeColor="text1"/>
          <w:sz w:val="24"/>
          <w:lang w:val="en-US" w:eastAsia="zh-CN"/>
          <w14:textFill>
            <w14:solidFill>
              <w14:schemeClr w14:val="tx1"/>
            </w14:solidFill>
          </w14:textFill>
        </w:rPr>
        <w:t>颗粒物满足《合成树脂工业污染物排放标准》（</w:t>
      </w:r>
      <w:r>
        <w:rPr>
          <w:rFonts w:hint="eastAsia" w:cs="Times New Roman"/>
          <w:color w:val="000000" w:themeColor="text1"/>
          <w:sz w:val="24"/>
          <w:lang w:val="en-US" w:eastAsia="zh-CN"/>
          <w14:textFill>
            <w14:solidFill>
              <w14:schemeClr w14:val="tx1"/>
            </w14:solidFill>
          </w14:textFill>
        </w:rPr>
        <w:t>GB31572-2015，含2024年修改单</w:t>
      </w:r>
      <w:r>
        <w:rPr>
          <w:rFonts w:hint="default" w:ascii="Times New Roman" w:hAnsi="Times New Roman" w:eastAsia="宋体" w:cs="Times New Roman"/>
          <w:color w:val="000000" w:themeColor="text1"/>
          <w:sz w:val="24"/>
          <w:lang w:val="en-US" w:eastAsia="zh-CN"/>
          <w14:textFill>
            <w14:solidFill>
              <w14:schemeClr w14:val="tx1"/>
            </w14:solidFill>
          </w14:textFill>
        </w:rPr>
        <w:t>）表4 大气污染物排放限值要求，即</w:t>
      </w:r>
      <w:r>
        <w:rPr>
          <w:rFonts w:hint="eastAsia" w:cs="Times New Roman"/>
          <w:color w:val="000000" w:themeColor="text1"/>
          <w:sz w:val="24"/>
          <w:lang w:val="en-US" w:eastAsia="zh-CN"/>
          <w14:textFill>
            <w14:solidFill>
              <w14:schemeClr w14:val="tx1"/>
            </w14:solidFill>
          </w14:textFill>
        </w:rPr>
        <w:t>颗粒物</w:t>
      </w:r>
      <w:r>
        <w:rPr>
          <w:rFonts w:hint="default" w:ascii="Times New Roman" w:hAnsi="Times New Roman" w:eastAsia="宋体" w:cs="Times New Roman"/>
          <w:color w:val="000000" w:themeColor="text1"/>
          <w:sz w:val="24"/>
          <w:lang w:val="en-US" w:eastAsia="zh-CN"/>
          <w14:textFill>
            <w14:solidFill>
              <w14:schemeClr w14:val="tx1"/>
            </w14:solidFill>
          </w14:textFill>
        </w:rPr>
        <w:t>排放浓度≤</w:t>
      </w:r>
      <w:r>
        <w:rPr>
          <w:rFonts w:hint="eastAsia" w:cs="Times New Roman"/>
          <w:color w:val="000000" w:themeColor="text1"/>
          <w:sz w:val="24"/>
          <w:lang w:val="en-US" w:eastAsia="zh-CN"/>
          <w14:textFill>
            <w14:solidFill>
              <w14:schemeClr w14:val="tx1"/>
            </w14:solidFill>
          </w14:textFill>
        </w:rPr>
        <w:t>30</w:t>
      </w:r>
      <w:r>
        <w:rPr>
          <w:rFonts w:hint="default" w:ascii="Times New Roman" w:hAnsi="Times New Roman" w:eastAsia="宋体" w:cs="Times New Roman"/>
          <w:color w:val="000000" w:themeColor="text1"/>
          <w:sz w:val="24"/>
          <w:lang w:val="en-US" w:eastAsia="zh-CN"/>
          <w14:textFill>
            <w14:solidFill>
              <w14:schemeClr w14:val="tx1"/>
            </w14:solidFill>
          </w14:textFill>
        </w:rPr>
        <w:t>mg/m</w:t>
      </w:r>
      <w:r>
        <w:rPr>
          <w:rFonts w:hint="default" w:ascii="Times New Roman" w:hAnsi="Times New Roman" w:eastAsia="宋体" w:cs="Times New Roman"/>
          <w:color w:val="000000" w:themeColor="text1"/>
          <w:sz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lang w:val="en-US" w:eastAsia="zh-CN"/>
          <w14:textFill>
            <w14:solidFill>
              <w14:schemeClr w14:val="tx1"/>
            </w14:solidFill>
          </w14:textFill>
        </w:rPr>
        <w:t>。</w:t>
      </w:r>
    </w:p>
    <w:p w14:paraId="7B1C9BED">
      <w:pPr>
        <w:bidi w:val="0"/>
        <w:spacing w:line="360" w:lineRule="auto"/>
        <w:ind w:firstLine="482" w:firstLineChars="200"/>
        <w:rPr>
          <w:rFonts w:hint="default" w:ascii="Times New Roman" w:hAnsi="Times New Roman" w:eastAsia="宋体" w:cs="Times New Roman"/>
          <w:b/>
          <w:bCs/>
          <w:color w:val="000000" w:themeColor="text1"/>
          <w:sz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lang w:val="en-US" w:eastAsia="zh-CN"/>
          <w14:textFill>
            <w14:solidFill>
              <w14:schemeClr w14:val="tx1"/>
            </w14:solidFill>
          </w14:textFill>
        </w:rPr>
        <w:t>4、排气筒高度合理性分析</w:t>
      </w:r>
    </w:p>
    <w:p w14:paraId="0AC44D2B">
      <w:pPr>
        <w:bidi w:val="0"/>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根据项目生产工艺特点，并结合项目规模，经济技术可行性，本项目电预热、模压成型、罩光废气处理后通过1根15m高排气筒（DA001）排放。根据计算本项目排气筒DA001非甲烷总烃与甲醛排放浓度满足《合成树脂工业污染物排放标准》（</w:t>
      </w:r>
      <w:r>
        <w:rPr>
          <w:rFonts w:hint="eastAsia" w:cs="Times New Roman"/>
          <w:color w:val="000000" w:themeColor="text1"/>
          <w:sz w:val="24"/>
          <w:lang w:val="en-US" w:eastAsia="zh-CN"/>
          <w14:textFill>
            <w14:solidFill>
              <w14:schemeClr w14:val="tx1"/>
            </w14:solidFill>
          </w14:textFill>
        </w:rPr>
        <w:t>GB31572-2015，含2024年修改单</w:t>
      </w:r>
      <w:r>
        <w:rPr>
          <w:rFonts w:hint="eastAsia" w:ascii="Times New Roman" w:hAnsi="Times New Roman" w:eastAsia="宋体" w:cs="Times New Roman"/>
          <w:color w:val="000000" w:themeColor="text1"/>
          <w:sz w:val="24"/>
          <w:lang w:val="en-US" w:eastAsia="zh-CN"/>
          <w14:textFill>
            <w14:solidFill>
              <w14:schemeClr w14:val="tx1"/>
            </w14:solidFill>
          </w14:textFill>
        </w:rPr>
        <w:t>）表4 大气污染物排放限值要求。</w:t>
      </w:r>
    </w:p>
    <w:p w14:paraId="0F857D0C">
      <w:pPr>
        <w:bidi w:val="0"/>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本项目称量打磨废气处理后通过1根15m高排气筒（DA002）排放，根据计算本项目排气筒DA002颗粒物排放浓度与排放速率均满足《合成树脂工业污染物排放标准》（</w:t>
      </w:r>
      <w:r>
        <w:rPr>
          <w:rFonts w:hint="eastAsia" w:cs="Times New Roman"/>
          <w:color w:val="000000" w:themeColor="text1"/>
          <w:sz w:val="24"/>
          <w:lang w:val="en-US" w:eastAsia="zh-CN"/>
          <w14:textFill>
            <w14:solidFill>
              <w14:schemeClr w14:val="tx1"/>
            </w14:solidFill>
          </w14:textFill>
        </w:rPr>
        <w:t>GB31572-2015，含2024年修改单</w:t>
      </w:r>
      <w:r>
        <w:rPr>
          <w:rFonts w:hint="eastAsia" w:ascii="Times New Roman" w:hAnsi="Times New Roman" w:eastAsia="宋体" w:cs="Times New Roman"/>
          <w:color w:val="000000" w:themeColor="text1"/>
          <w:sz w:val="24"/>
          <w:lang w:val="en-US" w:eastAsia="zh-CN"/>
          <w14:textFill>
            <w14:solidFill>
              <w14:schemeClr w14:val="tx1"/>
            </w14:solidFill>
          </w14:textFill>
        </w:rPr>
        <w:t>）表4 大气污染物排放限值要求</w:t>
      </w:r>
      <w:r>
        <w:rPr>
          <w:rFonts w:hint="eastAsia" w:cs="Times New Roman"/>
          <w:color w:val="000000" w:themeColor="text1"/>
          <w:sz w:val="24"/>
          <w:lang w:val="en-US" w:eastAsia="zh-CN"/>
          <w14:textFill>
            <w14:solidFill>
              <w14:schemeClr w14:val="tx1"/>
            </w14:solidFill>
          </w14:textFill>
        </w:rPr>
        <w:t>，项目排气筒高度合理性分析见下表</w:t>
      </w:r>
      <w:r>
        <w:rPr>
          <w:rFonts w:hint="eastAsia" w:ascii="Times New Roman" w:hAnsi="Times New Roman" w:eastAsia="宋体" w:cs="Times New Roman"/>
          <w:color w:val="000000" w:themeColor="text1"/>
          <w:sz w:val="24"/>
          <w:lang w:val="en-US" w:eastAsia="zh-CN"/>
          <w14:textFill>
            <w14:solidFill>
              <w14:schemeClr w14:val="tx1"/>
            </w14:solidFill>
          </w14:textFill>
        </w:rPr>
        <w:t>。</w:t>
      </w:r>
    </w:p>
    <w:p w14:paraId="30538798">
      <w:pPr>
        <w:widowControl/>
        <w:jc w:val="center"/>
        <w:rPr>
          <w:rFonts w:hint="default" w:ascii="Times New Roman" w:hAnsi="Times New Roman" w:eastAsia="宋体" w:cs="Times New Roman"/>
          <w:b/>
          <w:bCs/>
          <w:color w:val="000000" w:themeColor="text1"/>
          <w:kern w:val="0"/>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表</w:t>
      </w:r>
      <w:r>
        <w:rPr>
          <w:rFonts w:hint="eastAsia" w:cs="Times New Roman"/>
          <w:b/>
          <w:bCs/>
          <w:color w:val="000000" w:themeColor="text1"/>
          <w:szCs w:val="21"/>
          <w:highlight w:val="none"/>
          <w:lang w:val="en-US" w:eastAsia="zh-CN"/>
          <w14:textFill>
            <w14:solidFill>
              <w14:schemeClr w14:val="tx1"/>
            </w14:solidFill>
          </w14:textFill>
        </w:rPr>
        <w:t>3.2-6</w:t>
      </w:r>
      <w:r>
        <w:rPr>
          <w:rFonts w:hint="default" w:ascii="Times New Roman" w:hAnsi="Times New Roman" w:eastAsia="宋体" w:cs="Times New Roman"/>
          <w:b/>
          <w:bCs/>
          <w:color w:val="000000" w:themeColor="text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Cs w:val="21"/>
          <w:highlight w:val="none"/>
          <w14:textFill>
            <w14:solidFill>
              <w14:schemeClr w14:val="tx1"/>
            </w14:solidFill>
          </w14:textFill>
        </w:rPr>
        <w:t xml:space="preserve"> 项目排气筒</w:t>
      </w:r>
      <w:r>
        <w:rPr>
          <w:rFonts w:hint="eastAsia" w:ascii="Times New Roman" w:hAnsi="Times New Roman" w:cs="Times New Roman"/>
          <w:b/>
          <w:bCs/>
          <w:color w:val="000000" w:themeColor="text1"/>
          <w:szCs w:val="21"/>
          <w:highlight w:val="none"/>
          <w:lang w:val="en-US" w:eastAsia="zh-CN"/>
          <w14:textFill>
            <w14:solidFill>
              <w14:schemeClr w14:val="tx1"/>
            </w14:solidFill>
          </w14:textFill>
        </w:rPr>
        <w:t>高度合理性</w:t>
      </w:r>
      <w:r>
        <w:rPr>
          <w:rFonts w:hint="default" w:ascii="Times New Roman" w:hAnsi="Times New Roman" w:eastAsia="宋体" w:cs="Times New Roman"/>
          <w:b/>
          <w:bCs/>
          <w:color w:val="000000" w:themeColor="text1"/>
          <w:kern w:val="0"/>
          <w:szCs w:val="21"/>
          <w:highlight w:val="none"/>
          <w14:textFill>
            <w14:solidFill>
              <w14:schemeClr w14:val="tx1"/>
            </w14:solidFill>
          </w14:textFill>
        </w:rPr>
        <w:t>一览表</w:t>
      </w:r>
    </w:p>
    <w:tbl>
      <w:tblPr>
        <w:tblStyle w:val="3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7"/>
        <w:gridCol w:w="937"/>
        <w:gridCol w:w="1172"/>
        <w:gridCol w:w="1943"/>
        <w:gridCol w:w="2548"/>
        <w:gridCol w:w="1518"/>
      </w:tblGrid>
      <w:tr w14:paraId="4B98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517" w:type="pct"/>
            <w:noWrap w:val="0"/>
            <w:vAlign w:val="center"/>
          </w:tcPr>
          <w:p w14:paraId="7C21CC6D">
            <w:pPr>
              <w:keepNext w:val="0"/>
              <w:keepLines w:val="0"/>
              <w:pageBreakBefore w:val="0"/>
              <w:kinsoku/>
              <w:wordWrap/>
              <w:overflowPunct/>
              <w:topLinePunct w:val="0"/>
              <w:autoSpaceDE/>
              <w:autoSpaceDN/>
              <w:bidi w:val="0"/>
              <w:ind w:left="0" w:leftChars="0" w:right="0" w:rightChars="0"/>
              <w:jc w:val="cente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排气筒编号</w:t>
            </w:r>
          </w:p>
        </w:tc>
        <w:tc>
          <w:tcPr>
            <w:tcW w:w="517" w:type="pct"/>
            <w:noWrap w:val="0"/>
            <w:vAlign w:val="center"/>
          </w:tcPr>
          <w:p w14:paraId="58B28E6B">
            <w:pPr>
              <w:keepNext w:val="0"/>
              <w:keepLines w:val="0"/>
              <w:pageBreakBefore w:val="0"/>
              <w:kinsoku/>
              <w:wordWrap/>
              <w:overflowPunct/>
              <w:topLinePunct w:val="0"/>
              <w:autoSpaceDE/>
              <w:autoSpaceDN/>
              <w:bidi w:val="0"/>
              <w:ind w:left="0" w:leftChars="0" w:right="0" w:rightChars="0"/>
              <w:jc w:val="cente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排气筒高度</w:t>
            </w:r>
          </w:p>
        </w:tc>
        <w:tc>
          <w:tcPr>
            <w:tcW w:w="647" w:type="pct"/>
            <w:noWrap w:val="0"/>
            <w:vAlign w:val="center"/>
          </w:tcPr>
          <w:p w14:paraId="0A2476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baseline"/>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排气筒出口内径</w:t>
            </w:r>
          </w:p>
        </w:tc>
        <w:tc>
          <w:tcPr>
            <w:tcW w:w="1072" w:type="pct"/>
            <w:noWrap w:val="0"/>
            <w:vAlign w:val="center"/>
          </w:tcPr>
          <w:p w14:paraId="3184B883">
            <w:pPr>
              <w:keepNext w:val="0"/>
              <w:keepLines w:val="0"/>
              <w:pageBreakBefore w:val="0"/>
              <w:kinsoku/>
              <w:wordWrap/>
              <w:overflowPunct/>
              <w:topLinePunct w:val="0"/>
              <w:autoSpaceDE/>
              <w:autoSpaceDN/>
              <w:bidi w:val="0"/>
              <w:ind w:left="0" w:leftChars="0" w:right="0" w:rightChars="0"/>
              <w:jc w:val="cente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执行标准</w:t>
            </w:r>
          </w:p>
        </w:tc>
        <w:tc>
          <w:tcPr>
            <w:tcW w:w="1406" w:type="pct"/>
            <w:noWrap w:val="0"/>
            <w:vAlign w:val="center"/>
          </w:tcPr>
          <w:p w14:paraId="5D4BC3DC">
            <w:pPr>
              <w:keepNext w:val="0"/>
              <w:keepLines w:val="0"/>
              <w:pageBreakBefore w:val="0"/>
              <w:kinsoku/>
              <w:wordWrap/>
              <w:overflowPunct/>
              <w:topLinePunct w:val="0"/>
              <w:autoSpaceDE/>
              <w:autoSpaceDN/>
              <w:bidi w:val="0"/>
              <w:ind w:left="0" w:leftChars="0" w:right="0" w:rightChars="0"/>
              <w:jc w:val="cente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标准要求</w:t>
            </w:r>
          </w:p>
        </w:tc>
        <w:tc>
          <w:tcPr>
            <w:tcW w:w="838" w:type="pct"/>
            <w:noWrap w:val="0"/>
            <w:vAlign w:val="center"/>
          </w:tcPr>
          <w:p w14:paraId="418A48E7">
            <w:pPr>
              <w:keepNext w:val="0"/>
              <w:keepLines w:val="0"/>
              <w:pageBreakBefore w:val="0"/>
              <w:kinsoku/>
              <w:wordWrap/>
              <w:overflowPunct/>
              <w:topLinePunct w:val="0"/>
              <w:autoSpaceDE/>
              <w:autoSpaceDN/>
              <w:bidi w:val="0"/>
              <w:ind w:left="0" w:leftChars="0" w:right="0" w:rightChars="0"/>
              <w:jc w:val="cente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是否合理</w:t>
            </w:r>
          </w:p>
        </w:tc>
      </w:tr>
      <w:tr w14:paraId="4FF5A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517" w:type="pct"/>
            <w:noWrap w:val="0"/>
            <w:vAlign w:val="center"/>
          </w:tcPr>
          <w:p w14:paraId="0919B163">
            <w:pPr>
              <w:keepNext w:val="0"/>
              <w:keepLines w:val="0"/>
              <w:pageBreakBefore w:val="0"/>
              <w:kinsoku/>
              <w:wordWrap/>
              <w:overflowPunct/>
              <w:topLinePunct w:val="0"/>
              <w:autoSpaceDE/>
              <w:autoSpaceDN/>
              <w:bidi w:val="0"/>
              <w:ind w:left="0" w:leftChars="0" w:right="0" w:rightChars="0"/>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DA001</w:t>
            </w:r>
          </w:p>
        </w:tc>
        <w:tc>
          <w:tcPr>
            <w:tcW w:w="517" w:type="pct"/>
            <w:noWrap w:val="0"/>
            <w:vAlign w:val="center"/>
          </w:tcPr>
          <w:p w14:paraId="596DCEC7">
            <w:pPr>
              <w:keepNext w:val="0"/>
              <w:keepLines w:val="0"/>
              <w:pageBreakBefore w:val="0"/>
              <w:kinsoku/>
              <w:wordWrap/>
              <w:overflowPunct/>
              <w:topLinePunct w:val="0"/>
              <w:autoSpaceDE/>
              <w:autoSpaceDN/>
              <w:bidi w:val="0"/>
              <w:ind w:left="0" w:leftChars="0" w:right="0" w:right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15</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m</w:t>
            </w:r>
          </w:p>
        </w:tc>
        <w:tc>
          <w:tcPr>
            <w:tcW w:w="647" w:type="pct"/>
            <w:noWrap w:val="0"/>
            <w:vAlign w:val="center"/>
          </w:tcPr>
          <w:p w14:paraId="64C2518B">
            <w:pPr>
              <w:keepNext w:val="0"/>
              <w:keepLines w:val="0"/>
              <w:pageBreakBefore w:val="0"/>
              <w:kinsoku/>
              <w:wordWrap/>
              <w:overflowPunct/>
              <w:topLinePunct w:val="0"/>
              <w:autoSpaceDE/>
              <w:autoSpaceDN/>
              <w:bidi w:val="0"/>
              <w:adjustRightInd w:val="0"/>
              <w:snapToGrid w:val="0"/>
              <w:ind w:left="0" w:leftChars="0" w:right="0" w:rightChars="0"/>
              <w:jc w:val="center"/>
              <w:rPr>
                <w:rFonts w:hint="default" w:ascii="Times New Roman" w:hAnsi="Times New Roman" w:eastAsia="宋体" w:cs="Times New Roman"/>
                <w:bCs/>
                <w:color w:val="000000" w:themeColor="text1"/>
                <w:spacing w:val="-10"/>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pacing w:val="-10"/>
                <w:sz w:val="21"/>
                <w:szCs w:val="21"/>
                <w:highlight w:val="none"/>
                <w:lang w:val="en-US" w:eastAsia="zh-CN"/>
                <w14:textFill>
                  <w14:solidFill>
                    <w14:schemeClr w14:val="tx1"/>
                  </w14:solidFill>
                </w14:textFill>
              </w:rPr>
              <w:t>0.</w:t>
            </w:r>
            <w:r>
              <w:rPr>
                <w:rFonts w:hint="eastAsia" w:cs="Times New Roman"/>
                <w:bCs/>
                <w:color w:val="000000" w:themeColor="text1"/>
                <w:spacing w:val="-10"/>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m</w:t>
            </w:r>
          </w:p>
        </w:tc>
        <w:tc>
          <w:tcPr>
            <w:tcW w:w="1072" w:type="pct"/>
            <w:vMerge w:val="restart"/>
            <w:noWrap w:val="0"/>
            <w:vAlign w:val="center"/>
          </w:tcPr>
          <w:p w14:paraId="5A493A69">
            <w:pPr>
              <w:keepNext w:val="0"/>
              <w:keepLines w:val="0"/>
              <w:pageBreakBefore w:val="0"/>
              <w:kinsoku/>
              <w:wordWrap/>
              <w:overflowPunct/>
              <w:topLinePunct w:val="0"/>
              <w:autoSpaceDE/>
              <w:autoSpaceDN/>
              <w:bidi w:val="0"/>
              <w:ind w:left="0" w:leftChars="0" w:right="0" w:rightChars="0"/>
              <w:jc w:val="both"/>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《合成树脂工业污染物排放标准》（</w:t>
            </w:r>
            <w:r>
              <w:rPr>
                <w:rFonts w:hint="eastAsia" w:cs="Times New Roman"/>
                <w:color w:val="000000" w:themeColor="text1"/>
                <w:kern w:val="0"/>
                <w:sz w:val="21"/>
                <w:szCs w:val="21"/>
                <w:highlight w:val="none"/>
                <w:lang w:val="en-US" w:eastAsia="zh-CN" w:bidi="ar"/>
                <w14:textFill>
                  <w14:solidFill>
                    <w14:schemeClr w14:val="tx1"/>
                  </w14:solidFill>
                </w14:textFill>
              </w:rPr>
              <w:t>GB31572-2015，含2024年修改单</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1406" w:type="pct"/>
            <w:vMerge w:val="restart"/>
            <w:noWrap w:val="0"/>
            <w:vAlign w:val="center"/>
          </w:tcPr>
          <w:p w14:paraId="710EE50C">
            <w:pPr>
              <w:keepNext w:val="0"/>
              <w:keepLines w:val="0"/>
              <w:pageBreakBefore w:val="0"/>
              <w:kinsoku/>
              <w:wordWrap/>
              <w:overflowPunct/>
              <w:topLinePunct w:val="0"/>
              <w:autoSpaceDE/>
              <w:autoSpaceDN/>
              <w:bidi w:val="0"/>
              <w:ind w:left="0" w:leftChars="0" w:right="0" w:rightChars="0"/>
              <w:jc w:val="both"/>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lang w:val="en-US" w:eastAsia="zh-CN"/>
                <w14:textFill>
                  <w14:solidFill>
                    <w14:schemeClr w14:val="tx1"/>
                  </w14:solidFill>
                </w14:textFill>
              </w:rPr>
              <w:t>合成树脂企业产生大气污染物的生产工艺和装置需设立局部或整体气体收集系统和净化处理装置，达标排放。排气筒高度应按环境影响评价要求确定，且至少不低于15m</w:t>
            </w:r>
          </w:p>
        </w:tc>
        <w:tc>
          <w:tcPr>
            <w:tcW w:w="838" w:type="pct"/>
            <w:vMerge w:val="restart"/>
            <w:noWrap w:val="0"/>
            <w:vAlign w:val="center"/>
          </w:tcPr>
          <w:p w14:paraId="738CE045">
            <w:pPr>
              <w:keepNext w:val="0"/>
              <w:keepLines w:val="0"/>
              <w:pageBreakBefore w:val="0"/>
              <w:kinsoku/>
              <w:wordWrap/>
              <w:overflowPunct/>
              <w:topLinePunct w:val="0"/>
              <w:autoSpaceDE/>
              <w:autoSpaceDN/>
              <w:bidi w:val="0"/>
              <w:ind w:left="0" w:leftChars="0" w:right="0" w:rightChars="0"/>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合理</w:t>
            </w:r>
          </w:p>
        </w:tc>
      </w:tr>
      <w:tr w14:paraId="21396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517" w:type="pct"/>
            <w:noWrap w:val="0"/>
            <w:vAlign w:val="center"/>
          </w:tcPr>
          <w:p w14:paraId="4798ED60">
            <w:pPr>
              <w:keepNext w:val="0"/>
              <w:keepLines w:val="0"/>
              <w:pageBreakBefore w:val="0"/>
              <w:kinsoku/>
              <w:wordWrap/>
              <w:overflowPunct/>
              <w:topLinePunct w:val="0"/>
              <w:autoSpaceDE/>
              <w:autoSpaceDN/>
              <w:bidi w:val="0"/>
              <w:ind w:left="0" w:leftChars="0" w:right="0" w:rightChars="0"/>
              <w:jc w:val="center"/>
              <w:rPr>
                <w:rFonts w:hint="eastAsia"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DA00</w:t>
            </w:r>
            <w: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w:t>
            </w:r>
          </w:p>
        </w:tc>
        <w:tc>
          <w:tcPr>
            <w:tcW w:w="517" w:type="pct"/>
            <w:noWrap w:val="0"/>
            <w:vAlign w:val="center"/>
          </w:tcPr>
          <w:p w14:paraId="7D1A9F4D">
            <w:pPr>
              <w:keepNext w:val="0"/>
              <w:keepLines w:val="0"/>
              <w:pageBreakBefore w:val="0"/>
              <w:kinsoku/>
              <w:wordWrap/>
              <w:overflowPunct/>
              <w:topLinePunct w:val="0"/>
              <w:autoSpaceDE/>
              <w:autoSpaceDN/>
              <w:bidi w:val="0"/>
              <w:ind w:left="0" w:leftChars="0" w:right="0" w:right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15</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m</w:t>
            </w:r>
          </w:p>
        </w:tc>
        <w:tc>
          <w:tcPr>
            <w:tcW w:w="647" w:type="pct"/>
            <w:noWrap w:val="0"/>
            <w:vAlign w:val="center"/>
          </w:tcPr>
          <w:p w14:paraId="3A61F78A">
            <w:pPr>
              <w:keepNext w:val="0"/>
              <w:keepLines w:val="0"/>
              <w:pageBreakBefore w:val="0"/>
              <w:kinsoku/>
              <w:wordWrap/>
              <w:overflowPunct/>
              <w:topLinePunct w:val="0"/>
              <w:autoSpaceDE/>
              <w:autoSpaceDN/>
              <w:bidi w:val="0"/>
              <w:adjustRightInd w:val="0"/>
              <w:snapToGrid w:val="0"/>
              <w:ind w:left="0" w:leftChars="0" w:right="0" w:rightChars="0"/>
              <w:jc w:val="center"/>
              <w:rPr>
                <w:rFonts w:hint="default" w:ascii="Times New Roman" w:hAnsi="Times New Roman" w:eastAsia="宋体" w:cs="Times New Roman"/>
                <w:bCs/>
                <w:color w:val="000000" w:themeColor="text1"/>
                <w:spacing w:val="-1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spacing w:val="-10"/>
                <w:sz w:val="21"/>
                <w:szCs w:val="21"/>
                <w:highlight w:val="none"/>
                <w:lang w:val="en-US" w:eastAsia="zh-CN"/>
                <w14:textFill>
                  <w14:solidFill>
                    <w14:schemeClr w14:val="tx1"/>
                  </w14:solidFill>
                </w14:textFill>
              </w:rPr>
              <w:t>0.3</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m</w:t>
            </w:r>
          </w:p>
        </w:tc>
        <w:tc>
          <w:tcPr>
            <w:tcW w:w="1072" w:type="pct"/>
            <w:vMerge w:val="continue"/>
            <w:noWrap w:val="0"/>
            <w:vAlign w:val="center"/>
          </w:tcPr>
          <w:p w14:paraId="530E6672">
            <w:pPr>
              <w:keepNext w:val="0"/>
              <w:keepLines w:val="0"/>
              <w:pageBreakBefore w:val="0"/>
              <w:kinsoku/>
              <w:wordWrap/>
              <w:overflowPunct/>
              <w:topLinePunct w:val="0"/>
              <w:autoSpaceDE/>
              <w:autoSpaceDN/>
              <w:bidi w:val="0"/>
              <w:ind w:left="0" w:leftChars="0" w:right="0" w:rightChars="0"/>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p>
        </w:tc>
        <w:tc>
          <w:tcPr>
            <w:tcW w:w="1406" w:type="pct"/>
            <w:vMerge w:val="continue"/>
            <w:noWrap w:val="0"/>
            <w:vAlign w:val="center"/>
          </w:tcPr>
          <w:p w14:paraId="1E018028">
            <w:pPr>
              <w:keepNext w:val="0"/>
              <w:keepLines w:val="0"/>
              <w:pageBreakBefore w:val="0"/>
              <w:kinsoku/>
              <w:wordWrap/>
              <w:overflowPunct/>
              <w:topLinePunct w:val="0"/>
              <w:autoSpaceDE/>
              <w:autoSpaceDN/>
              <w:bidi w:val="0"/>
              <w:ind w:left="0" w:leftChars="0" w:right="0" w:rightChars="0"/>
              <w:jc w:val="center"/>
              <w:rPr>
                <w:rFonts w:hint="default" w:ascii="Times New Roman" w:hAnsi="Times New Roman" w:eastAsia="宋体" w:cs="Times New Roman"/>
                <w:bCs/>
                <w:color w:val="000000" w:themeColor="text1"/>
                <w:spacing w:val="-10"/>
                <w:sz w:val="21"/>
                <w:szCs w:val="21"/>
                <w:highlight w:val="none"/>
                <w14:textFill>
                  <w14:solidFill>
                    <w14:schemeClr w14:val="tx1"/>
                  </w14:solidFill>
                </w14:textFill>
              </w:rPr>
            </w:pPr>
          </w:p>
        </w:tc>
        <w:tc>
          <w:tcPr>
            <w:tcW w:w="838" w:type="pct"/>
            <w:vMerge w:val="continue"/>
            <w:noWrap w:val="0"/>
            <w:vAlign w:val="center"/>
          </w:tcPr>
          <w:p w14:paraId="0C9BC79B">
            <w:pPr>
              <w:keepNext w:val="0"/>
              <w:keepLines w:val="0"/>
              <w:pageBreakBefore w:val="0"/>
              <w:kinsoku/>
              <w:wordWrap/>
              <w:overflowPunct/>
              <w:topLinePunct w:val="0"/>
              <w:autoSpaceDE/>
              <w:autoSpaceDN/>
              <w:bidi w:val="0"/>
              <w:ind w:left="0" w:leftChars="0" w:right="0" w:rightChars="0"/>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r>
    </w:tbl>
    <w:p w14:paraId="1A62ED06">
      <w:pPr>
        <w:bidi w:val="0"/>
        <w:spacing w:line="360" w:lineRule="auto"/>
        <w:ind w:firstLine="482" w:firstLineChars="200"/>
        <w:rPr>
          <w:rFonts w:hint="default" w:ascii="Times New Roman" w:hAnsi="Times New Roman" w:eastAsia="宋体" w:cs="Times New Roman"/>
          <w:b/>
          <w:bCs/>
          <w:color w:val="000000" w:themeColor="text1"/>
          <w:sz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lang w:val="en-US" w:eastAsia="zh-CN"/>
          <w14:textFill>
            <w14:solidFill>
              <w14:schemeClr w14:val="tx1"/>
            </w14:solidFill>
          </w14:textFill>
        </w:rPr>
        <w:t>5、废气排放口基本情况及排放标准</w:t>
      </w:r>
    </w:p>
    <w:p w14:paraId="10CE9B2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val="0"/>
          <w:color w:val="000000" w:themeColor="text1"/>
          <w:sz w:val="21"/>
          <w:szCs w:val="21"/>
          <w:lang w:val="en-US" w:eastAsia="zh-CN"/>
          <w14:textFill>
            <w14:solidFill>
              <w14:schemeClr w14:val="tx1"/>
            </w14:solidFill>
          </w14:textFill>
        </w:rPr>
        <w:t>表</w:t>
      </w:r>
      <w:r>
        <w:rPr>
          <w:rFonts w:hint="eastAsia" w:ascii="Times New Roman" w:hAnsi="Times New Roman" w:eastAsia="宋体" w:cs="Times New Roman"/>
          <w:b/>
          <w:bCs w:val="0"/>
          <w:color w:val="000000" w:themeColor="text1"/>
          <w:sz w:val="21"/>
          <w:szCs w:val="21"/>
          <w:lang w:val="en-US" w:eastAsia="zh-CN"/>
          <w14:textFill>
            <w14:solidFill>
              <w14:schemeClr w14:val="tx1"/>
            </w14:solidFill>
          </w14:textFill>
        </w:rPr>
        <w:t>3.2-</w:t>
      </w:r>
      <w:r>
        <w:rPr>
          <w:rFonts w:hint="eastAsia" w:cs="Times New Roman"/>
          <w:b/>
          <w:bCs w:val="0"/>
          <w:color w:val="000000" w:themeColor="text1"/>
          <w:sz w:val="21"/>
          <w:szCs w:val="21"/>
          <w:lang w:val="en-US" w:eastAsia="zh-CN"/>
          <w14:textFill>
            <w14:solidFill>
              <w14:schemeClr w14:val="tx1"/>
            </w14:solidFill>
          </w14:textFill>
        </w:rPr>
        <w:t>7</w:t>
      </w:r>
      <w:r>
        <w:rPr>
          <w:rFonts w:hint="default" w:ascii="Times New Roman" w:hAnsi="Times New Roman" w:eastAsia="宋体" w:cs="Times New Roman"/>
          <w:b/>
          <w:bCs w:val="0"/>
          <w:color w:val="000000" w:themeColor="text1"/>
          <w:sz w:val="21"/>
          <w:szCs w:val="21"/>
          <w:lang w:val="en-US" w:eastAsia="zh-CN"/>
          <w14:textFill>
            <w14:solidFill>
              <w14:schemeClr w14:val="tx1"/>
            </w14:solidFill>
          </w14:textFill>
        </w:rPr>
        <w:t xml:space="preserve">  废气排放口基本情况及执行标准一览表</w:t>
      </w:r>
    </w:p>
    <w:tbl>
      <w:tblPr>
        <w:tblStyle w:val="31"/>
        <w:tblW w:w="49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799"/>
        <w:gridCol w:w="1093"/>
        <w:gridCol w:w="674"/>
        <w:gridCol w:w="829"/>
        <w:gridCol w:w="818"/>
        <w:gridCol w:w="637"/>
        <w:gridCol w:w="1811"/>
        <w:gridCol w:w="2135"/>
      </w:tblGrid>
      <w:tr w14:paraId="3502C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1" w:hRule="atLeast"/>
          <w:jc w:val="center"/>
        </w:trPr>
        <w:tc>
          <w:tcPr>
            <w:tcW w:w="5000" w:type="pct"/>
            <w:gridSpan w:val="8"/>
            <w:vAlign w:val="center"/>
          </w:tcPr>
          <w:p w14:paraId="708A3F9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排放口基本情况</w:t>
            </w:r>
          </w:p>
        </w:tc>
      </w:tr>
      <w:tr w14:paraId="7DA0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1" w:hRule="atLeast"/>
          <w:jc w:val="center"/>
        </w:trPr>
        <w:tc>
          <w:tcPr>
            <w:tcW w:w="454" w:type="pct"/>
            <w:vAlign w:val="center"/>
          </w:tcPr>
          <w:p w14:paraId="6F8F892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编号</w:t>
            </w:r>
          </w:p>
        </w:tc>
        <w:tc>
          <w:tcPr>
            <w:tcW w:w="621" w:type="pct"/>
            <w:vAlign w:val="center"/>
          </w:tcPr>
          <w:p w14:paraId="758F126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名称</w:t>
            </w:r>
          </w:p>
        </w:tc>
        <w:tc>
          <w:tcPr>
            <w:tcW w:w="383" w:type="pct"/>
            <w:vAlign w:val="center"/>
          </w:tcPr>
          <w:p w14:paraId="42D135E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高度m</w:t>
            </w:r>
          </w:p>
        </w:tc>
        <w:tc>
          <w:tcPr>
            <w:tcW w:w="471" w:type="pct"/>
            <w:vAlign w:val="center"/>
          </w:tcPr>
          <w:p w14:paraId="12BCAE2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排气筒内径m</w:t>
            </w:r>
          </w:p>
        </w:tc>
        <w:tc>
          <w:tcPr>
            <w:tcW w:w="464" w:type="pct"/>
            <w:vAlign w:val="center"/>
          </w:tcPr>
          <w:p w14:paraId="10A9C93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温度℃</w:t>
            </w:r>
          </w:p>
        </w:tc>
        <w:tc>
          <w:tcPr>
            <w:tcW w:w="362" w:type="pct"/>
            <w:vAlign w:val="center"/>
          </w:tcPr>
          <w:p w14:paraId="6B55405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类型</w:t>
            </w:r>
          </w:p>
        </w:tc>
        <w:tc>
          <w:tcPr>
            <w:tcW w:w="1029" w:type="pct"/>
            <w:vAlign w:val="center"/>
          </w:tcPr>
          <w:p w14:paraId="108C61A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地理坐标</w:t>
            </w:r>
          </w:p>
        </w:tc>
        <w:tc>
          <w:tcPr>
            <w:tcW w:w="1214" w:type="pct"/>
            <w:vAlign w:val="center"/>
          </w:tcPr>
          <w:p w14:paraId="3AEF61F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排放标准</w:t>
            </w:r>
          </w:p>
        </w:tc>
      </w:tr>
      <w:tr w14:paraId="6AD9A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8" w:hRule="atLeast"/>
          <w:jc w:val="center"/>
        </w:trPr>
        <w:tc>
          <w:tcPr>
            <w:tcW w:w="454" w:type="pct"/>
            <w:vAlign w:val="center"/>
          </w:tcPr>
          <w:p w14:paraId="0E5932B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DA001</w:t>
            </w:r>
          </w:p>
        </w:tc>
        <w:tc>
          <w:tcPr>
            <w:tcW w:w="621" w:type="pct"/>
            <w:vAlign w:val="center"/>
          </w:tcPr>
          <w:p w14:paraId="6B145A2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电预热、模压罩光废气</w:t>
            </w:r>
          </w:p>
        </w:tc>
        <w:tc>
          <w:tcPr>
            <w:tcW w:w="383" w:type="pct"/>
            <w:vAlign w:val="center"/>
          </w:tcPr>
          <w:p w14:paraId="06AF40E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15</w:t>
            </w:r>
          </w:p>
        </w:tc>
        <w:tc>
          <w:tcPr>
            <w:tcW w:w="471" w:type="pct"/>
            <w:vAlign w:val="center"/>
          </w:tcPr>
          <w:p w14:paraId="2E86376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r>
              <w:rPr>
                <w:rFonts w:hint="eastAsia" w:cs="Times New Roman"/>
                <w:b w:val="0"/>
                <w:bCs/>
                <w:color w:val="000000" w:themeColor="text1"/>
                <w:sz w:val="21"/>
                <w:szCs w:val="21"/>
                <w:lang w:val="en-US" w:eastAsia="zh-CN"/>
                <w14:textFill>
                  <w14:solidFill>
                    <w14:schemeClr w14:val="tx1"/>
                  </w14:solidFill>
                </w14:textFill>
              </w:rPr>
              <w:t>7</w:t>
            </w:r>
          </w:p>
        </w:tc>
        <w:tc>
          <w:tcPr>
            <w:tcW w:w="464" w:type="pct"/>
            <w:vAlign w:val="center"/>
          </w:tcPr>
          <w:p w14:paraId="6C01B84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常温</w:t>
            </w:r>
          </w:p>
        </w:tc>
        <w:tc>
          <w:tcPr>
            <w:tcW w:w="362" w:type="pct"/>
            <w:vAlign w:val="center"/>
          </w:tcPr>
          <w:p w14:paraId="77B443B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一般排放口</w:t>
            </w:r>
          </w:p>
        </w:tc>
        <w:tc>
          <w:tcPr>
            <w:tcW w:w="1029" w:type="pct"/>
            <w:vAlign w:val="center"/>
          </w:tcPr>
          <w:p w14:paraId="68FA87B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东经10</w:t>
            </w: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13</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01.8520</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′，北纬2</w:t>
            </w: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4</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47</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14.2453</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w:t>
            </w:r>
          </w:p>
        </w:tc>
        <w:tc>
          <w:tcPr>
            <w:tcW w:w="1214" w:type="pct"/>
            <w:vMerge w:val="restart"/>
            <w:vAlign w:val="center"/>
          </w:tcPr>
          <w:p w14:paraId="717288D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《合成树脂工业污染物排放标准》（</w:t>
            </w:r>
            <w:r>
              <w:rPr>
                <w:rFonts w:hint="eastAsia" w:cs="Times New Roman"/>
                <w:b w:val="0"/>
                <w:bCs/>
                <w:color w:val="000000" w:themeColor="text1"/>
                <w:sz w:val="21"/>
                <w:szCs w:val="21"/>
                <w:lang w:val="en-US" w:eastAsia="zh-CN"/>
                <w14:textFill>
                  <w14:solidFill>
                    <w14:schemeClr w14:val="tx1"/>
                  </w14:solidFill>
                </w14:textFill>
              </w:rPr>
              <w:t>GB31572-2015，含2024年修改单</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w:t>
            </w:r>
          </w:p>
        </w:tc>
      </w:tr>
      <w:tr w14:paraId="53853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8" w:hRule="atLeast"/>
          <w:jc w:val="center"/>
        </w:trPr>
        <w:tc>
          <w:tcPr>
            <w:tcW w:w="454" w:type="pct"/>
            <w:vAlign w:val="center"/>
          </w:tcPr>
          <w:p w14:paraId="08FADEE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DA00</w:t>
            </w: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2</w:t>
            </w:r>
          </w:p>
        </w:tc>
        <w:tc>
          <w:tcPr>
            <w:tcW w:w="621" w:type="pct"/>
            <w:vAlign w:val="center"/>
          </w:tcPr>
          <w:p w14:paraId="0FC5234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称量打磨废气</w:t>
            </w:r>
          </w:p>
        </w:tc>
        <w:tc>
          <w:tcPr>
            <w:tcW w:w="383" w:type="pct"/>
            <w:vAlign w:val="center"/>
          </w:tcPr>
          <w:p w14:paraId="097904F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15</w:t>
            </w:r>
          </w:p>
        </w:tc>
        <w:tc>
          <w:tcPr>
            <w:tcW w:w="471" w:type="pct"/>
            <w:vAlign w:val="center"/>
          </w:tcPr>
          <w:p w14:paraId="021C11C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r>
              <w:rPr>
                <w:rFonts w:hint="eastAsia" w:cs="Times New Roman"/>
                <w:b w:val="0"/>
                <w:bCs/>
                <w:color w:val="000000" w:themeColor="text1"/>
                <w:sz w:val="21"/>
                <w:szCs w:val="21"/>
                <w:lang w:val="en-US" w:eastAsia="zh-CN"/>
                <w14:textFill>
                  <w14:solidFill>
                    <w14:schemeClr w14:val="tx1"/>
                  </w14:solidFill>
                </w14:textFill>
              </w:rPr>
              <w:t>4</w:t>
            </w:r>
          </w:p>
        </w:tc>
        <w:tc>
          <w:tcPr>
            <w:tcW w:w="464" w:type="pct"/>
            <w:vAlign w:val="center"/>
          </w:tcPr>
          <w:p w14:paraId="25336D9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常温</w:t>
            </w:r>
          </w:p>
        </w:tc>
        <w:tc>
          <w:tcPr>
            <w:tcW w:w="362" w:type="pct"/>
            <w:vAlign w:val="center"/>
          </w:tcPr>
          <w:p w14:paraId="4041989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一般排放口</w:t>
            </w:r>
          </w:p>
        </w:tc>
        <w:tc>
          <w:tcPr>
            <w:tcW w:w="1029" w:type="pct"/>
            <w:vAlign w:val="center"/>
          </w:tcPr>
          <w:p w14:paraId="51C93DE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东经102°13″</w:t>
            </w: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13.9301</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′，北纬24°</w:t>
            </w: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47</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13.9365</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w:t>
            </w:r>
          </w:p>
        </w:tc>
        <w:tc>
          <w:tcPr>
            <w:tcW w:w="1214" w:type="pct"/>
            <w:vMerge w:val="continue"/>
            <w:vAlign w:val="center"/>
          </w:tcPr>
          <w:p w14:paraId="71A92A7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p>
        </w:tc>
      </w:tr>
    </w:tbl>
    <w:p w14:paraId="0896667E">
      <w:pPr>
        <w:keepNext/>
        <w:keepLines/>
        <w:widowControl w:val="0"/>
        <w:bidi w:val="0"/>
        <w:spacing w:beforeLines="0" w:beforeAutospacing="0" w:afterLines="0" w:afterAutospacing="0" w:line="360" w:lineRule="auto"/>
        <w:ind w:firstLine="0" w:firstLineChars="0"/>
        <w:jc w:val="both"/>
        <w:outlineLvl w:val="2"/>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bookmarkStart w:id="488" w:name="_Toc10708"/>
      <w:bookmarkStart w:id="489" w:name="_Toc10545"/>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3.2.1 非正常情况下废气产排情况</w:t>
      </w:r>
      <w:bookmarkEnd w:id="488"/>
      <w:bookmarkEnd w:id="489"/>
    </w:p>
    <w:p w14:paraId="3B4607E0">
      <w:pPr>
        <w:bidi w:val="0"/>
        <w:spacing w:line="360" w:lineRule="auto"/>
        <w:ind w:firstLine="482" w:firstLineChars="200"/>
        <w:rPr>
          <w:rFonts w:hint="eastAsia" w:ascii="Times New Roman" w:hAnsi="Times New Roman" w:eastAsia="宋体" w:cs="Times New Roman"/>
          <w:b/>
          <w:bCs/>
          <w:color w:val="000000" w:themeColor="text1"/>
          <w:sz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lang w:val="en-US" w:eastAsia="zh-CN"/>
          <w14:textFill>
            <w14:solidFill>
              <w14:schemeClr w14:val="tx1"/>
            </w14:solidFill>
          </w14:textFill>
        </w:rPr>
        <w:t>1、非正常排放</w:t>
      </w:r>
    </w:p>
    <w:p w14:paraId="4D683B12">
      <w:pPr>
        <w:widowControl w:val="0"/>
        <w:bidi w:val="0"/>
        <w:spacing w:line="360" w:lineRule="auto"/>
        <w:ind w:firstLine="480" w:firstLineChars="200"/>
        <w:jc w:val="both"/>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项目废气非正常排放主要是废气处理装置发生故障，此次假设废气治理效率均下降至</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0%时，为非正常排放，非正常情况下，项目废气产排情况见下表：</w:t>
      </w:r>
    </w:p>
    <w:p w14:paraId="6687525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表</w:t>
      </w: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3.2-</w:t>
      </w:r>
      <w:r>
        <w:rPr>
          <w:rFonts w:hint="eastAsia" w:cs="Times New Roman"/>
          <w:b/>
          <w:bCs/>
          <w:color w:val="000000" w:themeColor="text1"/>
          <w:sz w:val="21"/>
          <w:szCs w:val="21"/>
          <w:lang w:val="en-US" w:eastAsia="zh-CN"/>
          <w14:textFill>
            <w14:solidFill>
              <w14:schemeClr w14:val="tx1"/>
            </w14:solidFill>
          </w14:textFill>
        </w:rPr>
        <w:t>8</w:t>
      </w:r>
      <w:r>
        <w:rPr>
          <w:rFonts w:hint="default" w:ascii="Times New Roman" w:hAnsi="Times New Roman" w:eastAsia="宋体" w:cs="Times New Roman"/>
          <w:b/>
          <w:bCs/>
          <w:color w:val="000000" w:themeColor="text1"/>
          <w:sz w:val="21"/>
          <w:szCs w:val="21"/>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本项目废气非正常排放量核算表</w:t>
      </w:r>
    </w:p>
    <w:tbl>
      <w:tblPr>
        <w:tblStyle w:val="32"/>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938"/>
        <w:gridCol w:w="981"/>
        <w:gridCol w:w="800"/>
        <w:gridCol w:w="1056"/>
        <w:gridCol w:w="1030"/>
        <w:gridCol w:w="963"/>
        <w:gridCol w:w="934"/>
        <w:gridCol w:w="940"/>
      </w:tblGrid>
      <w:tr w14:paraId="3F757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pct"/>
            <w:vAlign w:val="center"/>
          </w:tcPr>
          <w:p w14:paraId="23968A94">
            <w:pPr>
              <w:bidi w:val="0"/>
              <w:spacing w:line="240" w:lineRule="auto"/>
              <w:ind w:firstLine="0" w:firstLineChars="0"/>
              <w:jc w:val="cente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污染源</w:t>
            </w:r>
          </w:p>
        </w:tc>
        <w:tc>
          <w:tcPr>
            <w:tcW w:w="518" w:type="pct"/>
            <w:vAlign w:val="center"/>
          </w:tcPr>
          <w:p w14:paraId="0294E66A">
            <w:pPr>
              <w:bidi w:val="0"/>
              <w:spacing w:line="240" w:lineRule="auto"/>
              <w:ind w:firstLine="0" w:firstLineChars="0"/>
              <w:jc w:val="cente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污染物</w:t>
            </w:r>
          </w:p>
        </w:tc>
        <w:tc>
          <w:tcPr>
            <w:tcW w:w="542" w:type="pct"/>
            <w:vAlign w:val="center"/>
          </w:tcPr>
          <w:p w14:paraId="48681722">
            <w:pPr>
              <w:bidi w:val="0"/>
              <w:spacing w:line="240" w:lineRule="auto"/>
              <w:ind w:firstLine="0" w:firstLineChars="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非正常排放原因</w:t>
            </w:r>
          </w:p>
        </w:tc>
        <w:tc>
          <w:tcPr>
            <w:tcW w:w="442" w:type="pct"/>
            <w:vAlign w:val="center"/>
          </w:tcPr>
          <w:p w14:paraId="67C39017">
            <w:pPr>
              <w:bidi w:val="0"/>
              <w:spacing w:line="240" w:lineRule="auto"/>
              <w:ind w:firstLine="0" w:firstLineChars="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处理效率</w:t>
            </w:r>
          </w:p>
        </w:tc>
        <w:tc>
          <w:tcPr>
            <w:tcW w:w="583" w:type="pct"/>
            <w:vAlign w:val="center"/>
          </w:tcPr>
          <w:p w14:paraId="6A9B44CE">
            <w:pPr>
              <w:bidi w:val="0"/>
              <w:spacing w:line="240" w:lineRule="auto"/>
              <w:ind w:firstLine="0" w:firstLineChars="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非正常排放速率</w:t>
            </w:r>
          </w:p>
        </w:tc>
        <w:tc>
          <w:tcPr>
            <w:tcW w:w="569" w:type="pct"/>
            <w:vAlign w:val="center"/>
          </w:tcPr>
          <w:p w14:paraId="535B6BFD">
            <w:pPr>
              <w:bidi w:val="0"/>
              <w:spacing w:line="240" w:lineRule="auto"/>
              <w:ind w:firstLine="0" w:firstLineChars="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单次持续时间/h</w:t>
            </w:r>
          </w:p>
        </w:tc>
        <w:tc>
          <w:tcPr>
            <w:tcW w:w="532" w:type="pct"/>
            <w:vAlign w:val="center"/>
          </w:tcPr>
          <w:p w14:paraId="089CE933">
            <w:pPr>
              <w:bidi w:val="0"/>
              <w:spacing w:line="240" w:lineRule="auto"/>
              <w:ind w:firstLine="0" w:firstLineChars="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年发生频次/次</w:t>
            </w:r>
          </w:p>
        </w:tc>
        <w:tc>
          <w:tcPr>
            <w:tcW w:w="516" w:type="pct"/>
            <w:vAlign w:val="center"/>
          </w:tcPr>
          <w:p w14:paraId="03695DB8">
            <w:pPr>
              <w:bidi w:val="0"/>
              <w:spacing w:line="240" w:lineRule="auto"/>
              <w:ind w:firstLine="0" w:firstLineChars="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排放浓度</w:t>
            </w:r>
          </w:p>
        </w:tc>
        <w:tc>
          <w:tcPr>
            <w:tcW w:w="519" w:type="pct"/>
            <w:vAlign w:val="center"/>
          </w:tcPr>
          <w:p w14:paraId="25BD3353">
            <w:pPr>
              <w:bidi w:val="0"/>
              <w:spacing w:line="240" w:lineRule="auto"/>
              <w:ind w:firstLine="0" w:firstLineChars="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单次排放量（kg）</w:t>
            </w:r>
          </w:p>
        </w:tc>
      </w:tr>
      <w:tr w14:paraId="67CDE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775" w:type="pct"/>
            <w:vMerge w:val="restart"/>
            <w:vAlign w:val="center"/>
          </w:tcPr>
          <w:p w14:paraId="607EE46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电预热、模压罩光废气（DA001）</w:t>
            </w:r>
          </w:p>
        </w:tc>
        <w:tc>
          <w:tcPr>
            <w:tcW w:w="518" w:type="pct"/>
            <w:vAlign w:val="center"/>
          </w:tcPr>
          <w:p w14:paraId="22D893B2">
            <w:pPr>
              <w:bidi w:val="0"/>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非甲烷总烃</w:t>
            </w:r>
          </w:p>
        </w:tc>
        <w:tc>
          <w:tcPr>
            <w:tcW w:w="542" w:type="pct"/>
            <w:vMerge w:val="restart"/>
            <w:vAlign w:val="center"/>
          </w:tcPr>
          <w:p w14:paraId="5FA7C69A">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废气处理设施故障（效率降为0%）</w:t>
            </w:r>
          </w:p>
        </w:tc>
        <w:tc>
          <w:tcPr>
            <w:tcW w:w="442" w:type="pct"/>
            <w:vAlign w:val="center"/>
          </w:tcPr>
          <w:p w14:paraId="1368EB26">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w:t>
            </w:r>
          </w:p>
        </w:tc>
        <w:tc>
          <w:tcPr>
            <w:tcW w:w="583" w:type="pct"/>
            <w:vAlign w:val="center"/>
          </w:tcPr>
          <w:p w14:paraId="7B7B1BB5">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w:t>
            </w:r>
            <w:r>
              <w:rPr>
                <w:rFonts w:hint="eastAsia" w:cs="Times New Roman"/>
                <w:color w:val="000000" w:themeColor="text1"/>
                <w:sz w:val="21"/>
                <w:szCs w:val="21"/>
                <w:lang w:val="en-US" w:eastAsia="zh-CN"/>
                <w14:textFill>
                  <w14:solidFill>
                    <w14:schemeClr w14:val="tx1"/>
                  </w14:solidFill>
                </w14:textFill>
              </w:rPr>
              <w:t>58</w:t>
            </w:r>
          </w:p>
        </w:tc>
        <w:tc>
          <w:tcPr>
            <w:tcW w:w="569" w:type="pct"/>
            <w:vAlign w:val="center"/>
          </w:tcPr>
          <w:p w14:paraId="0BEBEAD7">
            <w:pPr>
              <w:bidi w:val="0"/>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w:t>
            </w:r>
          </w:p>
        </w:tc>
        <w:tc>
          <w:tcPr>
            <w:tcW w:w="532" w:type="pct"/>
            <w:vAlign w:val="center"/>
          </w:tcPr>
          <w:p w14:paraId="140F1140">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1~2</w:t>
            </w:r>
          </w:p>
        </w:tc>
        <w:tc>
          <w:tcPr>
            <w:tcW w:w="516" w:type="pct"/>
            <w:vAlign w:val="center"/>
          </w:tcPr>
          <w:p w14:paraId="461CA0CF">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29.21</w:t>
            </w:r>
          </w:p>
        </w:tc>
        <w:tc>
          <w:tcPr>
            <w:tcW w:w="519" w:type="pct"/>
            <w:shd w:val="clear" w:color="auto" w:fill="auto"/>
            <w:vAlign w:val="center"/>
          </w:tcPr>
          <w:p w14:paraId="5711C3CF">
            <w:pPr>
              <w:bidi w:val="0"/>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w:t>
            </w:r>
            <w:r>
              <w:rPr>
                <w:rFonts w:hint="eastAsia" w:cs="Times New Roman"/>
                <w:color w:val="000000" w:themeColor="text1"/>
                <w:sz w:val="21"/>
                <w:szCs w:val="21"/>
                <w:lang w:val="en-US" w:eastAsia="zh-CN"/>
                <w14:textFill>
                  <w14:solidFill>
                    <w14:schemeClr w14:val="tx1"/>
                  </w14:solidFill>
                </w14:textFill>
              </w:rPr>
              <w:t>58</w:t>
            </w:r>
          </w:p>
        </w:tc>
      </w:tr>
      <w:tr w14:paraId="27298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775" w:type="pct"/>
            <w:vMerge w:val="continue"/>
            <w:vAlign w:val="center"/>
          </w:tcPr>
          <w:p w14:paraId="6BBD4D4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p>
        </w:tc>
        <w:tc>
          <w:tcPr>
            <w:tcW w:w="518" w:type="pct"/>
            <w:vAlign w:val="center"/>
          </w:tcPr>
          <w:p w14:paraId="3F729460">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甲醛</w:t>
            </w:r>
          </w:p>
        </w:tc>
        <w:tc>
          <w:tcPr>
            <w:tcW w:w="542" w:type="pct"/>
            <w:vMerge w:val="continue"/>
            <w:vAlign w:val="center"/>
          </w:tcPr>
          <w:p w14:paraId="31908139">
            <w:pPr>
              <w:bidi w:val="0"/>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442" w:type="pct"/>
            <w:vAlign w:val="center"/>
          </w:tcPr>
          <w:p w14:paraId="56D470E3">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w:t>
            </w:r>
          </w:p>
        </w:tc>
        <w:tc>
          <w:tcPr>
            <w:tcW w:w="583" w:type="pct"/>
            <w:vAlign w:val="center"/>
          </w:tcPr>
          <w:p w14:paraId="2F10FE42">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w:t>
            </w:r>
            <w:r>
              <w:rPr>
                <w:rFonts w:hint="eastAsia" w:cs="Times New Roman"/>
                <w:color w:val="000000" w:themeColor="text1"/>
                <w:sz w:val="21"/>
                <w:szCs w:val="21"/>
                <w:lang w:val="en-US" w:eastAsia="zh-CN"/>
                <w14:textFill>
                  <w14:solidFill>
                    <w14:schemeClr w14:val="tx1"/>
                  </w14:solidFill>
                </w14:textFill>
              </w:rPr>
              <w:t>3</w:t>
            </w:r>
          </w:p>
        </w:tc>
        <w:tc>
          <w:tcPr>
            <w:tcW w:w="569" w:type="pct"/>
            <w:vAlign w:val="center"/>
          </w:tcPr>
          <w:p w14:paraId="2D893D74">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w:t>
            </w:r>
          </w:p>
        </w:tc>
        <w:tc>
          <w:tcPr>
            <w:tcW w:w="532" w:type="pct"/>
            <w:vAlign w:val="center"/>
          </w:tcPr>
          <w:p w14:paraId="756E1E2F">
            <w:pPr>
              <w:bidi w:val="0"/>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1~2</w:t>
            </w:r>
          </w:p>
        </w:tc>
        <w:tc>
          <w:tcPr>
            <w:tcW w:w="516" w:type="pct"/>
            <w:vAlign w:val="center"/>
          </w:tcPr>
          <w:p w14:paraId="4BB367A7">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0.13</w:t>
            </w:r>
          </w:p>
        </w:tc>
        <w:tc>
          <w:tcPr>
            <w:tcW w:w="519" w:type="pct"/>
            <w:shd w:val="clear" w:color="auto" w:fill="auto"/>
            <w:vAlign w:val="center"/>
          </w:tcPr>
          <w:p w14:paraId="62804649">
            <w:pPr>
              <w:bidi w:val="0"/>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w:t>
            </w:r>
            <w:r>
              <w:rPr>
                <w:rFonts w:hint="eastAsia" w:cs="Times New Roman"/>
                <w:color w:val="000000" w:themeColor="text1"/>
                <w:sz w:val="21"/>
                <w:szCs w:val="21"/>
                <w:lang w:val="en-US" w:eastAsia="zh-CN"/>
                <w14:textFill>
                  <w14:solidFill>
                    <w14:schemeClr w14:val="tx1"/>
                  </w14:solidFill>
                </w14:textFill>
              </w:rPr>
              <w:t>3</w:t>
            </w:r>
          </w:p>
        </w:tc>
      </w:tr>
      <w:tr w14:paraId="21F05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pct"/>
            <w:vAlign w:val="center"/>
          </w:tcPr>
          <w:p w14:paraId="33D9CB7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称量打磨</w:t>
            </w: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废气（DA002）</w:t>
            </w:r>
          </w:p>
        </w:tc>
        <w:tc>
          <w:tcPr>
            <w:tcW w:w="518" w:type="pct"/>
            <w:vAlign w:val="center"/>
          </w:tcPr>
          <w:p w14:paraId="27C5D6AF">
            <w:pPr>
              <w:bidi w:val="0"/>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颗粒物</w:t>
            </w:r>
          </w:p>
        </w:tc>
        <w:tc>
          <w:tcPr>
            <w:tcW w:w="542" w:type="pct"/>
            <w:vAlign w:val="center"/>
          </w:tcPr>
          <w:p w14:paraId="10FAACEE">
            <w:pPr>
              <w:bidi w:val="0"/>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废气处理设施故障（效率降为50%）</w:t>
            </w:r>
          </w:p>
        </w:tc>
        <w:tc>
          <w:tcPr>
            <w:tcW w:w="442" w:type="pct"/>
            <w:vAlign w:val="center"/>
          </w:tcPr>
          <w:p w14:paraId="0940121A">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50</w:t>
            </w:r>
          </w:p>
        </w:tc>
        <w:tc>
          <w:tcPr>
            <w:tcW w:w="583" w:type="pct"/>
            <w:vAlign w:val="center"/>
          </w:tcPr>
          <w:p w14:paraId="085F4672">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w:t>
            </w:r>
            <w:r>
              <w:rPr>
                <w:rFonts w:hint="eastAsia" w:cs="Times New Roman"/>
                <w:color w:val="000000" w:themeColor="text1"/>
                <w:sz w:val="21"/>
                <w:szCs w:val="21"/>
                <w:lang w:val="en-US" w:eastAsia="zh-CN"/>
                <w14:textFill>
                  <w14:solidFill>
                    <w14:schemeClr w14:val="tx1"/>
                  </w14:solidFill>
                </w14:textFill>
              </w:rPr>
              <w:t>60</w:t>
            </w:r>
          </w:p>
        </w:tc>
        <w:tc>
          <w:tcPr>
            <w:tcW w:w="569" w:type="pct"/>
            <w:vAlign w:val="center"/>
          </w:tcPr>
          <w:p w14:paraId="74572247">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w:t>
            </w:r>
          </w:p>
        </w:tc>
        <w:tc>
          <w:tcPr>
            <w:tcW w:w="532" w:type="pct"/>
            <w:vAlign w:val="center"/>
          </w:tcPr>
          <w:p w14:paraId="5368EF09">
            <w:pPr>
              <w:bidi w:val="0"/>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1~2</w:t>
            </w:r>
          </w:p>
        </w:tc>
        <w:tc>
          <w:tcPr>
            <w:tcW w:w="516" w:type="pct"/>
            <w:vAlign w:val="center"/>
          </w:tcPr>
          <w:p w14:paraId="3DD4472B">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306.49</w:t>
            </w:r>
          </w:p>
        </w:tc>
        <w:tc>
          <w:tcPr>
            <w:tcW w:w="519" w:type="pct"/>
            <w:shd w:val="clear" w:color="auto" w:fill="auto"/>
            <w:vAlign w:val="center"/>
          </w:tcPr>
          <w:p w14:paraId="28F8A1E8">
            <w:pPr>
              <w:bidi w:val="0"/>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w:t>
            </w:r>
            <w:r>
              <w:rPr>
                <w:rFonts w:hint="eastAsia" w:cs="Times New Roman"/>
                <w:color w:val="000000" w:themeColor="text1"/>
                <w:sz w:val="21"/>
                <w:szCs w:val="21"/>
                <w:lang w:val="en-US" w:eastAsia="zh-CN"/>
                <w14:textFill>
                  <w14:solidFill>
                    <w14:schemeClr w14:val="tx1"/>
                  </w14:solidFill>
                </w14:textFill>
              </w:rPr>
              <w:t>61</w:t>
            </w:r>
          </w:p>
        </w:tc>
      </w:tr>
    </w:tbl>
    <w:p w14:paraId="20BF7D51">
      <w:pPr>
        <w:widowControl w:val="0"/>
        <w:numPr>
          <w:ilvl w:val="0"/>
          <w:numId w:val="0"/>
        </w:numPr>
        <w:bidi w:val="0"/>
        <w:spacing w:line="360" w:lineRule="auto"/>
        <w:ind w:firstLine="482" w:firstLineChars="200"/>
        <w:jc w:val="both"/>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2、大气污染物非正常排放管理措施</w:t>
      </w:r>
    </w:p>
    <w:p w14:paraId="5411721D">
      <w:p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非正常情况一般包括正常开停机、设备检修、环保设施故障等。根据上表可知，项目废气非正常排放导致颗粒物超标，对周围环境空气造成一定影响，建议采取以下措施：</w:t>
      </w:r>
    </w:p>
    <w:p w14:paraId="51247FEE">
      <w:pPr>
        <w:numPr>
          <w:ilvl w:val="0"/>
          <w:numId w:val="0"/>
        </w:num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（1）项目正常开停机大气污染物排放及处置措施</w:t>
      </w:r>
    </w:p>
    <w:p w14:paraId="45B50E84">
      <w:pPr>
        <w:numPr>
          <w:ilvl w:val="0"/>
          <w:numId w:val="0"/>
        </w:num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根据业主提供资料，项目每天生产</w:t>
      </w:r>
      <w:r>
        <w:rPr>
          <w:rFonts w:hint="eastAsia" w:ascii="Times New Roman" w:hAnsi="Times New Roman" w:eastAsia="宋体" w:cs="Times New Roman"/>
          <w:color w:val="000000" w:themeColor="text1"/>
          <w:sz w:val="24"/>
          <w:lang w:val="en-US" w:eastAsia="zh-CN"/>
          <w14:textFill>
            <w14:solidFill>
              <w14:schemeClr w14:val="tx1"/>
            </w14:solidFill>
          </w14:textFill>
        </w:rPr>
        <w:t>16</w:t>
      </w:r>
      <w:r>
        <w:rPr>
          <w:rFonts w:hint="default" w:ascii="Times New Roman" w:hAnsi="Times New Roman" w:eastAsia="宋体" w:cs="Times New Roman"/>
          <w:color w:val="000000" w:themeColor="text1"/>
          <w:sz w:val="24"/>
          <w:lang w:val="en-US" w:eastAsia="zh-CN"/>
          <w14:textFill>
            <w14:solidFill>
              <w14:schemeClr w14:val="tx1"/>
            </w14:solidFill>
          </w14:textFill>
        </w:rPr>
        <w:t>h，则项目每次开停机，要求项目在开启生产机械设备之前，先开启活性炭吸附/脱附+催化燃烧</w:t>
      </w:r>
      <w:r>
        <w:rPr>
          <w:rFonts w:hint="eastAsia" w:cs="Times New Roman"/>
          <w:color w:val="000000" w:themeColor="text1"/>
          <w:sz w:val="24"/>
          <w:lang w:val="en-US" w:eastAsia="zh-CN"/>
          <w14:textFill>
            <w14:solidFill>
              <w14:schemeClr w14:val="tx1"/>
            </w14:solidFill>
          </w14:textFill>
        </w:rPr>
        <w:t>装置与</w:t>
      </w:r>
      <w:r>
        <w:rPr>
          <w:rFonts w:hint="default" w:ascii="Times New Roman" w:hAnsi="Times New Roman" w:eastAsia="宋体" w:cs="Times New Roman"/>
          <w:color w:val="000000" w:themeColor="text1"/>
          <w:sz w:val="24"/>
          <w:lang w:val="en-US" w:eastAsia="zh-CN"/>
          <w14:textFill>
            <w14:solidFill>
              <w14:schemeClr w14:val="tx1"/>
            </w14:solidFill>
          </w14:textFill>
        </w:rPr>
        <w:t>除尘器；</w:t>
      </w:r>
    </w:p>
    <w:p w14:paraId="3736CE4A">
      <w:pPr>
        <w:numPr>
          <w:ilvl w:val="0"/>
          <w:numId w:val="0"/>
        </w:num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（2）设备检修</w:t>
      </w:r>
    </w:p>
    <w:p w14:paraId="56325308">
      <w:pPr>
        <w:numPr>
          <w:ilvl w:val="0"/>
          <w:numId w:val="0"/>
        </w:num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项目设备在停机后进行检修，不排放大气污染物；</w:t>
      </w:r>
    </w:p>
    <w:p w14:paraId="61151091">
      <w:pPr>
        <w:numPr>
          <w:ilvl w:val="0"/>
          <w:numId w:val="0"/>
        </w:num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3）环保设备故障</w:t>
      </w:r>
    </w:p>
    <w:p w14:paraId="1DDC1389">
      <w:pPr>
        <w:numPr>
          <w:ilvl w:val="0"/>
          <w:numId w:val="0"/>
        </w:num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项目大气污染物环保处理设施故障时会导致</w:t>
      </w:r>
      <w:r>
        <w:rPr>
          <w:rFonts w:hint="eastAsia" w:cs="Times New Roman"/>
          <w:color w:val="000000" w:themeColor="text1"/>
          <w:sz w:val="24"/>
          <w:lang w:val="en-US" w:eastAsia="zh-CN"/>
          <w14:textFill>
            <w14:solidFill>
              <w14:schemeClr w14:val="tx1"/>
            </w14:solidFill>
          </w14:textFill>
        </w:rPr>
        <w:t>非甲烷总烃与</w:t>
      </w:r>
      <w:r>
        <w:rPr>
          <w:rFonts w:hint="default" w:ascii="Times New Roman" w:hAnsi="Times New Roman" w:eastAsia="宋体" w:cs="Times New Roman"/>
          <w:color w:val="000000" w:themeColor="text1"/>
          <w:sz w:val="24"/>
          <w:lang w:val="en-US" w:eastAsia="zh-CN"/>
          <w14:textFill>
            <w14:solidFill>
              <w14:schemeClr w14:val="tx1"/>
            </w14:solidFill>
          </w14:textFill>
        </w:rPr>
        <w:t>颗粒物超标排放。</w:t>
      </w:r>
    </w:p>
    <w:p w14:paraId="72BCB257">
      <w:pPr>
        <w:numPr>
          <w:ilvl w:val="0"/>
          <w:numId w:val="0"/>
        </w:numPr>
        <w:bidi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处理措施为：立刻停止生产作业，防止废气继续产生；并立刻对废气治理设施进行维修，直至废气处理系统能有效运行时，才可恢复作业。</w:t>
      </w:r>
    </w:p>
    <w:p w14:paraId="3CA9439A">
      <w:pPr>
        <w:pStyle w:val="2"/>
        <w:numPr>
          <w:ilvl w:val="0"/>
          <w:numId w:val="0"/>
        </w:numPr>
        <w:bidi w:val="0"/>
        <w:rPr>
          <w:rFonts w:hint="eastAsia"/>
          <w:color w:val="000000" w:themeColor="text1"/>
          <w:lang w:val="en-US" w:eastAsia="zh-CN"/>
          <w14:textFill>
            <w14:solidFill>
              <w14:schemeClr w14:val="tx1"/>
            </w14:solidFill>
          </w14:textFill>
        </w:rPr>
      </w:pPr>
      <w:bookmarkStart w:id="490" w:name="_Toc18541"/>
      <w:bookmarkStart w:id="491" w:name="_Toc3708"/>
      <w:bookmarkStart w:id="492" w:name="_Toc16567"/>
      <w:r>
        <w:rPr>
          <w:rFonts w:hint="eastAsia" w:ascii="Times New Roman" w:hAnsi="Times New Roman" w:eastAsia="宋体" w:cs="Times New Roman"/>
          <w:b/>
          <w:bCs/>
          <w:color w:val="000000" w:themeColor="text1"/>
          <w:kern w:val="44"/>
          <w:sz w:val="32"/>
          <w:szCs w:val="30"/>
          <w:lang w:val="en-US" w:eastAsia="zh-CN" w:bidi="ar-SA"/>
          <w14:textFill>
            <w14:solidFill>
              <w14:schemeClr w14:val="tx1"/>
            </w14:solidFill>
          </w14:textFill>
        </w:rPr>
        <w:t>4、</w:t>
      </w:r>
      <w:r>
        <w:rPr>
          <w:rFonts w:hint="eastAsia"/>
          <w:color w:val="000000" w:themeColor="text1"/>
          <w:lang w:val="en-US" w:eastAsia="zh-CN"/>
          <w14:textFill>
            <w14:solidFill>
              <w14:schemeClr w14:val="tx1"/>
            </w14:solidFill>
          </w14:textFill>
        </w:rPr>
        <w:t>大气环境影响预测及评价</w:t>
      </w:r>
      <w:bookmarkEnd w:id="490"/>
      <w:bookmarkEnd w:id="491"/>
      <w:bookmarkEnd w:id="492"/>
    </w:p>
    <w:p w14:paraId="70AD79CA">
      <w:pPr>
        <w:pStyle w:val="3"/>
        <w:bidi w:val="0"/>
        <w:rPr>
          <w:rFonts w:hint="eastAsia"/>
          <w:color w:val="000000" w:themeColor="text1"/>
          <w:lang w:val="en-US" w:eastAsia="zh-CN"/>
          <w14:textFill>
            <w14:solidFill>
              <w14:schemeClr w14:val="tx1"/>
            </w14:solidFill>
          </w14:textFill>
        </w:rPr>
      </w:pPr>
      <w:bookmarkStart w:id="493" w:name="_Toc12120"/>
      <w:bookmarkStart w:id="494" w:name="_Toc6824"/>
      <w:bookmarkStart w:id="495" w:name="_Toc9664"/>
      <w:r>
        <w:rPr>
          <w:rFonts w:hint="eastAsia"/>
          <w:color w:val="000000" w:themeColor="text1"/>
          <w:lang w:val="en-US" w:eastAsia="zh-CN"/>
          <w14:textFill>
            <w14:solidFill>
              <w14:schemeClr w14:val="tx1"/>
            </w14:solidFill>
          </w14:textFill>
        </w:rPr>
        <w:t>4.1 施工期大气环境影响分析</w:t>
      </w:r>
      <w:bookmarkEnd w:id="493"/>
      <w:bookmarkEnd w:id="494"/>
      <w:bookmarkEnd w:id="495"/>
    </w:p>
    <w:p w14:paraId="24A55EE9">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项目施工期产生的大气污染物主要是</w:t>
      </w:r>
      <w:r>
        <w:rPr>
          <w:rFonts w:hint="eastAsia"/>
          <w:color w:val="000000" w:themeColor="text1"/>
          <w:lang w:val="en-US" w:eastAsia="zh-CN"/>
          <w14:textFill>
            <w14:solidFill>
              <w14:schemeClr w14:val="tx1"/>
            </w14:solidFill>
          </w14:textFill>
        </w:rPr>
        <w:t>扬尘、</w:t>
      </w:r>
      <w:r>
        <w:rPr>
          <w:rFonts w:hint="default"/>
          <w:color w:val="000000" w:themeColor="text1"/>
          <w:lang w:val="en-US" w:eastAsia="zh-CN"/>
          <w14:textFill>
            <w14:solidFill>
              <w14:schemeClr w14:val="tx1"/>
            </w14:solidFill>
          </w14:textFill>
        </w:rPr>
        <w:t>焊接烟气、装修废气、机械及车辆废气。</w:t>
      </w:r>
    </w:p>
    <w:p w14:paraId="1B437252">
      <w:pPr>
        <w:pStyle w:val="79"/>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（1）扬尘</w:t>
      </w:r>
    </w:p>
    <w:p w14:paraId="5B896695">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项目施工期间的扬尘污染主要来自物料装卸等环节，扬尘产生量与原地面条件、气象条件等因素密切相关。施工扬尘中部分粒径较大的颗粒物因重力作用在作业点附近快速沉降，而粒径较小的微细粉尘则悬浮于空气中，以无组织方式向周边环境扩散。本项目厂区周边敏感点距离较远，施工期通过采取洒水抑尘、物料堆放覆盖</w:t>
      </w:r>
      <w:r>
        <w:rPr>
          <w:rFonts w:hint="eastAsia"/>
          <w:color w:val="000000" w:themeColor="text1"/>
          <w:lang w:val="en-US" w:eastAsia="zh-CN"/>
          <w14:textFill>
            <w14:solidFill>
              <w14:schemeClr w14:val="tx1"/>
            </w14:solidFill>
          </w14:textFill>
        </w:rPr>
        <w:t>等措施后，</w:t>
      </w:r>
      <w:r>
        <w:rPr>
          <w:rFonts w:hint="default"/>
          <w:color w:val="000000" w:themeColor="text1"/>
          <w:lang w:val="en-US" w:eastAsia="zh-CN"/>
          <w14:textFill>
            <w14:solidFill>
              <w14:schemeClr w14:val="tx1"/>
            </w14:solidFill>
          </w14:textFill>
        </w:rPr>
        <w:t>扬尘经自然扩散和沉降，对周边环境空气质量和敏感目标的影响处于可接受范围，且施工扬尘影响随施工期结束而终止。</w:t>
      </w:r>
    </w:p>
    <w:p w14:paraId="3787A814">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）焊接烟尘</w:t>
      </w:r>
    </w:p>
    <w:p w14:paraId="41B831F3">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项目生产车间等钢架结构建筑物在焊接工序时会产生焊接烟气，主要来自于焊条或焊丝端部的液态金属熔渣、熔滴及飞溅颗粒，焊接烟气的具体成分和焊条或焊丝的成分有关。焊接废气中部分大颗粒的固体熔渣脱落于地面，微细的烟尘气体呈无组织方式排放到空气中。项目施工场地较为空旷，钢架结构建筑物主要位于厂区北部，焊接烟气经自然扩散后对周边环境影响可接受。</w:t>
      </w:r>
    </w:p>
    <w:p w14:paraId="4597F7A3">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）燃油尾气</w:t>
      </w:r>
    </w:p>
    <w:p w14:paraId="6DF67BF8">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施工机械废气主要是CO、NOx、碳氢化合物等，属于低架点源无组织排放性质，具有间断性产生、产生量较小、产生点相对分散、易被稀释扩散等特点。大气扩散条件相对较好，施工机械和运输车辆所产生的废气污染在空气中经自然扩散和稀释后，对评价区域的空气环境质量影响可接受。</w:t>
      </w:r>
    </w:p>
    <w:p w14:paraId="7F80239C">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）小结</w:t>
      </w:r>
    </w:p>
    <w:p w14:paraId="1DBAE6B3">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施工期产生的污染是短期的，随着施工活动的结束，场地的覆盖、道路、建筑物、绿化的形成，施工扬尘对环境空气的影响也就随之结束，因此施工期对环境空气的影响可接受。</w:t>
      </w:r>
    </w:p>
    <w:p w14:paraId="7952E646">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综上所述，在建设单位落实上述环保治理措施的基础上，施工废气对当地大气环境的影响不大，不会改变当地大气环境的质量功能。</w:t>
      </w:r>
    </w:p>
    <w:p w14:paraId="0852C5FF">
      <w:pPr>
        <w:pStyle w:val="3"/>
        <w:bidi w:val="0"/>
        <w:rPr>
          <w:rFonts w:hint="eastAsia"/>
          <w:color w:val="000000" w:themeColor="text1"/>
          <w:lang w:val="en-US" w:eastAsia="zh-CN"/>
          <w14:textFill>
            <w14:solidFill>
              <w14:schemeClr w14:val="tx1"/>
            </w14:solidFill>
          </w14:textFill>
        </w:rPr>
      </w:pPr>
      <w:bookmarkStart w:id="496" w:name="_Toc1319"/>
      <w:bookmarkStart w:id="497" w:name="_Toc5854"/>
      <w:bookmarkStart w:id="498" w:name="_Toc3000"/>
      <w:r>
        <w:rPr>
          <w:rFonts w:hint="eastAsia"/>
          <w:color w:val="000000" w:themeColor="text1"/>
          <w:lang w:val="en-US" w:eastAsia="zh-CN"/>
          <w14:textFill>
            <w14:solidFill>
              <w14:schemeClr w14:val="tx1"/>
            </w14:solidFill>
          </w14:textFill>
        </w:rPr>
        <w:t>4.2 运营期大气环境影响预测</w:t>
      </w:r>
      <w:bookmarkEnd w:id="496"/>
      <w:bookmarkEnd w:id="497"/>
      <w:bookmarkEnd w:id="498"/>
    </w:p>
    <w:p w14:paraId="538BAEF8">
      <w:pPr>
        <w:adjustRightInd w:val="0"/>
        <w:snapToGrid w:val="0"/>
        <w:spacing w:after="0" w:line="360" w:lineRule="auto"/>
        <w:ind w:firstLine="480" w:firstLineChars="200"/>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t>根据《环境影响评价技术导则 大气环境》（HJ2.2-2018），本项目的大气评价等级为二级，二级评级项目不进行进一步预测与评价，只对污染物排放量进行核算。大气环境影响预测结果可根据估算模式进行影响评价，故而本项目大气的预测采用估算模式进行计算。</w:t>
      </w:r>
    </w:p>
    <w:p w14:paraId="02EECA14">
      <w:pPr>
        <w:widowControl/>
        <w:adjustRightInd w:val="0"/>
        <w:snapToGrid w:val="0"/>
        <w:spacing w:line="360" w:lineRule="auto"/>
        <w:ind w:firstLine="482" w:firstLineChars="200"/>
        <w:jc w:val="left"/>
        <w:rPr>
          <w:rFonts w:ascii="Times New Roman" w:hAnsi="Times New Roman" w:eastAsia="宋体" w:cs="Times New Roman"/>
          <w:b/>
          <w:color w:val="000000" w:themeColor="text1"/>
          <w:kern w:val="0"/>
          <w:sz w:val="24"/>
          <w:szCs w:val="20"/>
          <w:highlight w:val="none"/>
          <w14:textFill>
            <w14:solidFill>
              <w14:schemeClr w14:val="tx1"/>
            </w14:solidFill>
          </w14:textFill>
        </w:rPr>
      </w:pPr>
      <w:bookmarkStart w:id="499" w:name="_Toc5803536"/>
      <w:bookmarkStart w:id="500" w:name="_Toc535587251"/>
      <w:r>
        <w:rPr>
          <w:rFonts w:ascii="Times New Roman" w:hAnsi="Times New Roman" w:eastAsia="宋体" w:cs="Times New Roman"/>
          <w:b/>
          <w:color w:val="000000" w:themeColor="text1"/>
          <w:kern w:val="0"/>
          <w:sz w:val="24"/>
          <w:szCs w:val="20"/>
          <w:highlight w:val="none"/>
          <w14:textFill>
            <w14:solidFill>
              <w14:schemeClr w14:val="tx1"/>
            </w14:solidFill>
          </w14:textFill>
        </w:rPr>
        <w:t>1、气象特征分析</w:t>
      </w:r>
    </w:p>
    <w:p w14:paraId="4875D2FF">
      <w:pPr>
        <w:widowControl/>
        <w:adjustRightInd w:val="0"/>
        <w:snapToGrid w:val="0"/>
        <w:spacing w:line="360" w:lineRule="auto"/>
        <w:ind w:firstLine="480" w:firstLineChars="200"/>
        <w:jc w:val="left"/>
        <w:rPr>
          <w:rFonts w:ascii="Times New Roman" w:hAnsi="Times New Roman" w:eastAsia="宋体" w:cs="Times New Roman"/>
          <w:color w:val="000000" w:themeColor="text1"/>
          <w:kern w:val="0"/>
          <w:sz w:val="24"/>
          <w:szCs w:val="20"/>
          <w14:textFill>
            <w14:solidFill>
              <w14:schemeClr w14:val="tx1"/>
            </w14:solidFill>
          </w14:textFill>
        </w:rPr>
      </w:pPr>
      <w:bookmarkStart w:id="501" w:name="_Toc54030286"/>
      <w:bookmarkStart w:id="502" w:name="_Toc24616391"/>
      <w:r>
        <w:rPr>
          <w:rFonts w:ascii="Times New Roman" w:hAnsi="Times New Roman" w:eastAsia="宋体" w:cs="Times New Roman"/>
          <w:color w:val="000000" w:themeColor="text1"/>
          <w:kern w:val="0"/>
          <w:sz w:val="24"/>
          <w:szCs w:val="20"/>
          <w:lang w:bidi="ar"/>
          <w14:textFill>
            <w14:solidFill>
              <w14:schemeClr w14:val="tx1"/>
            </w14:solidFill>
          </w14:textFill>
        </w:rPr>
        <w:t>项目气象资料分析根据环境保护部环境工程评估中心国家环境保护环境影响评价重点实验室提供的易门气象站2020年气象数据进行分析。</w:t>
      </w:r>
    </w:p>
    <w:p w14:paraId="27407E73">
      <w:pPr>
        <w:widowControl/>
        <w:autoSpaceDE w:val="0"/>
        <w:autoSpaceDN w:val="0"/>
        <w:adjustRightInd w:val="0"/>
        <w:snapToGrid w:val="0"/>
        <w:spacing w:line="360" w:lineRule="auto"/>
        <w:ind w:firstLine="480" w:firstLineChars="200"/>
        <w:jc w:val="left"/>
        <w:rPr>
          <w:rFonts w:ascii="Times New Roman" w:hAnsi="Times New Roman" w:eastAsia="宋体" w:cs="Times New Roman"/>
          <w:color w:val="000000" w:themeColor="text1"/>
          <w:kern w:val="0"/>
          <w:sz w:val="24"/>
          <w:szCs w:val="20"/>
          <w:lang w:bidi="ar"/>
          <w14:textFill>
            <w14:solidFill>
              <w14:schemeClr w14:val="tx1"/>
            </w14:solidFill>
          </w14:textFill>
        </w:rPr>
      </w:pPr>
      <w:r>
        <w:rPr>
          <w:rFonts w:ascii="Times New Roman" w:hAnsi="Times New Roman" w:eastAsia="宋体" w:cs="Times New Roman"/>
          <w:color w:val="000000" w:themeColor="text1"/>
          <w:kern w:val="0"/>
          <w:sz w:val="24"/>
          <w:szCs w:val="20"/>
          <w:lang w:bidi="ar"/>
          <w14:textFill>
            <w14:solidFill>
              <w14:schemeClr w14:val="tx1"/>
            </w14:solidFill>
          </w14:textFill>
        </w:rPr>
        <w:t>易门气象站（编号56870），气象站位于云南省玉溪市，地理坐标为东经102.1811度，北纬24.6581度，海拔高度1600.9m。气象站始建于1956年，1956年正式进行气象观测。易门气象站距项目15km，是距项目最近的国家气象站，拥有长期的气象观测资料，20年地面气象数据为2001-2020年气象数据统计分析结果。</w:t>
      </w:r>
    </w:p>
    <w:p w14:paraId="2BDA2883">
      <w:pPr>
        <w:widowControl/>
        <w:autoSpaceDE w:val="0"/>
        <w:autoSpaceDN w:val="0"/>
        <w:adjustRightInd w:val="0"/>
        <w:snapToGrid w:val="0"/>
        <w:spacing w:line="360" w:lineRule="auto"/>
        <w:ind w:firstLine="480" w:firstLineChars="200"/>
        <w:jc w:val="left"/>
        <w:rPr>
          <w:rFonts w:ascii="Times New Roman" w:hAnsi="Times New Roman" w:eastAsia="宋体" w:cs="Times New Roman"/>
          <w:b/>
          <w:bCs/>
          <w:color w:val="000000" w:themeColor="text1"/>
          <w:kern w:val="0"/>
          <w:sz w:val="24"/>
          <w:szCs w:val="20"/>
          <w:lang w:bidi="ar"/>
          <w14:textFill>
            <w14:solidFill>
              <w14:schemeClr w14:val="tx1"/>
            </w14:solidFill>
          </w14:textFill>
        </w:rPr>
      </w:pPr>
      <w:r>
        <w:rPr>
          <w:rFonts w:ascii="Times New Roman" w:hAnsi="Times New Roman" w:eastAsia="宋体" w:cs="Times New Roman"/>
          <w:color w:val="000000" w:themeColor="text1"/>
          <w:kern w:val="0"/>
          <w:sz w:val="24"/>
          <w:szCs w:val="20"/>
          <w:lang w:bidi="ar"/>
          <w14:textFill>
            <w14:solidFill>
              <w14:schemeClr w14:val="tx1"/>
            </w14:solidFill>
          </w14:textFill>
        </w:rPr>
        <w:t>易门县近20年常规气象统计数据见表5.2-1。</w:t>
      </w:r>
    </w:p>
    <w:p w14:paraId="0BB04804">
      <w:pPr>
        <w:widowControl/>
        <w:adjustRightInd w:val="0"/>
        <w:snapToGrid w:val="0"/>
        <w:jc w:val="center"/>
        <w:rPr>
          <w:rFonts w:ascii="Times New Roman" w:hAnsi="Times New Roman" w:eastAsia="宋体" w:cs="Times New Roman"/>
          <w:b/>
          <w:color w:val="000000" w:themeColor="text1"/>
          <w:kern w:val="0"/>
          <w:sz w:val="21"/>
          <w:szCs w:val="16"/>
          <w14:textFill>
            <w14:solidFill>
              <w14:schemeClr w14:val="tx1"/>
            </w14:solidFill>
          </w14:textFill>
        </w:rPr>
      </w:pPr>
      <w:r>
        <w:rPr>
          <w:rFonts w:ascii="Times New Roman" w:hAnsi="Times New Roman" w:eastAsia="宋体" w:cs="Times New Roman"/>
          <w:b/>
          <w:color w:val="000000" w:themeColor="text1"/>
          <w:kern w:val="0"/>
          <w:sz w:val="21"/>
          <w:szCs w:val="16"/>
          <w14:textFill>
            <w14:solidFill>
              <w14:schemeClr w14:val="tx1"/>
            </w14:solidFill>
          </w14:textFill>
        </w:rPr>
        <w:t>表</w:t>
      </w:r>
      <w:r>
        <w:rPr>
          <w:rFonts w:hint="eastAsia" w:ascii="Times New Roman" w:hAnsi="Times New Roman" w:eastAsia="宋体" w:cs="Times New Roman"/>
          <w:b/>
          <w:color w:val="000000" w:themeColor="text1"/>
          <w:kern w:val="0"/>
          <w:sz w:val="21"/>
          <w:szCs w:val="16"/>
          <w:lang w:val="en-US" w:eastAsia="zh-CN"/>
          <w14:textFill>
            <w14:solidFill>
              <w14:schemeClr w14:val="tx1"/>
            </w14:solidFill>
          </w14:textFill>
        </w:rPr>
        <w:t>4</w:t>
      </w:r>
      <w:r>
        <w:rPr>
          <w:rFonts w:ascii="Times New Roman" w:hAnsi="Times New Roman" w:eastAsia="宋体" w:cs="Times New Roman"/>
          <w:b/>
          <w:color w:val="000000" w:themeColor="text1"/>
          <w:kern w:val="0"/>
          <w:sz w:val="21"/>
          <w:szCs w:val="16"/>
          <w14:textFill>
            <w14:solidFill>
              <w14:schemeClr w14:val="tx1"/>
            </w14:solidFill>
          </w14:textFill>
        </w:rPr>
        <w:t>.2-1 易门县气象站常规气象项目统计（2001-2020年）</w:t>
      </w:r>
    </w:p>
    <w:tbl>
      <w:tblPr>
        <w:tblStyle w:val="3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2696"/>
        <w:gridCol w:w="1417"/>
        <w:gridCol w:w="1702"/>
        <w:gridCol w:w="1748"/>
      </w:tblGrid>
      <w:tr w14:paraId="4F1D9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55" w:type="dxa"/>
            <w:gridSpan w:val="2"/>
            <w:tcBorders>
              <w:top w:val="single" w:color="auto" w:sz="4" w:space="0"/>
              <w:left w:val="single" w:color="auto" w:sz="4" w:space="0"/>
              <w:bottom w:val="single" w:color="auto" w:sz="4" w:space="0"/>
              <w:right w:val="single" w:color="auto" w:sz="4" w:space="0"/>
            </w:tcBorders>
            <w:noWrap w:val="0"/>
            <w:vAlign w:val="center"/>
          </w:tcPr>
          <w:p w14:paraId="4876C3E1">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统计项目</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28EB491A">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统计值</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1FF8E560">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极值出现时间</w:t>
            </w:r>
          </w:p>
        </w:tc>
        <w:tc>
          <w:tcPr>
            <w:tcW w:w="1748" w:type="dxa"/>
            <w:tcBorders>
              <w:top w:val="single" w:color="auto" w:sz="4" w:space="0"/>
              <w:left w:val="single" w:color="auto" w:sz="4" w:space="0"/>
              <w:bottom w:val="single" w:color="auto" w:sz="4" w:space="0"/>
              <w:right w:val="single" w:color="auto" w:sz="4" w:space="0"/>
            </w:tcBorders>
            <w:noWrap w:val="0"/>
            <w:vAlign w:val="center"/>
          </w:tcPr>
          <w:p w14:paraId="25578D44">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极值</w:t>
            </w:r>
          </w:p>
        </w:tc>
      </w:tr>
      <w:tr w14:paraId="33839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55" w:type="dxa"/>
            <w:gridSpan w:val="2"/>
            <w:tcBorders>
              <w:top w:val="single" w:color="auto" w:sz="4" w:space="0"/>
              <w:left w:val="single" w:color="auto" w:sz="4" w:space="0"/>
              <w:bottom w:val="single" w:color="auto" w:sz="4" w:space="0"/>
              <w:right w:val="single" w:color="auto" w:sz="4" w:space="0"/>
            </w:tcBorders>
            <w:noWrap w:val="0"/>
            <w:vAlign w:val="center"/>
          </w:tcPr>
          <w:p w14:paraId="70CEB470">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多年平均气温（℃）</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C362041">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17.16</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317442D8">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c>
          <w:tcPr>
            <w:tcW w:w="1748" w:type="dxa"/>
            <w:tcBorders>
              <w:top w:val="single" w:color="auto" w:sz="4" w:space="0"/>
              <w:left w:val="single" w:color="auto" w:sz="4" w:space="0"/>
              <w:bottom w:val="single" w:color="auto" w:sz="4" w:space="0"/>
              <w:right w:val="single" w:color="auto" w:sz="4" w:space="0"/>
            </w:tcBorders>
            <w:noWrap w:val="0"/>
            <w:vAlign w:val="center"/>
          </w:tcPr>
          <w:p w14:paraId="33E2B20F">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r>
      <w:tr w14:paraId="43F10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55" w:type="dxa"/>
            <w:gridSpan w:val="2"/>
            <w:tcBorders>
              <w:top w:val="single" w:color="auto" w:sz="4" w:space="0"/>
              <w:left w:val="single" w:color="auto" w:sz="4" w:space="0"/>
              <w:bottom w:val="single" w:color="auto" w:sz="4" w:space="0"/>
              <w:right w:val="single" w:color="auto" w:sz="4" w:space="0"/>
            </w:tcBorders>
            <w:noWrap w:val="0"/>
            <w:vAlign w:val="center"/>
          </w:tcPr>
          <w:p w14:paraId="29840471">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累年极端最高气温（℃）</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21BFF378">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33.05</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2E70FA41">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2005-05-29</w:t>
            </w:r>
          </w:p>
        </w:tc>
        <w:tc>
          <w:tcPr>
            <w:tcW w:w="1748" w:type="dxa"/>
            <w:tcBorders>
              <w:top w:val="single" w:color="auto" w:sz="4" w:space="0"/>
              <w:left w:val="single" w:color="auto" w:sz="4" w:space="0"/>
              <w:bottom w:val="single" w:color="auto" w:sz="4" w:space="0"/>
              <w:right w:val="single" w:color="auto" w:sz="4" w:space="0"/>
            </w:tcBorders>
            <w:noWrap w:val="0"/>
            <w:vAlign w:val="center"/>
          </w:tcPr>
          <w:p w14:paraId="1C1DAA93">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35.50</w:t>
            </w:r>
          </w:p>
        </w:tc>
      </w:tr>
      <w:tr w14:paraId="3C190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55" w:type="dxa"/>
            <w:gridSpan w:val="2"/>
            <w:tcBorders>
              <w:top w:val="single" w:color="auto" w:sz="4" w:space="0"/>
              <w:left w:val="single" w:color="auto" w:sz="4" w:space="0"/>
              <w:bottom w:val="single" w:color="auto" w:sz="4" w:space="0"/>
              <w:right w:val="single" w:color="auto" w:sz="4" w:space="0"/>
            </w:tcBorders>
            <w:noWrap w:val="0"/>
            <w:vAlign w:val="center"/>
          </w:tcPr>
          <w:p w14:paraId="37C8476E">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累年极端最低气温（℃）</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00AC38E">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-1.15</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022110E8">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2014.1.22</w:t>
            </w:r>
          </w:p>
        </w:tc>
        <w:tc>
          <w:tcPr>
            <w:tcW w:w="1748" w:type="dxa"/>
            <w:tcBorders>
              <w:top w:val="single" w:color="auto" w:sz="4" w:space="0"/>
              <w:left w:val="single" w:color="auto" w:sz="4" w:space="0"/>
              <w:bottom w:val="single" w:color="auto" w:sz="4" w:space="0"/>
              <w:right w:val="single" w:color="auto" w:sz="4" w:space="0"/>
            </w:tcBorders>
            <w:noWrap w:val="0"/>
            <w:vAlign w:val="center"/>
          </w:tcPr>
          <w:p w14:paraId="10BBDB4E">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-2.70</w:t>
            </w:r>
          </w:p>
        </w:tc>
      </w:tr>
      <w:tr w14:paraId="01A8B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55" w:type="dxa"/>
            <w:gridSpan w:val="2"/>
            <w:tcBorders>
              <w:top w:val="single" w:color="auto" w:sz="4" w:space="0"/>
              <w:left w:val="single" w:color="auto" w:sz="4" w:space="0"/>
              <w:bottom w:val="single" w:color="auto" w:sz="4" w:space="0"/>
              <w:right w:val="single" w:color="auto" w:sz="4" w:space="0"/>
            </w:tcBorders>
            <w:noWrap w:val="0"/>
            <w:vAlign w:val="center"/>
          </w:tcPr>
          <w:p w14:paraId="5CF0CB3D">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多年平均气压（hPa）</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145648B">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840.49</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04B75FC0">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c>
          <w:tcPr>
            <w:tcW w:w="1748" w:type="dxa"/>
            <w:tcBorders>
              <w:top w:val="single" w:color="auto" w:sz="4" w:space="0"/>
              <w:left w:val="single" w:color="auto" w:sz="4" w:space="0"/>
              <w:bottom w:val="single" w:color="auto" w:sz="4" w:space="0"/>
              <w:right w:val="single" w:color="auto" w:sz="4" w:space="0"/>
            </w:tcBorders>
            <w:noWrap w:val="0"/>
            <w:vAlign w:val="center"/>
          </w:tcPr>
          <w:p w14:paraId="3E344858">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r>
      <w:tr w14:paraId="25A5A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55" w:type="dxa"/>
            <w:gridSpan w:val="2"/>
            <w:tcBorders>
              <w:top w:val="single" w:color="auto" w:sz="4" w:space="0"/>
              <w:left w:val="single" w:color="auto" w:sz="4" w:space="0"/>
              <w:bottom w:val="single" w:color="auto" w:sz="4" w:space="0"/>
              <w:right w:val="single" w:color="auto" w:sz="4" w:space="0"/>
            </w:tcBorders>
            <w:noWrap w:val="0"/>
            <w:vAlign w:val="center"/>
          </w:tcPr>
          <w:p w14:paraId="784F04EB">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多年平均水汽压（hPa）</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55E38D9">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13.82</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23522970">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c>
          <w:tcPr>
            <w:tcW w:w="1748" w:type="dxa"/>
            <w:tcBorders>
              <w:top w:val="single" w:color="auto" w:sz="4" w:space="0"/>
              <w:left w:val="single" w:color="auto" w:sz="4" w:space="0"/>
              <w:bottom w:val="single" w:color="auto" w:sz="4" w:space="0"/>
              <w:right w:val="single" w:color="auto" w:sz="4" w:space="0"/>
            </w:tcBorders>
            <w:noWrap w:val="0"/>
            <w:vAlign w:val="center"/>
          </w:tcPr>
          <w:p w14:paraId="7EE84325">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r>
      <w:tr w14:paraId="11631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55" w:type="dxa"/>
            <w:gridSpan w:val="2"/>
            <w:tcBorders>
              <w:top w:val="single" w:color="auto" w:sz="4" w:space="0"/>
              <w:left w:val="single" w:color="auto" w:sz="4" w:space="0"/>
              <w:bottom w:val="single" w:color="auto" w:sz="4" w:space="0"/>
              <w:right w:val="single" w:color="auto" w:sz="4" w:space="0"/>
            </w:tcBorders>
            <w:noWrap w:val="0"/>
            <w:vAlign w:val="center"/>
          </w:tcPr>
          <w:p w14:paraId="756E7129">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多年平均相对湿度（%）</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C58E9BA">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71.00</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1665AEA2">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c>
          <w:tcPr>
            <w:tcW w:w="1748" w:type="dxa"/>
            <w:tcBorders>
              <w:top w:val="single" w:color="auto" w:sz="4" w:space="0"/>
              <w:left w:val="single" w:color="auto" w:sz="4" w:space="0"/>
              <w:bottom w:val="single" w:color="auto" w:sz="4" w:space="0"/>
              <w:right w:val="single" w:color="auto" w:sz="4" w:space="0"/>
            </w:tcBorders>
            <w:noWrap w:val="0"/>
            <w:vAlign w:val="center"/>
          </w:tcPr>
          <w:p w14:paraId="7D9850D9">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r>
      <w:tr w14:paraId="5D215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55" w:type="dxa"/>
            <w:gridSpan w:val="2"/>
            <w:tcBorders>
              <w:top w:val="single" w:color="auto" w:sz="4" w:space="0"/>
              <w:left w:val="single" w:color="auto" w:sz="4" w:space="0"/>
              <w:bottom w:val="single" w:color="auto" w:sz="4" w:space="0"/>
              <w:right w:val="single" w:color="auto" w:sz="4" w:space="0"/>
            </w:tcBorders>
            <w:noWrap w:val="0"/>
            <w:vAlign w:val="center"/>
          </w:tcPr>
          <w:p w14:paraId="4BBB67C7">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多年平均降雨量（mm）</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596DAB38">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942.25</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594518F4">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c>
          <w:tcPr>
            <w:tcW w:w="1748" w:type="dxa"/>
            <w:tcBorders>
              <w:top w:val="single" w:color="auto" w:sz="4" w:space="0"/>
              <w:left w:val="single" w:color="auto" w:sz="4" w:space="0"/>
              <w:bottom w:val="single" w:color="auto" w:sz="4" w:space="0"/>
              <w:right w:val="single" w:color="auto" w:sz="4" w:space="0"/>
            </w:tcBorders>
            <w:noWrap w:val="0"/>
            <w:vAlign w:val="center"/>
          </w:tcPr>
          <w:p w14:paraId="5636D94E">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r>
      <w:tr w14:paraId="4284D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restart"/>
            <w:tcBorders>
              <w:top w:val="single" w:color="auto" w:sz="4" w:space="0"/>
              <w:left w:val="single" w:color="auto" w:sz="4" w:space="0"/>
              <w:bottom w:val="single" w:color="auto" w:sz="4" w:space="0"/>
              <w:right w:val="single" w:color="auto" w:sz="4" w:space="0"/>
            </w:tcBorders>
            <w:noWrap w:val="0"/>
            <w:vAlign w:val="center"/>
          </w:tcPr>
          <w:p w14:paraId="5B0D347C">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灾害天气统计</w:t>
            </w:r>
          </w:p>
        </w:tc>
        <w:tc>
          <w:tcPr>
            <w:tcW w:w="2696" w:type="dxa"/>
            <w:tcBorders>
              <w:top w:val="single" w:color="auto" w:sz="4" w:space="0"/>
              <w:left w:val="single" w:color="auto" w:sz="4" w:space="0"/>
              <w:bottom w:val="single" w:color="auto" w:sz="4" w:space="0"/>
              <w:right w:val="single" w:color="auto" w:sz="4" w:space="0"/>
            </w:tcBorders>
            <w:noWrap w:val="0"/>
            <w:vAlign w:val="center"/>
          </w:tcPr>
          <w:p w14:paraId="087DD7E3">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多年平均沙暴日数（d）</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1EE353D0">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1.56</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6AEFFF99">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c>
          <w:tcPr>
            <w:tcW w:w="1748" w:type="dxa"/>
            <w:tcBorders>
              <w:top w:val="single" w:color="auto" w:sz="4" w:space="0"/>
              <w:left w:val="single" w:color="auto" w:sz="4" w:space="0"/>
              <w:bottom w:val="single" w:color="auto" w:sz="4" w:space="0"/>
              <w:right w:val="single" w:color="auto" w:sz="4" w:space="0"/>
            </w:tcBorders>
            <w:noWrap w:val="0"/>
            <w:vAlign w:val="center"/>
          </w:tcPr>
          <w:p w14:paraId="3BF89B88">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r>
      <w:tr w14:paraId="610AD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continue"/>
            <w:tcBorders>
              <w:top w:val="single" w:color="auto" w:sz="4" w:space="0"/>
              <w:left w:val="single" w:color="auto" w:sz="4" w:space="0"/>
              <w:bottom w:val="single" w:color="auto" w:sz="4" w:space="0"/>
              <w:right w:val="single" w:color="auto" w:sz="4" w:space="0"/>
            </w:tcBorders>
            <w:noWrap w:val="0"/>
            <w:vAlign w:val="center"/>
          </w:tcPr>
          <w:p w14:paraId="562D4C61">
            <w:pPr>
              <w:widowControl/>
              <w:jc w:val="left"/>
              <w:rPr>
                <w:rFonts w:ascii="Times New Roman" w:hAnsi="Times New Roman" w:eastAsia="宋体" w:cs="Times New Roman"/>
                <w:color w:val="000000" w:themeColor="text1"/>
                <w:kern w:val="0"/>
                <w:sz w:val="21"/>
                <w:szCs w:val="21"/>
                <w14:textFill>
                  <w14:solidFill>
                    <w14:schemeClr w14:val="tx1"/>
                  </w14:solidFill>
                </w14:textFill>
              </w:rPr>
            </w:pPr>
          </w:p>
        </w:tc>
        <w:tc>
          <w:tcPr>
            <w:tcW w:w="2696" w:type="dxa"/>
            <w:tcBorders>
              <w:top w:val="single" w:color="auto" w:sz="4" w:space="0"/>
              <w:left w:val="single" w:color="auto" w:sz="4" w:space="0"/>
              <w:bottom w:val="single" w:color="auto" w:sz="4" w:space="0"/>
              <w:right w:val="single" w:color="auto" w:sz="4" w:space="0"/>
            </w:tcBorders>
            <w:noWrap w:val="0"/>
            <w:vAlign w:val="center"/>
          </w:tcPr>
          <w:p w14:paraId="0F7F1A7D">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多年平均雷暴日数（d）</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4F460F1">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46.13</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2C93B682">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c>
          <w:tcPr>
            <w:tcW w:w="1748" w:type="dxa"/>
            <w:tcBorders>
              <w:top w:val="single" w:color="auto" w:sz="4" w:space="0"/>
              <w:left w:val="single" w:color="auto" w:sz="4" w:space="0"/>
              <w:bottom w:val="single" w:color="auto" w:sz="4" w:space="0"/>
              <w:right w:val="single" w:color="auto" w:sz="4" w:space="0"/>
            </w:tcBorders>
            <w:noWrap w:val="0"/>
            <w:vAlign w:val="center"/>
          </w:tcPr>
          <w:p w14:paraId="0DA257F6">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r>
      <w:tr w14:paraId="24583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continue"/>
            <w:tcBorders>
              <w:top w:val="single" w:color="auto" w:sz="4" w:space="0"/>
              <w:left w:val="single" w:color="auto" w:sz="4" w:space="0"/>
              <w:bottom w:val="single" w:color="auto" w:sz="4" w:space="0"/>
              <w:right w:val="single" w:color="auto" w:sz="4" w:space="0"/>
            </w:tcBorders>
            <w:noWrap w:val="0"/>
            <w:vAlign w:val="center"/>
          </w:tcPr>
          <w:p w14:paraId="6D48AE4D">
            <w:pPr>
              <w:widowControl/>
              <w:jc w:val="left"/>
              <w:rPr>
                <w:rFonts w:ascii="Times New Roman" w:hAnsi="Times New Roman" w:eastAsia="宋体" w:cs="Times New Roman"/>
                <w:color w:val="000000" w:themeColor="text1"/>
                <w:kern w:val="0"/>
                <w:sz w:val="21"/>
                <w:szCs w:val="21"/>
                <w14:textFill>
                  <w14:solidFill>
                    <w14:schemeClr w14:val="tx1"/>
                  </w14:solidFill>
                </w14:textFill>
              </w:rPr>
            </w:pPr>
          </w:p>
        </w:tc>
        <w:tc>
          <w:tcPr>
            <w:tcW w:w="2696" w:type="dxa"/>
            <w:tcBorders>
              <w:top w:val="single" w:color="auto" w:sz="4" w:space="0"/>
              <w:left w:val="single" w:color="auto" w:sz="4" w:space="0"/>
              <w:bottom w:val="single" w:color="auto" w:sz="4" w:space="0"/>
              <w:right w:val="single" w:color="auto" w:sz="4" w:space="0"/>
            </w:tcBorders>
            <w:noWrap w:val="0"/>
            <w:vAlign w:val="center"/>
          </w:tcPr>
          <w:p w14:paraId="39816D6F">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多年平均冰雹日数（d）</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249C651E">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0.39</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3D183727">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c>
          <w:tcPr>
            <w:tcW w:w="1748" w:type="dxa"/>
            <w:tcBorders>
              <w:top w:val="single" w:color="auto" w:sz="4" w:space="0"/>
              <w:left w:val="single" w:color="auto" w:sz="4" w:space="0"/>
              <w:bottom w:val="single" w:color="auto" w:sz="4" w:space="0"/>
              <w:right w:val="single" w:color="auto" w:sz="4" w:space="0"/>
            </w:tcBorders>
            <w:noWrap w:val="0"/>
            <w:vAlign w:val="center"/>
          </w:tcPr>
          <w:p w14:paraId="1AED643B">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r>
      <w:tr w14:paraId="3DCE5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continue"/>
            <w:tcBorders>
              <w:top w:val="single" w:color="auto" w:sz="4" w:space="0"/>
              <w:left w:val="single" w:color="auto" w:sz="4" w:space="0"/>
              <w:bottom w:val="single" w:color="auto" w:sz="4" w:space="0"/>
              <w:right w:val="single" w:color="auto" w:sz="4" w:space="0"/>
            </w:tcBorders>
            <w:noWrap w:val="0"/>
            <w:vAlign w:val="center"/>
          </w:tcPr>
          <w:p w14:paraId="23A30137">
            <w:pPr>
              <w:widowControl/>
              <w:jc w:val="left"/>
              <w:rPr>
                <w:rFonts w:ascii="Times New Roman" w:hAnsi="Times New Roman" w:eastAsia="宋体" w:cs="Times New Roman"/>
                <w:color w:val="000000" w:themeColor="text1"/>
                <w:kern w:val="0"/>
                <w:sz w:val="21"/>
                <w:szCs w:val="21"/>
                <w14:textFill>
                  <w14:solidFill>
                    <w14:schemeClr w14:val="tx1"/>
                  </w14:solidFill>
                </w14:textFill>
              </w:rPr>
            </w:pPr>
          </w:p>
        </w:tc>
        <w:tc>
          <w:tcPr>
            <w:tcW w:w="2696" w:type="dxa"/>
            <w:tcBorders>
              <w:top w:val="single" w:color="auto" w:sz="4" w:space="0"/>
              <w:left w:val="single" w:color="auto" w:sz="4" w:space="0"/>
              <w:bottom w:val="single" w:color="auto" w:sz="4" w:space="0"/>
              <w:right w:val="single" w:color="auto" w:sz="4" w:space="0"/>
            </w:tcBorders>
            <w:noWrap w:val="0"/>
            <w:vAlign w:val="center"/>
          </w:tcPr>
          <w:p w14:paraId="7EA02B61">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多年平均大风日数（d）</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36360D6">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0.94</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1C32935A">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c>
          <w:tcPr>
            <w:tcW w:w="1748" w:type="dxa"/>
            <w:tcBorders>
              <w:top w:val="single" w:color="auto" w:sz="4" w:space="0"/>
              <w:left w:val="single" w:color="auto" w:sz="4" w:space="0"/>
              <w:bottom w:val="single" w:color="auto" w:sz="4" w:space="0"/>
              <w:right w:val="single" w:color="auto" w:sz="4" w:space="0"/>
            </w:tcBorders>
            <w:noWrap w:val="0"/>
            <w:vAlign w:val="center"/>
          </w:tcPr>
          <w:p w14:paraId="37088866">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r>
      <w:tr w14:paraId="2D911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55" w:type="dxa"/>
            <w:gridSpan w:val="2"/>
            <w:tcBorders>
              <w:top w:val="single" w:color="auto" w:sz="4" w:space="0"/>
              <w:left w:val="single" w:color="auto" w:sz="4" w:space="0"/>
              <w:bottom w:val="single" w:color="auto" w:sz="4" w:space="0"/>
              <w:right w:val="single" w:color="auto" w:sz="4" w:space="0"/>
            </w:tcBorders>
            <w:noWrap w:val="0"/>
            <w:vAlign w:val="center"/>
          </w:tcPr>
          <w:p w14:paraId="624A2375">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多年实测极大风速（m/s）/相应风向</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2DCD928">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20.56</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16BE0B51">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2018.8.29</w:t>
            </w:r>
          </w:p>
        </w:tc>
        <w:tc>
          <w:tcPr>
            <w:tcW w:w="1748" w:type="dxa"/>
            <w:tcBorders>
              <w:top w:val="single" w:color="auto" w:sz="4" w:space="0"/>
              <w:left w:val="single" w:color="auto" w:sz="4" w:space="0"/>
              <w:bottom w:val="single" w:color="auto" w:sz="4" w:space="0"/>
              <w:right w:val="single" w:color="auto" w:sz="4" w:space="0"/>
            </w:tcBorders>
            <w:noWrap w:val="0"/>
            <w:vAlign w:val="center"/>
          </w:tcPr>
          <w:p w14:paraId="78DDC4AC">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24.00NNE</w:t>
            </w:r>
          </w:p>
        </w:tc>
      </w:tr>
      <w:tr w14:paraId="0C339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55" w:type="dxa"/>
            <w:gridSpan w:val="2"/>
            <w:tcBorders>
              <w:top w:val="single" w:color="auto" w:sz="4" w:space="0"/>
              <w:left w:val="single" w:color="auto" w:sz="4" w:space="0"/>
              <w:bottom w:val="single" w:color="auto" w:sz="4" w:space="0"/>
              <w:right w:val="single" w:color="auto" w:sz="4" w:space="0"/>
            </w:tcBorders>
            <w:noWrap w:val="0"/>
            <w:vAlign w:val="center"/>
          </w:tcPr>
          <w:p w14:paraId="4AD93D22">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多年平均风速（m/s）</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DBFC28F">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1.49</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2E7BA376">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c>
          <w:tcPr>
            <w:tcW w:w="1748" w:type="dxa"/>
            <w:tcBorders>
              <w:top w:val="single" w:color="auto" w:sz="4" w:space="0"/>
              <w:left w:val="single" w:color="auto" w:sz="4" w:space="0"/>
              <w:bottom w:val="single" w:color="auto" w:sz="4" w:space="0"/>
              <w:right w:val="single" w:color="auto" w:sz="4" w:space="0"/>
            </w:tcBorders>
            <w:noWrap w:val="0"/>
            <w:vAlign w:val="center"/>
          </w:tcPr>
          <w:p w14:paraId="750CEFE5">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r>
      <w:tr w14:paraId="1D45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55" w:type="dxa"/>
            <w:gridSpan w:val="2"/>
            <w:tcBorders>
              <w:top w:val="single" w:color="auto" w:sz="4" w:space="0"/>
              <w:left w:val="single" w:color="auto" w:sz="4" w:space="0"/>
              <w:bottom w:val="single" w:color="auto" w:sz="4" w:space="0"/>
              <w:right w:val="single" w:color="auto" w:sz="4" w:space="0"/>
            </w:tcBorders>
            <w:noWrap w:val="0"/>
            <w:vAlign w:val="center"/>
          </w:tcPr>
          <w:p w14:paraId="143AD1D3">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多年主导风向/风向频率</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FE708B4">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lang w:bidi="ar"/>
                <w14:textFill>
                  <w14:solidFill>
                    <w14:schemeClr w14:val="tx1"/>
                  </w14:solidFill>
                </w14:textFill>
              </w:rPr>
              <w:t>S10.91</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1BF2506E">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c>
          <w:tcPr>
            <w:tcW w:w="1748" w:type="dxa"/>
            <w:tcBorders>
              <w:top w:val="single" w:color="auto" w:sz="4" w:space="0"/>
              <w:left w:val="single" w:color="auto" w:sz="4" w:space="0"/>
              <w:bottom w:val="single" w:color="auto" w:sz="4" w:space="0"/>
              <w:right w:val="single" w:color="auto" w:sz="4" w:space="0"/>
            </w:tcBorders>
            <w:noWrap w:val="0"/>
            <w:vAlign w:val="center"/>
          </w:tcPr>
          <w:p w14:paraId="7F23DD98">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r>
      <w:bookmarkEnd w:id="501"/>
      <w:bookmarkEnd w:id="502"/>
    </w:tbl>
    <w:p w14:paraId="0A04383E">
      <w:pPr>
        <w:widowControl/>
        <w:adjustRightInd w:val="0"/>
        <w:snapToGrid w:val="0"/>
        <w:spacing w:line="360" w:lineRule="auto"/>
        <w:ind w:firstLine="482" w:firstLineChars="200"/>
        <w:jc w:val="left"/>
        <w:rPr>
          <w:rFonts w:ascii="Times New Roman" w:hAnsi="Times New Roman" w:eastAsia="宋体" w:cs="Times New Roman"/>
          <w:b/>
          <w:color w:val="000000" w:themeColor="text1"/>
          <w:kern w:val="0"/>
          <w:sz w:val="24"/>
          <w:szCs w:val="20"/>
          <w14:textFill>
            <w14:solidFill>
              <w14:schemeClr w14:val="tx1"/>
            </w14:solidFill>
          </w14:textFill>
        </w:rPr>
      </w:pPr>
      <w:r>
        <w:rPr>
          <w:rFonts w:ascii="Times New Roman" w:hAnsi="Times New Roman" w:eastAsia="宋体" w:cs="Times New Roman"/>
          <w:b/>
          <w:color w:val="000000" w:themeColor="text1"/>
          <w:kern w:val="0"/>
          <w:sz w:val="24"/>
          <w:szCs w:val="20"/>
          <w14:textFill>
            <w14:solidFill>
              <w14:schemeClr w14:val="tx1"/>
            </w14:solidFill>
          </w14:textFill>
        </w:rPr>
        <w:t>2、预测模型</w:t>
      </w:r>
      <w:bookmarkEnd w:id="499"/>
      <w:bookmarkEnd w:id="500"/>
    </w:p>
    <w:p w14:paraId="333E1A41">
      <w:pPr>
        <w:widowControl/>
        <w:adjustRightInd w:val="0"/>
        <w:snapToGrid w:val="0"/>
        <w:spacing w:line="360" w:lineRule="auto"/>
        <w:ind w:firstLine="480" w:firstLineChars="200"/>
        <w:jc w:val="both"/>
        <w:rPr>
          <w:rFonts w:ascii="Times New Roman" w:hAnsi="Times New Roman" w:eastAsia="宋体" w:cs="Times New Roman"/>
          <w:color w:val="000000" w:themeColor="text1"/>
          <w:kern w:val="0"/>
          <w:sz w:val="24"/>
          <w:szCs w:val="20"/>
          <w14:textFill>
            <w14:solidFill>
              <w14:schemeClr w14:val="tx1"/>
            </w14:solidFill>
          </w14:textFill>
        </w:rPr>
      </w:pPr>
      <w:r>
        <w:rPr>
          <w:rFonts w:ascii="Times New Roman" w:hAnsi="Times New Roman" w:eastAsia="宋体" w:cs="Times New Roman"/>
          <w:color w:val="000000" w:themeColor="text1"/>
          <w:kern w:val="0"/>
          <w:sz w:val="24"/>
          <w:szCs w:val="20"/>
          <w14:textFill>
            <w14:solidFill>
              <w14:schemeClr w14:val="tx1"/>
            </w14:solidFill>
          </w14:textFill>
        </w:rPr>
        <w:t>本项目评价等级为二级，采用《环境影响评价技术导则</w:t>
      </w:r>
      <w:r>
        <w:rPr>
          <w:rFonts w:hint="eastAsia" w:ascii="Times New Roman" w:hAnsi="Times New Roman" w:eastAsia="宋体" w:cs="Times New Roman"/>
          <w:color w:val="000000" w:themeColor="text1"/>
          <w:kern w:val="0"/>
          <w:sz w:val="24"/>
          <w:szCs w:val="20"/>
          <w:lang w:val="en-US" w:eastAsia="zh-CN"/>
          <w14:textFill>
            <w14:solidFill>
              <w14:schemeClr w14:val="tx1"/>
            </w14:solidFill>
          </w14:textFill>
        </w:rPr>
        <w:t xml:space="preserve"> </w:t>
      </w:r>
      <w:r>
        <w:rPr>
          <w:rFonts w:ascii="Times New Roman" w:hAnsi="Times New Roman" w:eastAsia="宋体" w:cs="Times New Roman"/>
          <w:color w:val="000000" w:themeColor="text1"/>
          <w:kern w:val="0"/>
          <w:sz w:val="24"/>
          <w:szCs w:val="20"/>
          <w14:textFill>
            <w14:solidFill>
              <w14:schemeClr w14:val="tx1"/>
            </w14:solidFill>
          </w14:textFill>
        </w:rPr>
        <w:t>大气环境》（HJ2.2-2018）推荐的AERSCREEN模型系统进行预测。</w:t>
      </w:r>
    </w:p>
    <w:p w14:paraId="615150C7">
      <w:pPr>
        <w:widowControl/>
        <w:adjustRightInd w:val="0"/>
        <w:snapToGrid w:val="0"/>
        <w:spacing w:line="360" w:lineRule="auto"/>
        <w:ind w:firstLine="482" w:firstLineChars="200"/>
        <w:jc w:val="left"/>
        <w:rPr>
          <w:rFonts w:ascii="Times New Roman" w:hAnsi="Times New Roman" w:eastAsia="宋体" w:cs="Times New Roman"/>
          <w:b/>
          <w:color w:val="000000" w:themeColor="text1"/>
          <w:kern w:val="0"/>
          <w:sz w:val="24"/>
          <w:szCs w:val="20"/>
          <w:highlight w:val="none"/>
          <w14:textFill>
            <w14:solidFill>
              <w14:schemeClr w14:val="tx1"/>
            </w14:solidFill>
          </w14:textFill>
        </w:rPr>
      </w:pPr>
      <w:bookmarkStart w:id="503" w:name="_Toc5803537"/>
      <w:bookmarkStart w:id="504" w:name="_Toc535587252"/>
      <w:r>
        <w:rPr>
          <w:rFonts w:ascii="Times New Roman" w:hAnsi="Times New Roman" w:eastAsia="宋体" w:cs="Times New Roman"/>
          <w:b/>
          <w:color w:val="000000" w:themeColor="text1"/>
          <w:kern w:val="0"/>
          <w:sz w:val="24"/>
          <w:szCs w:val="20"/>
          <w:highlight w:val="none"/>
          <w14:textFill>
            <w14:solidFill>
              <w14:schemeClr w14:val="tx1"/>
            </w14:solidFill>
          </w14:textFill>
        </w:rPr>
        <w:t>3、污染物排放情况</w:t>
      </w:r>
      <w:bookmarkEnd w:id="503"/>
      <w:bookmarkEnd w:id="504"/>
    </w:p>
    <w:p w14:paraId="2B134440">
      <w:pPr>
        <w:pStyle w:val="79"/>
        <w:bidi w:val="0"/>
        <w:rPr>
          <w:rFonts w:ascii="Times New Roman" w:hAnsi="Times New Roman" w:eastAsia="宋体" w:cs="Times New Roman"/>
          <w:color w:val="000000" w:themeColor="text1"/>
          <w:kern w:val="0"/>
          <w:sz w:val="24"/>
          <w:szCs w:val="20"/>
          <w14:textFill>
            <w14:solidFill>
              <w14:schemeClr w14:val="tx1"/>
            </w14:solidFill>
          </w14:textFill>
        </w:rPr>
        <w:sectPr>
          <w:pgSz w:w="11906" w:h="16838"/>
          <w:pgMar w:top="1701" w:right="1531" w:bottom="1701" w:left="1531" w:header="851" w:footer="850" w:gutter="0"/>
          <w:pgBorders>
            <w:top w:val="none" w:sz="0" w:space="0"/>
            <w:left w:val="none" w:sz="0" w:space="0"/>
            <w:bottom w:val="none" w:sz="0" w:space="0"/>
            <w:right w:val="none" w:sz="0" w:space="0"/>
          </w:pgBorders>
          <w:cols w:space="0" w:num="1"/>
          <w:docGrid w:linePitch="312" w:charSpace="0"/>
        </w:sectPr>
      </w:pPr>
      <w:r>
        <w:rPr>
          <w:rFonts w:ascii="Times New Roman" w:hAnsi="Times New Roman" w:eastAsia="宋体" w:cs="Times New Roman"/>
          <w:color w:val="000000" w:themeColor="text1"/>
          <w:kern w:val="0"/>
          <w:sz w:val="24"/>
          <w:szCs w:val="20"/>
          <w14:textFill>
            <w14:solidFill>
              <w14:schemeClr w14:val="tx1"/>
            </w14:solidFill>
          </w14:textFill>
        </w:rPr>
        <w:t>项目产生的废气污染物排放情况见表</w:t>
      </w:r>
      <w:r>
        <w:rPr>
          <w:rFonts w:hint="eastAsia" w:ascii="Times New Roman" w:hAnsi="Times New Roman" w:eastAsia="宋体" w:cs="Times New Roman"/>
          <w:color w:val="000000" w:themeColor="text1"/>
          <w:kern w:val="0"/>
          <w:sz w:val="24"/>
          <w:szCs w:val="20"/>
          <w:lang w:val="en-US" w:eastAsia="zh-CN"/>
          <w14:textFill>
            <w14:solidFill>
              <w14:schemeClr w14:val="tx1"/>
            </w14:solidFill>
          </w14:textFill>
        </w:rPr>
        <w:t>4</w:t>
      </w:r>
      <w:r>
        <w:rPr>
          <w:rFonts w:ascii="Times New Roman" w:hAnsi="Times New Roman" w:eastAsia="宋体" w:cs="Times New Roman"/>
          <w:color w:val="000000" w:themeColor="text1"/>
          <w:kern w:val="0"/>
          <w:sz w:val="24"/>
          <w:szCs w:val="20"/>
          <w14:textFill>
            <w14:solidFill>
              <w14:schemeClr w14:val="tx1"/>
            </w14:solidFill>
          </w14:textFill>
        </w:rPr>
        <w:t>.2-</w:t>
      </w:r>
      <w:r>
        <w:rPr>
          <w:rFonts w:hint="eastAsia" w:ascii="Times New Roman" w:hAnsi="Times New Roman" w:eastAsia="宋体" w:cs="Times New Roman"/>
          <w:color w:val="000000" w:themeColor="text1"/>
          <w:kern w:val="0"/>
          <w:sz w:val="24"/>
          <w:szCs w:val="20"/>
          <w:lang w:val="en-US" w:eastAsia="zh-CN"/>
          <w14:textFill>
            <w14:solidFill>
              <w14:schemeClr w14:val="tx1"/>
            </w14:solidFill>
          </w14:textFill>
        </w:rPr>
        <w:t>2</w:t>
      </w:r>
      <w:r>
        <w:rPr>
          <w:rFonts w:ascii="Times New Roman" w:hAnsi="Times New Roman" w:eastAsia="宋体" w:cs="Times New Roman"/>
          <w:color w:val="000000" w:themeColor="text1"/>
          <w:kern w:val="0"/>
          <w:sz w:val="24"/>
          <w:szCs w:val="20"/>
          <w14:textFill>
            <w14:solidFill>
              <w14:schemeClr w14:val="tx1"/>
            </w14:solidFill>
          </w14:textFill>
        </w:rPr>
        <w:t>。</w:t>
      </w:r>
    </w:p>
    <w:p w14:paraId="1A045D2D">
      <w:pPr>
        <w:widowControl/>
        <w:adjustRightInd w:val="0"/>
        <w:snapToGrid w:val="0"/>
        <w:spacing w:before="159" w:beforeLines="50"/>
        <w:jc w:val="center"/>
        <w:rPr>
          <w:rFonts w:ascii="Times New Roman"/>
          <w:b/>
          <w:color w:val="000000" w:themeColor="text1"/>
          <w:kern w:val="0"/>
          <w:sz w:val="21"/>
          <w:szCs w:val="16"/>
          <w14:textFill>
            <w14:solidFill>
              <w14:schemeClr w14:val="tx1"/>
            </w14:solidFill>
          </w14:textFill>
        </w:rPr>
      </w:pPr>
      <w:r>
        <w:rPr>
          <w:rFonts w:ascii="Times New Roman"/>
          <w:b/>
          <w:color w:val="000000" w:themeColor="text1"/>
          <w:kern w:val="0"/>
          <w:sz w:val="21"/>
          <w:szCs w:val="16"/>
          <w14:textFill>
            <w14:solidFill>
              <w14:schemeClr w14:val="tx1"/>
            </w14:solidFill>
          </w14:textFill>
        </w:rPr>
        <w:t>表</w:t>
      </w:r>
      <w:r>
        <w:rPr>
          <w:rFonts w:hint="eastAsia"/>
          <w:b/>
          <w:color w:val="000000" w:themeColor="text1"/>
          <w:kern w:val="0"/>
          <w:sz w:val="21"/>
          <w:szCs w:val="16"/>
          <w:lang w:val="en-US" w:eastAsia="zh-CN"/>
          <w14:textFill>
            <w14:solidFill>
              <w14:schemeClr w14:val="tx1"/>
            </w14:solidFill>
          </w14:textFill>
        </w:rPr>
        <w:t>4</w:t>
      </w:r>
      <w:r>
        <w:rPr>
          <w:rFonts w:ascii="Times New Roman"/>
          <w:b/>
          <w:color w:val="000000" w:themeColor="text1"/>
          <w:kern w:val="0"/>
          <w:sz w:val="21"/>
          <w:szCs w:val="16"/>
          <w14:textFill>
            <w14:solidFill>
              <w14:schemeClr w14:val="tx1"/>
            </w14:solidFill>
          </w14:textFill>
        </w:rPr>
        <w:t>.2.</w:t>
      </w:r>
      <w:r>
        <w:rPr>
          <w:rFonts w:hint="eastAsia" w:ascii="Times New Roman"/>
          <w:b/>
          <w:color w:val="000000" w:themeColor="text1"/>
          <w:kern w:val="0"/>
          <w:sz w:val="21"/>
          <w:szCs w:val="16"/>
          <w:lang w:val="en-US" w:eastAsia="zh-CN"/>
          <w14:textFill>
            <w14:solidFill>
              <w14:schemeClr w14:val="tx1"/>
            </w14:solidFill>
          </w14:textFill>
        </w:rPr>
        <w:t>2</w:t>
      </w:r>
      <w:r>
        <w:rPr>
          <w:rFonts w:ascii="Times New Roman"/>
          <w:b/>
          <w:color w:val="000000" w:themeColor="text1"/>
          <w:kern w:val="0"/>
          <w:sz w:val="21"/>
          <w:szCs w:val="16"/>
          <w14:textFill>
            <w14:solidFill>
              <w14:schemeClr w14:val="tx1"/>
            </w14:solidFill>
          </w14:textFill>
        </w:rPr>
        <w:t xml:space="preserve"> 排气筒设置情况表</w:t>
      </w:r>
    </w:p>
    <w:tbl>
      <w:tblPr>
        <w:tblStyle w:val="31"/>
        <w:tblW w:w="14065" w:type="dxa"/>
        <w:tblInd w:w="-2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2110"/>
        <w:gridCol w:w="1772"/>
        <w:gridCol w:w="1737"/>
        <w:gridCol w:w="1746"/>
        <w:gridCol w:w="1313"/>
        <w:gridCol w:w="927"/>
        <w:gridCol w:w="2905"/>
      </w:tblGrid>
      <w:tr w14:paraId="7F3F5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noWrap w:val="0"/>
            <w:vAlign w:val="center"/>
          </w:tcPr>
          <w:p w14:paraId="7A7058A0">
            <w:pPr>
              <w:widowControl w:val="0"/>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排气筒编号</w:t>
            </w:r>
          </w:p>
        </w:tc>
        <w:tc>
          <w:tcPr>
            <w:tcW w:w="2110" w:type="dxa"/>
            <w:noWrap w:val="0"/>
            <w:vAlign w:val="center"/>
          </w:tcPr>
          <w:p w14:paraId="46FFE848">
            <w:pPr>
              <w:widowControl w:val="0"/>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排气筒风量（m</w:t>
            </w:r>
            <w:r>
              <w:rPr>
                <w:rFonts w:ascii="Times New Roman"/>
                <w:b/>
                <w:color w:val="000000" w:themeColor="text1"/>
                <w:kern w:val="0"/>
                <w:sz w:val="21"/>
                <w:szCs w:val="21"/>
                <w:vertAlign w:val="superscript"/>
                <w14:textFill>
                  <w14:solidFill>
                    <w14:schemeClr w14:val="tx1"/>
                  </w14:solidFill>
                </w14:textFill>
              </w:rPr>
              <w:t>3</w:t>
            </w:r>
            <w:r>
              <w:rPr>
                <w:rFonts w:ascii="Times New Roman"/>
                <w:b/>
                <w:color w:val="000000" w:themeColor="text1"/>
                <w:kern w:val="0"/>
                <w:sz w:val="21"/>
                <w:szCs w:val="21"/>
                <w14:textFill>
                  <w14:solidFill>
                    <w14:schemeClr w14:val="tx1"/>
                  </w14:solidFill>
                </w14:textFill>
              </w:rPr>
              <w:t>/h）</w:t>
            </w:r>
          </w:p>
        </w:tc>
        <w:tc>
          <w:tcPr>
            <w:tcW w:w="1772" w:type="dxa"/>
            <w:noWrap w:val="0"/>
            <w:vAlign w:val="center"/>
          </w:tcPr>
          <w:p w14:paraId="0C3492CE">
            <w:pPr>
              <w:widowControl w:val="0"/>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排气筒高度（m）</w:t>
            </w:r>
          </w:p>
        </w:tc>
        <w:tc>
          <w:tcPr>
            <w:tcW w:w="1737" w:type="dxa"/>
            <w:noWrap w:val="0"/>
            <w:vAlign w:val="center"/>
          </w:tcPr>
          <w:p w14:paraId="50EDC71D">
            <w:pPr>
              <w:widowControl w:val="0"/>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排气筒内径（m）</w:t>
            </w:r>
          </w:p>
        </w:tc>
        <w:tc>
          <w:tcPr>
            <w:tcW w:w="1746" w:type="dxa"/>
            <w:noWrap w:val="0"/>
            <w:vAlign w:val="center"/>
          </w:tcPr>
          <w:p w14:paraId="1E2B6AD0">
            <w:pPr>
              <w:widowControl w:val="0"/>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烟气流速（m/s）</w:t>
            </w:r>
          </w:p>
        </w:tc>
        <w:tc>
          <w:tcPr>
            <w:tcW w:w="2240" w:type="dxa"/>
            <w:gridSpan w:val="2"/>
            <w:noWrap w:val="0"/>
            <w:vAlign w:val="center"/>
          </w:tcPr>
          <w:p w14:paraId="0F9CFACE">
            <w:pPr>
              <w:widowControl w:val="0"/>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污染物排放量（t/a）</w:t>
            </w:r>
          </w:p>
        </w:tc>
        <w:tc>
          <w:tcPr>
            <w:tcW w:w="2905" w:type="dxa"/>
            <w:noWrap w:val="0"/>
            <w:vAlign w:val="center"/>
          </w:tcPr>
          <w:p w14:paraId="553B603F">
            <w:pPr>
              <w:widowControl w:val="0"/>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污染物排放速率（kg/h）</w:t>
            </w:r>
          </w:p>
        </w:tc>
      </w:tr>
      <w:tr w14:paraId="66B76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restart"/>
            <w:noWrap w:val="0"/>
            <w:vAlign w:val="center"/>
          </w:tcPr>
          <w:p w14:paraId="55130A92">
            <w:pPr>
              <w:widowControl w:val="0"/>
              <w:jc w:val="center"/>
              <w:rPr>
                <w:rFonts w:ascii="Times New Roman"/>
                <w:bCs/>
                <w:color w:val="000000" w:themeColor="text1"/>
                <w:kern w:val="0"/>
                <w:sz w:val="21"/>
                <w:szCs w:val="21"/>
                <w14:textFill>
                  <w14:solidFill>
                    <w14:schemeClr w14:val="tx1"/>
                  </w14:solidFill>
                </w14:textFill>
              </w:rPr>
            </w:pPr>
            <w:r>
              <w:rPr>
                <w:rFonts w:ascii="Times New Roman"/>
                <w:bCs/>
                <w:color w:val="000000" w:themeColor="text1"/>
                <w:kern w:val="0"/>
                <w:sz w:val="21"/>
                <w:szCs w:val="21"/>
                <w14:textFill>
                  <w14:solidFill>
                    <w14:schemeClr w14:val="tx1"/>
                  </w14:solidFill>
                </w14:textFill>
              </w:rPr>
              <w:t>DA001</w:t>
            </w:r>
          </w:p>
        </w:tc>
        <w:tc>
          <w:tcPr>
            <w:tcW w:w="2110" w:type="dxa"/>
            <w:vMerge w:val="restart"/>
            <w:noWrap w:val="0"/>
            <w:vAlign w:val="center"/>
          </w:tcPr>
          <w:p w14:paraId="572BB616">
            <w:pPr>
              <w:widowControl w:val="0"/>
              <w:jc w:val="center"/>
              <w:rPr>
                <w:rFonts w:hint="default" w:ascii="Times New Roman" w:eastAsia="宋体"/>
                <w:bCs/>
                <w:color w:val="000000" w:themeColor="text1"/>
                <w:kern w:val="0"/>
                <w:sz w:val="21"/>
                <w:szCs w:val="21"/>
                <w:lang w:val="en-US" w:eastAsia="zh-CN"/>
                <w14:textFill>
                  <w14:solidFill>
                    <w14:schemeClr w14:val="tx1"/>
                  </w14:solidFill>
                </w14:textFill>
              </w:rPr>
            </w:pPr>
            <w:r>
              <w:rPr>
                <w:rFonts w:hint="eastAsia"/>
                <w:bCs/>
                <w:color w:val="000000" w:themeColor="text1"/>
                <w:kern w:val="0"/>
                <w:sz w:val="21"/>
                <w:szCs w:val="21"/>
                <w:lang w:val="en-US" w:eastAsia="zh-CN"/>
                <w14:textFill>
                  <w14:solidFill>
                    <w14:schemeClr w14:val="tx1"/>
                  </w14:solidFill>
                </w14:textFill>
              </w:rPr>
              <w:t>20000</w:t>
            </w:r>
          </w:p>
        </w:tc>
        <w:tc>
          <w:tcPr>
            <w:tcW w:w="1772" w:type="dxa"/>
            <w:vMerge w:val="restart"/>
            <w:noWrap w:val="0"/>
            <w:vAlign w:val="center"/>
          </w:tcPr>
          <w:p w14:paraId="1B77E938">
            <w:pPr>
              <w:widowControl w:val="0"/>
              <w:jc w:val="center"/>
              <w:rPr>
                <w:rFonts w:ascii="Times New Roman"/>
                <w:bCs/>
                <w:color w:val="000000" w:themeColor="text1"/>
                <w:kern w:val="0"/>
                <w:sz w:val="21"/>
                <w:szCs w:val="21"/>
                <w14:textFill>
                  <w14:solidFill>
                    <w14:schemeClr w14:val="tx1"/>
                  </w14:solidFill>
                </w14:textFill>
              </w:rPr>
            </w:pPr>
            <w:r>
              <w:rPr>
                <w:rFonts w:ascii="Times New Roman"/>
                <w:bCs/>
                <w:color w:val="000000" w:themeColor="text1"/>
                <w:kern w:val="0"/>
                <w:sz w:val="21"/>
                <w:szCs w:val="21"/>
                <w14:textFill>
                  <w14:solidFill>
                    <w14:schemeClr w14:val="tx1"/>
                  </w14:solidFill>
                </w14:textFill>
              </w:rPr>
              <w:t>15</w:t>
            </w:r>
          </w:p>
        </w:tc>
        <w:tc>
          <w:tcPr>
            <w:tcW w:w="1737" w:type="dxa"/>
            <w:vMerge w:val="restart"/>
            <w:noWrap w:val="0"/>
            <w:vAlign w:val="center"/>
          </w:tcPr>
          <w:p w14:paraId="277F61C7">
            <w:pPr>
              <w:widowControl w:val="0"/>
              <w:jc w:val="center"/>
              <w:rPr>
                <w:rFonts w:hint="default" w:ascii="Times New Roman" w:eastAsia="宋体"/>
                <w:bCs/>
                <w:color w:val="000000" w:themeColor="text1"/>
                <w:kern w:val="0"/>
                <w:sz w:val="21"/>
                <w:szCs w:val="21"/>
                <w:lang w:val="en-US" w:eastAsia="zh-CN"/>
                <w14:textFill>
                  <w14:solidFill>
                    <w14:schemeClr w14:val="tx1"/>
                  </w14:solidFill>
                </w14:textFill>
              </w:rPr>
            </w:pPr>
            <w:r>
              <w:rPr>
                <w:rFonts w:hint="eastAsia"/>
                <w:bCs/>
                <w:color w:val="000000" w:themeColor="text1"/>
                <w:kern w:val="0"/>
                <w:sz w:val="21"/>
                <w:szCs w:val="21"/>
                <w:lang w:val="en-US" w:eastAsia="zh-CN"/>
                <w14:textFill>
                  <w14:solidFill>
                    <w14:schemeClr w14:val="tx1"/>
                  </w14:solidFill>
                </w14:textFill>
              </w:rPr>
              <w:t>0.4</w:t>
            </w:r>
          </w:p>
        </w:tc>
        <w:tc>
          <w:tcPr>
            <w:tcW w:w="1746" w:type="dxa"/>
            <w:vMerge w:val="restart"/>
            <w:noWrap w:val="0"/>
            <w:vAlign w:val="center"/>
          </w:tcPr>
          <w:p w14:paraId="0795A3FC">
            <w:pPr>
              <w:widowControl w:val="0"/>
              <w:jc w:val="center"/>
              <w:rPr>
                <w:rFonts w:hint="default" w:ascii="Times New Roman" w:eastAsia="宋体"/>
                <w:bCs/>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15.47</w:t>
            </w:r>
          </w:p>
        </w:tc>
        <w:tc>
          <w:tcPr>
            <w:tcW w:w="1313" w:type="dxa"/>
            <w:noWrap w:val="0"/>
            <w:vAlign w:val="center"/>
          </w:tcPr>
          <w:p w14:paraId="5557D853">
            <w:pPr>
              <w:widowControl w:val="0"/>
              <w:jc w:val="center"/>
              <w:rPr>
                <w:rFonts w:ascii="Times New Roman"/>
                <w:bCs/>
                <w:color w:val="000000" w:themeColor="text1"/>
                <w:kern w:val="0"/>
                <w:sz w:val="21"/>
                <w:szCs w:val="21"/>
                <w14:textFill>
                  <w14:solidFill>
                    <w14:schemeClr w14:val="tx1"/>
                  </w14:solidFill>
                </w14:textFill>
              </w:rPr>
            </w:pPr>
            <w:r>
              <w:rPr>
                <w:rFonts w:ascii="Times New Roman"/>
                <w:bCs/>
                <w:color w:val="000000" w:themeColor="text1"/>
                <w:kern w:val="0"/>
                <w:sz w:val="21"/>
                <w:szCs w:val="21"/>
                <w14:textFill>
                  <w14:solidFill>
                    <w14:schemeClr w14:val="tx1"/>
                  </w14:solidFill>
                </w14:textFill>
              </w:rPr>
              <w:t>非甲烷总烃</w:t>
            </w:r>
          </w:p>
        </w:tc>
        <w:tc>
          <w:tcPr>
            <w:tcW w:w="927" w:type="dxa"/>
            <w:noWrap w:val="0"/>
            <w:vAlign w:val="center"/>
          </w:tcPr>
          <w:p w14:paraId="68F61F00">
            <w:pPr>
              <w:widowControl w:val="0"/>
              <w:jc w:val="center"/>
              <w:rPr>
                <w:rFonts w:hint="default" w:ascii="Times New Roman" w:eastAsia="宋体"/>
                <w:bCs/>
                <w:color w:val="000000" w:themeColor="text1"/>
                <w:kern w:val="0"/>
                <w:sz w:val="21"/>
                <w:szCs w:val="21"/>
                <w:lang w:val="en-US" w:eastAsia="zh-CN"/>
                <w14:textFill>
                  <w14:solidFill>
                    <w14:schemeClr w14:val="tx1"/>
                  </w14:solidFill>
                </w14:textFill>
              </w:rPr>
            </w:pPr>
            <w:r>
              <w:rPr>
                <w:rFonts w:hint="eastAsia"/>
                <w:bCs/>
                <w:color w:val="000000" w:themeColor="text1"/>
                <w:kern w:val="0"/>
                <w:sz w:val="21"/>
                <w:szCs w:val="21"/>
                <w:lang w:val="en-US" w:eastAsia="zh-CN"/>
                <w14:textFill>
                  <w14:solidFill>
                    <w14:schemeClr w14:val="tx1"/>
                  </w14:solidFill>
                </w14:textFill>
              </w:rPr>
              <w:t>0.36</w:t>
            </w:r>
          </w:p>
        </w:tc>
        <w:tc>
          <w:tcPr>
            <w:tcW w:w="2905" w:type="dxa"/>
            <w:noWrap w:val="0"/>
            <w:vAlign w:val="center"/>
          </w:tcPr>
          <w:p w14:paraId="46FC6714">
            <w:pPr>
              <w:widowControl w:val="0"/>
              <w:jc w:val="center"/>
              <w:rPr>
                <w:rFonts w:hint="default" w:ascii="Times New Roman" w:eastAsia="宋体"/>
                <w:bCs/>
                <w:color w:val="000000" w:themeColor="text1"/>
                <w:kern w:val="0"/>
                <w:sz w:val="21"/>
                <w:szCs w:val="21"/>
                <w:lang w:val="en-US" w:eastAsia="zh-CN"/>
                <w14:textFill>
                  <w14:solidFill>
                    <w14:schemeClr w14:val="tx1"/>
                  </w14:solidFill>
                </w14:textFill>
              </w:rPr>
            </w:pPr>
            <w:r>
              <w:rPr>
                <w:rFonts w:hint="eastAsia"/>
                <w:bCs/>
                <w:color w:val="000000" w:themeColor="text1"/>
                <w:kern w:val="0"/>
                <w:sz w:val="21"/>
                <w:szCs w:val="21"/>
                <w:lang w:val="en-US" w:eastAsia="zh-CN"/>
                <w14:textFill>
                  <w14:solidFill>
                    <w14:schemeClr w14:val="tx1"/>
                  </w14:solidFill>
                </w14:textFill>
              </w:rPr>
              <w:t>0.09</w:t>
            </w:r>
          </w:p>
        </w:tc>
      </w:tr>
      <w:tr w14:paraId="3AEEB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noWrap w:val="0"/>
            <w:vAlign w:val="center"/>
          </w:tcPr>
          <w:p w14:paraId="64AD633E">
            <w:pPr>
              <w:widowControl w:val="0"/>
              <w:jc w:val="center"/>
              <w:rPr>
                <w:rFonts w:ascii="Times New Roman"/>
                <w:bCs/>
                <w:color w:val="000000" w:themeColor="text1"/>
                <w:kern w:val="0"/>
                <w:sz w:val="21"/>
                <w:szCs w:val="21"/>
                <w14:textFill>
                  <w14:solidFill>
                    <w14:schemeClr w14:val="tx1"/>
                  </w14:solidFill>
                </w14:textFill>
              </w:rPr>
            </w:pPr>
          </w:p>
        </w:tc>
        <w:tc>
          <w:tcPr>
            <w:tcW w:w="2110" w:type="dxa"/>
            <w:vMerge w:val="continue"/>
            <w:noWrap w:val="0"/>
            <w:vAlign w:val="center"/>
          </w:tcPr>
          <w:p w14:paraId="73550044">
            <w:pPr>
              <w:widowControl w:val="0"/>
              <w:jc w:val="center"/>
              <w:rPr>
                <w:rFonts w:hint="eastAsia"/>
                <w:bCs/>
                <w:color w:val="000000" w:themeColor="text1"/>
                <w:kern w:val="0"/>
                <w:sz w:val="21"/>
                <w:szCs w:val="21"/>
                <w:lang w:val="en-US" w:eastAsia="zh-CN"/>
                <w14:textFill>
                  <w14:solidFill>
                    <w14:schemeClr w14:val="tx1"/>
                  </w14:solidFill>
                </w14:textFill>
              </w:rPr>
            </w:pPr>
          </w:p>
        </w:tc>
        <w:tc>
          <w:tcPr>
            <w:tcW w:w="1772" w:type="dxa"/>
            <w:vMerge w:val="continue"/>
            <w:noWrap w:val="0"/>
            <w:vAlign w:val="center"/>
          </w:tcPr>
          <w:p w14:paraId="5C86C160">
            <w:pPr>
              <w:widowControl w:val="0"/>
              <w:jc w:val="center"/>
              <w:rPr>
                <w:rFonts w:ascii="Times New Roman"/>
                <w:bCs/>
                <w:color w:val="000000" w:themeColor="text1"/>
                <w:kern w:val="0"/>
                <w:sz w:val="21"/>
                <w:szCs w:val="21"/>
                <w14:textFill>
                  <w14:solidFill>
                    <w14:schemeClr w14:val="tx1"/>
                  </w14:solidFill>
                </w14:textFill>
              </w:rPr>
            </w:pPr>
          </w:p>
        </w:tc>
        <w:tc>
          <w:tcPr>
            <w:tcW w:w="1737" w:type="dxa"/>
            <w:vMerge w:val="continue"/>
            <w:noWrap w:val="0"/>
            <w:vAlign w:val="center"/>
          </w:tcPr>
          <w:p w14:paraId="1CADC9C4">
            <w:pPr>
              <w:widowControl w:val="0"/>
              <w:jc w:val="center"/>
              <w:rPr>
                <w:rFonts w:hint="eastAsia"/>
                <w:bCs/>
                <w:color w:val="000000" w:themeColor="text1"/>
                <w:kern w:val="0"/>
                <w:sz w:val="21"/>
                <w:szCs w:val="21"/>
                <w:lang w:val="en-US" w:eastAsia="zh-CN"/>
                <w14:textFill>
                  <w14:solidFill>
                    <w14:schemeClr w14:val="tx1"/>
                  </w14:solidFill>
                </w14:textFill>
              </w:rPr>
            </w:pPr>
          </w:p>
        </w:tc>
        <w:tc>
          <w:tcPr>
            <w:tcW w:w="1746" w:type="dxa"/>
            <w:vMerge w:val="continue"/>
            <w:noWrap w:val="0"/>
            <w:vAlign w:val="center"/>
          </w:tcPr>
          <w:p w14:paraId="5F93AD73">
            <w:pPr>
              <w:widowControl w:val="0"/>
              <w:jc w:val="center"/>
              <w:rPr>
                <w:rFonts w:hint="eastAsia"/>
                <w:color w:val="000000" w:themeColor="text1"/>
                <w:kern w:val="0"/>
                <w:sz w:val="21"/>
                <w:szCs w:val="21"/>
                <w:lang w:val="en-US" w:eastAsia="zh-CN"/>
                <w14:textFill>
                  <w14:solidFill>
                    <w14:schemeClr w14:val="tx1"/>
                  </w14:solidFill>
                </w14:textFill>
              </w:rPr>
            </w:pPr>
          </w:p>
        </w:tc>
        <w:tc>
          <w:tcPr>
            <w:tcW w:w="1313" w:type="dxa"/>
            <w:noWrap w:val="0"/>
            <w:vAlign w:val="center"/>
          </w:tcPr>
          <w:p w14:paraId="65A43C9D">
            <w:pPr>
              <w:widowControl w:val="0"/>
              <w:jc w:val="center"/>
              <w:rPr>
                <w:rFonts w:hint="eastAsia" w:ascii="Times New Roman" w:eastAsia="宋体"/>
                <w:bCs/>
                <w:color w:val="000000" w:themeColor="text1"/>
                <w:kern w:val="0"/>
                <w:sz w:val="21"/>
                <w:szCs w:val="21"/>
                <w:lang w:val="en-US" w:eastAsia="zh-CN"/>
                <w14:textFill>
                  <w14:solidFill>
                    <w14:schemeClr w14:val="tx1"/>
                  </w14:solidFill>
                </w14:textFill>
              </w:rPr>
            </w:pPr>
            <w:r>
              <w:rPr>
                <w:rFonts w:hint="eastAsia"/>
                <w:bCs/>
                <w:color w:val="000000" w:themeColor="text1"/>
                <w:kern w:val="0"/>
                <w:sz w:val="21"/>
                <w:szCs w:val="21"/>
                <w:lang w:val="en-US" w:eastAsia="zh-CN"/>
                <w14:textFill>
                  <w14:solidFill>
                    <w14:schemeClr w14:val="tx1"/>
                  </w14:solidFill>
                </w14:textFill>
              </w:rPr>
              <w:t>甲醛</w:t>
            </w:r>
          </w:p>
        </w:tc>
        <w:tc>
          <w:tcPr>
            <w:tcW w:w="927" w:type="dxa"/>
            <w:noWrap w:val="0"/>
            <w:vAlign w:val="center"/>
          </w:tcPr>
          <w:p w14:paraId="73644229">
            <w:pPr>
              <w:widowControl w:val="0"/>
              <w:jc w:val="center"/>
              <w:rPr>
                <w:rFonts w:hint="default" w:ascii="Times New Roman"/>
                <w:bCs/>
                <w:color w:val="000000" w:themeColor="text1"/>
                <w:kern w:val="0"/>
                <w:sz w:val="21"/>
                <w:szCs w:val="21"/>
                <w:lang w:val="en-US" w:eastAsia="zh-CN"/>
                <w14:textFill>
                  <w14:solidFill>
                    <w14:schemeClr w14:val="tx1"/>
                  </w14:solidFill>
                </w14:textFill>
              </w:rPr>
            </w:pPr>
            <w:r>
              <w:rPr>
                <w:rFonts w:hint="eastAsia"/>
                <w:bCs/>
                <w:color w:val="000000" w:themeColor="text1"/>
                <w:kern w:val="0"/>
                <w:sz w:val="21"/>
                <w:szCs w:val="21"/>
                <w:lang w:val="en-US" w:eastAsia="zh-CN"/>
                <w14:textFill>
                  <w14:solidFill>
                    <w14:schemeClr w14:val="tx1"/>
                  </w14:solidFill>
                </w14:textFill>
              </w:rPr>
              <w:t>0.002</w:t>
            </w:r>
          </w:p>
        </w:tc>
        <w:tc>
          <w:tcPr>
            <w:tcW w:w="2905" w:type="dxa"/>
            <w:noWrap w:val="0"/>
            <w:vAlign w:val="center"/>
          </w:tcPr>
          <w:p w14:paraId="54E5AD7E">
            <w:pPr>
              <w:widowControl w:val="0"/>
              <w:jc w:val="center"/>
              <w:rPr>
                <w:rFonts w:hint="default" w:ascii="Times New Roman" w:eastAsia="宋体"/>
                <w:bCs/>
                <w:color w:val="000000" w:themeColor="text1"/>
                <w:kern w:val="0"/>
                <w:sz w:val="21"/>
                <w:szCs w:val="21"/>
                <w:lang w:val="en-US" w:eastAsia="zh-CN"/>
                <w14:textFill>
                  <w14:solidFill>
                    <w14:schemeClr w14:val="tx1"/>
                  </w14:solidFill>
                </w14:textFill>
              </w:rPr>
            </w:pPr>
            <w:r>
              <w:rPr>
                <w:rFonts w:hint="eastAsia"/>
                <w:bCs/>
                <w:color w:val="000000" w:themeColor="text1"/>
                <w:kern w:val="0"/>
                <w:sz w:val="21"/>
                <w:szCs w:val="21"/>
                <w:lang w:val="en-US" w:eastAsia="zh-CN"/>
                <w14:textFill>
                  <w14:solidFill>
                    <w14:schemeClr w14:val="tx1"/>
                  </w14:solidFill>
                </w14:textFill>
              </w:rPr>
              <w:t>0.0004</w:t>
            </w:r>
          </w:p>
        </w:tc>
      </w:tr>
      <w:tr w14:paraId="10E8E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1555" w:type="dxa"/>
            <w:noWrap w:val="0"/>
            <w:vAlign w:val="center"/>
          </w:tcPr>
          <w:p w14:paraId="63807C5C">
            <w:pPr>
              <w:widowControl w:val="0"/>
              <w:jc w:val="center"/>
              <w:rPr>
                <w:rFonts w:ascii="Times New Roman"/>
                <w:bCs/>
                <w:color w:val="000000" w:themeColor="text1"/>
                <w:kern w:val="0"/>
                <w:sz w:val="21"/>
                <w:szCs w:val="21"/>
                <w14:textFill>
                  <w14:solidFill>
                    <w14:schemeClr w14:val="tx1"/>
                  </w14:solidFill>
                </w14:textFill>
              </w:rPr>
            </w:pPr>
            <w:r>
              <w:rPr>
                <w:rFonts w:ascii="Times New Roman"/>
                <w:bCs/>
                <w:color w:val="000000" w:themeColor="text1"/>
                <w:kern w:val="0"/>
                <w:sz w:val="21"/>
                <w:szCs w:val="21"/>
                <w14:textFill>
                  <w14:solidFill>
                    <w14:schemeClr w14:val="tx1"/>
                  </w14:solidFill>
                </w14:textFill>
              </w:rPr>
              <w:t>DA002</w:t>
            </w:r>
          </w:p>
        </w:tc>
        <w:tc>
          <w:tcPr>
            <w:tcW w:w="2110" w:type="dxa"/>
            <w:noWrap w:val="0"/>
            <w:vAlign w:val="center"/>
          </w:tcPr>
          <w:p w14:paraId="52E9C624">
            <w:pPr>
              <w:widowControl w:val="0"/>
              <w:jc w:val="center"/>
              <w:rPr>
                <w:rFonts w:ascii="Times New Roman"/>
                <w:bCs/>
                <w:color w:val="000000" w:themeColor="text1"/>
                <w:kern w:val="0"/>
                <w:sz w:val="21"/>
                <w:szCs w:val="21"/>
                <w14:textFill>
                  <w14:solidFill>
                    <w14:schemeClr w14:val="tx1"/>
                  </w14:solidFill>
                </w14:textFill>
              </w:rPr>
            </w:pPr>
            <w:r>
              <w:rPr>
                <w:rFonts w:hint="eastAsia"/>
                <w:bCs/>
                <w:color w:val="000000" w:themeColor="text1"/>
                <w:kern w:val="0"/>
                <w:sz w:val="21"/>
                <w:szCs w:val="21"/>
                <w:lang w:val="en-US" w:eastAsia="zh-CN"/>
                <w14:textFill>
                  <w14:solidFill>
                    <w14:schemeClr w14:val="tx1"/>
                  </w14:solidFill>
                </w14:textFill>
              </w:rPr>
              <w:t>7</w:t>
            </w:r>
            <w:r>
              <w:rPr>
                <w:rFonts w:hint="eastAsia" w:ascii="Times New Roman"/>
                <w:bCs/>
                <w:color w:val="000000" w:themeColor="text1"/>
                <w:kern w:val="0"/>
                <w:sz w:val="21"/>
                <w:szCs w:val="21"/>
                <w14:textFill>
                  <w14:solidFill>
                    <w14:schemeClr w14:val="tx1"/>
                  </w14:solidFill>
                </w14:textFill>
              </w:rPr>
              <w:t>000</w:t>
            </w:r>
          </w:p>
        </w:tc>
        <w:tc>
          <w:tcPr>
            <w:tcW w:w="1772" w:type="dxa"/>
            <w:noWrap w:val="0"/>
            <w:vAlign w:val="center"/>
          </w:tcPr>
          <w:p w14:paraId="60933EE9">
            <w:pPr>
              <w:widowControl w:val="0"/>
              <w:jc w:val="center"/>
              <w:rPr>
                <w:rFonts w:ascii="Times New Roman"/>
                <w:bCs/>
                <w:color w:val="000000" w:themeColor="text1"/>
                <w:kern w:val="0"/>
                <w:sz w:val="21"/>
                <w:szCs w:val="21"/>
                <w14:textFill>
                  <w14:solidFill>
                    <w14:schemeClr w14:val="tx1"/>
                  </w14:solidFill>
                </w14:textFill>
              </w:rPr>
            </w:pPr>
            <w:r>
              <w:rPr>
                <w:rFonts w:ascii="Times New Roman"/>
                <w:bCs/>
                <w:color w:val="000000" w:themeColor="text1"/>
                <w:kern w:val="0"/>
                <w:sz w:val="21"/>
                <w:szCs w:val="21"/>
                <w14:textFill>
                  <w14:solidFill>
                    <w14:schemeClr w14:val="tx1"/>
                  </w14:solidFill>
                </w14:textFill>
              </w:rPr>
              <w:t>15</w:t>
            </w:r>
          </w:p>
        </w:tc>
        <w:tc>
          <w:tcPr>
            <w:tcW w:w="1737" w:type="dxa"/>
            <w:noWrap w:val="0"/>
            <w:vAlign w:val="center"/>
          </w:tcPr>
          <w:p w14:paraId="3579F94D">
            <w:pPr>
              <w:widowControl w:val="0"/>
              <w:jc w:val="center"/>
              <w:rPr>
                <w:rFonts w:ascii="Times New Roman"/>
                <w:bCs/>
                <w:color w:val="000000" w:themeColor="text1"/>
                <w:kern w:val="0"/>
                <w:sz w:val="21"/>
                <w:szCs w:val="21"/>
                <w14:textFill>
                  <w14:solidFill>
                    <w14:schemeClr w14:val="tx1"/>
                  </w14:solidFill>
                </w14:textFill>
              </w:rPr>
            </w:pPr>
            <w:r>
              <w:rPr>
                <w:rFonts w:ascii="Times New Roman"/>
                <w:bCs/>
                <w:color w:val="000000" w:themeColor="text1"/>
                <w:kern w:val="0"/>
                <w:sz w:val="21"/>
                <w:szCs w:val="21"/>
                <w14:textFill>
                  <w14:solidFill>
                    <w14:schemeClr w14:val="tx1"/>
                  </w14:solidFill>
                </w14:textFill>
              </w:rPr>
              <w:t>0.3</w:t>
            </w:r>
          </w:p>
        </w:tc>
        <w:tc>
          <w:tcPr>
            <w:tcW w:w="1746" w:type="dxa"/>
            <w:noWrap w:val="0"/>
            <w:vAlign w:val="center"/>
          </w:tcPr>
          <w:p w14:paraId="52D83A7C">
            <w:pPr>
              <w:widowControl w:val="0"/>
              <w:jc w:val="center"/>
              <w:rPr>
                <w:rFonts w:hint="eastAsia" w:ascii="Times New Roman" w:eastAsia="宋体"/>
                <w:bCs/>
                <w:color w:val="000000" w:themeColor="text1"/>
                <w:kern w:val="0"/>
                <w:sz w:val="21"/>
                <w:szCs w:val="21"/>
                <w:lang w:val="en-US" w:eastAsia="zh-CN"/>
                <w14:textFill>
                  <w14:solidFill>
                    <w14:schemeClr w14:val="tx1"/>
                  </w14:solidFill>
                </w14:textFill>
              </w:rPr>
            </w:pPr>
            <w:r>
              <w:rPr>
                <w:rFonts w:ascii="Times New Roman"/>
                <w:color w:val="000000" w:themeColor="text1"/>
                <w:kern w:val="0"/>
                <w:sz w:val="21"/>
                <w:szCs w:val="21"/>
                <w14:textFill>
                  <w14:solidFill>
                    <w14:schemeClr w14:val="tx1"/>
                  </w14:solidFill>
                </w14:textFill>
              </w:rPr>
              <w:t>7.8</w:t>
            </w:r>
            <w:r>
              <w:rPr>
                <w:rFonts w:hint="eastAsia"/>
                <w:color w:val="000000" w:themeColor="text1"/>
                <w:kern w:val="0"/>
                <w:sz w:val="21"/>
                <w:szCs w:val="21"/>
                <w:lang w:val="en-US" w:eastAsia="zh-CN"/>
                <w14:textFill>
                  <w14:solidFill>
                    <w14:schemeClr w14:val="tx1"/>
                  </w14:solidFill>
                </w14:textFill>
              </w:rPr>
              <w:t>6</w:t>
            </w:r>
          </w:p>
        </w:tc>
        <w:tc>
          <w:tcPr>
            <w:tcW w:w="1313" w:type="dxa"/>
            <w:noWrap w:val="0"/>
            <w:vAlign w:val="center"/>
          </w:tcPr>
          <w:p w14:paraId="6ABDD897">
            <w:pPr>
              <w:widowControl w:val="0"/>
              <w:jc w:val="center"/>
              <w:rPr>
                <w:rFonts w:hint="eastAsia" w:ascii="Times New Roman" w:eastAsia="宋体"/>
                <w:bCs/>
                <w:color w:val="000000" w:themeColor="text1"/>
                <w:kern w:val="0"/>
                <w:sz w:val="21"/>
                <w:szCs w:val="21"/>
                <w:lang w:val="en-US" w:eastAsia="zh-CN"/>
                <w14:textFill>
                  <w14:solidFill>
                    <w14:schemeClr w14:val="tx1"/>
                  </w14:solidFill>
                </w14:textFill>
              </w:rPr>
            </w:pPr>
            <w:r>
              <w:rPr>
                <w:rFonts w:hint="eastAsia" w:ascii="Times New Roman"/>
                <w:bCs/>
                <w:color w:val="000000" w:themeColor="text1"/>
                <w:kern w:val="0"/>
                <w:sz w:val="21"/>
                <w:szCs w:val="21"/>
                <w:lang w:val="en-US" w:eastAsia="zh-CN"/>
                <w14:textFill>
                  <w14:solidFill>
                    <w14:schemeClr w14:val="tx1"/>
                  </w14:solidFill>
                </w14:textFill>
              </w:rPr>
              <w:t>颗粒物</w:t>
            </w:r>
          </w:p>
        </w:tc>
        <w:tc>
          <w:tcPr>
            <w:tcW w:w="927" w:type="dxa"/>
            <w:noWrap w:val="0"/>
            <w:vAlign w:val="center"/>
          </w:tcPr>
          <w:p w14:paraId="17F5DD70">
            <w:pPr>
              <w:widowControl w:val="0"/>
              <w:jc w:val="center"/>
              <w:rPr>
                <w:rFonts w:hint="default" w:ascii="Times New Roman" w:eastAsia="宋体"/>
                <w:bCs/>
                <w:color w:val="000000" w:themeColor="text1"/>
                <w:kern w:val="0"/>
                <w:sz w:val="21"/>
                <w:szCs w:val="21"/>
                <w:lang w:val="en-US" w:eastAsia="zh-CN"/>
                <w14:textFill>
                  <w14:solidFill>
                    <w14:schemeClr w14:val="tx1"/>
                  </w14:solidFill>
                </w14:textFill>
              </w:rPr>
            </w:pPr>
            <w:r>
              <w:rPr>
                <w:rFonts w:hint="eastAsia"/>
                <w:bCs/>
                <w:color w:val="000000" w:themeColor="text1"/>
                <w:kern w:val="0"/>
                <w:sz w:val="21"/>
                <w:szCs w:val="21"/>
                <w:lang w:val="en-US" w:eastAsia="zh-CN"/>
                <w14:textFill>
                  <w14:solidFill>
                    <w14:schemeClr w14:val="tx1"/>
                  </w14:solidFill>
                </w14:textFill>
              </w:rPr>
              <w:t>0.05</w:t>
            </w:r>
          </w:p>
        </w:tc>
        <w:tc>
          <w:tcPr>
            <w:tcW w:w="2905" w:type="dxa"/>
            <w:noWrap w:val="0"/>
            <w:vAlign w:val="center"/>
          </w:tcPr>
          <w:p w14:paraId="7D754CBF">
            <w:pPr>
              <w:widowControl w:val="0"/>
              <w:jc w:val="center"/>
              <w:rPr>
                <w:rFonts w:hint="default" w:ascii="Times New Roman" w:eastAsia="宋体"/>
                <w:bCs/>
                <w:color w:val="000000" w:themeColor="text1"/>
                <w:kern w:val="0"/>
                <w:sz w:val="21"/>
                <w:szCs w:val="21"/>
                <w:lang w:val="en-US" w:eastAsia="zh-CN"/>
                <w14:textFill>
                  <w14:solidFill>
                    <w14:schemeClr w14:val="tx1"/>
                  </w14:solidFill>
                </w14:textFill>
              </w:rPr>
            </w:pPr>
            <w:r>
              <w:rPr>
                <w:rFonts w:hint="eastAsia"/>
                <w:bCs/>
                <w:color w:val="000000" w:themeColor="text1"/>
                <w:kern w:val="0"/>
                <w:sz w:val="21"/>
                <w:szCs w:val="21"/>
                <w:lang w:val="en-US" w:eastAsia="zh-CN"/>
                <w14:textFill>
                  <w14:solidFill>
                    <w14:schemeClr w14:val="tx1"/>
                  </w14:solidFill>
                </w14:textFill>
              </w:rPr>
              <w:t>0.01</w:t>
            </w:r>
          </w:p>
        </w:tc>
      </w:tr>
    </w:tbl>
    <w:p w14:paraId="7ADFAC09">
      <w:pPr>
        <w:widowControl/>
        <w:adjustRightInd w:val="0"/>
        <w:snapToGrid w:val="0"/>
        <w:spacing w:before="159" w:beforeLines="50"/>
        <w:jc w:val="center"/>
        <w:rPr>
          <w:rFonts w:ascii="Times New Roman"/>
          <w:b/>
          <w:color w:val="000000" w:themeColor="text1"/>
          <w:kern w:val="0"/>
          <w:sz w:val="21"/>
          <w:szCs w:val="16"/>
          <w14:textFill>
            <w14:solidFill>
              <w14:schemeClr w14:val="tx1"/>
            </w14:solidFill>
          </w14:textFill>
        </w:rPr>
      </w:pPr>
      <w:r>
        <w:rPr>
          <w:rFonts w:ascii="Times New Roman"/>
          <w:b/>
          <w:color w:val="000000" w:themeColor="text1"/>
          <w:kern w:val="0"/>
          <w:sz w:val="21"/>
          <w:szCs w:val="16"/>
          <w14:textFill>
            <w14:solidFill>
              <w14:schemeClr w14:val="tx1"/>
            </w14:solidFill>
          </w14:textFill>
        </w:rPr>
        <w:t>表</w:t>
      </w:r>
      <w:r>
        <w:rPr>
          <w:rFonts w:hint="eastAsia"/>
          <w:b/>
          <w:color w:val="000000" w:themeColor="text1"/>
          <w:kern w:val="0"/>
          <w:sz w:val="21"/>
          <w:szCs w:val="16"/>
          <w:lang w:val="en-US" w:eastAsia="zh-CN"/>
          <w14:textFill>
            <w14:solidFill>
              <w14:schemeClr w14:val="tx1"/>
            </w14:solidFill>
          </w14:textFill>
        </w:rPr>
        <w:t>4</w:t>
      </w:r>
      <w:r>
        <w:rPr>
          <w:rFonts w:ascii="Times New Roman"/>
          <w:b/>
          <w:color w:val="000000" w:themeColor="text1"/>
          <w:kern w:val="0"/>
          <w:sz w:val="21"/>
          <w:szCs w:val="16"/>
          <w14:textFill>
            <w14:solidFill>
              <w14:schemeClr w14:val="tx1"/>
            </w14:solidFill>
          </w14:textFill>
        </w:rPr>
        <w:t>.2-</w:t>
      </w:r>
      <w:r>
        <w:rPr>
          <w:rFonts w:hint="eastAsia" w:ascii="Times New Roman"/>
          <w:b/>
          <w:color w:val="000000" w:themeColor="text1"/>
          <w:kern w:val="0"/>
          <w:sz w:val="21"/>
          <w:szCs w:val="16"/>
          <w:lang w:val="en-US" w:eastAsia="zh-CN"/>
          <w14:textFill>
            <w14:solidFill>
              <w14:schemeClr w14:val="tx1"/>
            </w14:solidFill>
          </w14:textFill>
        </w:rPr>
        <w:t>3</w:t>
      </w:r>
      <w:r>
        <w:rPr>
          <w:rFonts w:ascii="Times New Roman"/>
          <w:b/>
          <w:color w:val="000000" w:themeColor="text1"/>
          <w:kern w:val="0"/>
          <w:sz w:val="21"/>
          <w:szCs w:val="16"/>
          <w14:textFill>
            <w14:solidFill>
              <w14:schemeClr w14:val="tx1"/>
            </w14:solidFill>
          </w14:textFill>
        </w:rPr>
        <w:t xml:space="preserve">  项目点源排放参数</w:t>
      </w:r>
    </w:p>
    <w:tbl>
      <w:tblPr>
        <w:tblStyle w:val="31"/>
        <w:tblW w:w="140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3"/>
        <w:gridCol w:w="912"/>
        <w:gridCol w:w="1088"/>
        <w:gridCol w:w="1087"/>
        <w:gridCol w:w="1313"/>
        <w:gridCol w:w="1200"/>
        <w:gridCol w:w="1100"/>
        <w:gridCol w:w="1125"/>
        <w:gridCol w:w="1137"/>
        <w:gridCol w:w="975"/>
        <w:gridCol w:w="1363"/>
        <w:gridCol w:w="1387"/>
        <w:gridCol w:w="938"/>
      </w:tblGrid>
      <w:tr w14:paraId="7E24F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63" w:type="dxa"/>
            <w:vMerge w:val="restart"/>
            <w:noWrap w:val="0"/>
            <w:vAlign w:val="center"/>
          </w:tcPr>
          <w:p w14:paraId="4F5D6983">
            <w:pPr>
              <w:widowControl/>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编号</w:t>
            </w:r>
          </w:p>
        </w:tc>
        <w:tc>
          <w:tcPr>
            <w:tcW w:w="912" w:type="dxa"/>
            <w:vMerge w:val="restart"/>
            <w:noWrap w:val="0"/>
            <w:vAlign w:val="center"/>
          </w:tcPr>
          <w:p w14:paraId="75F472D9">
            <w:pPr>
              <w:widowControl/>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名称</w:t>
            </w:r>
          </w:p>
        </w:tc>
        <w:tc>
          <w:tcPr>
            <w:tcW w:w="2175" w:type="dxa"/>
            <w:gridSpan w:val="2"/>
            <w:noWrap w:val="0"/>
            <w:vAlign w:val="center"/>
          </w:tcPr>
          <w:p w14:paraId="16382367">
            <w:pPr>
              <w:widowControl/>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排气筒底部中心坐标（m）</w:t>
            </w:r>
          </w:p>
        </w:tc>
        <w:tc>
          <w:tcPr>
            <w:tcW w:w="1313" w:type="dxa"/>
            <w:vMerge w:val="restart"/>
            <w:noWrap w:val="0"/>
            <w:vAlign w:val="center"/>
          </w:tcPr>
          <w:p w14:paraId="005469B9">
            <w:pPr>
              <w:widowControl/>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排气筒底部海拔高度</w:t>
            </w:r>
          </w:p>
          <w:p w14:paraId="76CED9D2">
            <w:pPr>
              <w:widowControl/>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（m）</w:t>
            </w:r>
          </w:p>
        </w:tc>
        <w:tc>
          <w:tcPr>
            <w:tcW w:w="1200" w:type="dxa"/>
            <w:vMerge w:val="restart"/>
            <w:noWrap w:val="0"/>
            <w:vAlign w:val="center"/>
          </w:tcPr>
          <w:p w14:paraId="72E98CA6">
            <w:pPr>
              <w:widowControl/>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排气筒高度（m）</w:t>
            </w:r>
          </w:p>
        </w:tc>
        <w:tc>
          <w:tcPr>
            <w:tcW w:w="1100" w:type="dxa"/>
            <w:vMerge w:val="restart"/>
            <w:noWrap w:val="0"/>
            <w:vAlign w:val="center"/>
          </w:tcPr>
          <w:p w14:paraId="16632C2D">
            <w:pPr>
              <w:widowControl/>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排气筒出口内径</w:t>
            </w:r>
          </w:p>
          <w:p w14:paraId="384F5B17">
            <w:pPr>
              <w:widowControl/>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（m）</w:t>
            </w:r>
          </w:p>
        </w:tc>
        <w:tc>
          <w:tcPr>
            <w:tcW w:w="1125" w:type="dxa"/>
            <w:vMerge w:val="restart"/>
            <w:noWrap w:val="0"/>
            <w:vAlign w:val="center"/>
          </w:tcPr>
          <w:p w14:paraId="446DEEEE">
            <w:pPr>
              <w:widowControl/>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烟气流速（m/s）</w:t>
            </w:r>
          </w:p>
        </w:tc>
        <w:tc>
          <w:tcPr>
            <w:tcW w:w="1137" w:type="dxa"/>
            <w:vMerge w:val="restart"/>
            <w:noWrap w:val="0"/>
            <w:vAlign w:val="center"/>
          </w:tcPr>
          <w:p w14:paraId="635A1151">
            <w:pPr>
              <w:widowControl/>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烟气温度</w:t>
            </w:r>
          </w:p>
          <w:p w14:paraId="288A239F">
            <w:pPr>
              <w:widowControl/>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w:t>
            </w:r>
          </w:p>
        </w:tc>
        <w:tc>
          <w:tcPr>
            <w:tcW w:w="975" w:type="dxa"/>
            <w:vMerge w:val="restart"/>
            <w:noWrap w:val="0"/>
            <w:vAlign w:val="center"/>
          </w:tcPr>
          <w:p w14:paraId="3443B42A">
            <w:pPr>
              <w:widowControl/>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年排放小时数</w:t>
            </w:r>
          </w:p>
          <w:p w14:paraId="3E48E621">
            <w:pPr>
              <w:widowControl/>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（h）</w:t>
            </w:r>
          </w:p>
        </w:tc>
        <w:tc>
          <w:tcPr>
            <w:tcW w:w="1363" w:type="dxa"/>
            <w:vMerge w:val="restart"/>
            <w:noWrap w:val="0"/>
            <w:vAlign w:val="center"/>
          </w:tcPr>
          <w:p w14:paraId="14A0843B">
            <w:pPr>
              <w:widowControl/>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排放工况</w:t>
            </w:r>
          </w:p>
        </w:tc>
        <w:tc>
          <w:tcPr>
            <w:tcW w:w="2325" w:type="dxa"/>
            <w:gridSpan w:val="2"/>
            <w:vMerge w:val="restart"/>
            <w:noWrap w:val="0"/>
            <w:vAlign w:val="center"/>
          </w:tcPr>
          <w:p w14:paraId="0A6A0B49">
            <w:pPr>
              <w:widowControl/>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污染物排放速率（kg/h）</w:t>
            </w:r>
          </w:p>
        </w:tc>
      </w:tr>
      <w:tr w14:paraId="75EC8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463" w:type="dxa"/>
            <w:vMerge w:val="continue"/>
            <w:noWrap w:val="0"/>
            <w:vAlign w:val="center"/>
          </w:tcPr>
          <w:p w14:paraId="73825DDD">
            <w:pPr>
              <w:widowControl/>
              <w:jc w:val="center"/>
              <w:rPr>
                <w:rFonts w:ascii="Times New Roman"/>
                <w:b/>
                <w:color w:val="000000" w:themeColor="text1"/>
                <w:kern w:val="0"/>
                <w:sz w:val="21"/>
                <w:szCs w:val="21"/>
                <w14:textFill>
                  <w14:solidFill>
                    <w14:schemeClr w14:val="tx1"/>
                  </w14:solidFill>
                </w14:textFill>
              </w:rPr>
            </w:pPr>
          </w:p>
        </w:tc>
        <w:tc>
          <w:tcPr>
            <w:tcW w:w="912" w:type="dxa"/>
            <w:vMerge w:val="continue"/>
            <w:noWrap w:val="0"/>
            <w:vAlign w:val="center"/>
          </w:tcPr>
          <w:p w14:paraId="244F4DB8">
            <w:pPr>
              <w:widowControl/>
              <w:jc w:val="center"/>
              <w:rPr>
                <w:rFonts w:ascii="Times New Roman"/>
                <w:b/>
                <w:color w:val="000000" w:themeColor="text1"/>
                <w:kern w:val="0"/>
                <w:sz w:val="21"/>
                <w:szCs w:val="21"/>
                <w14:textFill>
                  <w14:solidFill>
                    <w14:schemeClr w14:val="tx1"/>
                  </w14:solidFill>
                </w14:textFill>
              </w:rPr>
            </w:pPr>
          </w:p>
        </w:tc>
        <w:tc>
          <w:tcPr>
            <w:tcW w:w="1088" w:type="dxa"/>
            <w:noWrap w:val="0"/>
            <w:vAlign w:val="center"/>
          </w:tcPr>
          <w:p w14:paraId="16C9E275">
            <w:pPr>
              <w:widowControl/>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X</w:t>
            </w:r>
          </w:p>
        </w:tc>
        <w:tc>
          <w:tcPr>
            <w:tcW w:w="1087" w:type="dxa"/>
            <w:noWrap w:val="0"/>
            <w:vAlign w:val="center"/>
          </w:tcPr>
          <w:p w14:paraId="50C269B1">
            <w:pPr>
              <w:widowControl/>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Y</w:t>
            </w:r>
          </w:p>
        </w:tc>
        <w:tc>
          <w:tcPr>
            <w:tcW w:w="1313" w:type="dxa"/>
            <w:vMerge w:val="continue"/>
            <w:noWrap w:val="0"/>
            <w:vAlign w:val="center"/>
          </w:tcPr>
          <w:p w14:paraId="6F3FFC01">
            <w:pPr>
              <w:widowControl/>
              <w:jc w:val="center"/>
              <w:rPr>
                <w:rFonts w:ascii="Times New Roman"/>
                <w:b/>
                <w:color w:val="000000" w:themeColor="text1"/>
                <w:kern w:val="0"/>
                <w:sz w:val="21"/>
                <w:szCs w:val="21"/>
                <w14:textFill>
                  <w14:solidFill>
                    <w14:schemeClr w14:val="tx1"/>
                  </w14:solidFill>
                </w14:textFill>
              </w:rPr>
            </w:pPr>
          </w:p>
        </w:tc>
        <w:tc>
          <w:tcPr>
            <w:tcW w:w="1200" w:type="dxa"/>
            <w:vMerge w:val="continue"/>
            <w:noWrap w:val="0"/>
            <w:vAlign w:val="center"/>
          </w:tcPr>
          <w:p w14:paraId="62969A0A">
            <w:pPr>
              <w:widowControl/>
              <w:jc w:val="center"/>
              <w:rPr>
                <w:rFonts w:ascii="Times New Roman"/>
                <w:b/>
                <w:color w:val="000000" w:themeColor="text1"/>
                <w:kern w:val="0"/>
                <w:sz w:val="21"/>
                <w:szCs w:val="21"/>
                <w14:textFill>
                  <w14:solidFill>
                    <w14:schemeClr w14:val="tx1"/>
                  </w14:solidFill>
                </w14:textFill>
              </w:rPr>
            </w:pPr>
          </w:p>
        </w:tc>
        <w:tc>
          <w:tcPr>
            <w:tcW w:w="1100" w:type="dxa"/>
            <w:vMerge w:val="continue"/>
            <w:noWrap w:val="0"/>
            <w:vAlign w:val="center"/>
          </w:tcPr>
          <w:p w14:paraId="490131CE">
            <w:pPr>
              <w:widowControl/>
              <w:jc w:val="center"/>
              <w:rPr>
                <w:rFonts w:ascii="Times New Roman"/>
                <w:b/>
                <w:color w:val="000000" w:themeColor="text1"/>
                <w:kern w:val="0"/>
                <w:sz w:val="21"/>
                <w:szCs w:val="21"/>
                <w14:textFill>
                  <w14:solidFill>
                    <w14:schemeClr w14:val="tx1"/>
                  </w14:solidFill>
                </w14:textFill>
              </w:rPr>
            </w:pPr>
          </w:p>
        </w:tc>
        <w:tc>
          <w:tcPr>
            <w:tcW w:w="1125" w:type="dxa"/>
            <w:vMerge w:val="continue"/>
            <w:noWrap w:val="0"/>
            <w:vAlign w:val="center"/>
          </w:tcPr>
          <w:p w14:paraId="2B56C3EA">
            <w:pPr>
              <w:widowControl/>
              <w:jc w:val="center"/>
              <w:rPr>
                <w:rFonts w:ascii="Times New Roman"/>
                <w:b/>
                <w:color w:val="000000" w:themeColor="text1"/>
                <w:kern w:val="0"/>
                <w:sz w:val="21"/>
                <w:szCs w:val="21"/>
                <w14:textFill>
                  <w14:solidFill>
                    <w14:schemeClr w14:val="tx1"/>
                  </w14:solidFill>
                </w14:textFill>
              </w:rPr>
            </w:pPr>
          </w:p>
        </w:tc>
        <w:tc>
          <w:tcPr>
            <w:tcW w:w="1137" w:type="dxa"/>
            <w:vMerge w:val="continue"/>
            <w:noWrap w:val="0"/>
            <w:vAlign w:val="center"/>
          </w:tcPr>
          <w:p w14:paraId="1EA190F8">
            <w:pPr>
              <w:widowControl/>
              <w:jc w:val="center"/>
              <w:rPr>
                <w:rFonts w:ascii="Times New Roman"/>
                <w:b/>
                <w:color w:val="000000" w:themeColor="text1"/>
                <w:kern w:val="0"/>
                <w:sz w:val="21"/>
                <w:szCs w:val="21"/>
                <w14:textFill>
                  <w14:solidFill>
                    <w14:schemeClr w14:val="tx1"/>
                  </w14:solidFill>
                </w14:textFill>
              </w:rPr>
            </w:pPr>
          </w:p>
        </w:tc>
        <w:tc>
          <w:tcPr>
            <w:tcW w:w="975" w:type="dxa"/>
            <w:vMerge w:val="continue"/>
            <w:noWrap w:val="0"/>
            <w:vAlign w:val="center"/>
          </w:tcPr>
          <w:p w14:paraId="3A494EA2">
            <w:pPr>
              <w:widowControl/>
              <w:jc w:val="center"/>
              <w:rPr>
                <w:rFonts w:ascii="Times New Roman"/>
                <w:b/>
                <w:color w:val="000000" w:themeColor="text1"/>
                <w:kern w:val="0"/>
                <w:sz w:val="21"/>
                <w:szCs w:val="21"/>
                <w14:textFill>
                  <w14:solidFill>
                    <w14:schemeClr w14:val="tx1"/>
                  </w14:solidFill>
                </w14:textFill>
              </w:rPr>
            </w:pPr>
          </w:p>
        </w:tc>
        <w:tc>
          <w:tcPr>
            <w:tcW w:w="1363" w:type="dxa"/>
            <w:vMerge w:val="continue"/>
            <w:noWrap w:val="0"/>
            <w:vAlign w:val="center"/>
          </w:tcPr>
          <w:p w14:paraId="1280F7BA">
            <w:pPr>
              <w:widowControl/>
              <w:jc w:val="center"/>
              <w:rPr>
                <w:rFonts w:ascii="Times New Roman"/>
                <w:b/>
                <w:color w:val="000000" w:themeColor="text1"/>
                <w:kern w:val="0"/>
                <w:sz w:val="21"/>
                <w:szCs w:val="21"/>
                <w14:textFill>
                  <w14:solidFill>
                    <w14:schemeClr w14:val="tx1"/>
                  </w14:solidFill>
                </w14:textFill>
              </w:rPr>
            </w:pPr>
          </w:p>
        </w:tc>
        <w:tc>
          <w:tcPr>
            <w:tcW w:w="2325" w:type="dxa"/>
            <w:gridSpan w:val="2"/>
            <w:vMerge w:val="continue"/>
            <w:noWrap w:val="0"/>
            <w:vAlign w:val="center"/>
          </w:tcPr>
          <w:p w14:paraId="1A36A373">
            <w:pPr>
              <w:widowControl/>
              <w:jc w:val="center"/>
              <w:rPr>
                <w:rFonts w:ascii="Times New Roman"/>
                <w:b/>
                <w:color w:val="000000" w:themeColor="text1"/>
                <w:kern w:val="0"/>
                <w:sz w:val="21"/>
                <w:szCs w:val="21"/>
                <w14:textFill>
                  <w14:solidFill>
                    <w14:schemeClr w14:val="tx1"/>
                  </w14:solidFill>
                </w14:textFill>
              </w:rPr>
            </w:pPr>
          </w:p>
        </w:tc>
      </w:tr>
      <w:tr w14:paraId="28C62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463" w:type="dxa"/>
            <w:vMerge w:val="restart"/>
            <w:noWrap w:val="0"/>
            <w:vAlign w:val="center"/>
          </w:tcPr>
          <w:p w14:paraId="7F618776">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1</w:t>
            </w:r>
          </w:p>
        </w:tc>
        <w:tc>
          <w:tcPr>
            <w:tcW w:w="912" w:type="dxa"/>
            <w:vMerge w:val="restart"/>
            <w:noWrap w:val="0"/>
            <w:vAlign w:val="center"/>
          </w:tcPr>
          <w:p w14:paraId="23369D95">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DA001</w:t>
            </w:r>
          </w:p>
        </w:tc>
        <w:tc>
          <w:tcPr>
            <w:tcW w:w="1088" w:type="dxa"/>
            <w:vMerge w:val="restart"/>
            <w:noWrap w:val="0"/>
            <w:vAlign w:val="center"/>
          </w:tcPr>
          <w:p w14:paraId="57FE1A35">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119</w:t>
            </w:r>
          </w:p>
        </w:tc>
        <w:tc>
          <w:tcPr>
            <w:tcW w:w="1087" w:type="dxa"/>
            <w:vMerge w:val="restart"/>
            <w:noWrap w:val="0"/>
            <w:vAlign w:val="center"/>
          </w:tcPr>
          <w:p w14:paraId="3F3C4C58">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ascii="Times New Roman"/>
                <w:color w:val="000000" w:themeColor="text1"/>
                <w:kern w:val="0"/>
                <w:sz w:val="21"/>
                <w:szCs w:val="21"/>
                <w14:textFill>
                  <w14:solidFill>
                    <w14:schemeClr w14:val="tx1"/>
                  </w14:solidFill>
                </w14:textFill>
              </w:rPr>
              <w:t>1</w:t>
            </w:r>
            <w:r>
              <w:rPr>
                <w:rFonts w:hint="eastAsia"/>
                <w:color w:val="000000" w:themeColor="text1"/>
                <w:kern w:val="0"/>
                <w:sz w:val="21"/>
                <w:szCs w:val="21"/>
                <w:lang w:val="en-US" w:eastAsia="zh-CN"/>
                <w14:textFill>
                  <w14:solidFill>
                    <w14:schemeClr w14:val="tx1"/>
                  </w14:solidFill>
                </w14:textFill>
              </w:rPr>
              <w:t>58</w:t>
            </w:r>
          </w:p>
        </w:tc>
        <w:tc>
          <w:tcPr>
            <w:tcW w:w="1313" w:type="dxa"/>
            <w:vMerge w:val="restart"/>
            <w:noWrap w:val="0"/>
            <w:vAlign w:val="center"/>
          </w:tcPr>
          <w:p w14:paraId="53338936">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1752</w:t>
            </w:r>
          </w:p>
        </w:tc>
        <w:tc>
          <w:tcPr>
            <w:tcW w:w="1200" w:type="dxa"/>
            <w:vMerge w:val="restart"/>
            <w:noWrap w:val="0"/>
            <w:vAlign w:val="center"/>
          </w:tcPr>
          <w:p w14:paraId="00528331">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15</w:t>
            </w:r>
          </w:p>
        </w:tc>
        <w:tc>
          <w:tcPr>
            <w:tcW w:w="1100" w:type="dxa"/>
            <w:vMerge w:val="restart"/>
            <w:noWrap w:val="0"/>
            <w:vAlign w:val="center"/>
          </w:tcPr>
          <w:p w14:paraId="228EC66B">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0.4</w:t>
            </w:r>
          </w:p>
        </w:tc>
        <w:tc>
          <w:tcPr>
            <w:tcW w:w="1125" w:type="dxa"/>
            <w:vMerge w:val="restart"/>
            <w:noWrap w:val="0"/>
            <w:vAlign w:val="center"/>
          </w:tcPr>
          <w:p w14:paraId="526311E7">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15.47</w:t>
            </w:r>
          </w:p>
        </w:tc>
        <w:tc>
          <w:tcPr>
            <w:tcW w:w="1137" w:type="dxa"/>
            <w:vMerge w:val="restart"/>
            <w:noWrap w:val="0"/>
            <w:vAlign w:val="center"/>
          </w:tcPr>
          <w:p w14:paraId="7E50BA80">
            <w:pPr>
              <w:widowControl/>
              <w:jc w:val="center"/>
              <w:rPr>
                <w:rFonts w:hint="eastAsia"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常温</w:t>
            </w:r>
          </w:p>
        </w:tc>
        <w:tc>
          <w:tcPr>
            <w:tcW w:w="975" w:type="dxa"/>
            <w:vMerge w:val="restart"/>
            <w:noWrap w:val="0"/>
            <w:vAlign w:val="center"/>
          </w:tcPr>
          <w:p w14:paraId="4DDCE0F7">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4160</w:t>
            </w:r>
          </w:p>
        </w:tc>
        <w:tc>
          <w:tcPr>
            <w:tcW w:w="1363" w:type="dxa"/>
            <w:vMerge w:val="restart"/>
            <w:noWrap w:val="0"/>
            <w:vAlign w:val="center"/>
          </w:tcPr>
          <w:p w14:paraId="24F4D814">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正常工况</w:t>
            </w:r>
          </w:p>
        </w:tc>
        <w:tc>
          <w:tcPr>
            <w:tcW w:w="1387" w:type="dxa"/>
            <w:noWrap w:val="0"/>
            <w:vAlign w:val="center"/>
          </w:tcPr>
          <w:p w14:paraId="49C5BB4C">
            <w:pPr>
              <w:widowControl/>
              <w:jc w:val="center"/>
              <w:rPr>
                <w:rFonts w:ascii="Times New Roman"/>
                <w:color w:val="000000" w:themeColor="text1"/>
                <w:kern w:val="0"/>
                <w:sz w:val="21"/>
                <w:szCs w:val="20"/>
                <w14:textFill>
                  <w14:solidFill>
                    <w14:schemeClr w14:val="tx1"/>
                  </w14:solidFill>
                </w14:textFill>
              </w:rPr>
            </w:pPr>
            <w:r>
              <w:rPr>
                <w:rFonts w:ascii="Times New Roman"/>
                <w:color w:val="000000" w:themeColor="text1"/>
                <w:kern w:val="0"/>
                <w:sz w:val="21"/>
                <w:szCs w:val="20"/>
                <w14:textFill>
                  <w14:solidFill>
                    <w14:schemeClr w14:val="tx1"/>
                  </w14:solidFill>
                </w14:textFill>
              </w:rPr>
              <w:t>非甲烷总烃</w:t>
            </w:r>
          </w:p>
        </w:tc>
        <w:tc>
          <w:tcPr>
            <w:tcW w:w="938" w:type="dxa"/>
            <w:noWrap w:val="0"/>
            <w:vAlign w:val="center"/>
          </w:tcPr>
          <w:p w14:paraId="6DE5C116">
            <w:pPr>
              <w:widowControl w:val="0"/>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ascii="Times New Roman"/>
                <w:bCs/>
                <w:color w:val="000000" w:themeColor="text1"/>
                <w:kern w:val="0"/>
                <w:sz w:val="21"/>
                <w:szCs w:val="21"/>
                <w14:textFill>
                  <w14:solidFill>
                    <w14:schemeClr w14:val="tx1"/>
                  </w14:solidFill>
                </w14:textFill>
              </w:rPr>
              <w:t>0.</w:t>
            </w:r>
            <w:r>
              <w:rPr>
                <w:rFonts w:hint="eastAsia"/>
                <w:bCs/>
                <w:color w:val="000000" w:themeColor="text1"/>
                <w:kern w:val="0"/>
                <w:sz w:val="21"/>
                <w:szCs w:val="21"/>
                <w:lang w:val="en-US" w:eastAsia="zh-CN"/>
                <w14:textFill>
                  <w14:solidFill>
                    <w14:schemeClr w14:val="tx1"/>
                  </w14:solidFill>
                </w14:textFill>
              </w:rPr>
              <w:t>09</w:t>
            </w:r>
          </w:p>
        </w:tc>
      </w:tr>
      <w:tr w14:paraId="0B37A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463" w:type="dxa"/>
            <w:vMerge w:val="continue"/>
            <w:noWrap w:val="0"/>
            <w:vAlign w:val="center"/>
          </w:tcPr>
          <w:p w14:paraId="6A889D2F">
            <w:pPr>
              <w:widowControl/>
              <w:jc w:val="center"/>
              <w:rPr>
                <w:rFonts w:ascii="Times New Roman"/>
                <w:color w:val="000000" w:themeColor="text1"/>
                <w:kern w:val="0"/>
                <w:sz w:val="21"/>
                <w:szCs w:val="21"/>
                <w14:textFill>
                  <w14:solidFill>
                    <w14:schemeClr w14:val="tx1"/>
                  </w14:solidFill>
                </w14:textFill>
              </w:rPr>
            </w:pPr>
          </w:p>
        </w:tc>
        <w:tc>
          <w:tcPr>
            <w:tcW w:w="912" w:type="dxa"/>
            <w:vMerge w:val="continue"/>
            <w:noWrap w:val="0"/>
            <w:vAlign w:val="center"/>
          </w:tcPr>
          <w:p w14:paraId="338A13D0">
            <w:pPr>
              <w:widowControl/>
              <w:jc w:val="center"/>
              <w:rPr>
                <w:rFonts w:ascii="Times New Roman"/>
                <w:color w:val="000000" w:themeColor="text1"/>
                <w:kern w:val="0"/>
                <w:sz w:val="21"/>
                <w:szCs w:val="21"/>
                <w14:textFill>
                  <w14:solidFill>
                    <w14:schemeClr w14:val="tx1"/>
                  </w14:solidFill>
                </w14:textFill>
              </w:rPr>
            </w:pPr>
          </w:p>
        </w:tc>
        <w:tc>
          <w:tcPr>
            <w:tcW w:w="1088" w:type="dxa"/>
            <w:vMerge w:val="continue"/>
            <w:noWrap w:val="0"/>
            <w:vAlign w:val="center"/>
          </w:tcPr>
          <w:p w14:paraId="63216F1E">
            <w:pPr>
              <w:widowControl/>
              <w:jc w:val="center"/>
              <w:rPr>
                <w:rFonts w:ascii="Times New Roman"/>
                <w:color w:val="000000" w:themeColor="text1"/>
                <w:kern w:val="0"/>
                <w:sz w:val="21"/>
                <w:szCs w:val="21"/>
                <w14:textFill>
                  <w14:solidFill>
                    <w14:schemeClr w14:val="tx1"/>
                  </w14:solidFill>
                </w14:textFill>
              </w:rPr>
            </w:pPr>
          </w:p>
        </w:tc>
        <w:tc>
          <w:tcPr>
            <w:tcW w:w="1087" w:type="dxa"/>
            <w:vMerge w:val="continue"/>
            <w:noWrap w:val="0"/>
            <w:vAlign w:val="center"/>
          </w:tcPr>
          <w:p w14:paraId="1A8E6556">
            <w:pPr>
              <w:widowControl/>
              <w:jc w:val="center"/>
              <w:rPr>
                <w:rFonts w:ascii="Times New Roman"/>
                <w:color w:val="000000" w:themeColor="text1"/>
                <w:kern w:val="0"/>
                <w:sz w:val="21"/>
                <w:szCs w:val="21"/>
                <w14:textFill>
                  <w14:solidFill>
                    <w14:schemeClr w14:val="tx1"/>
                  </w14:solidFill>
                </w14:textFill>
              </w:rPr>
            </w:pPr>
          </w:p>
        </w:tc>
        <w:tc>
          <w:tcPr>
            <w:tcW w:w="1313" w:type="dxa"/>
            <w:vMerge w:val="continue"/>
            <w:noWrap w:val="0"/>
            <w:vAlign w:val="center"/>
          </w:tcPr>
          <w:p w14:paraId="43DB41BF">
            <w:pPr>
              <w:widowControl/>
              <w:jc w:val="center"/>
              <w:rPr>
                <w:rFonts w:ascii="Times New Roman"/>
                <w:color w:val="000000" w:themeColor="text1"/>
                <w:kern w:val="0"/>
                <w:sz w:val="21"/>
                <w:szCs w:val="21"/>
                <w14:textFill>
                  <w14:solidFill>
                    <w14:schemeClr w14:val="tx1"/>
                  </w14:solidFill>
                </w14:textFill>
              </w:rPr>
            </w:pPr>
          </w:p>
        </w:tc>
        <w:tc>
          <w:tcPr>
            <w:tcW w:w="1200" w:type="dxa"/>
            <w:vMerge w:val="continue"/>
            <w:noWrap w:val="0"/>
            <w:vAlign w:val="center"/>
          </w:tcPr>
          <w:p w14:paraId="75844B11">
            <w:pPr>
              <w:widowControl/>
              <w:jc w:val="center"/>
              <w:rPr>
                <w:rFonts w:ascii="Times New Roman"/>
                <w:color w:val="000000" w:themeColor="text1"/>
                <w:kern w:val="0"/>
                <w:sz w:val="21"/>
                <w:szCs w:val="21"/>
                <w14:textFill>
                  <w14:solidFill>
                    <w14:schemeClr w14:val="tx1"/>
                  </w14:solidFill>
                </w14:textFill>
              </w:rPr>
            </w:pPr>
          </w:p>
        </w:tc>
        <w:tc>
          <w:tcPr>
            <w:tcW w:w="1100" w:type="dxa"/>
            <w:vMerge w:val="continue"/>
            <w:noWrap w:val="0"/>
            <w:vAlign w:val="center"/>
          </w:tcPr>
          <w:p w14:paraId="0F4569E7">
            <w:pPr>
              <w:widowControl/>
              <w:jc w:val="center"/>
              <w:rPr>
                <w:rFonts w:ascii="Times New Roman"/>
                <w:color w:val="000000" w:themeColor="text1"/>
                <w:kern w:val="0"/>
                <w:sz w:val="21"/>
                <w:szCs w:val="21"/>
                <w14:textFill>
                  <w14:solidFill>
                    <w14:schemeClr w14:val="tx1"/>
                  </w14:solidFill>
                </w14:textFill>
              </w:rPr>
            </w:pPr>
          </w:p>
        </w:tc>
        <w:tc>
          <w:tcPr>
            <w:tcW w:w="1125" w:type="dxa"/>
            <w:vMerge w:val="continue"/>
            <w:noWrap w:val="0"/>
            <w:vAlign w:val="center"/>
          </w:tcPr>
          <w:p w14:paraId="53E47A30">
            <w:pPr>
              <w:widowControl/>
              <w:jc w:val="center"/>
              <w:rPr>
                <w:rFonts w:ascii="Times New Roman"/>
                <w:color w:val="000000" w:themeColor="text1"/>
                <w:kern w:val="0"/>
                <w:sz w:val="21"/>
                <w:szCs w:val="21"/>
                <w14:textFill>
                  <w14:solidFill>
                    <w14:schemeClr w14:val="tx1"/>
                  </w14:solidFill>
                </w14:textFill>
              </w:rPr>
            </w:pPr>
          </w:p>
        </w:tc>
        <w:tc>
          <w:tcPr>
            <w:tcW w:w="1137" w:type="dxa"/>
            <w:vMerge w:val="continue"/>
            <w:noWrap w:val="0"/>
            <w:vAlign w:val="center"/>
          </w:tcPr>
          <w:p w14:paraId="363009E0">
            <w:pPr>
              <w:widowControl/>
              <w:jc w:val="center"/>
              <w:rPr>
                <w:rFonts w:ascii="Times New Roman"/>
                <w:color w:val="000000" w:themeColor="text1"/>
                <w:kern w:val="0"/>
                <w:sz w:val="21"/>
                <w:szCs w:val="21"/>
                <w14:textFill>
                  <w14:solidFill>
                    <w14:schemeClr w14:val="tx1"/>
                  </w14:solidFill>
                </w14:textFill>
              </w:rPr>
            </w:pPr>
          </w:p>
        </w:tc>
        <w:tc>
          <w:tcPr>
            <w:tcW w:w="975" w:type="dxa"/>
            <w:vMerge w:val="continue"/>
            <w:noWrap w:val="0"/>
            <w:vAlign w:val="center"/>
          </w:tcPr>
          <w:p w14:paraId="4F07A396">
            <w:pPr>
              <w:widowControl/>
              <w:jc w:val="center"/>
              <w:rPr>
                <w:rFonts w:ascii="Times New Roman"/>
                <w:color w:val="000000" w:themeColor="text1"/>
                <w:kern w:val="0"/>
                <w:sz w:val="21"/>
                <w:szCs w:val="21"/>
                <w14:textFill>
                  <w14:solidFill>
                    <w14:schemeClr w14:val="tx1"/>
                  </w14:solidFill>
                </w14:textFill>
              </w:rPr>
            </w:pPr>
          </w:p>
        </w:tc>
        <w:tc>
          <w:tcPr>
            <w:tcW w:w="1363" w:type="dxa"/>
            <w:vMerge w:val="continue"/>
            <w:noWrap w:val="0"/>
            <w:vAlign w:val="center"/>
          </w:tcPr>
          <w:p w14:paraId="0DA3EF6A">
            <w:pPr>
              <w:widowControl/>
              <w:jc w:val="center"/>
              <w:rPr>
                <w:rFonts w:ascii="Times New Roman"/>
                <w:color w:val="000000" w:themeColor="text1"/>
                <w:kern w:val="0"/>
                <w:sz w:val="21"/>
                <w:szCs w:val="21"/>
                <w14:textFill>
                  <w14:solidFill>
                    <w14:schemeClr w14:val="tx1"/>
                  </w14:solidFill>
                </w14:textFill>
              </w:rPr>
            </w:pPr>
          </w:p>
        </w:tc>
        <w:tc>
          <w:tcPr>
            <w:tcW w:w="1387" w:type="dxa"/>
            <w:noWrap w:val="0"/>
            <w:vAlign w:val="center"/>
          </w:tcPr>
          <w:p w14:paraId="4AA96DA5">
            <w:pPr>
              <w:widowControl/>
              <w:jc w:val="center"/>
              <w:rPr>
                <w:rFonts w:hint="eastAsia" w:ascii="Times New Roman" w:eastAsia="宋体"/>
                <w:color w:val="000000" w:themeColor="text1"/>
                <w:kern w:val="0"/>
                <w:sz w:val="21"/>
                <w:szCs w:val="20"/>
                <w:lang w:val="en-US" w:eastAsia="zh-CN"/>
                <w14:textFill>
                  <w14:solidFill>
                    <w14:schemeClr w14:val="tx1"/>
                  </w14:solidFill>
                </w14:textFill>
              </w:rPr>
            </w:pPr>
            <w:r>
              <w:rPr>
                <w:rFonts w:hint="eastAsia"/>
                <w:color w:val="000000" w:themeColor="text1"/>
                <w:kern w:val="0"/>
                <w:sz w:val="21"/>
                <w:szCs w:val="20"/>
                <w:lang w:val="en-US" w:eastAsia="zh-CN"/>
                <w14:textFill>
                  <w14:solidFill>
                    <w14:schemeClr w14:val="tx1"/>
                  </w14:solidFill>
                </w14:textFill>
              </w:rPr>
              <w:t>甲醛</w:t>
            </w:r>
          </w:p>
        </w:tc>
        <w:tc>
          <w:tcPr>
            <w:tcW w:w="938" w:type="dxa"/>
            <w:noWrap w:val="0"/>
            <w:vAlign w:val="center"/>
          </w:tcPr>
          <w:p w14:paraId="11A3078C">
            <w:pPr>
              <w:widowControl w:val="0"/>
              <w:jc w:val="center"/>
              <w:rPr>
                <w:rFonts w:hint="default" w:ascii="Times New Roman" w:eastAsia="宋体"/>
                <w:bCs/>
                <w:color w:val="000000" w:themeColor="text1"/>
                <w:kern w:val="0"/>
                <w:sz w:val="21"/>
                <w:szCs w:val="21"/>
                <w:lang w:val="en-US" w:eastAsia="zh-CN"/>
                <w14:textFill>
                  <w14:solidFill>
                    <w14:schemeClr w14:val="tx1"/>
                  </w14:solidFill>
                </w14:textFill>
              </w:rPr>
            </w:pPr>
            <w:r>
              <w:rPr>
                <w:rFonts w:hint="eastAsia"/>
                <w:bCs/>
                <w:color w:val="000000" w:themeColor="text1"/>
                <w:kern w:val="0"/>
                <w:sz w:val="21"/>
                <w:szCs w:val="21"/>
                <w:lang w:val="en-US" w:eastAsia="zh-CN"/>
                <w14:textFill>
                  <w14:solidFill>
                    <w14:schemeClr w14:val="tx1"/>
                  </w14:solidFill>
                </w14:textFill>
              </w:rPr>
              <w:t>0.0004</w:t>
            </w:r>
          </w:p>
        </w:tc>
      </w:tr>
      <w:tr w14:paraId="4BA9F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3" w:type="dxa"/>
            <w:noWrap w:val="0"/>
            <w:vAlign w:val="center"/>
          </w:tcPr>
          <w:p w14:paraId="5EFB3EF0">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2</w:t>
            </w:r>
          </w:p>
        </w:tc>
        <w:tc>
          <w:tcPr>
            <w:tcW w:w="912" w:type="dxa"/>
            <w:noWrap w:val="0"/>
            <w:vAlign w:val="center"/>
          </w:tcPr>
          <w:p w14:paraId="08F54396">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DA002</w:t>
            </w:r>
          </w:p>
        </w:tc>
        <w:tc>
          <w:tcPr>
            <w:tcW w:w="1088" w:type="dxa"/>
            <w:noWrap w:val="0"/>
            <w:vAlign w:val="center"/>
          </w:tcPr>
          <w:p w14:paraId="58CDB6D2">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129</w:t>
            </w:r>
          </w:p>
        </w:tc>
        <w:tc>
          <w:tcPr>
            <w:tcW w:w="1087" w:type="dxa"/>
            <w:noWrap w:val="0"/>
            <w:vAlign w:val="center"/>
          </w:tcPr>
          <w:p w14:paraId="48BAA525">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151</w:t>
            </w:r>
          </w:p>
        </w:tc>
        <w:tc>
          <w:tcPr>
            <w:tcW w:w="1313" w:type="dxa"/>
            <w:noWrap w:val="0"/>
            <w:vAlign w:val="center"/>
          </w:tcPr>
          <w:p w14:paraId="461291D5">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1752</w:t>
            </w:r>
          </w:p>
        </w:tc>
        <w:tc>
          <w:tcPr>
            <w:tcW w:w="1200" w:type="dxa"/>
            <w:noWrap w:val="0"/>
            <w:vAlign w:val="center"/>
          </w:tcPr>
          <w:p w14:paraId="452B62B1">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15</w:t>
            </w:r>
          </w:p>
        </w:tc>
        <w:tc>
          <w:tcPr>
            <w:tcW w:w="1100" w:type="dxa"/>
            <w:noWrap w:val="0"/>
            <w:vAlign w:val="center"/>
          </w:tcPr>
          <w:p w14:paraId="34AE1C65">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0.3</w:t>
            </w:r>
          </w:p>
        </w:tc>
        <w:tc>
          <w:tcPr>
            <w:tcW w:w="1125" w:type="dxa"/>
            <w:noWrap w:val="0"/>
            <w:vAlign w:val="center"/>
          </w:tcPr>
          <w:p w14:paraId="2182FA70">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7.86</w:t>
            </w:r>
          </w:p>
        </w:tc>
        <w:tc>
          <w:tcPr>
            <w:tcW w:w="1137" w:type="dxa"/>
            <w:noWrap w:val="0"/>
            <w:vAlign w:val="center"/>
          </w:tcPr>
          <w:p w14:paraId="6218924C">
            <w:pPr>
              <w:widowControl/>
              <w:jc w:val="center"/>
              <w:rPr>
                <w:rFonts w:hint="eastAsia"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常温</w:t>
            </w:r>
          </w:p>
        </w:tc>
        <w:tc>
          <w:tcPr>
            <w:tcW w:w="975" w:type="dxa"/>
            <w:noWrap w:val="0"/>
            <w:vAlign w:val="center"/>
          </w:tcPr>
          <w:p w14:paraId="6C2FF941">
            <w:pPr>
              <w:widowControl/>
              <w:jc w:val="center"/>
              <w:rPr>
                <w:rFonts w:ascii="Times New Roman"/>
                <w:color w:val="000000" w:themeColor="text1"/>
                <w:kern w:val="0"/>
                <w:sz w:val="21"/>
                <w:szCs w:val="21"/>
                <w14:textFill>
                  <w14:solidFill>
                    <w14:schemeClr w14:val="tx1"/>
                  </w14:solidFill>
                </w14:textFill>
              </w:rPr>
            </w:pPr>
            <w:r>
              <w:rPr>
                <w:rFonts w:hint="eastAsia" w:ascii="Times New Roman"/>
                <w:color w:val="000000" w:themeColor="text1"/>
                <w:kern w:val="0"/>
                <w:sz w:val="21"/>
                <w:szCs w:val="21"/>
                <w:lang w:val="en-US" w:eastAsia="zh-CN"/>
                <w14:textFill>
                  <w14:solidFill>
                    <w14:schemeClr w14:val="tx1"/>
                  </w14:solidFill>
                </w14:textFill>
              </w:rPr>
              <w:t>4160</w:t>
            </w:r>
          </w:p>
        </w:tc>
        <w:tc>
          <w:tcPr>
            <w:tcW w:w="1363" w:type="dxa"/>
            <w:noWrap w:val="0"/>
            <w:vAlign w:val="center"/>
          </w:tcPr>
          <w:p w14:paraId="2B72972A">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正常工况</w:t>
            </w:r>
          </w:p>
        </w:tc>
        <w:tc>
          <w:tcPr>
            <w:tcW w:w="1387" w:type="dxa"/>
            <w:noWrap w:val="0"/>
            <w:vAlign w:val="center"/>
          </w:tcPr>
          <w:p w14:paraId="7BA0C02C">
            <w:pPr>
              <w:widowControl/>
              <w:jc w:val="center"/>
              <w:rPr>
                <w:rFonts w:hint="eastAsia" w:ascii="Times New Roman" w:eastAsia="宋体"/>
                <w:color w:val="000000" w:themeColor="text1"/>
                <w:kern w:val="0"/>
                <w:sz w:val="21"/>
                <w:szCs w:val="20"/>
                <w:lang w:val="en-US" w:eastAsia="zh-CN"/>
                <w14:textFill>
                  <w14:solidFill>
                    <w14:schemeClr w14:val="tx1"/>
                  </w14:solidFill>
                </w14:textFill>
              </w:rPr>
            </w:pPr>
            <w:r>
              <w:rPr>
                <w:rFonts w:hint="eastAsia"/>
                <w:color w:val="000000" w:themeColor="text1"/>
                <w:kern w:val="0"/>
                <w:sz w:val="21"/>
                <w:szCs w:val="20"/>
                <w:lang w:val="en-US" w:eastAsia="zh-CN"/>
                <w14:textFill>
                  <w14:solidFill>
                    <w14:schemeClr w14:val="tx1"/>
                  </w14:solidFill>
                </w14:textFill>
              </w:rPr>
              <w:t>颗粒物</w:t>
            </w:r>
          </w:p>
        </w:tc>
        <w:tc>
          <w:tcPr>
            <w:tcW w:w="938" w:type="dxa"/>
            <w:noWrap w:val="0"/>
            <w:vAlign w:val="center"/>
          </w:tcPr>
          <w:p w14:paraId="08338EFE">
            <w:pPr>
              <w:widowControl w:val="0"/>
              <w:jc w:val="center"/>
              <w:rPr>
                <w:rFonts w:ascii="Times New Roman"/>
                <w:color w:val="000000" w:themeColor="text1"/>
                <w:kern w:val="0"/>
                <w:sz w:val="21"/>
                <w:szCs w:val="21"/>
                <w14:textFill>
                  <w14:solidFill>
                    <w14:schemeClr w14:val="tx1"/>
                  </w14:solidFill>
                </w14:textFill>
              </w:rPr>
            </w:pPr>
            <w:r>
              <w:rPr>
                <w:rFonts w:ascii="Times New Roman"/>
                <w:bCs/>
                <w:color w:val="000000" w:themeColor="text1"/>
                <w:kern w:val="0"/>
                <w:sz w:val="21"/>
                <w:szCs w:val="21"/>
                <w14:textFill>
                  <w14:solidFill>
                    <w14:schemeClr w14:val="tx1"/>
                  </w14:solidFill>
                </w14:textFill>
              </w:rPr>
              <w:t>0.</w:t>
            </w:r>
            <w:r>
              <w:rPr>
                <w:rFonts w:hint="eastAsia" w:ascii="Times New Roman"/>
                <w:bCs/>
                <w:color w:val="000000" w:themeColor="text1"/>
                <w:kern w:val="0"/>
                <w:sz w:val="21"/>
                <w:szCs w:val="21"/>
                <w14:textFill>
                  <w14:solidFill>
                    <w14:schemeClr w14:val="tx1"/>
                  </w14:solidFill>
                </w14:textFill>
              </w:rPr>
              <w:t>0</w:t>
            </w:r>
            <w:r>
              <w:rPr>
                <w:rFonts w:hint="eastAsia"/>
                <w:bCs/>
                <w:color w:val="000000" w:themeColor="text1"/>
                <w:kern w:val="0"/>
                <w:sz w:val="21"/>
                <w:szCs w:val="21"/>
                <w:lang w:val="en-US" w:eastAsia="zh-CN"/>
                <w14:textFill>
                  <w14:solidFill>
                    <w14:schemeClr w14:val="tx1"/>
                  </w14:solidFill>
                </w14:textFill>
              </w:rPr>
              <w:t>1</w:t>
            </w:r>
          </w:p>
        </w:tc>
      </w:tr>
    </w:tbl>
    <w:p w14:paraId="427D7493">
      <w:pPr>
        <w:widowControl/>
        <w:adjustRightInd w:val="0"/>
        <w:snapToGrid w:val="0"/>
        <w:spacing w:before="159" w:beforeLines="50"/>
        <w:jc w:val="center"/>
        <w:rPr>
          <w:rFonts w:ascii="Times New Roman"/>
          <w:b/>
          <w:color w:val="000000" w:themeColor="text1"/>
          <w:kern w:val="0"/>
          <w:sz w:val="21"/>
          <w:szCs w:val="16"/>
          <w14:textFill>
            <w14:solidFill>
              <w14:schemeClr w14:val="tx1"/>
            </w14:solidFill>
          </w14:textFill>
        </w:rPr>
      </w:pPr>
      <w:r>
        <w:rPr>
          <w:rFonts w:ascii="Times New Roman"/>
          <w:b/>
          <w:color w:val="000000" w:themeColor="text1"/>
          <w:kern w:val="0"/>
          <w:sz w:val="21"/>
          <w:szCs w:val="16"/>
          <w14:textFill>
            <w14:solidFill>
              <w14:schemeClr w14:val="tx1"/>
            </w14:solidFill>
          </w14:textFill>
        </w:rPr>
        <w:t>表</w:t>
      </w:r>
      <w:r>
        <w:rPr>
          <w:rFonts w:hint="eastAsia"/>
          <w:b/>
          <w:color w:val="000000" w:themeColor="text1"/>
          <w:kern w:val="0"/>
          <w:sz w:val="21"/>
          <w:szCs w:val="16"/>
          <w:lang w:val="en-US" w:eastAsia="zh-CN"/>
          <w14:textFill>
            <w14:solidFill>
              <w14:schemeClr w14:val="tx1"/>
            </w14:solidFill>
          </w14:textFill>
        </w:rPr>
        <w:t>4</w:t>
      </w:r>
      <w:r>
        <w:rPr>
          <w:rFonts w:ascii="Times New Roman"/>
          <w:b/>
          <w:color w:val="000000" w:themeColor="text1"/>
          <w:kern w:val="0"/>
          <w:sz w:val="21"/>
          <w:szCs w:val="16"/>
          <w14:textFill>
            <w14:solidFill>
              <w14:schemeClr w14:val="tx1"/>
            </w14:solidFill>
          </w14:textFill>
        </w:rPr>
        <w:t>.2-</w:t>
      </w:r>
      <w:r>
        <w:rPr>
          <w:rFonts w:hint="eastAsia" w:ascii="Times New Roman"/>
          <w:b/>
          <w:color w:val="000000" w:themeColor="text1"/>
          <w:kern w:val="0"/>
          <w:sz w:val="21"/>
          <w:szCs w:val="16"/>
          <w:lang w:val="en-US" w:eastAsia="zh-CN"/>
          <w14:textFill>
            <w14:solidFill>
              <w14:schemeClr w14:val="tx1"/>
            </w14:solidFill>
          </w14:textFill>
        </w:rPr>
        <w:t>4</w:t>
      </w:r>
      <w:r>
        <w:rPr>
          <w:rFonts w:ascii="Times New Roman"/>
          <w:b/>
          <w:color w:val="000000" w:themeColor="text1"/>
          <w:kern w:val="0"/>
          <w:sz w:val="21"/>
          <w:szCs w:val="16"/>
          <w14:textFill>
            <w14:solidFill>
              <w14:schemeClr w14:val="tx1"/>
            </w14:solidFill>
          </w14:textFill>
        </w:rPr>
        <w:t xml:space="preserve">  项目矩形面源排放参数</w:t>
      </w:r>
    </w:p>
    <w:tbl>
      <w:tblPr>
        <w:tblStyle w:val="31"/>
        <w:tblW w:w="51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1181"/>
        <w:gridCol w:w="1430"/>
        <w:gridCol w:w="2309"/>
        <w:gridCol w:w="2504"/>
        <w:gridCol w:w="1967"/>
        <w:gridCol w:w="1094"/>
        <w:gridCol w:w="1210"/>
        <w:gridCol w:w="1713"/>
      </w:tblGrid>
      <w:tr w14:paraId="1AC5B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253" w:type="pct"/>
            <w:vMerge w:val="restart"/>
            <w:noWrap w:val="0"/>
            <w:vAlign w:val="center"/>
          </w:tcPr>
          <w:p w14:paraId="11203C5E">
            <w:pPr>
              <w:widowControl/>
              <w:spacing w:line="240" w:lineRule="atLeast"/>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序号</w:t>
            </w:r>
          </w:p>
        </w:tc>
        <w:tc>
          <w:tcPr>
            <w:tcW w:w="924" w:type="pct"/>
            <w:gridSpan w:val="2"/>
            <w:noWrap w:val="0"/>
            <w:vAlign w:val="center"/>
          </w:tcPr>
          <w:p w14:paraId="5897AA89">
            <w:pPr>
              <w:widowControl/>
              <w:spacing w:line="240" w:lineRule="atLeast"/>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矩形面源起点坐标（m）</w:t>
            </w:r>
          </w:p>
        </w:tc>
        <w:tc>
          <w:tcPr>
            <w:tcW w:w="817" w:type="pct"/>
            <w:vMerge w:val="restart"/>
            <w:noWrap w:val="0"/>
            <w:vAlign w:val="center"/>
          </w:tcPr>
          <w:p w14:paraId="0B573005">
            <w:pPr>
              <w:widowControl/>
              <w:spacing w:line="240" w:lineRule="atLeast"/>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面源海拔高度（m）</w:t>
            </w:r>
          </w:p>
        </w:tc>
        <w:tc>
          <w:tcPr>
            <w:tcW w:w="886" w:type="pct"/>
            <w:vMerge w:val="restart"/>
            <w:noWrap w:val="0"/>
            <w:vAlign w:val="center"/>
          </w:tcPr>
          <w:p w14:paraId="22055950">
            <w:pPr>
              <w:widowControl/>
              <w:spacing w:line="240" w:lineRule="atLeast"/>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面源有效排放高度（m）</w:t>
            </w:r>
          </w:p>
        </w:tc>
        <w:tc>
          <w:tcPr>
            <w:tcW w:w="696" w:type="pct"/>
            <w:vMerge w:val="restart"/>
            <w:noWrap w:val="0"/>
            <w:vAlign w:val="center"/>
          </w:tcPr>
          <w:p w14:paraId="2B3A7CF8">
            <w:pPr>
              <w:widowControl/>
              <w:spacing w:line="240" w:lineRule="atLeast"/>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年排放小时数（h）</w:t>
            </w:r>
          </w:p>
        </w:tc>
        <w:tc>
          <w:tcPr>
            <w:tcW w:w="387" w:type="pct"/>
            <w:vMerge w:val="restart"/>
            <w:noWrap w:val="0"/>
            <w:vAlign w:val="center"/>
          </w:tcPr>
          <w:p w14:paraId="3B4E5B7A">
            <w:pPr>
              <w:widowControl/>
              <w:spacing w:line="240" w:lineRule="atLeast"/>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排放工况</w:t>
            </w:r>
          </w:p>
        </w:tc>
        <w:tc>
          <w:tcPr>
            <w:tcW w:w="1034" w:type="pct"/>
            <w:gridSpan w:val="2"/>
            <w:vMerge w:val="restart"/>
            <w:noWrap w:val="0"/>
            <w:vAlign w:val="center"/>
          </w:tcPr>
          <w:p w14:paraId="78550764">
            <w:pPr>
              <w:widowControl/>
              <w:spacing w:line="240" w:lineRule="atLeast"/>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污染物排放速率（kg/h）</w:t>
            </w:r>
          </w:p>
        </w:tc>
      </w:tr>
      <w:tr w14:paraId="50AAD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53" w:type="pct"/>
            <w:vMerge w:val="continue"/>
            <w:noWrap w:val="0"/>
            <w:vAlign w:val="center"/>
          </w:tcPr>
          <w:p w14:paraId="18E19FF1">
            <w:pPr>
              <w:widowControl/>
              <w:spacing w:line="240" w:lineRule="atLeast"/>
              <w:jc w:val="center"/>
              <w:rPr>
                <w:rFonts w:ascii="Times New Roman"/>
                <w:color w:val="000000" w:themeColor="text1"/>
                <w:kern w:val="0"/>
                <w:sz w:val="21"/>
                <w:szCs w:val="21"/>
                <w14:textFill>
                  <w14:solidFill>
                    <w14:schemeClr w14:val="tx1"/>
                  </w14:solidFill>
                </w14:textFill>
              </w:rPr>
            </w:pPr>
          </w:p>
        </w:tc>
        <w:tc>
          <w:tcPr>
            <w:tcW w:w="418" w:type="pct"/>
            <w:noWrap w:val="0"/>
            <w:vAlign w:val="center"/>
          </w:tcPr>
          <w:p w14:paraId="18F8F0E6">
            <w:pPr>
              <w:widowControl/>
              <w:spacing w:line="240" w:lineRule="atLeast"/>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X</w:t>
            </w:r>
          </w:p>
        </w:tc>
        <w:tc>
          <w:tcPr>
            <w:tcW w:w="505" w:type="pct"/>
            <w:noWrap w:val="0"/>
            <w:vAlign w:val="center"/>
          </w:tcPr>
          <w:p w14:paraId="38BE96B1">
            <w:pPr>
              <w:widowControl/>
              <w:spacing w:line="240" w:lineRule="atLeast"/>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Y</w:t>
            </w:r>
          </w:p>
        </w:tc>
        <w:tc>
          <w:tcPr>
            <w:tcW w:w="817" w:type="pct"/>
            <w:vMerge w:val="continue"/>
            <w:noWrap w:val="0"/>
            <w:vAlign w:val="center"/>
          </w:tcPr>
          <w:p w14:paraId="39CD1772">
            <w:pPr>
              <w:widowControl/>
              <w:spacing w:line="240" w:lineRule="atLeast"/>
              <w:jc w:val="center"/>
              <w:rPr>
                <w:rFonts w:ascii="Times New Roman"/>
                <w:color w:val="000000" w:themeColor="text1"/>
                <w:kern w:val="0"/>
                <w:sz w:val="21"/>
                <w:szCs w:val="21"/>
                <w14:textFill>
                  <w14:solidFill>
                    <w14:schemeClr w14:val="tx1"/>
                  </w14:solidFill>
                </w14:textFill>
              </w:rPr>
            </w:pPr>
          </w:p>
        </w:tc>
        <w:tc>
          <w:tcPr>
            <w:tcW w:w="886" w:type="pct"/>
            <w:vMerge w:val="continue"/>
            <w:noWrap w:val="0"/>
            <w:vAlign w:val="center"/>
          </w:tcPr>
          <w:p w14:paraId="3133D69F">
            <w:pPr>
              <w:widowControl/>
              <w:spacing w:line="240" w:lineRule="atLeast"/>
              <w:jc w:val="center"/>
              <w:rPr>
                <w:rFonts w:ascii="Times New Roman"/>
                <w:color w:val="000000" w:themeColor="text1"/>
                <w:kern w:val="0"/>
                <w:sz w:val="21"/>
                <w:szCs w:val="21"/>
                <w14:textFill>
                  <w14:solidFill>
                    <w14:schemeClr w14:val="tx1"/>
                  </w14:solidFill>
                </w14:textFill>
              </w:rPr>
            </w:pPr>
          </w:p>
        </w:tc>
        <w:tc>
          <w:tcPr>
            <w:tcW w:w="696" w:type="pct"/>
            <w:vMerge w:val="continue"/>
            <w:noWrap w:val="0"/>
            <w:vAlign w:val="center"/>
          </w:tcPr>
          <w:p w14:paraId="1EAC516A">
            <w:pPr>
              <w:widowControl/>
              <w:spacing w:line="240" w:lineRule="atLeast"/>
              <w:jc w:val="center"/>
              <w:rPr>
                <w:rFonts w:ascii="Times New Roman"/>
                <w:color w:val="000000" w:themeColor="text1"/>
                <w:kern w:val="0"/>
                <w:sz w:val="21"/>
                <w:szCs w:val="21"/>
                <w14:textFill>
                  <w14:solidFill>
                    <w14:schemeClr w14:val="tx1"/>
                  </w14:solidFill>
                </w14:textFill>
              </w:rPr>
            </w:pPr>
          </w:p>
        </w:tc>
        <w:tc>
          <w:tcPr>
            <w:tcW w:w="387" w:type="pct"/>
            <w:vMerge w:val="continue"/>
            <w:noWrap w:val="0"/>
            <w:vAlign w:val="center"/>
          </w:tcPr>
          <w:p w14:paraId="0A5F3062">
            <w:pPr>
              <w:widowControl/>
              <w:spacing w:line="240" w:lineRule="atLeast"/>
              <w:jc w:val="center"/>
              <w:rPr>
                <w:rFonts w:ascii="Times New Roman"/>
                <w:color w:val="000000" w:themeColor="text1"/>
                <w:kern w:val="0"/>
                <w:sz w:val="21"/>
                <w:szCs w:val="21"/>
                <w14:textFill>
                  <w14:solidFill>
                    <w14:schemeClr w14:val="tx1"/>
                  </w14:solidFill>
                </w14:textFill>
              </w:rPr>
            </w:pPr>
          </w:p>
        </w:tc>
        <w:tc>
          <w:tcPr>
            <w:tcW w:w="1034" w:type="pct"/>
            <w:gridSpan w:val="2"/>
            <w:vMerge w:val="continue"/>
            <w:noWrap w:val="0"/>
            <w:vAlign w:val="center"/>
          </w:tcPr>
          <w:p w14:paraId="1230DEB2">
            <w:pPr>
              <w:widowControl/>
              <w:spacing w:line="240" w:lineRule="atLeast"/>
              <w:jc w:val="center"/>
              <w:rPr>
                <w:rFonts w:ascii="Times New Roman"/>
                <w:color w:val="000000" w:themeColor="text1"/>
                <w:kern w:val="0"/>
                <w:sz w:val="21"/>
                <w:szCs w:val="21"/>
                <w14:textFill>
                  <w14:solidFill>
                    <w14:schemeClr w14:val="tx1"/>
                  </w14:solidFill>
                </w14:textFill>
              </w:rPr>
            </w:pPr>
          </w:p>
        </w:tc>
      </w:tr>
      <w:tr w14:paraId="56CEE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3" w:type="pct"/>
            <w:noWrap w:val="0"/>
            <w:vAlign w:val="center"/>
          </w:tcPr>
          <w:p w14:paraId="05CE1DF9">
            <w:pPr>
              <w:widowControl/>
              <w:spacing w:line="240" w:lineRule="atLeast"/>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1</w:t>
            </w:r>
          </w:p>
        </w:tc>
        <w:tc>
          <w:tcPr>
            <w:tcW w:w="418" w:type="pct"/>
            <w:noWrap w:val="0"/>
            <w:vAlign w:val="center"/>
          </w:tcPr>
          <w:p w14:paraId="5C6EEE43">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95</w:t>
            </w:r>
          </w:p>
        </w:tc>
        <w:tc>
          <w:tcPr>
            <w:tcW w:w="505" w:type="pct"/>
            <w:noWrap w:val="0"/>
            <w:vAlign w:val="center"/>
          </w:tcPr>
          <w:p w14:paraId="712DD00F">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180</w:t>
            </w:r>
          </w:p>
        </w:tc>
        <w:tc>
          <w:tcPr>
            <w:tcW w:w="817" w:type="pct"/>
            <w:vMerge w:val="restart"/>
            <w:noWrap w:val="0"/>
            <w:vAlign w:val="center"/>
          </w:tcPr>
          <w:p w14:paraId="33CECEB8">
            <w:pPr>
              <w:widowControl/>
              <w:spacing w:line="240" w:lineRule="atLeast"/>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ascii="Times New Roman"/>
                <w:color w:val="000000" w:themeColor="text1"/>
                <w:kern w:val="0"/>
                <w:sz w:val="21"/>
                <w:szCs w:val="21"/>
                <w14:textFill>
                  <w14:solidFill>
                    <w14:schemeClr w14:val="tx1"/>
                  </w14:solidFill>
                </w14:textFill>
              </w:rPr>
              <w:t>17</w:t>
            </w:r>
            <w:r>
              <w:rPr>
                <w:rFonts w:hint="eastAsia"/>
                <w:color w:val="000000" w:themeColor="text1"/>
                <w:kern w:val="0"/>
                <w:sz w:val="21"/>
                <w:szCs w:val="21"/>
                <w:lang w:val="en-US" w:eastAsia="zh-CN"/>
                <w14:textFill>
                  <w14:solidFill>
                    <w14:schemeClr w14:val="tx1"/>
                  </w14:solidFill>
                </w14:textFill>
              </w:rPr>
              <w:t>53</w:t>
            </w:r>
          </w:p>
        </w:tc>
        <w:tc>
          <w:tcPr>
            <w:tcW w:w="886" w:type="pct"/>
            <w:vMerge w:val="restart"/>
            <w:noWrap w:val="0"/>
            <w:vAlign w:val="center"/>
          </w:tcPr>
          <w:p w14:paraId="74A537A5">
            <w:pPr>
              <w:widowControl/>
              <w:spacing w:line="240" w:lineRule="atLeast"/>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ascii="Times New Roman"/>
                <w:color w:val="000000" w:themeColor="text1"/>
                <w:kern w:val="0"/>
                <w:sz w:val="21"/>
                <w:szCs w:val="21"/>
                <w14:textFill>
                  <w14:solidFill>
                    <w14:schemeClr w14:val="tx1"/>
                  </w14:solidFill>
                </w14:textFill>
              </w:rPr>
              <w:t>11</w:t>
            </w:r>
            <w:r>
              <w:rPr>
                <w:rFonts w:hint="eastAsia"/>
                <w:color w:val="000000" w:themeColor="text1"/>
                <w:kern w:val="0"/>
                <w:sz w:val="21"/>
                <w:szCs w:val="21"/>
                <w:lang w:val="en-US" w:eastAsia="zh-CN"/>
                <w14:textFill>
                  <w14:solidFill>
                    <w14:schemeClr w14:val="tx1"/>
                  </w14:solidFill>
                </w14:textFill>
              </w:rPr>
              <w:t>.9</w:t>
            </w:r>
          </w:p>
        </w:tc>
        <w:tc>
          <w:tcPr>
            <w:tcW w:w="696" w:type="pct"/>
            <w:vMerge w:val="restart"/>
            <w:noWrap w:val="0"/>
            <w:vAlign w:val="center"/>
          </w:tcPr>
          <w:p w14:paraId="18D7D0F3">
            <w:pPr>
              <w:widowControl/>
              <w:spacing w:line="240" w:lineRule="atLeast"/>
              <w:jc w:val="center"/>
              <w:rPr>
                <w:rFonts w:ascii="Times New Roman"/>
                <w:color w:val="000000" w:themeColor="text1"/>
                <w:kern w:val="0"/>
                <w:sz w:val="21"/>
                <w:szCs w:val="21"/>
                <w14:textFill>
                  <w14:solidFill>
                    <w14:schemeClr w14:val="tx1"/>
                  </w14:solidFill>
                </w14:textFill>
              </w:rPr>
            </w:pPr>
            <w:r>
              <w:rPr>
                <w:rFonts w:hint="eastAsia" w:ascii="Times New Roman"/>
                <w:color w:val="000000" w:themeColor="text1"/>
                <w:kern w:val="0"/>
                <w:sz w:val="21"/>
                <w:szCs w:val="21"/>
                <w:lang w:val="en-US" w:eastAsia="zh-CN"/>
                <w14:textFill>
                  <w14:solidFill>
                    <w14:schemeClr w14:val="tx1"/>
                  </w14:solidFill>
                </w14:textFill>
              </w:rPr>
              <w:t>4160</w:t>
            </w:r>
          </w:p>
        </w:tc>
        <w:tc>
          <w:tcPr>
            <w:tcW w:w="387" w:type="pct"/>
            <w:vMerge w:val="restart"/>
            <w:noWrap w:val="0"/>
            <w:vAlign w:val="center"/>
          </w:tcPr>
          <w:p w14:paraId="26181761">
            <w:pPr>
              <w:widowControl/>
              <w:spacing w:line="240" w:lineRule="atLeast"/>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正常工况</w:t>
            </w:r>
          </w:p>
        </w:tc>
        <w:tc>
          <w:tcPr>
            <w:tcW w:w="428" w:type="pct"/>
            <w:vMerge w:val="restart"/>
            <w:noWrap w:val="0"/>
            <w:vAlign w:val="center"/>
          </w:tcPr>
          <w:p w14:paraId="64D38A66">
            <w:pPr>
              <w:widowControl/>
              <w:jc w:val="center"/>
              <w:rPr>
                <w:rFonts w:ascii="Times New Roman"/>
                <w:color w:val="000000" w:themeColor="text1"/>
                <w:kern w:val="0"/>
                <w:sz w:val="21"/>
                <w:szCs w:val="24"/>
                <w14:textFill>
                  <w14:solidFill>
                    <w14:schemeClr w14:val="tx1"/>
                  </w14:solidFill>
                </w14:textFill>
              </w:rPr>
            </w:pPr>
            <w:r>
              <w:rPr>
                <w:rFonts w:ascii="Times New Roman"/>
                <w:color w:val="000000" w:themeColor="text1"/>
                <w:kern w:val="0"/>
                <w:sz w:val="21"/>
                <w:szCs w:val="20"/>
                <w14:textFill>
                  <w14:solidFill>
                    <w14:schemeClr w14:val="tx1"/>
                  </w14:solidFill>
                </w14:textFill>
              </w:rPr>
              <w:t>TSP</w:t>
            </w:r>
          </w:p>
        </w:tc>
        <w:tc>
          <w:tcPr>
            <w:tcW w:w="606" w:type="pct"/>
            <w:vMerge w:val="restart"/>
            <w:noWrap w:val="0"/>
            <w:vAlign w:val="center"/>
          </w:tcPr>
          <w:p w14:paraId="71070A9E">
            <w:pPr>
              <w:widowControl/>
              <w:jc w:val="center"/>
              <w:rPr>
                <w:rFonts w:hint="default" w:ascii="Times New Roman" w:eastAsia="宋体"/>
                <w:color w:val="000000" w:themeColor="text1"/>
                <w:kern w:val="0"/>
                <w:sz w:val="21"/>
                <w:szCs w:val="24"/>
                <w:lang w:val="en-US" w:eastAsia="zh-CN"/>
                <w14:textFill>
                  <w14:solidFill>
                    <w14:schemeClr w14:val="tx1"/>
                  </w14:solidFill>
                </w14:textFill>
              </w:rPr>
            </w:pPr>
            <w:r>
              <w:rPr>
                <w:rFonts w:ascii="Times New Roman"/>
                <w:color w:val="000000" w:themeColor="text1"/>
                <w:kern w:val="0"/>
                <w:sz w:val="21"/>
                <w:szCs w:val="24"/>
                <w14:textFill>
                  <w14:solidFill>
                    <w14:schemeClr w14:val="tx1"/>
                  </w14:solidFill>
                </w14:textFill>
              </w:rPr>
              <w:t>0.</w:t>
            </w:r>
            <w:r>
              <w:rPr>
                <w:rFonts w:hint="eastAsia" w:ascii="Times New Roman"/>
                <w:color w:val="000000" w:themeColor="text1"/>
                <w:kern w:val="0"/>
                <w:sz w:val="21"/>
                <w:szCs w:val="24"/>
                <w:lang w:val="en-US" w:eastAsia="zh-CN"/>
                <w14:textFill>
                  <w14:solidFill>
                    <w14:schemeClr w14:val="tx1"/>
                  </w14:solidFill>
                </w14:textFill>
              </w:rPr>
              <w:t>0</w:t>
            </w:r>
            <w:r>
              <w:rPr>
                <w:rFonts w:hint="eastAsia"/>
                <w:color w:val="000000" w:themeColor="text1"/>
                <w:kern w:val="0"/>
                <w:sz w:val="21"/>
                <w:szCs w:val="24"/>
                <w:lang w:val="en-US" w:eastAsia="zh-CN"/>
                <w14:textFill>
                  <w14:solidFill>
                    <w14:schemeClr w14:val="tx1"/>
                  </w14:solidFill>
                </w14:textFill>
              </w:rPr>
              <w:t>8</w:t>
            </w:r>
          </w:p>
        </w:tc>
      </w:tr>
      <w:tr w14:paraId="27EF6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253" w:type="pct"/>
            <w:noWrap w:val="0"/>
            <w:vAlign w:val="center"/>
          </w:tcPr>
          <w:p w14:paraId="2370A717">
            <w:pPr>
              <w:widowControl/>
              <w:spacing w:line="240" w:lineRule="atLeast"/>
              <w:jc w:val="center"/>
              <w:rPr>
                <w:rFonts w:hint="eastAsia"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2</w:t>
            </w:r>
          </w:p>
        </w:tc>
        <w:tc>
          <w:tcPr>
            <w:tcW w:w="418" w:type="pct"/>
            <w:noWrap w:val="0"/>
            <w:vAlign w:val="center"/>
          </w:tcPr>
          <w:p w14:paraId="549FB492">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75</w:t>
            </w:r>
          </w:p>
        </w:tc>
        <w:tc>
          <w:tcPr>
            <w:tcW w:w="505" w:type="pct"/>
            <w:noWrap w:val="0"/>
            <w:vAlign w:val="center"/>
          </w:tcPr>
          <w:p w14:paraId="3DBC039F">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160</w:t>
            </w:r>
          </w:p>
        </w:tc>
        <w:tc>
          <w:tcPr>
            <w:tcW w:w="817" w:type="pct"/>
            <w:vMerge w:val="continue"/>
            <w:noWrap w:val="0"/>
            <w:vAlign w:val="center"/>
          </w:tcPr>
          <w:p w14:paraId="1F7E069A">
            <w:pPr>
              <w:widowControl/>
              <w:spacing w:line="240" w:lineRule="atLeast"/>
              <w:jc w:val="center"/>
              <w:rPr>
                <w:rFonts w:ascii="Times New Roman"/>
                <w:color w:val="000000" w:themeColor="text1"/>
                <w:kern w:val="0"/>
                <w:sz w:val="21"/>
                <w:szCs w:val="21"/>
                <w14:textFill>
                  <w14:solidFill>
                    <w14:schemeClr w14:val="tx1"/>
                  </w14:solidFill>
                </w14:textFill>
              </w:rPr>
            </w:pPr>
          </w:p>
        </w:tc>
        <w:tc>
          <w:tcPr>
            <w:tcW w:w="886" w:type="pct"/>
            <w:vMerge w:val="continue"/>
            <w:noWrap w:val="0"/>
            <w:vAlign w:val="center"/>
          </w:tcPr>
          <w:p w14:paraId="528750D1">
            <w:pPr>
              <w:widowControl/>
              <w:spacing w:line="240" w:lineRule="atLeast"/>
              <w:jc w:val="center"/>
              <w:rPr>
                <w:rFonts w:ascii="Times New Roman"/>
                <w:color w:val="000000" w:themeColor="text1"/>
                <w:kern w:val="0"/>
                <w:sz w:val="21"/>
                <w:szCs w:val="21"/>
                <w14:textFill>
                  <w14:solidFill>
                    <w14:schemeClr w14:val="tx1"/>
                  </w14:solidFill>
                </w14:textFill>
              </w:rPr>
            </w:pPr>
          </w:p>
        </w:tc>
        <w:tc>
          <w:tcPr>
            <w:tcW w:w="696" w:type="pct"/>
            <w:vMerge w:val="continue"/>
            <w:noWrap w:val="0"/>
            <w:vAlign w:val="center"/>
          </w:tcPr>
          <w:p w14:paraId="11E85FBF">
            <w:pPr>
              <w:widowControl/>
              <w:spacing w:line="240" w:lineRule="atLeast"/>
              <w:jc w:val="center"/>
              <w:rPr>
                <w:rFonts w:ascii="Times New Roman"/>
                <w:color w:val="000000" w:themeColor="text1"/>
                <w:kern w:val="0"/>
                <w:sz w:val="21"/>
                <w:szCs w:val="21"/>
                <w14:textFill>
                  <w14:solidFill>
                    <w14:schemeClr w14:val="tx1"/>
                  </w14:solidFill>
                </w14:textFill>
              </w:rPr>
            </w:pPr>
          </w:p>
        </w:tc>
        <w:tc>
          <w:tcPr>
            <w:tcW w:w="387" w:type="pct"/>
            <w:vMerge w:val="continue"/>
            <w:noWrap w:val="0"/>
            <w:vAlign w:val="center"/>
          </w:tcPr>
          <w:p w14:paraId="040AF0D9">
            <w:pPr>
              <w:widowControl/>
              <w:spacing w:line="240" w:lineRule="atLeast"/>
              <w:jc w:val="center"/>
              <w:rPr>
                <w:rFonts w:ascii="Times New Roman"/>
                <w:color w:val="000000" w:themeColor="text1"/>
                <w:kern w:val="0"/>
                <w:sz w:val="21"/>
                <w:szCs w:val="21"/>
                <w14:textFill>
                  <w14:solidFill>
                    <w14:schemeClr w14:val="tx1"/>
                  </w14:solidFill>
                </w14:textFill>
              </w:rPr>
            </w:pPr>
          </w:p>
        </w:tc>
        <w:tc>
          <w:tcPr>
            <w:tcW w:w="428" w:type="pct"/>
            <w:vMerge w:val="continue"/>
            <w:noWrap w:val="0"/>
            <w:vAlign w:val="center"/>
          </w:tcPr>
          <w:p w14:paraId="568C255E">
            <w:pPr>
              <w:widowControl/>
              <w:jc w:val="center"/>
              <w:rPr>
                <w:rFonts w:ascii="Times New Roman"/>
                <w:color w:val="000000" w:themeColor="text1"/>
                <w:kern w:val="0"/>
                <w:sz w:val="21"/>
                <w:szCs w:val="20"/>
                <w14:textFill>
                  <w14:solidFill>
                    <w14:schemeClr w14:val="tx1"/>
                  </w14:solidFill>
                </w14:textFill>
              </w:rPr>
            </w:pPr>
          </w:p>
        </w:tc>
        <w:tc>
          <w:tcPr>
            <w:tcW w:w="606" w:type="pct"/>
            <w:vMerge w:val="continue"/>
            <w:noWrap w:val="0"/>
            <w:vAlign w:val="center"/>
          </w:tcPr>
          <w:p w14:paraId="43FB2E15">
            <w:pPr>
              <w:widowControl/>
              <w:jc w:val="center"/>
              <w:rPr>
                <w:rFonts w:ascii="Times New Roman"/>
                <w:color w:val="000000" w:themeColor="text1"/>
                <w:kern w:val="0"/>
                <w:sz w:val="21"/>
                <w:szCs w:val="24"/>
                <w14:textFill>
                  <w14:solidFill>
                    <w14:schemeClr w14:val="tx1"/>
                  </w14:solidFill>
                </w14:textFill>
              </w:rPr>
            </w:pPr>
          </w:p>
        </w:tc>
      </w:tr>
      <w:tr w14:paraId="286C0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253" w:type="pct"/>
            <w:noWrap w:val="0"/>
            <w:vAlign w:val="center"/>
          </w:tcPr>
          <w:p w14:paraId="63173A0D">
            <w:pPr>
              <w:widowControl/>
              <w:spacing w:line="240" w:lineRule="atLeast"/>
              <w:jc w:val="center"/>
              <w:rPr>
                <w:rFonts w:hint="eastAsia"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3</w:t>
            </w:r>
          </w:p>
        </w:tc>
        <w:tc>
          <w:tcPr>
            <w:tcW w:w="418" w:type="pct"/>
            <w:noWrap w:val="0"/>
            <w:vAlign w:val="center"/>
          </w:tcPr>
          <w:p w14:paraId="6733C37E">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132</w:t>
            </w:r>
          </w:p>
        </w:tc>
        <w:tc>
          <w:tcPr>
            <w:tcW w:w="505" w:type="pct"/>
            <w:noWrap w:val="0"/>
            <w:vAlign w:val="center"/>
          </w:tcPr>
          <w:p w14:paraId="5CC54654">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110</w:t>
            </w:r>
          </w:p>
        </w:tc>
        <w:tc>
          <w:tcPr>
            <w:tcW w:w="817" w:type="pct"/>
            <w:vMerge w:val="continue"/>
            <w:noWrap w:val="0"/>
            <w:vAlign w:val="center"/>
          </w:tcPr>
          <w:p w14:paraId="7921C18B">
            <w:pPr>
              <w:widowControl/>
              <w:spacing w:line="240" w:lineRule="atLeast"/>
              <w:jc w:val="center"/>
              <w:rPr>
                <w:rFonts w:ascii="Times New Roman"/>
                <w:color w:val="000000" w:themeColor="text1"/>
                <w:kern w:val="0"/>
                <w:sz w:val="21"/>
                <w:szCs w:val="21"/>
                <w14:textFill>
                  <w14:solidFill>
                    <w14:schemeClr w14:val="tx1"/>
                  </w14:solidFill>
                </w14:textFill>
              </w:rPr>
            </w:pPr>
          </w:p>
        </w:tc>
        <w:tc>
          <w:tcPr>
            <w:tcW w:w="886" w:type="pct"/>
            <w:vMerge w:val="continue"/>
            <w:noWrap w:val="0"/>
            <w:vAlign w:val="center"/>
          </w:tcPr>
          <w:p w14:paraId="79DC065D">
            <w:pPr>
              <w:widowControl/>
              <w:spacing w:line="240" w:lineRule="atLeast"/>
              <w:jc w:val="center"/>
              <w:rPr>
                <w:rFonts w:ascii="Times New Roman"/>
                <w:color w:val="000000" w:themeColor="text1"/>
                <w:kern w:val="0"/>
                <w:sz w:val="21"/>
                <w:szCs w:val="21"/>
                <w14:textFill>
                  <w14:solidFill>
                    <w14:schemeClr w14:val="tx1"/>
                  </w14:solidFill>
                </w14:textFill>
              </w:rPr>
            </w:pPr>
          </w:p>
        </w:tc>
        <w:tc>
          <w:tcPr>
            <w:tcW w:w="696" w:type="pct"/>
            <w:vMerge w:val="continue"/>
            <w:noWrap w:val="0"/>
            <w:vAlign w:val="center"/>
          </w:tcPr>
          <w:p w14:paraId="6209B5BB">
            <w:pPr>
              <w:widowControl/>
              <w:spacing w:line="240" w:lineRule="atLeast"/>
              <w:jc w:val="center"/>
              <w:rPr>
                <w:rFonts w:ascii="Times New Roman"/>
                <w:color w:val="000000" w:themeColor="text1"/>
                <w:kern w:val="0"/>
                <w:sz w:val="21"/>
                <w:szCs w:val="21"/>
                <w14:textFill>
                  <w14:solidFill>
                    <w14:schemeClr w14:val="tx1"/>
                  </w14:solidFill>
                </w14:textFill>
              </w:rPr>
            </w:pPr>
          </w:p>
        </w:tc>
        <w:tc>
          <w:tcPr>
            <w:tcW w:w="387" w:type="pct"/>
            <w:vMerge w:val="continue"/>
            <w:noWrap w:val="0"/>
            <w:vAlign w:val="center"/>
          </w:tcPr>
          <w:p w14:paraId="0184C04E">
            <w:pPr>
              <w:widowControl/>
              <w:spacing w:line="240" w:lineRule="atLeast"/>
              <w:jc w:val="center"/>
              <w:rPr>
                <w:rFonts w:ascii="Times New Roman"/>
                <w:color w:val="000000" w:themeColor="text1"/>
                <w:kern w:val="0"/>
                <w:sz w:val="21"/>
                <w:szCs w:val="21"/>
                <w14:textFill>
                  <w14:solidFill>
                    <w14:schemeClr w14:val="tx1"/>
                  </w14:solidFill>
                </w14:textFill>
              </w:rPr>
            </w:pPr>
          </w:p>
        </w:tc>
        <w:tc>
          <w:tcPr>
            <w:tcW w:w="428" w:type="pct"/>
            <w:vMerge w:val="restart"/>
            <w:noWrap w:val="0"/>
            <w:vAlign w:val="center"/>
          </w:tcPr>
          <w:p w14:paraId="0E86C4B0">
            <w:pPr>
              <w:widowControl/>
              <w:jc w:val="center"/>
              <w:rPr>
                <w:rFonts w:hint="default" w:ascii="Times New Roman" w:eastAsia="宋体"/>
                <w:color w:val="000000" w:themeColor="text1"/>
                <w:kern w:val="0"/>
                <w:sz w:val="21"/>
                <w:szCs w:val="20"/>
                <w:lang w:val="en-US" w:eastAsia="zh-CN"/>
                <w14:textFill>
                  <w14:solidFill>
                    <w14:schemeClr w14:val="tx1"/>
                  </w14:solidFill>
                </w14:textFill>
              </w:rPr>
            </w:pPr>
            <w:r>
              <w:rPr>
                <w:rFonts w:hint="eastAsia"/>
                <w:color w:val="000000" w:themeColor="text1"/>
                <w:kern w:val="0"/>
                <w:sz w:val="21"/>
                <w:szCs w:val="20"/>
                <w:lang w:val="en-US" w:eastAsia="zh-CN"/>
                <w14:textFill>
                  <w14:solidFill>
                    <w14:schemeClr w14:val="tx1"/>
                  </w14:solidFill>
                </w14:textFill>
              </w:rPr>
              <w:t>TVOC</w:t>
            </w:r>
          </w:p>
        </w:tc>
        <w:tc>
          <w:tcPr>
            <w:tcW w:w="606" w:type="pct"/>
            <w:vMerge w:val="restart"/>
            <w:noWrap w:val="0"/>
            <w:vAlign w:val="center"/>
          </w:tcPr>
          <w:p w14:paraId="0DFF3C7A">
            <w:pPr>
              <w:widowControl/>
              <w:jc w:val="center"/>
              <w:rPr>
                <w:rFonts w:hint="default" w:ascii="Times New Roman" w:eastAsia="宋体"/>
                <w:color w:val="000000" w:themeColor="text1"/>
                <w:kern w:val="0"/>
                <w:sz w:val="21"/>
                <w:szCs w:val="24"/>
                <w:lang w:val="en-US" w:eastAsia="zh-CN"/>
                <w14:textFill>
                  <w14:solidFill>
                    <w14:schemeClr w14:val="tx1"/>
                  </w14:solidFill>
                </w14:textFill>
              </w:rPr>
            </w:pPr>
            <w:r>
              <w:rPr>
                <w:rFonts w:hint="eastAsia"/>
                <w:color w:val="000000" w:themeColor="text1"/>
                <w:kern w:val="0"/>
                <w:sz w:val="21"/>
                <w:szCs w:val="24"/>
                <w:lang w:val="en-US" w:eastAsia="zh-CN"/>
                <w14:textFill>
                  <w14:solidFill>
                    <w14:schemeClr w14:val="tx1"/>
                  </w14:solidFill>
                </w14:textFill>
              </w:rPr>
              <w:t>0.06</w:t>
            </w:r>
          </w:p>
        </w:tc>
      </w:tr>
      <w:tr w14:paraId="0D9EE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253" w:type="pct"/>
            <w:noWrap w:val="0"/>
            <w:vAlign w:val="center"/>
          </w:tcPr>
          <w:p w14:paraId="4FDE83B2">
            <w:pPr>
              <w:widowControl/>
              <w:spacing w:line="240" w:lineRule="atLeast"/>
              <w:jc w:val="center"/>
              <w:rPr>
                <w:rFonts w:hint="eastAsia"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4</w:t>
            </w:r>
          </w:p>
        </w:tc>
        <w:tc>
          <w:tcPr>
            <w:tcW w:w="418" w:type="pct"/>
            <w:noWrap w:val="0"/>
            <w:vAlign w:val="center"/>
          </w:tcPr>
          <w:p w14:paraId="4AA21C57">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152</w:t>
            </w:r>
          </w:p>
        </w:tc>
        <w:tc>
          <w:tcPr>
            <w:tcW w:w="505" w:type="pct"/>
            <w:noWrap w:val="0"/>
            <w:vAlign w:val="center"/>
          </w:tcPr>
          <w:p w14:paraId="1D601726">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130</w:t>
            </w:r>
          </w:p>
        </w:tc>
        <w:tc>
          <w:tcPr>
            <w:tcW w:w="817" w:type="pct"/>
            <w:vMerge w:val="continue"/>
            <w:noWrap w:val="0"/>
            <w:vAlign w:val="center"/>
          </w:tcPr>
          <w:p w14:paraId="0E92BB55">
            <w:pPr>
              <w:widowControl/>
              <w:spacing w:line="240" w:lineRule="atLeast"/>
              <w:jc w:val="center"/>
              <w:rPr>
                <w:rFonts w:ascii="Times New Roman"/>
                <w:color w:val="000000" w:themeColor="text1"/>
                <w:kern w:val="0"/>
                <w:sz w:val="21"/>
                <w:szCs w:val="21"/>
                <w14:textFill>
                  <w14:solidFill>
                    <w14:schemeClr w14:val="tx1"/>
                  </w14:solidFill>
                </w14:textFill>
              </w:rPr>
            </w:pPr>
          </w:p>
        </w:tc>
        <w:tc>
          <w:tcPr>
            <w:tcW w:w="886" w:type="pct"/>
            <w:vMerge w:val="continue"/>
            <w:noWrap w:val="0"/>
            <w:vAlign w:val="center"/>
          </w:tcPr>
          <w:p w14:paraId="41288134">
            <w:pPr>
              <w:widowControl/>
              <w:spacing w:line="240" w:lineRule="atLeast"/>
              <w:jc w:val="center"/>
              <w:rPr>
                <w:rFonts w:ascii="Times New Roman"/>
                <w:color w:val="000000" w:themeColor="text1"/>
                <w:kern w:val="0"/>
                <w:sz w:val="21"/>
                <w:szCs w:val="21"/>
                <w14:textFill>
                  <w14:solidFill>
                    <w14:schemeClr w14:val="tx1"/>
                  </w14:solidFill>
                </w14:textFill>
              </w:rPr>
            </w:pPr>
          </w:p>
        </w:tc>
        <w:tc>
          <w:tcPr>
            <w:tcW w:w="696" w:type="pct"/>
            <w:vMerge w:val="continue"/>
            <w:noWrap w:val="0"/>
            <w:vAlign w:val="center"/>
          </w:tcPr>
          <w:p w14:paraId="2BCACE9F">
            <w:pPr>
              <w:widowControl/>
              <w:spacing w:line="240" w:lineRule="atLeast"/>
              <w:jc w:val="center"/>
              <w:rPr>
                <w:rFonts w:ascii="Times New Roman"/>
                <w:color w:val="000000" w:themeColor="text1"/>
                <w:kern w:val="0"/>
                <w:sz w:val="21"/>
                <w:szCs w:val="21"/>
                <w14:textFill>
                  <w14:solidFill>
                    <w14:schemeClr w14:val="tx1"/>
                  </w14:solidFill>
                </w14:textFill>
              </w:rPr>
            </w:pPr>
          </w:p>
        </w:tc>
        <w:tc>
          <w:tcPr>
            <w:tcW w:w="387" w:type="pct"/>
            <w:vMerge w:val="continue"/>
            <w:noWrap w:val="0"/>
            <w:vAlign w:val="center"/>
          </w:tcPr>
          <w:p w14:paraId="082E31BC">
            <w:pPr>
              <w:widowControl/>
              <w:spacing w:line="240" w:lineRule="atLeast"/>
              <w:jc w:val="center"/>
              <w:rPr>
                <w:rFonts w:ascii="Times New Roman"/>
                <w:color w:val="000000" w:themeColor="text1"/>
                <w:kern w:val="0"/>
                <w:sz w:val="21"/>
                <w:szCs w:val="21"/>
                <w14:textFill>
                  <w14:solidFill>
                    <w14:schemeClr w14:val="tx1"/>
                  </w14:solidFill>
                </w14:textFill>
              </w:rPr>
            </w:pPr>
          </w:p>
        </w:tc>
        <w:tc>
          <w:tcPr>
            <w:tcW w:w="428" w:type="pct"/>
            <w:vMerge w:val="continue"/>
            <w:noWrap w:val="0"/>
            <w:vAlign w:val="center"/>
          </w:tcPr>
          <w:p w14:paraId="33ED0C1F">
            <w:pPr>
              <w:widowControl/>
              <w:jc w:val="center"/>
              <w:rPr>
                <w:rFonts w:ascii="Times New Roman"/>
                <w:color w:val="000000" w:themeColor="text1"/>
                <w:kern w:val="0"/>
                <w:sz w:val="21"/>
                <w:szCs w:val="20"/>
                <w14:textFill>
                  <w14:solidFill>
                    <w14:schemeClr w14:val="tx1"/>
                  </w14:solidFill>
                </w14:textFill>
              </w:rPr>
            </w:pPr>
          </w:p>
        </w:tc>
        <w:tc>
          <w:tcPr>
            <w:tcW w:w="606" w:type="pct"/>
            <w:vMerge w:val="continue"/>
            <w:noWrap w:val="0"/>
            <w:vAlign w:val="center"/>
          </w:tcPr>
          <w:p w14:paraId="36E2F4E6">
            <w:pPr>
              <w:widowControl/>
              <w:jc w:val="center"/>
              <w:rPr>
                <w:rFonts w:ascii="Times New Roman"/>
                <w:color w:val="000000" w:themeColor="text1"/>
                <w:kern w:val="0"/>
                <w:sz w:val="21"/>
                <w:szCs w:val="24"/>
                <w14:textFill>
                  <w14:solidFill>
                    <w14:schemeClr w14:val="tx1"/>
                  </w14:solidFill>
                </w14:textFill>
              </w:rPr>
            </w:pPr>
          </w:p>
        </w:tc>
      </w:tr>
      <w:tr w14:paraId="05C06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253" w:type="pct"/>
            <w:noWrap w:val="0"/>
            <w:vAlign w:val="center"/>
          </w:tcPr>
          <w:p w14:paraId="11FD1B85">
            <w:pPr>
              <w:widowControl/>
              <w:spacing w:line="240" w:lineRule="atLeast"/>
              <w:jc w:val="center"/>
              <w:rPr>
                <w:rFonts w:hint="eastAsia"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5</w:t>
            </w:r>
          </w:p>
        </w:tc>
        <w:tc>
          <w:tcPr>
            <w:tcW w:w="418" w:type="pct"/>
            <w:noWrap w:val="0"/>
            <w:vAlign w:val="center"/>
          </w:tcPr>
          <w:p w14:paraId="6B649C23">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96</w:t>
            </w:r>
          </w:p>
        </w:tc>
        <w:tc>
          <w:tcPr>
            <w:tcW w:w="505" w:type="pct"/>
            <w:noWrap w:val="0"/>
            <w:vAlign w:val="center"/>
          </w:tcPr>
          <w:p w14:paraId="59A179B8">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179</w:t>
            </w:r>
          </w:p>
        </w:tc>
        <w:tc>
          <w:tcPr>
            <w:tcW w:w="817" w:type="pct"/>
            <w:vMerge w:val="continue"/>
            <w:noWrap w:val="0"/>
            <w:vAlign w:val="center"/>
          </w:tcPr>
          <w:p w14:paraId="17CB8CED">
            <w:pPr>
              <w:widowControl/>
              <w:spacing w:line="240" w:lineRule="atLeast"/>
              <w:jc w:val="center"/>
              <w:rPr>
                <w:rFonts w:ascii="Times New Roman"/>
                <w:color w:val="000000" w:themeColor="text1"/>
                <w:kern w:val="0"/>
                <w:sz w:val="21"/>
                <w:szCs w:val="21"/>
                <w14:textFill>
                  <w14:solidFill>
                    <w14:schemeClr w14:val="tx1"/>
                  </w14:solidFill>
                </w14:textFill>
              </w:rPr>
            </w:pPr>
          </w:p>
        </w:tc>
        <w:tc>
          <w:tcPr>
            <w:tcW w:w="886" w:type="pct"/>
            <w:vMerge w:val="continue"/>
            <w:noWrap w:val="0"/>
            <w:vAlign w:val="center"/>
          </w:tcPr>
          <w:p w14:paraId="0E15703A">
            <w:pPr>
              <w:widowControl/>
              <w:spacing w:line="240" w:lineRule="atLeast"/>
              <w:jc w:val="center"/>
              <w:rPr>
                <w:rFonts w:ascii="Times New Roman"/>
                <w:color w:val="000000" w:themeColor="text1"/>
                <w:kern w:val="0"/>
                <w:sz w:val="21"/>
                <w:szCs w:val="21"/>
                <w14:textFill>
                  <w14:solidFill>
                    <w14:schemeClr w14:val="tx1"/>
                  </w14:solidFill>
                </w14:textFill>
              </w:rPr>
            </w:pPr>
          </w:p>
        </w:tc>
        <w:tc>
          <w:tcPr>
            <w:tcW w:w="696" w:type="pct"/>
            <w:vMerge w:val="continue"/>
            <w:noWrap w:val="0"/>
            <w:vAlign w:val="center"/>
          </w:tcPr>
          <w:p w14:paraId="1EA87B1B">
            <w:pPr>
              <w:widowControl/>
              <w:spacing w:line="240" w:lineRule="atLeast"/>
              <w:jc w:val="center"/>
              <w:rPr>
                <w:rFonts w:ascii="Times New Roman"/>
                <w:color w:val="000000" w:themeColor="text1"/>
                <w:kern w:val="0"/>
                <w:sz w:val="21"/>
                <w:szCs w:val="21"/>
                <w14:textFill>
                  <w14:solidFill>
                    <w14:schemeClr w14:val="tx1"/>
                  </w14:solidFill>
                </w14:textFill>
              </w:rPr>
            </w:pPr>
          </w:p>
        </w:tc>
        <w:tc>
          <w:tcPr>
            <w:tcW w:w="387" w:type="pct"/>
            <w:vMerge w:val="continue"/>
            <w:noWrap w:val="0"/>
            <w:vAlign w:val="center"/>
          </w:tcPr>
          <w:p w14:paraId="48135968">
            <w:pPr>
              <w:widowControl/>
              <w:spacing w:line="240" w:lineRule="atLeast"/>
              <w:jc w:val="center"/>
              <w:rPr>
                <w:rFonts w:ascii="Times New Roman"/>
                <w:color w:val="000000" w:themeColor="text1"/>
                <w:kern w:val="0"/>
                <w:sz w:val="21"/>
                <w:szCs w:val="21"/>
                <w14:textFill>
                  <w14:solidFill>
                    <w14:schemeClr w14:val="tx1"/>
                  </w14:solidFill>
                </w14:textFill>
              </w:rPr>
            </w:pPr>
          </w:p>
        </w:tc>
        <w:tc>
          <w:tcPr>
            <w:tcW w:w="428" w:type="pct"/>
            <w:noWrap w:val="0"/>
            <w:vAlign w:val="center"/>
          </w:tcPr>
          <w:p w14:paraId="62CF83E6">
            <w:pPr>
              <w:widowControl/>
              <w:jc w:val="center"/>
              <w:rPr>
                <w:rFonts w:hint="eastAsia" w:ascii="Times New Roman" w:eastAsia="宋体"/>
                <w:color w:val="000000" w:themeColor="text1"/>
                <w:kern w:val="0"/>
                <w:sz w:val="21"/>
                <w:szCs w:val="20"/>
                <w:lang w:val="en-US" w:eastAsia="zh-CN"/>
                <w14:textFill>
                  <w14:solidFill>
                    <w14:schemeClr w14:val="tx1"/>
                  </w14:solidFill>
                </w14:textFill>
              </w:rPr>
            </w:pPr>
            <w:r>
              <w:rPr>
                <w:rFonts w:hint="eastAsia"/>
                <w:color w:val="000000" w:themeColor="text1"/>
                <w:kern w:val="0"/>
                <w:sz w:val="21"/>
                <w:szCs w:val="20"/>
                <w:lang w:val="en-US" w:eastAsia="zh-CN"/>
                <w14:textFill>
                  <w14:solidFill>
                    <w14:schemeClr w14:val="tx1"/>
                  </w14:solidFill>
                </w14:textFill>
              </w:rPr>
              <w:t>甲醛</w:t>
            </w:r>
          </w:p>
        </w:tc>
        <w:tc>
          <w:tcPr>
            <w:tcW w:w="606" w:type="pct"/>
            <w:noWrap w:val="0"/>
            <w:vAlign w:val="center"/>
          </w:tcPr>
          <w:p w14:paraId="0FBC5479">
            <w:pPr>
              <w:widowControl/>
              <w:jc w:val="center"/>
              <w:rPr>
                <w:rFonts w:hint="default" w:ascii="Times New Roman" w:eastAsia="宋体"/>
                <w:color w:val="000000" w:themeColor="text1"/>
                <w:kern w:val="0"/>
                <w:sz w:val="21"/>
                <w:szCs w:val="24"/>
                <w:lang w:val="en-US" w:eastAsia="zh-CN"/>
                <w14:textFill>
                  <w14:solidFill>
                    <w14:schemeClr w14:val="tx1"/>
                  </w14:solidFill>
                </w14:textFill>
              </w:rPr>
            </w:pPr>
            <w:r>
              <w:rPr>
                <w:rFonts w:hint="eastAsia"/>
                <w:color w:val="000000" w:themeColor="text1"/>
                <w:kern w:val="0"/>
                <w:sz w:val="21"/>
                <w:szCs w:val="24"/>
                <w:lang w:val="en-US" w:eastAsia="zh-CN"/>
                <w14:textFill>
                  <w14:solidFill>
                    <w14:schemeClr w14:val="tx1"/>
                  </w14:solidFill>
                </w14:textFill>
              </w:rPr>
              <w:t>0.0002</w:t>
            </w:r>
          </w:p>
        </w:tc>
      </w:tr>
    </w:tbl>
    <w:p w14:paraId="036A7560">
      <w:pPr>
        <w:pStyle w:val="79"/>
        <w:bidi w:val="0"/>
        <w:rPr>
          <w:rFonts w:hint="default" w:ascii="Times New Roman" w:hAnsi="Times New Roman" w:eastAsia="宋体" w:cs="Times New Roman"/>
          <w:color w:val="000000" w:themeColor="text1"/>
          <w:kern w:val="0"/>
          <w:sz w:val="24"/>
          <w:szCs w:val="20"/>
          <w:lang w:val="en-US" w:eastAsia="zh-CN"/>
          <w14:textFill>
            <w14:solidFill>
              <w14:schemeClr w14:val="tx1"/>
            </w14:solidFill>
          </w14:textFill>
        </w:rPr>
        <w:sectPr>
          <w:pgSz w:w="16838" w:h="11906" w:orient="landscape"/>
          <w:pgMar w:top="1531" w:right="1701" w:bottom="1531" w:left="1701" w:header="851" w:footer="850" w:gutter="0"/>
          <w:pgBorders>
            <w:top w:val="none" w:sz="0" w:space="0"/>
            <w:left w:val="none" w:sz="0" w:space="0"/>
            <w:bottom w:val="none" w:sz="0" w:space="0"/>
            <w:right w:val="none" w:sz="0" w:space="0"/>
          </w:pgBorders>
          <w:cols w:space="0" w:num="1"/>
          <w:docGrid w:linePitch="312" w:charSpace="0"/>
        </w:sectPr>
      </w:pPr>
    </w:p>
    <w:p w14:paraId="4D42B495">
      <w:pPr>
        <w:pStyle w:val="79"/>
        <w:numPr>
          <w:ilvl w:val="0"/>
          <w:numId w:val="0"/>
        </w:numPr>
        <w:bidi w:val="0"/>
        <w:ind w:firstLine="482" w:firstLineChars="200"/>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4、预测结果分析</w:t>
      </w:r>
    </w:p>
    <w:p w14:paraId="157D1117">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①有组织排放废气预测结果</w:t>
      </w:r>
    </w:p>
    <w:p w14:paraId="6A19F63E">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拟建项目正常排放情况下有组织排放废气污染物估算模式浓度预测结果见表</w:t>
      </w: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.2-7。</w:t>
      </w:r>
    </w:p>
    <w:p w14:paraId="4F6965E6">
      <w:pPr>
        <w:widowControl/>
        <w:adjustRightInd w:val="0"/>
        <w:snapToGrid w:val="0"/>
        <w:jc w:val="center"/>
        <w:rPr>
          <w:rFonts w:ascii="Times New Roman"/>
          <w:b/>
          <w:bCs/>
          <w:color w:val="000000" w:themeColor="text1"/>
          <w:kern w:val="0"/>
          <w:sz w:val="24"/>
          <w:szCs w:val="24"/>
          <w14:textFill>
            <w14:solidFill>
              <w14:schemeClr w14:val="tx1"/>
            </w14:solidFill>
          </w14:textFill>
        </w:rPr>
      </w:pPr>
      <w:r>
        <w:rPr>
          <w:rFonts w:ascii="Times New Roman"/>
          <w:b/>
          <w:bCs/>
          <w:color w:val="000000" w:themeColor="text1"/>
          <w:kern w:val="0"/>
          <w:sz w:val="21"/>
          <w:szCs w:val="20"/>
          <w14:textFill>
            <w14:solidFill>
              <w14:schemeClr w14:val="tx1"/>
            </w14:solidFill>
          </w14:textFill>
        </w:rPr>
        <w:t>表</w:t>
      </w:r>
      <w:r>
        <w:rPr>
          <w:rFonts w:hint="eastAsia"/>
          <w:b/>
          <w:bCs/>
          <w:color w:val="000000" w:themeColor="text1"/>
          <w:kern w:val="0"/>
          <w:sz w:val="21"/>
          <w:szCs w:val="20"/>
          <w:lang w:val="en-US" w:eastAsia="zh-CN"/>
          <w14:textFill>
            <w14:solidFill>
              <w14:schemeClr w14:val="tx1"/>
            </w14:solidFill>
          </w14:textFill>
        </w:rPr>
        <w:t>4</w:t>
      </w:r>
      <w:r>
        <w:rPr>
          <w:rFonts w:ascii="Times New Roman"/>
          <w:b/>
          <w:bCs/>
          <w:color w:val="000000" w:themeColor="text1"/>
          <w:kern w:val="0"/>
          <w:sz w:val="21"/>
          <w:szCs w:val="20"/>
          <w14:textFill>
            <w14:solidFill>
              <w14:schemeClr w14:val="tx1"/>
            </w14:solidFill>
          </w14:textFill>
        </w:rPr>
        <w:t>.2-</w:t>
      </w:r>
      <w:r>
        <w:rPr>
          <w:rFonts w:hint="eastAsia"/>
          <w:b/>
          <w:bCs/>
          <w:color w:val="000000" w:themeColor="text1"/>
          <w:kern w:val="0"/>
          <w:sz w:val="21"/>
          <w:szCs w:val="20"/>
          <w:lang w:val="en-US" w:eastAsia="zh-CN"/>
          <w14:textFill>
            <w14:solidFill>
              <w14:schemeClr w14:val="tx1"/>
            </w14:solidFill>
          </w14:textFill>
        </w:rPr>
        <w:t>5</w:t>
      </w:r>
      <w:r>
        <w:rPr>
          <w:rFonts w:ascii="Times New Roman"/>
          <w:b/>
          <w:bCs/>
          <w:color w:val="000000" w:themeColor="text1"/>
          <w:kern w:val="0"/>
          <w:sz w:val="21"/>
          <w:szCs w:val="20"/>
          <w14:textFill>
            <w14:solidFill>
              <w14:schemeClr w14:val="tx1"/>
            </w14:solidFill>
          </w14:textFill>
        </w:rPr>
        <w:t xml:space="preserve"> </w:t>
      </w:r>
      <w:r>
        <w:rPr>
          <w:rFonts w:ascii="Times New Roman"/>
          <w:b/>
          <w:bCs/>
          <w:color w:val="000000" w:themeColor="text1"/>
          <w:kern w:val="0"/>
          <w:sz w:val="21"/>
          <w:szCs w:val="24"/>
          <w14:textFill>
            <w14:solidFill>
              <w14:schemeClr w14:val="tx1"/>
            </w14:solidFill>
          </w14:textFill>
        </w:rPr>
        <w:t xml:space="preserve"> DA00</w:t>
      </w:r>
      <w:r>
        <w:rPr>
          <w:rFonts w:hint="eastAsia"/>
          <w:b/>
          <w:bCs/>
          <w:color w:val="000000" w:themeColor="text1"/>
          <w:kern w:val="0"/>
          <w:sz w:val="21"/>
          <w:szCs w:val="24"/>
          <w:lang w:val="en-US" w:eastAsia="zh-CN"/>
          <w14:textFill>
            <w14:solidFill>
              <w14:schemeClr w14:val="tx1"/>
            </w14:solidFill>
          </w14:textFill>
        </w:rPr>
        <w:t>1</w:t>
      </w:r>
      <w:r>
        <w:rPr>
          <w:rFonts w:ascii="Times New Roman"/>
          <w:b/>
          <w:bCs/>
          <w:color w:val="000000" w:themeColor="text1"/>
          <w:kern w:val="0"/>
          <w:sz w:val="21"/>
          <w:szCs w:val="24"/>
          <w14:textFill>
            <w14:solidFill>
              <w14:schemeClr w14:val="tx1"/>
            </w14:solidFill>
          </w14:textFill>
        </w:rPr>
        <w:t>估算模式预测污染物浓度扩散结果</w:t>
      </w:r>
    </w:p>
    <w:tbl>
      <w:tblPr>
        <w:tblStyle w:val="31"/>
        <w:tblW w:w="874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392"/>
        <w:gridCol w:w="2231"/>
        <w:gridCol w:w="1431"/>
        <w:gridCol w:w="2233"/>
        <w:gridCol w:w="1458"/>
      </w:tblGrid>
      <w:tr w14:paraId="07F742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01" w:hRule="atLeast"/>
          <w:jc w:val="center"/>
        </w:trPr>
        <w:tc>
          <w:tcPr>
            <w:tcW w:w="1392" w:type="dxa"/>
            <w:vMerge w:val="restart"/>
            <w:noWrap w:val="0"/>
            <w:vAlign w:val="center"/>
          </w:tcPr>
          <w:p w14:paraId="4AD45A26">
            <w:pPr>
              <w:keepNext w:val="0"/>
              <w:keepLines w:val="0"/>
              <w:pageBreakBefore w:val="0"/>
              <w:widowControl/>
              <w:kinsoku/>
              <w:wordWrap/>
              <w:overflowPunct/>
              <w:topLinePunct w:val="0"/>
              <w:autoSpaceDE/>
              <w:autoSpaceDN/>
              <w:bidi w:val="0"/>
              <w:spacing w:line="240" w:lineRule="auto"/>
              <w:jc w:val="center"/>
              <w:textAlignment w:val="auto"/>
              <w:rPr>
                <w:rFonts w:hint="eastAsia" w:ascii="Times New Roman" w:eastAsia="宋体"/>
                <w:color w:val="000000" w:themeColor="text1"/>
                <w:kern w:val="0"/>
                <w:sz w:val="21"/>
                <w:szCs w:val="21"/>
                <w:lang w:eastAsia="zh-CN" w:bidi="ar"/>
                <w14:textFill>
                  <w14:solidFill>
                    <w14:schemeClr w14:val="tx1"/>
                  </w14:solidFill>
                </w14:textFill>
              </w:rPr>
            </w:pPr>
            <w:r>
              <w:rPr>
                <w:rFonts w:ascii="Times New Roman"/>
                <w:b/>
                <w:bCs/>
                <w:color w:val="000000" w:themeColor="text1"/>
                <w:kern w:val="0"/>
                <w:sz w:val="21"/>
                <w:szCs w:val="21"/>
                <w:lang w:bidi="ar"/>
                <w14:textFill>
                  <w14:solidFill>
                    <w14:schemeClr w14:val="tx1"/>
                  </w14:solidFill>
                </w14:textFill>
              </w:rPr>
              <w:t>下风向距离D</w:t>
            </w:r>
            <w:r>
              <w:rPr>
                <w:rFonts w:hint="eastAsia"/>
                <w:b/>
                <w:bCs/>
                <w:color w:val="000000" w:themeColor="text1"/>
                <w:kern w:val="0"/>
                <w:sz w:val="21"/>
                <w:szCs w:val="21"/>
                <w:lang w:eastAsia="zh-CN" w:bidi="ar"/>
                <w14:textFill>
                  <w14:solidFill>
                    <w14:schemeClr w14:val="tx1"/>
                  </w14:solidFill>
                </w14:textFill>
              </w:rPr>
              <w:t>（</w:t>
            </w:r>
            <w:r>
              <w:rPr>
                <w:rFonts w:ascii="Times New Roman"/>
                <w:b/>
                <w:bCs/>
                <w:color w:val="000000" w:themeColor="text1"/>
                <w:kern w:val="0"/>
                <w:sz w:val="21"/>
                <w:szCs w:val="21"/>
                <w:lang w:bidi="ar"/>
                <w14:textFill>
                  <w14:solidFill>
                    <w14:schemeClr w14:val="tx1"/>
                  </w14:solidFill>
                </w14:textFill>
              </w:rPr>
              <w:t>m</w:t>
            </w:r>
            <w:r>
              <w:rPr>
                <w:rFonts w:hint="eastAsia"/>
                <w:b/>
                <w:bCs/>
                <w:color w:val="000000" w:themeColor="text1"/>
                <w:kern w:val="0"/>
                <w:sz w:val="21"/>
                <w:szCs w:val="21"/>
                <w:lang w:eastAsia="zh-CN" w:bidi="ar"/>
                <w14:textFill>
                  <w14:solidFill>
                    <w14:schemeClr w14:val="tx1"/>
                  </w14:solidFill>
                </w14:textFill>
              </w:rPr>
              <w:t>）</w:t>
            </w:r>
          </w:p>
        </w:tc>
        <w:tc>
          <w:tcPr>
            <w:tcW w:w="3662" w:type="dxa"/>
            <w:gridSpan w:val="2"/>
            <w:tcBorders>
              <w:bottom w:val="single" w:color="auto" w:sz="4" w:space="0"/>
              <w:right w:val="single" w:color="auto" w:sz="4" w:space="0"/>
            </w:tcBorders>
            <w:noWrap w:val="0"/>
            <w:vAlign w:val="center"/>
          </w:tcPr>
          <w:p w14:paraId="666C6294">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bidi="ar"/>
                <w14:textFill>
                  <w14:solidFill>
                    <w14:schemeClr w14:val="tx1"/>
                  </w14:solidFill>
                </w14:textFill>
              </w:rPr>
            </w:pPr>
            <w:r>
              <w:rPr>
                <w:rFonts w:hint="eastAsia"/>
                <w:b/>
                <w:bCs/>
                <w:color w:val="000000" w:themeColor="text1"/>
                <w:kern w:val="0"/>
                <w:sz w:val="21"/>
                <w:szCs w:val="21"/>
                <w:lang w:val="en-US" w:eastAsia="zh-CN" w:bidi="ar"/>
                <w14:textFill>
                  <w14:solidFill>
                    <w14:schemeClr w14:val="tx1"/>
                  </w14:solidFill>
                </w14:textFill>
              </w:rPr>
              <w:t>TVOC</w:t>
            </w:r>
          </w:p>
        </w:tc>
        <w:tc>
          <w:tcPr>
            <w:tcW w:w="3691" w:type="dxa"/>
            <w:gridSpan w:val="2"/>
            <w:tcBorders>
              <w:bottom w:val="single" w:color="auto" w:sz="4" w:space="0"/>
              <w:right w:val="single" w:color="auto" w:sz="4" w:space="0"/>
            </w:tcBorders>
            <w:noWrap w:val="0"/>
            <w:vAlign w:val="center"/>
          </w:tcPr>
          <w:p w14:paraId="1B1D5CB2">
            <w:pPr>
              <w:keepNext w:val="0"/>
              <w:keepLines w:val="0"/>
              <w:pageBreakBefore w:val="0"/>
              <w:widowControl/>
              <w:kinsoku/>
              <w:wordWrap/>
              <w:overflowPunct/>
              <w:topLinePunct w:val="0"/>
              <w:autoSpaceDE/>
              <w:autoSpaceDN/>
              <w:bidi w:val="0"/>
              <w:spacing w:line="240" w:lineRule="auto"/>
              <w:jc w:val="center"/>
              <w:textAlignment w:val="auto"/>
              <w:rPr>
                <w:rFonts w:hint="eastAsia" w:ascii="Times New Roman" w:eastAsia="宋体"/>
                <w:b/>
                <w:bCs/>
                <w:color w:val="000000" w:themeColor="text1"/>
                <w:kern w:val="0"/>
                <w:sz w:val="21"/>
                <w:szCs w:val="21"/>
                <w:lang w:eastAsia="zh-CN" w:bidi="ar"/>
                <w14:textFill>
                  <w14:solidFill>
                    <w14:schemeClr w14:val="tx1"/>
                  </w14:solidFill>
                </w14:textFill>
              </w:rPr>
            </w:pPr>
            <w:r>
              <w:rPr>
                <w:rFonts w:hint="eastAsia"/>
                <w:b/>
                <w:bCs/>
                <w:color w:val="000000" w:themeColor="text1"/>
                <w:kern w:val="0"/>
                <w:sz w:val="21"/>
                <w:szCs w:val="21"/>
                <w:lang w:val="en-US" w:eastAsia="zh-CN" w:bidi="ar"/>
                <w14:textFill>
                  <w14:solidFill>
                    <w14:schemeClr w14:val="tx1"/>
                  </w14:solidFill>
                </w14:textFill>
              </w:rPr>
              <w:t>甲醛</w:t>
            </w:r>
          </w:p>
        </w:tc>
      </w:tr>
      <w:tr w14:paraId="216925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92" w:type="dxa"/>
            <w:vMerge w:val="continue"/>
            <w:tcBorders>
              <w:bottom w:val="single" w:color="auto" w:sz="4" w:space="0"/>
            </w:tcBorders>
            <w:noWrap w:val="0"/>
            <w:vAlign w:val="center"/>
          </w:tcPr>
          <w:p w14:paraId="7644F01C">
            <w:pPr>
              <w:keepNext w:val="0"/>
              <w:keepLines w:val="0"/>
              <w:pageBreakBefore w:val="0"/>
              <w:widowControl/>
              <w:kinsoku/>
              <w:wordWrap/>
              <w:overflowPunct/>
              <w:topLinePunct w:val="0"/>
              <w:autoSpaceDE/>
              <w:autoSpaceDN/>
              <w:bidi w:val="0"/>
              <w:spacing w:line="240" w:lineRule="auto"/>
              <w:jc w:val="center"/>
              <w:textAlignment w:val="auto"/>
              <w:rPr>
                <w:rFonts w:ascii="Times New Roman"/>
                <w:color w:val="000000" w:themeColor="text1"/>
                <w:kern w:val="0"/>
                <w:sz w:val="21"/>
                <w:szCs w:val="21"/>
                <w:lang w:bidi="ar"/>
                <w14:textFill>
                  <w14:solidFill>
                    <w14:schemeClr w14:val="tx1"/>
                  </w14:solidFill>
                </w14:textFill>
              </w:rPr>
            </w:pPr>
          </w:p>
        </w:tc>
        <w:tc>
          <w:tcPr>
            <w:tcW w:w="2231" w:type="dxa"/>
            <w:tcBorders>
              <w:bottom w:val="single" w:color="auto" w:sz="4" w:space="0"/>
              <w:right w:val="single" w:color="auto" w:sz="4" w:space="0"/>
            </w:tcBorders>
            <w:noWrap w:val="0"/>
            <w:vAlign w:val="center"/>
          </w:tcPr>
          <w:p w14:paraId="4AE1E68F">
            <w:pPr>
              <w:keepNext w:val="0"/>
              <w:keepLines w:val="0"/>
              <w:pageBreakBefore w:val="0"/>
              <w:widowControl/>
              <w:kinsoku/>
              <w:wordWrap/>
              <w:overflowPunct/>
              <w:topLinePunct w:val="0"/>
              <w:autoSpaceDE/>
              <w:autoSpaceDN/>
              <w:bidi w:val="0"/>
              <w:spacing w:line="240" w:lineRule="auto"/>
              <w:jc w:val="center"/>
              <w:textAlignment w:val="auto"/>
              <w:rPr>
                <w:rFonts w:hint="eastAsia" w:ascii="Times New Roman" w:eastAsia="宋体"/>
                <w:color w:val="000000" w:themeColor="text1"/>
                <w:kern w:val="0"/>
                <w:sz w:val="21"/>
                <w:szCs w:val="21"/>
                <w:lang w:eastAsia="zh-CN" w:bidi="ar"/>
                <w14:textFill>
                  <w14:solidFill>
                    <w14:schemeClr w14:val="tx1"/>
                  </w14:solidFill>
                </w14:textFill>
              </w:rPr>
            </w:pPr>
            <w:r>
              <w:rPr>
                <w:rFonts w:ascii="Times New Roman"/>
                <w:b/>
                <w:bCs/>
                <w:color w:val="000000" w:themeColor="text1"/>
                <w:kern w:val="0"/>
                <w:sz w:val="21"/>
                <w:szCs w:val="21"/>
                <w14:textFill>
                  <w14:solidFill>
                    <w14:schemeClr w14:val="tx1"/>
                  </w14:solidFill>
                </w14:textFill>
              </w:rPr>
              <w:t>预测质量浓度</w:t>
            </w:r>
            <w:r>
              <w:rPr>
                <w:rFonts w:hint="eastAsia"/>
                <w:b/>
                <w:bCs/>
                <w:color w:val="000000" w:themeColor="text1"/>
                <w:kern w:val="0"/>
                <w:sz w:val="21"/>
                <w:szCs w:val="21"/>
                <w:lang w:eastAsia="zh-CN"/>
                <w14:textFill>
                  <w14:solidFill>
                    <w14:schemeClr w14:val="tx1"/>
                  </w14:solidFill>
                </w14:textFill>
              </w:rPr>
              <w:t>（</w:t>
            </w:r>
            <w:r>
              <w:rPr>
                <w:rFonts w:ascii="Times New Roman"/>
                <w:b/>
                <w:bCs/>
                <w:color w:val="000000" w:themeColor="text1"/>
                <w:kern w:val="0"/>
                <w:sz w:val="21"/>
                <w:szCs w:val="21"/>
                <w14:textFill>
                  <w14:solidFill>
                    <w14:schemeClr w14:val="tx1"/>
                  </w14:solidFill>
                </w14:textFill>
              </w:rPr>
              <w:t>μg/m</w:t>
            </w:r>
            <w:r>
              <w:rPr>
                <w:rFonts w:ascii="Times New Roman"/>
                <w:b/>
                <w:bCs/>
                <w:color w:val="000000" w:themeColor="text1"/>
                <w:kern w:val="0"/>
                <w:sz w:val="21"/>
                <w:szCs w:val="21"/>
                <w:vertAlign w:val="superscript"/>
                <w14:textFill>
                  <w14:solidFill>
                    <w14:schemeClr w14:val="tx1"/>
                  </w14:solidFill>
                </w14:textFill>
              </w:rPr>
              <w:t>3</w:t>
            </w:r>
            <w:r>
              <w:rPr>
                <w:rFonts w:hint="eastAsia"/>
                <w:b/>
                <w:bCs/>
                <w:color w:val="000000" w:themeColor="text1"/>
                <w:kern w:val="0"/>
                <w:sz w:val="21"/>
                <w:szCs w:val="21"/>
                <w:lang w:eastAsia="zh-CN"/>
                <w14:textFill>
                  <w14:solidFill>
                    <w14:schemeClr w14:val="tx1"/>
                  </w14:solidFill>
                </w14:textFill>
              </w:rPr>
              <w:t>）</w:t>
            </w:r>
          </w:p>
        </w:tc>
        <w:tc>
          <w:tcPr>
            <w:tcW w:w="1431" w:type="dxa"/>
            <w:tcBorders>
              <w:bottom w:val="single" w:color="auto" w:sz="4" w:space="0"/>
              <w:right w:val="single" w:color="auto" w:sz="4" w:space="0"/>
            </w:tcBorders>
            <w:noWrap w:val="0"/>
            <w:vAlign w:val="center"/>
          </w:tcPr>
          <w:p w14:paraId="276DC981">
            <w:pPr>
              <w:keepNext w:val="0"/>
              <w:keepLines w:val="0"/>
              <w:pageBreakBefore w:val="0"/>
              <w:widowControl/>
              <w:kinsoku/>
              <w:wordWrap/>
              <w:overflowPunct/>
              <w:topLinePunct w:val="0"/>
              <w:autoSpaceDE/>
              <w:autoSpaceDN/>
              <w:bidi w:val="0"/>
              <w:spacing w:line="240" w:lineRule="auto"/>
              <w:jc w:val="center"/>
              <w:textAlignment w:val="auto"/>
              <w:rPr>
                <w:rFonts w:ascii="Times New Roman"/>
                <w:color w:val="000000" w:themeColor="text1"/>
                <w:kern w:val="0"/>
                <w:sz w:val="21"/>
                <w:szCs w:val="21"/>
                <w:lang w:bidi="ar"/>
                <w14:textFill>
                  <w14:solidFill>
                    <w14:schemeClr w14:val="tx1"/>
                  </w14:solidFill>
                </w14:textFill>
              </w:rPr>
            </w:pPr>
            <w:r>
              <w:rPr>
                <w:rFonts w:ascii="Times New Roman"/>
                <w:b/>
                <w:bCs/>
                <w:color w:val="000000" w:themeColor="text1"/>
                <w:kern w:val="0"/>
                <w:sz w:val="21"/>
                <w:szCs w:val="21"/>
                <w:lang w:bidi="ar"/>
                <w14:textFill>
                  <w14:solidFill>
                    <w14:schemeClr w14:val="tx1"/>
                  </w14:solidFill>
                </w14:textFill>
              </w:rPr>
              <w:t>占标率（%）</w:t>
            </w:r>
          </w:p>
        </w:tc>
        <w:tc>
          <w:tcPr>
            <w:tcW w:w="2233" w:type="dxa"/>
            <w:tcBorders>
              <w:bottom w:val="single" w:color="auto" w:sz="4" w:space="0"/>
              <w:right w:val="single" w:color="auto" w:sz="4" w:space="0"/>
            </w:tcBorders>
            <w:noWrap w:val="0"/>
            <w:vAlign w:val="center"/>
          </w:tcPr>
          <w:p w14:paraId="1636674F">
            <w:pPr>
              <w:keepNext w:val="0"/>
              <w:keepLines w:val="0"/>
              <w:pageBreakBefore w:val="0"/>
              <w:widowControl/>
              <w:kinsoku/>
              <w:wordWrap/>
              <w:overflowPunct/>
              <w:topLinePunct w:val="0"/>
              <w:autoSpaceDE/>
              <w:autoSpaceDN/>
              <w:bidi w:val="0"/>
              <w:spacing w:line="240" w:lineRule="auto"/>
              <w:jc w:val="center"/>
              <w:textAlignment w:val="auto"/>
              <w:rPr>
                <w:rFonts w:hint="eastAsia" w:ascii="Times New Roman" w:eastAsia="宋体"/>
                <w:b/>
                <w:bCs/>
                <w:color w:val="000000" w:themeColor="text1"/>
                <w:kern w:val="0"/>
                <w:sz w:val="21"/>
                <w:szCs w:val="21"/>
                <w:lang w:eastAsia="zh-CN" w:bidi="ar"/>
                <w14:textFill>
                  <w14:solidFill>
                    <w14:schemeClr w14:val="tx1"/>
                  </w14:solidFill>
                </w14:textFill>
              </w:rPr>
            </w:pPr>
            <w:r>
              <w:rPr>
                <w:rFonts w:ascii="Times New Roman"/>
                <w:b/>
                <w:bCs/>
                <w:color w:val="000000" w:themeColor="text1"/>
                <w:kern w:val="0"/>
                <w:sz w:val="21"/>
                <w:szCs w:val="21"/>
                <w14:textFill>
                  <w14:solidFill>
                    <w14:schemeClr w14:val="tx1"/>
                  </w14:solidFill>
                </w14:textFill>
              </w:rPr>
              <w:t>预测质量浓度</w:t>
            </w:r>
            <w:r>
              <w:rPr>
                <w:rFonts w:hint="eastAsia"/>
                <w:b/>
                <w:bCs/>
                <w:color w:val="000000" w:themeColor="text1"/>
                <w:kern w:val="0"/>
                <w:sz w:val="21"/>
                <w:szCs w:val="21"/>
                <w:lang w:eastAsia="zh-CN"/>
                <w14:textFill>
                  <w14:solidFill>
                    <w14:schemeClr w14:val="tx1"/>
                  </w14:solidFill>
                </w14:textFill>
              </w:rPr>
              <w:t>（</w:t>
            </w:r>
            <w:r>
              <w:rPr>
                <w:rFonts w:ascii="Times New Roman"/>
                <w:b/>
                <w:bCs/>
                <w:color w:val="000000" w:themeColor="text1"/>
                <w:kern w:val="0"/>
                <w:sz w:val="21"/>
                <w:szCs w:val="21"/>
                <w14:textFill>
                  <w14:solidFill>
                    <w14:schemeClr w14:val="tx1"/>
                  </w14:solidFill>
                </w14:textFill>
              </w:rPr>
              <w:t>μg/m</w:t>
            </w:r>
            <w:r>
              <w:rPr>
                <w:rFonts w:ascii="Times New Roman"/>
                <w:b/>
                <w:bCs/>
                <w:color w:val="000000" w:themeColor="text1"/>
                <w:kern w:val="0"/>
                <w:sz w:val="21"/>
                <w:szCs w:val="21"/>
                <w:vertAlign w:val="superscript"/>
                <w14:textFill>
                  <w14:solidFill>
                    <w14:schemeClr w14:val="tx1"/>
                  </w14:solidFill>
                </w14:textFill>
              </w:rPr>
              <w:t>3</w:t>
            </w:r>
            <w:r>
              <w:rPr>
                <w:rFonts w:hint="eastAsia"/>
                <w:b/>
                <w:bCs/>
                <w:color w:val="000000" w:themeColor="text1"/>
                <w:kern w:val="0"/>
                <w:sz w:val="21"/>
                <w:szCs w:val="21"/>
                <w:lang w:eastAsia="zh-CN"/>
                <w14:textFill>
                  <w14:solidFill>
                    <w14:schemeClr w14:val="tx1"/>
                  </w14:solidFill>
                </w14:textFill>
              </w:rPr>
              <w:t>）</w:t>
            </w:r>
          </w:p>
        </w:tc>
        <w:tc>
          <w:tcPr>
            <w:tcW w:w="1458" w:type="dxa"/>
            <w:tcBorders>
              <w:bottom w:val="single" w:color="auto" w:sz="4" w:space="0"/>
              <w:right w:val="single" w:color="auto" w:sz="4" w:space="0"/>
            </w:tcBorders>
            <w:noWrap w:val="0"/>
            <w:vAlign w:val="center"/>
          </w:tcPr>
          <w:p w14:paraId="75C0CC1C">
            <w:pPr>
              <w:keepNext w:val="0"/>
              <w:keepLines w:val="0"/>
              <w:pageBreakBefore w:val="0"/>
              <w:widowControl/>
              <w:kinsoku/>
              <w:wordWrap/>
              <w:overflowPunct/>
              <w:topLinePunct w:val="0"/>
              <w:autoSpaceDE/>
              <w:autoSpaceDN/>
              <w:bidi w:val="0"/>
              <w:spacing w:line="240" w:lineRule="auto"/>
              <w:jc w:val="center"/>
              <w:textAlignment w:val="auto"/>
              <w:rPr>
                <w:rFonts w:ascii="Times New Roman"/>
                <w:b/>
                <w:bCs/>
                <w:color w:val="000000" w:themeColor="text1"/>
                <w:kern w:val="0"/>
                <w:sz w:val="21"/>
                <w:szCs w:val="21"/>
                <w:lang w:bidi="ar"/>
                <w14:textFill>
                  <w14:solidFill>
                    <w14:schemeClr w14:val="tx1"/>
                  </w14:solidFill>
                </w14:textFill>
              </w:rPr>
            </w:pPr>
            <w:r>
              <w:rPr>
                <w:rFonts w:ascii="Times New Roman"/>
                <w:b/>
                <w:bCs/>
                <w:color w:val="000000" w:themeColor="text1"/>
                <w:kern w:val="0"/>
                <w:sz w:val="21"/>
                <w:szCs w:val="21"/>
                <w:lang w:bidi="ar"/>
                <w14:textFill>
                  <w14:solidFill>
                    <w14:schemeClr w14:val="tx1"/>
                  </w14:solidFill>
                </w14:textFill>
              </w:rPr>
              <w:t>占标率（%）</w:t>
            </w:r>
          </w:p>
        </w:tc>
      </w:tr>
      <w:tr w14:paraId="28E59E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7"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63F1023C">
            <w:pPr>
              <w:keepNext w:val="0"/>
              <w:keepLines w:val="0"/>
              <w:pageBreakBefore w:val="0"/>
              <w:widowControl/>
              <w:kinsoku/>
              <w:wordWrap/>
              <w:overflowPunct/>
              <w:topLinePunct w:val="0"/>
              <w:autoSpaceDE/>
              <w:autoSpaceDN/>
              <w:bidi w:val="0"/>
              <w:spacing w:line="240" w:lineRule="auto"/>
              <w:jc w:val="center"/>
              <w:textAlignment w:val="auto"/>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10</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2243503C">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0.235</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010F77CE">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0.02</w:t>
            </w:r>
          </w:p>
        </w:tc>
        <w:tc>
          <w:tcPr>
            <w:tcW w:w="2233" w:type="dxa"/>
            <w:tcBorders>
              <w:top w:val="single" w:color="auto" w:sz="4" w:space="0"/>
              <w:left w:val="single" w:color="auto" w:sz="4" w:space="0"/>
              <w:bottom w:val="single" w:color="auto" w:sz="4" w:space="0"/>
              <w:right w:val="single" w:color="auto" w:sz="4" w:space="0"/>
            </w:tcBorders>
            <w:noWrap w:val="0"/>
            <w:vAlign w:val="center"/>
          </w:tcPr>
          <w:p w14:paraId="61DDA686">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0.001</w:t>
            </w:r>
          </w:p>
        </w:tc>
        <w:tc>
          <w:tcPr>
            <w:tcW w:w="1458" w:type="dxa"/>
            <w:tcBorders>
              <w:top w:val="single" w:color="auto" w:sz="4" w:space="0"/>
              <w:left w:val="single" w:color="auto" w:sz="4" w:space="0"/>
              <w:bottom w:val="single" w:color="auto" w:sz="4" w:space="0"/>
              <w:right w:val="single" w:color="auto" w:sz="4" w:space="0"/>
            </w:tcBorders>
            <w:noWrap w:val="0"/>
            <w:vAlign w:val="center"/>
          </w:tcPr>
          <w:p w14:paraId="406DAC35">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0.00</w:t>
            </w:r>
          </w:p>
        </w:tc>
      </w:tr>
      <w:tr w14:paraId="079CA2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33424E68">
            <w:pPr>
              <w:keepNext w:val="0"/>
              <w:keepLines w:val="0"/>
              <w:pageBreakBefore w:val="0"/>
              <w:widowControl/>
              <w:kinsoku/>
              <w:wordWrap/>
              <w:overflowPunct/>
              <w:topLinePunct w:val="0"/>
              <w:autoSpaceDE/>
              <w:autoSpaceDN/>
              <w:bidi w:val="0"/>
              <w:spacing w:line="240" w:lineRule="auto"/>
              <w:jc w:val="center"/>
              <w:textAlignment w:val="auto"/>
              <w:rPr>
                <w:rFonts w:ascii="Times New Roman"/>
                <w:b/>
                <w:bCs/>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50</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2FDD8BE0">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14.160</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634B09B5">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1.18</w:t>
            </w:r>
          </w:p>
        </w:tc>
        <w:tc>
          <w:tcPr>
            <w:tcW w:w="2233" w:type="dxa"/>
            <w:tcBorders>
              <w:top w:val="single" w:color="auto" w:sz="4" w:space="0"/>
              <w:left w:val="single" w:color="auto" w:sz="4" w:space="0"/>
              <w:bottom w:val="single" w:color="auto" w:sz="4" w:space="0"/>
              <w:right w:val="single" w:color="auto" w:sz="4" w:space="0"/>
            </w:tcBorders>
            <w:noWrap w:val="0"/>
            <w:vAlign w:val="center"/>
          </w:tcPr>
          <w:p w14:paraId="5D4E88E3">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0.062</w:t>
            </w:r>
          </w:p>
        </w:tc>
        <w:tc>
          <w:tcPr>
            <w:tcW w:w="1458" w:type="dxa"/>
            <w:tcBorders>
              <w:top w:val="single" w:color="auto" w:sz="4" w:space="0"/>
              <w:left w:val="single" w:color="auto" w:sz="4" w:space="0"/>
              <w:bottom w:val="single" w:color="auto" w:sz="4" w:space="0"/>
              <w:right w:val="single" w:color="auto" w:sz="4" w:space="0"/>
            </w:tcBorders>
            <w:noWrap w:val="0"/>
            <w:vAlign w:val="center"/>
          </w:tcPr>
          <w:p w14:paraId="0FFF7949">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0.13</w:t>
            </w:r>
          </w:p>
        </w:tc>
      </w:tr>
      <w:tr w14:paraId="1643BF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7691D683">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75</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340D707C">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60.908</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34350F8E">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5.08</w:t>
            </w:r>
          </w:p>
        </w:tc>
        <w:tc>
          <w:tcPr>
            <w:tcW w:w="2233" w:type="dxa"/>
            <w:tcBorders>
              <w:top w:val="single" w:color="auto" w:sz="4" w:space="0"/>
              <w:left w:val="single" w:color="auto" w:sz="4" w:space="0"/>
              <w:bottom w:val="single" w:color="auto" w:sz="4" w:space="0"/>
              <w:right w:val="single" w:color="auto" w:sz="4" w:space="0"/>
            </w:tcBorders>
            <w:noWrap w:val="0"/>
            <w:vAlign w:val="center"/>
          </w:tcPr>
          <w:p w14:paraId="5BE7900A">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0.270</w:t>
            </w:r>
          </w:p>
        </w:tc>
        <w:tc>
          <w:tcPr>
            <w:tcW w:w="1458" w:type="dxa"/>
            <w:tcBorders>
              <w:top w:val="single" w:color="auto" w:sz="4" w:space="0"/>
              <w:left w:val="single" w:color="auto" w:sz="4" w:space="0"/>
              <w:bottom w:val="single" w:color="auto" w:sz="4" w:space="0"/>
              <w:right w:val="single" w:color="auto" w:sz="4" w:space="0"/>
            </w:tcBorders>
            <w:noWrap w:val="0"/>
            <w:vAlign w:val="center"/>
          </w:tcPr>
          <w:p w14:paraId="35F1ECDF">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0.54</w:t>
            </w:r>
          </w:p>
        </w:tc>
      </w:tr>
      <w:tr w14:paraId="2666B3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3BBA3CC6">
            <w:pPr>
              <w:keepNext w:val="0"/>
              <w:keepLines w:val="0"/>
              <w:pageBreakBefore w:val="0"/>
              <w:widowControl/>
              <w:kinsoku/>
              <w:wordWrap/>
              <w:overflowPunct/>
              <w:topLinePunct w:val="0"/>
              <w:autoSpaceDE/>
              <w:autoSpaceDN/>
              <w:bidi w:val="0"/>
              <w:spacing w:line="240" w:lineRule="auto"/>
              <w:jc w:val="center"/>
              <w:textAlignment w:val="auto"/>
              <w:rPr>
                <w:rFonts w:hint="default"/>
                <w:b/>
                <w:bCs/>
                <w:color w:val="000000" w:themeColor="text1"/>
                <w:kern w:val="0"/>
                <w:sz w:val="21"/>
                <w:szCs w:val="21"/>
                <w:lang w:val="en-US" w:eastAsia="zh-CN"/>
                <w14:textFill>
                  <w14:solidFill>
                    <w14:schemeClr w14:val="tx1"/>
                  </w14:solidFill>
                </w14:textFill>
              </w:rPr>
            </w:pPr>
            <w:r>
              <w:rPr>
                <w:rFonts w:hint="eastAsia"/>
                <w:b/>
                <w:bCs/>
                <w:color w:val="000000" w:themeColor="text1"/>
                <w:kern w:val="0"/>
                <w:sz w:val="21"/>
                <w:szCs w:val="21"/>
                <w:lang w:val="en-US" w:eastAsia="zh-CN"/>
                <w14:textFill>
                  <w14:solidFill>
                    <w14:schemeClr w14:val="tx1"/>
                  </w14:solidFill>
                </w14:textFill>
              </w:rPr>
              <w:t>98</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512B4564">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b/>
                <w:bCs/>
                <w:color w:val="000000" w:themeColor="text1"/>
                <w:kern w:val="0"/>
                <w:sz w:val="21"/>
                <w:szCs w:val="21"/>
                <w:lang w:val="en-US" w:eastAsia="zh-CN"/>
                <w14:textFill>
                  <w14:solidFill>
                    <w14:schemeClr w14:val="tx1"/>
                  </w14:solidFill>
                </w14:textFill>
              </w:rPr>
            </w:pPr>
            <w:r>
              <w:rPr>
                <w:rFonts w:hint="eastAsia"/>
                <w:b/>
                <w:bCs/>
                <w:color w:val="000000" w:themeColor="text1"/>
                <w:kern w:val="0"/>
                <w:sz w:val="21"/>
                <w:szCs w:val="21"/>
                <w:lang w:val="en-US" w:eastAsia="zh-CN"/>
                <w14:textFill>
                  <w14:solidFill>
                    <w14:schemeClr w14:val="tx1"/>
                  </w14:solidFill>
                </w14:textFill>
              </w:rPr>
              <w:t>83.958</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67D330EB">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b/>
                <w:bCs/>
                <w:color w:val="000000" w:themeColor="text1"/>
                <w:kern w:val="0"/>
                <w:sz w:val="21"/>
                <w:szCs w:val="21"/>
                <w:lang w:val="en-US" w:eastAsia="zh-CN"/>
                <w14:textFill>
                  <w14:solidFill>
                    <w14:schemeClr w14:val="tx1"/>
                  </w14:solidFill>
                </w14:textFill>
              </w:rPr>
            </w:pPr>
            <w:r>
              <w:rPr>
                <w:rFonts w:hint="eastAsia"/>
                <w:b/>
                <w:bCs/>
                <w:color w:val="000000" w:themeColor="text1"/>
                <w:kern w:val="0"/>
                <w:sz w:val="21"/>
                <w:szCs w:val="21"/>
                <w:lang w:val="en-US" w:eastAsia="zh-CN"/>
                <w14:textFill>
                  <w14:solidFill>
                    <w14:schemeClr w14:val="tx1"/>
                  </w14:solidFill>
                </w14:textFill>
              </w:rPr>
              <w:t>7.00</w:t>
            </w:r>
          </w:p>
        </w:tc>
        <w:tc>
          <w:tcPr>
            <w:tcW w:w="2233" w:type="dxa"/>
            <w:tcBorders>
              <w:top w:val="single" w:color="auto" w:sz="4" w:space="0"/>
              <w:left w:val="single" w:color="auto" w:sz="4" w:space="0"/>
              <w:bottom w:val="single" w:color="auto" w:sz="4" w:space="0"/>
              <w:right w:val="single" w:color="auto" w:sz="4" w:space="0"/>
            </w:tcBorders>
            <w:noWrap w:val="0"/>
            <w:vAlign w:val="center"/>
          </w:tcPr>
          <w:p w14:paraId="395B11FA">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b/>
                <w:bCs/>
                <w:color w:val="000000" w:themeColor="text1"/>
                <w:kern w:val="0"/>
                <w:sz w:val="21"/>
                <w:szCs w:val="21"/>
                <w:lang w:val="en-US" w:eastAsia="zh-CN"/>
                <w14:textFill>
                  <w14:solidFill>
                    <w14:schemeClr w14:val="tx1"/>
                  </w14:solidFill>
                </w14:textFill>
              </w:rPr>
            </w:pPr>
            <w:r>
              <w:rPr>
                <w:rFonts w:hint="eastAsia"/>
                <w:b/>
                <w:bCs/>
                <w:color w:val="000000" w:themeColor="text1"/>
                <w:kern w:val="0"/>
                <w:sz w:val="21"/>
                <w:szCs w:val="21"/>
                <w:lang w:val="en-US" w:eastAsia="zh-CN"/>
                <w14:textFill>
                  <w14:solidFill>
                    <w14:schemeClr w14:val="tx1"/>
                  </w14:solidFill>
                </w14:textFill>
              </w:rPr>
              <w:t>0.372</w:t>
            </w:r>
          </w:p>
        </w:tc>
        <w:tc>
          <w:tcPr>
            <w:tcW w:w="1458" w:type="dxa"/>
            <w:tcBorders>
              <w:top w:val="single" w:color="auto" w:sz="4" w:space="0"/>
              <w:left w:val="single" w:color="auto" w:sz="4" w:space="0"/>
              <w:bottom w:val="single" w:color="auto" w:sz="4" w:space="0"/>
              <w:right w:val="single" w:color="auto" w:sz="4" w:space="0"/>
            </w:tcBorders>
            <w:noWrap w:val="0"/>
            <w:vAlign w:val="center"/>
          </w:tcPr>
          <w:p w14:paraId="7FC2C4EE">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b/>
                <w:bCs/>
                <w:color w:val="000000" w:themeColor="text1"/>
                <w:kern w:val="0"/>
                <w:sz w:val="21"/>
                <w:szCs w:val="21"/>
                <w:lang w:val="en-US" w:eastAsia="zh-CN"/>
                <w14:textFill>
                  <w14:solidFill>
                    <w14:schemeClr w14:val="tx1"/>
                  </w14:solidFill>
                </w14:textFill>
              </w:rPr>
            </w:pPr>
            <w:r>
              <w:rPr>
                <w:rFonts w:hint="eastAsia"/>
                <w:b/>
                <w:bCs/>
                <w:color w:val="000000" w:themeColor="text1"/>
                <w:kern w:val="0"/>
                <w:sz w:val="21"/>
                <w:szCs w:val="21"/>
                <w:lang w:val="en-US" w:eastAsia="zh-CN"/>
                <w14:textFill>
                  <w14:solidFill>
                    <w14:schemeClr w14:val="tx1"/>
                  </w14:solidFill>
                </w14:textFill>
              </w:rPr>
              <w:t>0.75</w:t>
            </w:r>
          </w:p>
        </w:tc>
      </w:tr>
      <w:tr w14:paraId="2DDA16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19BB330F">
            <w:pPr>
              <w:keepNext w:val="0"/>
              <w:keepLines w:val="0"/>
              <w:pageBreakBefore w:val="0"/>
              <w:widowControl/>
              <w:kinsoku/>
              <w:wordWrap/>
              <w:overflowPunct/>
              <w:topLinePunct w:val="0"/>
              <w:autoSpaceDE/>
              <w:autoSpaceDN/>
              <w:bidi w:val="0"/>
              <w:spacing w:line="240" w:lineRule="auto"/>
              <w:jc w:val="center"/>
              <w:textAlignment w:val="auto"/>
              <w:rPr>
                <w:rFonts w:ascii="Times New Roman"/>
                <w:bCs/>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100</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2F4A4D5A">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83.027</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11E5AD33">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6.92</w:t>
            </w:r>
          </w:p>
        </w:tc>
        <w:tc>
          <w:tcPr>
            <w:tcW w:w="2233" w:type="dxa"/>
            <w:tcBorders>
              <w:top w:val="single" w:color="auto" w:sz="4" w:space="0"/>
              <w:left w:val="single" w:color="auto" w:sz="4" w:space="0"/>
              <w:bottom w:val="single" w:color="auto" w:sz="4" w:space="0"/>
              <w:right w:val="single" w:color="auto" w:sz="4" w:space="0"/>
            </w:tcBorders>
            <w:noWrap w:val="0"/>
            <w:vAlign w:val="center"/>
          </w:tcPr>
          <w:p w14:paraId="4C8792E6">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0.368</w:t>
            </w:r>
          </w:p>
        </w:tc>
        <w:tc>
          <w:tcPr>
            <w:tcW w:w="1458" w:type="dxa"/>
            <w:tcBorders>
              <w:top w:val="single" w:color="auto" w:sz="4" w:space="0"/>
              <w:left w:val="single" w:color="auto" w:sz="4" w:space="0"/>
              <w:bottom w:val="single" w:color="auto" w:sz="4" w:space="0"/>
              <w:right w:val="single" w:color="auto" w:sz="4" w:space="0"/>
            </w:tcBorders>
            <w:noWrap w:val="0"/>
            <w:vAlign w:val="center"/>
          </w:tcPr>
          <w:p w14:paraId="642B2BF6">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0.74</w:t>
            </w:r>
          </w:p>
        </w:tc>
      </w:tr>
      <w:tr w14:paraId="080FA4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2963C51D">
            <w:pPr>
              <w:keepNext w:val="0"/>
              <w:keepLines w:val="0"/>
              <w:pageBreakBefore w:val="0"/>
              <w:widowControl/>
              <w:kinsoku/>
              <w:wordWrap/>
              <w:overflowPunct/>
              <w:topLinePunct w:val="0"/>
              <w:autoSpaceDE/>
              <w:autoSpaceDN/>
              <w:bidi w:val="0"/>
              <w:spacing w:line="240" w:lineRule="auto"/>
              <w:jc w:val="center"/>
              <w:textAlignment w:val="auto"/>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200</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3740EBA5">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33.158</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0D06BBFB">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2.76</w:t>
            </w:r>
          </w:p>
        </w:tc>
        <w:tc>
          <w:tcPr>
            <w:tcW w:w="2233" w:type="dxa"/>
            <w:tcBorders>
              <w:top w:val="single" w:color="auto" w:sz="4" w:space="0"/>
              <w:left w:val="single" w:color="auto" w:sz="4" w:space="0"/>
              <w:bottom w:val="single" w:color="auto" w:sz="4" w:space="0"/>
              <w:right w:val="single" w:color="auto" w:sz="4" w:space="0"/>
            </w:tcBorders>
            <w:noWrap w:val="0"/>
            <w:vAlign w:val="center"/>
          </w:tcPr>
          <w:p w14:paraId="48B97EF5">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0.147</w:t>
            </w:r>
          </w:p>
        </w:tc>
        <w:tc>
          <w:tcPr>
            <w:tcW w:w="1458" w:type="dxa"/>
            <w:tcBorders>
              <w:top w:val="single" w:color="auto" w:sz="4" w:space="0"/>
              <w:left w:val="single" w:color="auto" w:sz="4" w:space="0"/>
              <w:bottom w:val="single" w:color="auto" w:sz="4" w:space="0"/>
              <w:right w:val="single" w:color="auto" w:sz="4" w:space="0"/>
            </w:tcBorders>
            <w:noWrap w:val="0"/>
            <w:vAlign w:val="center"/>
          </w:tcPr>
          <w:p w14:paraId="2165FB39">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0.29</w:t>
            </w:r>
          </w:p>
        </w:tc>
      </w:tr>
      <w:tr w14:paraId="05ADE3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4F7CDBFA">
            <w:pPr>
              <w:keepNext w:val="0"/>
              <w:keepLines w:val="0"/>
              <w:pageBreakBefore w:val="0"/>
              <w:widowControl/>
              <w:kinsoku/>
              <w:wordWrap/>
              <w:overflowPunct/>
              <w:topLinePunct w:val="0"/>
              <w:autoSpaceDE/>
              <w:autoSpaceDN/>
              <w:bidi w:val="0"/>
              <w:spacing w:line="240" w:lineRule="auto"/>
              <w:jc w:val="center"/>
              <w:textAlignment w:val="auto"/>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300</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32D30C9C">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17.429</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68B4B591">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1.45</w:t>
            </w:r>
          </w:p>
        </w:tc>
        <w:tc>
          <w:tcPr>
            <w:tcW w:w="2233" w:type="dxa"/>
            <w:tcBorders>
              <w:top w:val="single" w:color="auto" w:sz="4" w:space="0"/>
              <w:left w:val="single" w:color="auto" w:sz="4" w:space="0"/>
              <w:bottom w:val="single" w:color="auto" w:sz="4" w:space="0"/>
              <w:right w:val="single" w:color="auto" w:sz="4" w:space="0"/>
            </w:tcBorders>
            <w:noWrap w:val="0"/>
            <w:vAlign w:val="center"/>
          </w:tcPr>
          <w:p w14:paraId="171706ED">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0.077</w:t>
            </w:r>
          </w:p>
        </w:tc>
        <w:tc>
          <w:tcPr>
            <w:tcW w:w="1458" w:type="dxa"/>
            <w:tcBorders>
              <w:top w:val="single" w:color="auto" w:sz="4" w:space="0"/>
              <w:left w:val="single" w:color="auto" w:sz="4" w:space="0"/>
              <w:bottom w:val="single" w:color="auto" w:sz="4" w:space="0"/>
              <w:right w:val="single" w:color="auto" w:sz="4" w:space="0"/>
            </w:tcBorders>
            <w:noWrap w:val="0"/>
            <w:vAlign w:val="center"/>
          </w:tcPr>
          <w:p w14:paraId="1433212D">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0.15</w:t>
            </w:r>
          </w:p>
        </w:tc>
      </w:tr>
      <w:tr w14:paraId="513E61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639831E2">
            <w:pPr>
              <w:keepNext w:val="0"/>
              <w:keepLines w:val="0"/>
              <w:pageBreakBefore w:val="0"/>
              <w:widowControl/>
              <w:kinsoku/>
              <w:wordWrap/>
              <w:overflowPunct/>
              <w:topLinePunct w:val="0"/>
              <w:autoSpaceDE/>
              <w:autoSpaceDN/>
              <w:bidi w:val="0"/>
              <w:spacing w:line="240" w:lineRule="auto"/>
              <w:jc w:val="center"/>
              <w:textAlignment w:val="auto"/>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500</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0F90F03F">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10.349</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5A19353D">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0.86</w:t>
            </w:r>
          </w:p>
        </w:tc>
        <w:tc>
          <w:tcPr>
            <w:tcW w:w="2233" w:type="dxa"/>
            <w:tcBorders>
              <w:top w:val="single" w:color="auto" w:sz="4" w:space="0"/>
              <w:left w:val="single" w:color="auto" w:sz="4" w:space="0"/>
              <w:bottom w:val="single" w:color="auto" w:sz="4" w:space="0"/>
              <w:right w:val="single" w:color="auto" w:sz="4" w:space="0"/>
            </w:tcBorders>
            <w:noWrap w:val="0"/>
            <w:vAlign w:val="center"/>
          </w:tcPr>
          <w:p w14:paraId="45225371">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0.046</w:t>
            </w:r>
          </w:p>
        </w:tc>
        <w:tc>
          <w:tcPr>
            <w:tcW w:w="1458" w:type="dxa"/>
            <w:tcBorders>
              <w:top w:val="single" w:color="auto" w:sz="4" w:space="0"/>
              <w:left w:val="single" w:color="auto" w:sz="4" w:space="0"/>
              <w:bottom w:val="single" w:color="auto" w:sz="4" w:space="0"/>
              <w:right w:val="single" w:color="auto" w:sz="4" w:space="0"/>
            </w:tcBorders>
            <w:noWrap w:val="0"/>
            <w:vAlign w:val="center"/>
          </w:tcPr>
          <w:p w14:paraId="096B595A">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0.09</w:t>
            </w:r>
          </w:p>
        </w:tc>
      </w:tr>
      <w:tr w14:paraId="5E1B1D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4E5F75DE">
            <w:pPr>
              <w:keepNext w:val="0"/>
              <w:keepLines w:val="0"/>
              <w:pageBreakBefore w:val="0"/>
              <w:widowControl/>
              <w:kinsoku/>
              <w:wordWrap/>
              <w:overflowPunct/>
              <w:topLinePunct w:val="0"/>
              <w:autoSpaceDE/>
              <w:autoSpaceDN/>
              <w:bidi w:val="0"/>
              <w:spacing w:line="240" w:lineRule="auto"/>
              <w:jc w:val="center"/>
              <w:textAlignment w:val="auto"/>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700</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41F7B425">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6.944</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60C42CDA">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0.58</w:t>
            </w:r>
          </w:p>
        </w:tc>
        <w:tc>
          <w:tcPr>
            <w:tcW w:w="2233" w:type="dxa"/>
            <w:tcBorders>
              <w:top w:val="single" w:color="auto" w:sz="4" w:space="0"/>
              <w:left w:val="single" w:color="auto" w:sz="4" w:space="0"/>
              <w:bottom w:val="single" w:color="auto" w:sz="4" w:space="0"/>
              <w:right w:val="single" w:color="auto" w:sz="4" w:space="0"/>
            </w:tcBorders>
            <w:noWrap w:val="0"/>
            <w:vAlign w:val="center"/>
          </w:tcPr>
          <w:p w14:paraId="23B3D01B">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0.031</w:t>
            </w:r>
          </w:p>
        </w:tc>
        <w:tc>
          <w:tcPr>
            <w:tcW w:w="1458" w:type="dxa"/>
            <w:tcBorders>
              <w:top w:val="single" w:color="auto" w:sz="4" w:space="0"/>
              <w:left w:val="single" w:color="auto" w:sz="4" w:space="0"/>
              <w:bottom w:val="single" w:color="auto" w:sz="4" w:space="0"/>
              <w:right w:val="single" w:color="auto" w:sz="4" w:space="0"/>
            </w:tcBorders>
            <w:noWrap w:val="0"/>
            <w:vAlign w:val="center"/>
          </w:tcPr>
          <w:p w14:paraId="074B71ED">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0.06</w:t>
            </w:r>
          </w:p>
        </w:tc>
      </w:tr>
      <w:tr w14:paraId="76C322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5AEBBCFF">
            <w:pPr>
              <w:keepNext w:val="0"/>
              <w:keepLines w:val="0"/>
              <w:pageBreakBefore w:val="0"/>
              <w:widowControl/>
              <w:kinsoku/>
              <w:wordWrap/>
              <w:overflowPunct/>
              <w:topLinePunct w:val="0"/>
              <w:autoSpaceDE/>
              <w:autoSpaceDN/>
              <w:bidi w:val="0"/>
              <w:spacing w:line="240" w:lineRule="auto"/>
              <w:jc w:val="center"/>
              <w:textAlignment w:val="auto"/>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900</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01C8B7EA">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4.796</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6B06ADA7">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0.40</w:t>
            </w:r>
          </w:p>
        </w:tc>
        <w:tc>
          <w:tcPr>
            <w:tcW w:w="2233" w:type="dxa"/>
            <w:tcBorders>
              <w:top w:val="single" w:color="auto" w:sz="4" w:space="0"/>
              <w:left w:val="single" w:color="auto" w:sz="4" w:space="0"/>
              <w:bottom w:val="single" w:color="auto" w:sz="4" w:space="0"/>
              <w:right w:val="single" w:color="auto" w:sz="4" w:space="0"/>
            </w:tcBorders>
            <w:noWrap w:val="0"/>
            <w:vAlign w:val="center"/>
          </w:tcPr>
          <w:p w14:paraId="2E83EDE8">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0.021</w:t>
            </w:r>
          </w:p>
        </w:tc>
        <w:tc>
          <w:tcPr>
            <w:tcW w:w="1458" w:type="dxa"/>
            <w:tcBorders>
              <w:top w:val="single" w:color="auto" w:sz="4" w:space="0"/>
              <w:left w:val="single" w:color="auto" w:sz="4" w:space="0"/>
              <w:bottom w:val="single" w:color="auto" w:sz="4" w:space="0"/>
              <w:right w:val="single" w:color="auto" w:sz="4" w:space="0"/>
            </w:tcBorders>
            <w:noWrap w:val="0"/>
            <w:vAlign w:val="center"/>
          </w:tcPr>
          <w:p w14:paraId="0E3A1085">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0.04</w:t>
            </w:r>
          </w:p>
        </w:tc>
      </w:tr>
      <w:tr w14:paraId="4552AB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73061991">
            <w:pPr>
              <w:keepNext w:val="0"/>
              <w:keepLines w:val="0"/>
              <w:pageBreakBefore w:val="0"/>
              <w:widowControl/>
              <w:kinsoku/>
              <w:wordWrap/>
              <w:overflowPunct/>
              <w:topLinePunct w:val="0"/>
              <w:autoSpaceDE/>
              <w:autoSpaceDN/>
              <w:bidi w:val="0"/>
              <w:spacing w:line="240" w:lineRule="auto"/>
              <w:jc w:val="center"/>
              <w:textAlignment w:val="auto"/>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1000</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56E78E6A">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4.598</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0F7CE310">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0.38</w:t>
            </w:r>
          </w:p>
        </w:tc>
        <w:tc>
          <w:tcPr>
            <w:tcW w:w="2233" w:type="dxa"/>
            <w:tcBorders>
              <w:top w:val="single" w:color="auto" w:sz="4" w:space="0"/>
              <w:left w:val="single" w:color="auto" w:sz="4" w:space="0"/>
              <w:bottom w:val="single" w:color="auto" w:sz="4" w:space="0"/>
              <w:right w:val="single" w:color="auto" w:sz="4" w:space="0"/>
            </w:tcBorders>
            <w:noWrap w:val="0"/>
            <w:vAlign w:val="center"/>
          </w:tcPr>
          <w:p w14:paraId="295A7344">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0.020</w:t>
            </w:r>
          </w:p>
        </w:tc>
        <w:tc>
          <w:tcPr>
            <w:tcW w:w="1458" w:type="dxa"/>
            <w:tcBorders>
              <w:top w:val="single" w:color="auto" w:sz="4" w:space="0"/>
              <w:left w:val="single" w:color="auto" w:sz="4" w:space="0"/>
              <w:bottom w:val="single" w:color="auto" w:sz="4" w:space="0"/>
              <w:right w:val="single" w:color="auto" w:sz="4" w:space="0"/>
            </w:tcBorders>
            <w:noWrap w:val="0"/>
            <w:vAlign w:val="center"/>
          </w:tcPr>
          <w:p w14:paraId="2501CBCE">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0.04</w:t>
            </w:r>
          </w:p>
        </w:tc>
      </w:tr>
      <w:tr w14:paraId="71D0B7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57CEC1FC">
            <w:pPr>
              <w:keepNext w:val="0"/>
              <w:keepLines w:val="0"/>
              <w:pageBreakBefore w:val="0"/>
              <w:widowControl/>
              <w:kinsoku/>
              <w:wordWrap/>
              <w:overflowPunct/>
              <w:topLinePunct w:val="0"/>
              <w:autoSpaceDE/>
              <w:autoSpaceDN/>
              <w:bidi w:val="0"/>
              <w:spacing w:line="240" w:lineRule="auto"/>
              <w:jc w:val="center"/>
              <w:textAlignment w:val="auto"/>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1300</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12EB9E6F">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3.436</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15082121">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0.29</w:t>
            </w:r>
          </w:p>
        </w:tc>
        <w:tc>
          <w:tcPr>
            <w:tcW w:w="2233" w:type="dxa"/>
            <w:tcBorders>
              <w:top w:val="single" w:color="auto" w:sz="4" w:space="0"/>
              <w:left w:val="single" w:color="auto" w:sz="4" w:space="0"/>
              <w:bottom w:val="single" w:color="auto" w:sz="4" w:space="0"/>
              <w:right w:val="single" w:color="auto" w:sz="4" w:space="0"/>
            </w:tcBorders>
            <w:noWrap w:val="0"/>
            <w:vAlign w:val="center"/>
          </w:tcPr>
          <w:p w14:paraId="41B86D6D">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0.015</w:t>
            </w:r>
          </w:p>
        </w:tc>
        <w:tc>
          <w:tcPr>
            <w:tcW w:w="1458" w:type="dxa"/>
            <w:tcBorders>
              <w:top w:val="single" w:color="auto" w:sz="4" w:space="0"/>
              <w:left w:val="single" w:color="auto" w:sz="4" w:space="0"/>
              <w:bottom w:val="single" w:color="auto" w:sz="4" w:space="0"/>
              <w:right w:val="single" w:color="auto" w:sz="4" w:space="0"/>
            </w:tcBorders>
            <w:noWrap w:val="0"/>
            <w:vAlign w:val="center"/>
          </w:tcPr>
          <w:p w14:paraId="1B0E95C3">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0.03</w:t>
            </w:r>
          </w:p>
        </w:tc>
      </w:tr>
      <w:tr w14:paraId="667A7B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69485734">
            <w:pPr>
              <w:keepNext w:val="0"/>
              <w:keepLines w:val="0"/>
              <w:pageBreakBefore w:val="0"/>
              <w:widowControl/>
              <w:kinsoku/>
              <w:wordWrap/>
              <w:overflowPunct/>
              <w:topLinePunct w:val="0"/>
              <w:autoSpaceDE/>
              <w:autoSpaceDN/>
              <w:bidi w:val="0"/>
              <w:spacing w:line="240" w:lineRule="auto"/>
              <w:jc w:val="center"/>
              <w:textAlignment w:val="auto"/>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1500</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5B282E85">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2.999</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39A6F2B6">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0.25</w:t>
            </w:r>
          </w:p>
        </w:tc>
        <w:tc>
          <w:tcPr>
            <w:tcW w:w="2233" w:type="dxa"/>
            <w:tcBorders>
              <w:top w:val="single" w:color="auto" w:sz="4" w:space="0"/>
              <w:left w:val="single" w:color="auto" w:sz="4" w:space="0"/>
              <w:bottom w:val="single" w:color="auto" w:sz="4" w:space="0"/>
              <w:right w:val="single" w:color="auto" w:sz="4" w:space="0"/>
            </w:tcBorders>
            <w:noWrap w:val="0"/>
            <w:vAlign w:val="center"/>
          </w:tcPr>
          <w:p w14:paraId="70A86AE8">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0.013</w:t>
            </w:r>
          </w:p>
        </w:tc>
        <w:tc>
          <w:tcPr>
            <w:tcW w:w="1458" w:type="dxa"/>
            <w:tcBorders>
              <w:top w:val="single" w:color="auto" w:sz="4" w:space="0"/>
              <w:left w:val="single" w:color="auto" w:sz="4" w:space="0"/>
              <w:bottom w:val="single" w:color="auto" w:sz="4" w:space="0"/>
              <w:right w:val="single" w:color="auto" w:sz="4" w:space="0"/>
            </w:tcBorders>
            <w:noWrap w:val="0"/>
            <w:vAlign w:val="center"/>
          </w:tcPr>
          <w:p w14:paraId="71CB2F01">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0.03</w:t>
            </w:r>
          </w:p>
        </w:tc>
      </w:tr>
      <w:tr w14:paraId="535F32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1A5FE85C">
            <w:pPr>
              <w:keepNext w:val="0"/>
              <w:keepLines w:val="0"/>
              <w:pageBreakBefore w:val="0"/>
              <w:widowControl/>
              <w:kinsoku/>
              <w:wordWrap/>
              <w:overflowPunct/>
              <w:topLinePunct w:val="0"/>
              <w:autoSpaceDE/>
              <w:autoSpaceDN/>
              <w:bidi w:val="0"/>
              <w:spacing w:line="240" w:lineRule="auto"/>
              <w:jc w:val="center"/>
              <w:textAlignment w:val="auto"/>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1700</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63576880">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2.650</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7CEFFCE8">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0.22</w:t>
            </w:r>
          </w:p>
        </w:tc>
        <w:tc>
          <w:tcPr>
            <w:tcW w:w="2233" w:type="dxa"/>
            <w:tcBorders>
              <w:top w:val="single" w:color="auto" w:sz="4" w:space="0"/>
              <w:left w:val="single" w:color="auto" w:sz="4" w:space="0"/>
              <w:bottom w:val="single" w:color="auto" w:sz="4" w:space="0"/>
              <w:right w:val="single" w:color="auto" w:sz="4" w:space="0"/>
            </w:tcBorders>
            <w:noWrap w:val="0"/>
            <w:vAlign w:val="center"/>
          </w:tcPr>
          <w:p w14:paraId="7CCE5134">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0.011</w:t>
            </w:r>
          </w:p>
        </w:tc>
        <w:tc>
          <w:tcPr>
            <w:tcW w:w="1458" w:type="dxa"/>
            <w:tcBorders>
              <w:top w:val="single" w:color="auto" w:sz="4" w:space="0"/>
              <w:left w:val="single" w:color="auto" w:sz="4" w:space="0"/>
              <w:bottom w:val="single" w:color="auto" w:sz="4" w:space="0"/>
              <w:right w:val="single" w:color="auto" w:sz="4" w:space="0"/>
            </w:tcBorders>
            <w:noWrap w:val="0"/>
            <w:vAlign w:val="center"/>
          </w:tcPr>
          <w:p w14:paraId="367375B0">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0.02</w:t>
            </w:r>
          </w:p>
        </w:tc>
      </w:tr>
      <w:tr w14:paraId="65C34D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2FE30140">
            <w:pPr>
              <w:keepNext w:val="0"/>
              <w:keepLines w:val="0"/>
              <w:pageBreakBefore w:val="0"/>
              <w:widowControl/>
              <w:kinsoku/>
              <w:wordWrap/>
              <w:overflowPunct/>
              <w:topLinePunct w:val="0"/>
              <w:autoSpaceDE/>
              <w:autoSpaceDN/>
              <w:bidi w:val="0"/>
              <w:spacing w:line="240" w:lineRule="auto"/>
              <w:jc w:val="center"/>
              <w:textAlignment w:val="auto"/>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1900</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51CFD428">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2.261</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78D51D68">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0.19</w:t>
            </w:r>
          </w:p>
        </w:tc>
        <w:tc>
          <w:tcPr>
            <w:tcW w:w="2233" w:type="dxa"/>
            <w:tcBorders>
              <w:top w:val="single" w:color="auto" w:sz="4" w:space="0"/>
              <w:left w:val="single" w:color="auto" w:sz="4" w:space="0"/>
              <w:bottom w:val="single" w:color="auto" w:sz="4" w:space="0"/>
              <w:right w:val="single" w:color="auto" w:sz="4" w:space="0"/>
            </w:tcBorders>
            <w:noWrap w:val="0"/>
            <w:vAlign w:val="center"/>
          </w:tcPr>
          <w:p w14:paraId="2BF57FF6">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0.010</w:t>
            </w:r>
          </w:p>
        </w:tc>
        <w:tc>
          <w:tcPr>
            <w:tcW w:w="1458" w:type="dxa"/>
            <w:tcBorders>
              <w:top w:val="single" w:color="auto" w:sz="4" w:space="0"/>
              <w:left w:val="single" w:color="auto" w:sz="4" w:space="0"/>
              <w:bottom w:val="single" w:color="auto" w:sz="4" w:space="0"/>
              <w:right w:val="single" w:color="auto" w:sz="4" w:space="0"/>
            </w:tcBorders>
            <w:noWrap w:val="0"/>
            <w:vAlign w:val="center"/>
          </w:tcPr>
          <w:p w14:paraId="730A05B2">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0.02</w:t>
            </w:r>
          </w:p>
        </w:tc>
      </w:tr>
      <w:tr w14:paraId="6D5A0A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1245181C">
            <w:pPr>
              <w:keepNext w:val="0"/>
              <w:keepLines w:val="0"/>
              <w:pageBreakBefore w:val="0"/>
              <w:widowControl/>
              <w:kinsoku/>
              <w:wordWrap/>
              <w:overflowPunct/>
              <w:topLinePunct w:val="0"/>
              <w:autoSpaceDE/>
              <w:autoSpaceDN/>
              <w:bidi w:val="0"/>
              <w:spacing w:line="240" w:lineRule="auto"/>
              <w:jc w:val="center"/>
              <w:textAlignment w:val="auto"/>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2000</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4EC73D79">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2.244</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1FC3203B">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0.19</w:t>
            </w:r>
          </w:p>
        </w:tc>
        <w:tc>
          <w:tcPr>
            <w:tcW w:w="2233" w:type="dxa"/>
            <w:tcBorders>
              <w:top w:val="single" w:color="auto" w:sz="4" w:space="0"/>
              <w:left w:val="single" w:color="auto" w:sz="4" w:space="0"/>
              <w:bottom w:val="single" w:color="auto" w:sz="4" w:space="0"/>
              <w:right w:val="single" w:color="auto" w:sz="4" w:space="0"/>
            </w:tcBorders>
            <w:noWrap w:val="0"/>
            <w:vAlign w:val="center"/>
          </w:tcPr>
          <w:p w14:paraId="7A701162">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0.009</w:t>
            </w:r>
          </w:p>
        </w:tc>
        <w:tc>
          <w:tcPr>
            <w:tcW w:w="1458" w:type="dxa"/>
            <w:tcBorders>
              <w:top w:val="single" w:color="auto" w:sz="4" w:space="0"/>
              <w:left w:val="single" w:color="auto" w:sz="4" w:space="0"/>
              <w:bottom w:val="single" w:color="auto" w:sz="4" w:space="0"/>
              <w:right w:val="single" w:color="auto" w:sz="4" w:space="0"/>
            </w:tcBorders>
            <w:noWrap w:val="0"/>
            <w:vAlign w:val="center"/>
          </w:tcPr>
          <w:p w14:paraId="0FB3DC37">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0.02</w:t>
            </w:r>
          </w:p>
        </w:tc>
      </w:tr>
      <w:tr w14:paraId="7AB1B5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3D7552C2">
            <w:pPr>
              <w:keepNext w:val="0"/>
              <w:keepLines w:val="0"/>
              <w:pageBreakBefore w:val="0"/>
              <w:widowControl/>
              <w:kinsoku/>
              <w:wordWrap/>
              <w:overflowPunct/>
              <w:topLinePunct w:val="0"/>
              <w:autoSpaceDE/>
              <w:autoSpaceDN/>
              <w:bidi w:val="0"/>
              <w:spacing w:line="240" w:lineRule="auto"/>
              <w:jc w:val="center"/>
              <w:textAlignment w:val="auto"/>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2300</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4D85B3BA">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1.829</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68B61760">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0.15</w:t>
            </w:r>
          </w:p>
        </w:tc>
        <w:tc>
          <w:tcPr>
            <w:tcW w:w="2233" w:type="dxa"/>
            <w:tcBorders>
              <w:top w:val="single" w:color="auto" w:sz="4" w:space="0"/>
              <w:left w:val="single" w:color="auto" w:sz="4" w:space="0"/>
              <w:bottom w:val="single" w:color="auto" w:sz="4" w:space="0"/>
              <w:right w:val="single" w:color="auto" w:sz="4" w:space="0"/>
            </w:tcBorders>
            <w:noWrap w:val="0"/>
            <w:vAlign w:val="center"/>
          </w:tcPr>
          <w:p w14:paraId="745C0B65">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0.008</w:t>
            </w:r>
          </w:p>
        </w:tc>
        <w:tc>
          <w:tcPr>
            <w:tcW w:w="1458" w:type="dxa"/>
            <w:tcBorders>
              <w:top w:val="single" w:color="auto" w:sz="4" w:space="0"/>
              <w:left w:val="single" w:color="auto" w:sz="4" w:space="0"/>
              <w:bottom w:val="single" w:color="auto" w:sz="4" w:space="0"/>
              <w:right w:val="single" w:color="auto" w:sz="4" w:space="0"/>
            </w:tcBorders>
            <w:noWrap w:val="0"/>
            <w:vAlign w:val="center"/>
          </w:tcPr>
          <w:p w14:paraId="1BAFBF3A">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0.02</w:t>
            </w:r>
          </w:p>
        </w:tc>
      </w:tr>
      <w:tr w14:paraId="57089AB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564E7489">
            <w:pPr>
              <w:keepNext w:val="0"/>
              <w:keepLines w:val="0"/>
              <w:pageBreakBefore w:val="0"/>
              <w:widowControl/>
              <w:kinsoku/>
              <w:wordWrap/>
              <w:overflowPunct/>
              <w:topLinePunct w:val="0"/>
              <w:autoSpaceDE/>
              <w:autoSpaceDN/>
              <w:bidi w:val="0"/>
              <w:spacing w:line="240" w:lineRule="auto"/>
              <w:jc w:val="center"/>
              <w:textAlignment w:val="auto"/>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2500</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27E4E4B3">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1.572</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05F9FCA1">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0.13</w:t>
            </w:r>
          </w:p>
        </w:tc>
        <w:tc>
          <w:tcPr>
            <w:tcW w:w="2233" w:type="dxa"/>
            <w:tcBorders>
              <w:top w:val="single" w:color="auto" w:sz="4" w:space="0"/>
              <w:left w:val="single" w:color="auto" w:sz="4" w:space="0"/>
              <w:bottom w:val="single" w:color="auto" w:sz="4" w:space="0"/>
              <w:right w:val="single" w:color="auto" w:sz="4" w:space="0"/>
            </w:tcBorders>
            <w:noWrap w:val="0"/>
            <w:vAlign w:val="center"/>
          </w:tcPr>
          <w:p w14:paraId="12F9169F">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0.00</w:t>
            </w:r>
          </w:p>
        </w:tc>
        <w:tc>
          <w:tcPr>
            <w:tcW w:w="1458" w:type="dxa"/>
            <w:tcBorders>
              <w:top w:val="single" w:color="auto" w:sz="4" w:space="0"/>
              <w:left w:val="single" w:color="auto" w:sz="4" w:space="0"/>
              <w:bottom w:val="single" w:color="auto" w:sz="4" w:space="0"/>
              <w:right w:val="single" w:color="auto" w:sz="4" w:space="0"/>
            </w:tcBorders>
            <w:noWrap w:val="0"/>
            <w:vAlign w:val="center"/>
          </w:tcPr>
          <w:p w14:paraId="4994F2A3">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0.01</w:t>
            </w:r>
          </w:p>
        </w:tc>
      </w:tr>
      <w:tr w14:paraId="65A70B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3A2F400C">
            <w:pPr>
              <w:keepNext w:val="0"/>
              <w:keepLines w:val="0"/>
              <w:pageBreakBefore w:val="0"/>
              <w:widowControl/>
              <w:kinsoku/>
              <w:wordWrap/>
              <w:overflowPunct/>
              <w:topLinePunct w:val="0"/>
              <w:autoSpaceDE/>
              <w:autoSpaceDN/>
              <w:bidi w:val="0"/>
              <w:adjustRightInd w:val="0"/>
              <w:snapToGrid w:val="0"/>
              <w:spacing w:before="0" w:line="240" w:lineRule="auto"/>
              <w:jc w:val="center"/>
              <w:textAlignment w:val="auto"/>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t>下风向最大质量浓度及占标率（%）</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2575CDFA">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b/>
                <w:color w:val="000000" w:themeColor="text1"/>
                <w:kern w:val="0"/>
                <w:sz w:val="21"/>
                <w:szCs w:val="21"/>
                <w:lang w:val="en-US" w:eastAsia="zh-CN"/>
                <w14:textFill>
                  <w14:solidFill>
                    <w14:schemeClr w14:val="tx1"/>
                  </w14:solidFill>
                </w14:textFill>
              </w:rPr>
            </w:pPr>
            <w:r>
              <w:rPr>
                <w:rFonts w:hint="eastAsia"/>
                <w:b/>
                <w:color w:val="000000" w:themeColor="text1"/>
                <w:kern w:val="0"/>
                <w:sz w:val="21"/>
                <w:szCs w:val="21"/>
                <w:lang w:val="en-US" w:eastAsia="zh-CN"/>
                <w14:textFill>
                  <w14:solidFill>
                    <w14:schemeClr w14:val="tx1"/>
                  </w14:solidFill>
                </w14:textFill>
              </w:rPr>
              <w:t>83.958</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352FCCEC">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b/>
                <w:color w:val="000000" w:themeColor="text1"/>
                <w:kern w:val="0"/>
                <w:sz w:val="21"/>
                <w:szCs w:val="21"/>
                <w:lang w:val="en-US" w:eastAsia="zh-CN"/>
                <w14:textFill>
                  <w14:solidFill>
                    <w14:schemeClr w14:val="tx1"/>
                  </w14:solidFill>
                </w14:textFill>
              </w:rPr>
            </w:pPr>
            <w:r>
              <w:rPr>
                <w:rFonts w:hint="eastAsia"/>
                <w:b/>
                <w:color w:val="000000" w:themeColor="text1"/>
                <w:kern w:val="0"/>
                <w:sz w:val="21"/>
                <w:szCs w:val="21"/>
                <w:lang w:val="en-US" w:eastAsia="zh-CN"/>
                <w14:textFill>
                  <w14:solidFill>
                    <w14:schemeClr w14:val="tx1"/>
                  </w14:solidFill>
                </w14:textFill>
              </w:rPr>
              <w:t>7.00</w:t>
            </w:r>
          </w:p>
        </w:tc>
        <w:tc>
          <w:tcPr>
            <w:tcW w:w="2233" w:type="dxa"/>
            <w:tcBorders>
              <w:top w:val="single" w:color="auto" w:sz="4" w:space="0"/>
              <w:left w:val="single" w:color="auto" w:sz="4" w:space="0"/>
              <w:bottom w:val="single" w:color="auto" w:sz="4" w:space="0"/>
              <w:right w:val="single" w:color="auto" w:sz="4" w:space="0"/>
            </w:tcBorders>
            <w:noWrap w:val="0"/>
            <w:vAlign w:val="center"/>
          </w:tcPr>
          <w:p w14:paraId="24346338">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b/>
                <w:color w:val="000000" w:themeColor="text1"/>
                <w:kern w:val="0"/>
                <w:sz w:val="21"/>
                <w:szCs w:val="21"/>
                <w:lang w:val="en-US" w:eastAsia="zh-CN"/>
                <w14:textFill>
                  <w14:solidFill>
                    <w14:schemeClr w14:val="tx1"/>
                  </w14:solidFill>
                </w14:textFill>
              </w:rPr>
            </w:pPr>
            <w:r>
              <w:rPr>
                <w:rFonts w:hint="eastAsia"/>
                <w:b/>
                <w:color w:val="000000" w:themeColor="text1"/>
                <w:kern w:val="0"/>
                <w:sz w:val="21"/>
                <w:szCs w:val="21"/>
                <w:lang w:val="en-US" w:eastAsia="zh-CN"/>
                <w14:textFill>
                  <w14:solidFill>
                    <w14:schemeClr w14:val="tx1"/>
                  </w14:solidFill>
                </w14:textFill>
              </w:rPr>
              <w:t>0.372</w:t>
            </w:r>
          </w:p>
        </w:tc>
        <w:tc>
          <w:tcPr>
            <w:tcW w:w="1458" w:type="dxa"/>
            <w:tcBorders>
              <w:top w:val="single" w:color="auto" w:sz="4" w:space="0"/>
              <w:left w:val="single" w:color="auto" w:sz="4" w:space="0"/>
              <w:bottom w:val="single" w:color="auto" w:sz="4" w:space="0"/>
              <w:right w:val="single" w:color="auto" w:sz="4" w:space="0"/>
            </w:tcBorders>
            <w:noWrap w:val="0"/>
            <w:vAlign w:val="center"/>
          </w:tcPr>
          <w:p w14:paraId="21930B34">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eastAsia="宋体"/>
                <w:b/>
                <w:color w:val="000000" w:themeColor="text1"/>
                <w:kern w:val="0"/>
                <w:sz w:val="21"/>
                <w:szCs w:val="21"/>
                <w:lang w:val="en-US" w:eastAsia="zh-CN"/>
                <w14:textFill>
                  <w14:solidFill>
                    <w14:schemeClr w14:val="tx1"/>
                  </w14:solidFill>
                </w14:textFill>
              </w:rPr>
            </w:pPr>
            <w:r>
              <w:rPr>
                <w:rFonts w:hint="eastAsia"/>
                <w:b/>
                <w:color w:val="000000" w:themeColor="text1"/>
                <w:kern w:val="0"/>
                <w:sz w:val="21"/>
                <w:szCs w:val="21"/>
                <w:lang w:val="en-US" w:eastAsia="zh-CN"/>
                <w14:textFill>
                  <w14:solidFill>
                    <w14:schemeClr w14:val="tx1"/>
                  </w14:solidFill>
                </w14:textFill>
              </w:rPr>
              <w:t>0.75</w:t>
            </w:r>
          </w:p>
        </w:tc>
      </w:tr>
    </w:tbl>
    <w:p w14:paraId="25B24CDA">
      <w:pPr>
        <w:widowControl/>
        <w:adjustRightInd w:val="0"/>
        <w:snapToGrid w:val="0"/>
        <w:jc w:val="center"/>
        <w:rPr>
          <w:rFonts w:ascii="Times New Roman"/>
          <w:b/>
          <w:bCs/>
          <w:color w:val="000000" w:themeColor="text1"/>
          <w:kern w:val="0"/>
          <w:sz w:val="21"/>
          <w:szCs w:val="24"/>
          <w14:textFill>
            <w14:solidFill>
              <w14:schemeClr w14:val="tx1"/>
            </w14:solidFill>
          </w14:textFill>
        </w:rPr>
      </w:pPr>
      <w:r>
        <w:rPr>
          <w:rFonts w:ascii="Times New Roman"/>
          <w:b/>
          <w:bCs/>
          <w:color w:val="000000" w:themeColor="text1"/>
          <w:kern w:val="0"/>
          <w:sz w:val="21"/>
          <w:szCs w:val="20"/>
          <w14:textFill>
            <w14:solidFill>
              <w14:schemeClr w14:val="tx1"/>
            </w14:solidFill>
          </w14:textFill>
        </w:rPr>
        <w:t>表</w:t>
      </w:r>
      <w:r>
        <w:rPr>
          <w:rFonts w:hint="eastAsia"/>
          <w:b/>
          <w:bCs/>
          <w:color w:val="000000" w:themeColor="text1"/>
          <w:kern w:val="0"/>
          <w:sz w:val="21"/>
          <w:szCs w:val="20"/>
          <w:lang w:val="en-US" w:eastAsia="zh-CN"/>
          <w14:textFill>
            <w14:solidFill>
              <w14:schemeClr w14:val="tx1"/>
            </w14:solidFill>
          </w14:textFill>
        </w:rPr>
        <w:t>4</w:t>
      </w:r>
      <w:r>
        <w:rPr>
          <w:rFonts w:ascii="Times New Roman"/>
          <w:b/>
          <w:bCs/>
          <w:color w:val="000000" w:themeColor="text1"/>
          <w:kern w:val="0"/>
          <w:sz w:val="21"/>
          <w:szCs w:val="20"/>
          <w14:textFill>
            <w14:solidFill>
              <w14:schemeClr w14:val="tx1"/>
            </w14:solidFill>
          </w14:textFill>
        </w:rPr>
        <w:t>.2-</w:t>
      </w:r>
      <w:r>
        <w:rPr>
          <w:rFonts w:hint="eastAsia"/>
          <w:b/>
          <w:bCs/>
          <w:color w:val="000000" w:themeColor="text1"/>
          <w:kern w:val="0"/>
          <w:sz w:val="21"/>
          <w:szCs w:val="20"/>
          <w:lang w:val="en-US" w:eastAsia="zh-CN"/>
          <w14:textFill>
            <w14:solidFill>
              <w14:schemeClr w14:val="tx1"/>
            </w14:solidFill>
          </w14:textFill>
        </w:rPr>
        <w:t>6</w:t>
      </w:r>
      <w:r>
        <w:rPr>
          <w:rFonts w:ascii="Times New Roman"/>
          <w:b/>
          <w:bCs/>
          <w:color w:val="000000" w:themeColor="text1"/>
          <w:kern w:val="0"/>
          <w:sz w:val="21"/>
          <w:szCs w:val="20"/>
          <w14:textFill>
            <w14:solidFill>
              <w14:schemeClr w14:val="tx1"/>
            </w14:solidFill>
          </w14:textFill>
        </w:rPr>
        <w:t xml:space="preserve"> </w:t>
      </w:r>
      <w:r>
        <w:rPr>
          <w:rFonts w:ascii="Times New Roman"/>
          <w:b/>
          <w:bCs/>
          <w:color w:val="000000" w:themeColor="text1"/>
          <w:kern w:val="0"/>
          <w:sz w:val="21"/>
          <w:szCs w:val="24"/>
          <w14:textFill>
            <w14:solidFill>
              <w14:schemeClr w14:val="tx1"/>
            </w14:solidFill>
          </w14:textFill>
        </w:rPr>
        <w:t xml:space="preserve"> DA00</w:t>
      </w:r>
      <w:r>
        <w:rPr>
          <w:rFonts w:hint="eastAsia"/>
          <w:b/>
          <w:bCs/>
          <w:color w:val="000000" w:themeColor="text1"/>
          <w:kern w:val="0"/>
          <w:sz w:val="21"/>
          <w:szCs w:val="24"/>
          <w:lang w:val="en-US" w:eastAsia="zh-CN"/>
          <w14:textFill>
            <w14:solidFill>
              <w14:schemeClr w14:val="tx1"/>
            </w14:solidFill>
          </w14:textFill>
        </w:rPr>
        <w:t>2</w:t>
      </w:r>
      <w:r>
        <w:rPr>
          <w:rFonts w:ascii="Times New Roman"/>
          <w:b/>
          <w:bCs/>
          <w:color w:val="000000" w:themeColor="text1"/>
          <w:kern w:val="0"/>
          <w:sz w:val="21"/>
          <w:szCs w:val="24"/>
          <w14:textFill>
            <w14:solidFill>
              <w14:schemeClr w14:val="tx1"/>
            </w14:solidFill>
          </w14:textFill>
        </w:rPr>
        <w:t>估算模式预测污染物浓度扩散结果</w:t>
      </w:r>
    </w:p>
    <w:tbl>
      <w:tblPr>
        <w:tblStyle w:val="31"/>
        <w:tblW w:w="8719"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4213"/>
        <w:gridCol w:w="2281"/>
        <w:gridCol w:w="2225"/>
      </w:tblGrid>
      <w:tr w14:paraId="17F86D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01" w:hRule="atLeast"/>
          <w:jc w:val="center"/>
        </w:trPr>
        <w:tc>
          <w:tcPr>
            <w:tcW w:w="4213" w:type="dxa"/>
            <w:vMerge w:val="restart"/>
            <w:noWrap w:val="0"/>
            <w:vAlign w:val="center"/>
          </w:tcPr>
          <w:p w14:paraId="0C520DF3">
            <w:pPr>
              <w:widowControl/>
              <w:jc w:val="center"/>
              <w:rPr>
                <w:rFonts w:hint="eastAsia" w:ascii="Times New Roman" w:eastAsia="宋体"/>
                <w:b/>
                <w:bCs/>
                <w:color w:val="000000" w:themeColor="text1"/>
                <w:kern w:val="0"/>
                <w:sz w:val="21"/>
                <w:szCs w:val="21"/>
                <w:lang w:eastAsia="zh-CN" w:bidi="ar"/>
                <w14:textFill>
                  <w14:solidFill>
                    <w14:schemeClr w14:val="tx1"/>
                  </w14:solidFill>
                </w14:textFill>
              </w:rPr>
            </w:pPr>
            <w:r>
              <w:rPr>
                <w:rFonts w:ascii="Times New Roman"/>
                <w:b/>
                <w:bCs/>
                <w:color w:val="000000" w:themeColor="text1"/>
                <w:kern w:val="0"/>
                <w:sz w:val="21"/>
                <w:szCs w:val="21"/>
                <w:lang w:bidi="ar"/>
                <w14:textFill>
                  <w14:solidFill>
                    <w14:schemeClr w14:val="tx1"/>
                  </w14:solidFill>
                </w14:textFill>
              </w:rPr>
              <w:t>下风向距离D</w:t>
            </w:r>
            <w:r>
              <w:rPr>
                <w:rFonts w:hint="eastAsia"/>
                <w:b/>
                <w:bCs/>
                <w:color w:val="000000" w:themeColor="text1"/>
                <w:kern w:val="0"/>
                <w:sz w:val="21"/>
                <w:szCs w:val="21"/>
                <w:lang w:eastAsia="zh-CN" w:bidi="ar"/>
                <w14:textFill>
                  <w14:solidFill>
                    <w14:schemeClr w14:val="tx1"/>
                  </w14:solidFill>
                </w14:textFill>
              </w:rPr>
              <w:t>（</w:t>
            </w:r>
            <w:r>
              <w:rPr>
                <w:rFonts w:ascii="Times New Roman"/>
                <w:b/>
                <w:bCs/>
                <w:color w:val="000000" w:themeColor="text1"/>
                <w:kern w:val="0"/>
                <w:sz w:val="21"/>
                <w:szCs w:val="21"/>
                <w:lang w:bidi="ar"/>
                <w14:textFill>
                  <w14:solidFill>
                    <w14:schemeClr w14:val="tx1"/>
                  </w14:solidFill>
                </w14:textFill>
              </w:rPr>
              <w:t>m</w:t>
            </w:r>
            <w:r>
              <w:rPr>
                <w:rFonts w:hint="eastAsia"/>
                <w:b/>
                <w:bCs/>
                <w:color w:val="000000" w:themeColor="text1"/>
                <w:kern w:val="0"/>
                <w:sz w:val="21"/>
                <w:szCs w:val="21"/>
                <w:lang w:eastAsia="zh-CN" w:bidi="ar"/>
                <w14:textFill>
                  <w14:solidFill>
                    <w14:schemeClr w14:val="tx1"/>
                  </w14:solidFill>
                </w14:textFill>
              </w:rPr>
              <w:t>）</w:t>
            </w:r>
          </w:p>
        </w:tc>
        <w:tc>
          <w:tcPr>
            <w:tcW w:w="4506" w:type="dxa"/>
            <w:gridSpan w:val="2"/>
            <w:tcBorders>
              <w:bottom w:val="single" w:color="auto" w:sz="4" w:space="0"/>
              <w:right w:val="single" w:color="auto" w:sz="4" w:space="0"/>
            </w:tcBorders>
            <w:noWrap w:val="0"/>
            <w:vAlign w:val="center"/>
          </w:tcPr>
          <w:p w14:paraId="747765F2">
            <w:pPr>
              <w:widowControl/>
              <w:jc w:val="center"/>
              <w:rPr>
                <w:rFonts w:hint="default" w:ascii="Times New Roman" w:eastAsia="宋体"/>
                <w:b/>
                <w:bCs/>
                <w:color w:val="000000" w:themeColor="text1"/>
                <w:kern w:val="0"/>
                <w:sz w:val="21"/>
                <w:szCs w:val="21"/>
                <w:lang w:val="en-US" w:eastAsia="zh-CN" w:bidi="ar"/>
                <w14:textFill>
                  <w14:solidFill>
                    <w14:schemeClr w14:val="tx1"/>
                  </w14:solidFill>
                </w14:textFill>
              </w:rPr>
            </w:pPr>
            <w:r>
              <w:rPr>
                <w:rFonts w:hint="eastAsia"/>
                <w:b/>
                <w:bCs/>
                <w:color w:val="000000" w:themeColor="text1"/>
                <w:kern w:val="0"/>
                <w:sz w:val="21"/>
                <w:szCs w:val="21"/>
                <w:lang w:val="en-US" w:eastAsia="zh-CN" w:bidi="ar"/>
                <w14:textFill>
                  <w14:solidFill>
                    <w14:schemeClr w14:val="tx1"/>
                  </w14:solidFill>
                </w14:textFill>
              </w:rPr>
              <w:t>PM</w:t>
            </w:r>
            <w:r>
              <w:rPr>
                <w:rFonts w:hint="eastAsia"/>
                <w:b/>
                <w:bCs/>
                <w:color w:val="000000" w:themeColor="text1"/>
                <w:kern w:val="0"/>
                <w:sz w:val="21"/>
                <w:szCs w:val="21"/>
                <w:vertAlign w:val="subscript"/>
                <w:lang w:val="en-US" w:eastAsia="zh-CN" w:bidi="ar"/>
                <w14:textFill>
                  <w14:solidFill>
                    <w14:schemeClr w14:val="tx1"/>
                  </w14:solidFill>
                </w14:textFill>
              </w:rPr>
              <w:t>10</w:t>
            </w:r>
          </w:p>
        </w:tc>
      </w:tr>
      <w:tr w14:paraId="3AEA29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4213" w:type="dxa"/>
            <w:vMerge w:val="continue"/>
            <w:tcBorders>
              <w:bottom w:val="single" w:color="auto" w:sz="4" w:space="0"/>
            </w:tcBorders>
            <w:noWrap w:val="0"/>
            <w:vAlign w:val="center"/>
          </w:tcPr>
          <w:p w14:paraId="6FFF9A0E">
            <w:pPr>
              <w:widowControl/>
              <w:jc w:val="center"/>
              <w:rPr>
                <w:rFonts w:ascii="Times New Roman"/>
                <w:b/>
                <w:bCs/>
                <w:color w:val="000000" w:themeColor="text1"/>
                <w:kern w:val="0"/>
                <w:sz w:val="21"/>
                <w:szCs w:val="21"/>
                <w:lang w:bidi="ar"/>
                <w14:textFill>
                  <w14:solidFill>
                    <w14:schemeClr w14:val="tx1"/>
                  </w14:solidFill>
                </w14:textFill>
              </w:rPr>
            </w:pPr>
          </w:p>
        </w:tc>
        <w:tc>
          <w:tcPr>
            <w:tcW w:w="2281" w:type="dxa"/>
            <w:tcBorders>
              <w:bottom w:val="single" w:color="auto" w:sz="4" w:space="0"/>
              <w:right w:val="single" w:color="auto" w:sz="4" w:space="0"/>
            </w:tcBorders>
            <w:noWrap w:val="0"/>
            <w:vAlign w:val="center"/>
          </w:tcPr>
          <w:p w14:paraId="2692406D">
            <w:pPr>
              <w:widowControl/>
              <w:jc w:val="center"/>
              <w:rPr>
                <w:rFonts w:hint="eastAsia" w:ascii="Times New Roman" w:eastAsia="宋体"/>
                <w:b/>
                <w:bCs/>
                <w:color w:val="000000" w:themeColor="text1"/>
                <w:kern w:val="0"/>
                <w:sz w:val="21"/>
                <w:szCs w:val="21"/>
                <w:lang w:eastAsia="zh-CN" w:bidi="ar"/>
                <w14:textFill>
                  <w14:solidFill>
                    <w14:schemeClr w14:val="tx1"/>
                  </w14:solidFill>
                </w14:textFill>
              </w:rPr>
            </w:pPr>
            <w:r>
              <w:rPr>
                <w:rFonts w:ascii="Times New Roman"/>
                <w:b/>
                <w:bCs/>
                <w:color w:val="000000" w:themeColor="text1"/>
                <w:kern w:val="0"/>
                <w:sz w:val="21"/>
                <w:szCs w:val="21"/>
                <w14:textFill>
                  <w14:solidFill>
                    <w14:schemeClr w14:val="tx1"/>
                  </w14:solidFill>
                </w14:textFill>
              </w:rPr>
              <w:t>预测质量浓度</w:t>
            </w:r>
            <w:r>
              <w:rPr>
                <w:rFonts w:hint="eastAsia"/>
                <w:b/>
                <w:bCs/>
                <w:color w:val="000000" w:themeColor="text1"/>
                <w:kern w:val="0"/>
                <w:sz w:val="21"/>
                <w:szCs w:val="21"/>
                <w:lang w:eastAsia="zh-CN"/>
                <w14:textFill>
                  <w14:solidFill>
                    <w14:schemeClr w14:val="tx1"/>
                  </w14:solidFill>
                </w14:textFill>
              </w:rPr>
              <w:t>（</w:t>
            </w:r>
            <w:r>
              <w:rPr>
                <w:rFonts w:ascii="Times New Roman"/>
                <w:b/>
                <w:bCs/>
                <w:color w:val="000000" w:themeColor="text1"/>
                <w:kern w:val="0"/>
                <w:sz w:val="21"/>
                <w:szCs w:val="21"/>
                <w14:textFill>
                  <w14:solidFill>
                    <w14:schemeClr w14:val="tx1"/>
                  </w14:solidFill>
                </w14:textFill>
              </w:rPr>
              <w:t>μg/m</w:t>
            </w:r>
            <w:r>
              <w:rPr>
                <w:rFonts w:ascii="Times New Roman"/>
                <w:b/>
                <w:bCs/>
                <w:color w:val="000000" w:themeColor="text1"/>
                <w:kern w:val="0"/>
                <w:sz w:val="21"/>
                <w:szCs w:val="21"/>
                <w:vertAlign w:val="superscript"/>
                <w14:textFill>
                  <w14:solidFill>
                    <w14:schemeClr w14:val="tx1"/>
                  </w14:solidFill>
                </w14:textFill>
              </w:rPr>
              <w:t>3</w:t>
            </w:r>
            <w:r>
              <w:rPr>
                <w:rFonts w:hint="eastAsia"/>
                <w:b/>
                <w:bCs/>
                <w:color w:val="000000" w:themeColor="text1"/>
                <w:kern w:val="0"/>
                <w:sz w:val="21"/>
                <w:szCs w:val="21"/>
                <w:lang w:eastAsia="zh-CN"/>
                <w14:textFill>
                  <w14:solidFill>
                    <w14:schemeClr w14:val="tx1"/>
                  </w14:solidFill>
                </w14:textFill>
              </w:rPr>
              <w:t>）</w:t>
            </w:r>
          </w:p>
        </w:tc>
        <w:tc>
          <w:tcPr>
            <w:tcW w:w="2225" w:type="dxa"/>
            <w:tcBorders>
              <w:bottom w:val="single" w:color="auto" w:sz="4" w:space="0"/>
              <w:right w:val="single" w:color="auto" w:sz="4" w:space="0"/>
            </w:tcBorders>
            <w:noWrap w:val="0"/>
            <w:vAlign w:val="center"/>
          </w:tcPr>
          <w:p w14:paraId="27F4F2B0">
            <w:pPr>
              <w:widowControl/>
              <w:jc w:val="center"/>
              <w:rPr>
                <w:rFonts w:ascii="Times New Roman"/>
                <w:b/>
                <w:bCs/>
                <w:color w:val="000000" w:themeColor="text1"/>
                <w:kern w:val="0"/>
                <w:sz w:val="21"/>
                <w:szCs w:val="21"/>
                <w:lang w:bidi="ar"/>
                <w14:textFill>
                  <w14:solidFill>
                    <w14:schemeClr w14:val="tx1"/>
                  </w14:solidFill>
                </w14:textFill>
              </w:rPr>
            </w:pPr>
            <w:r>
              <w:rPr>
                <w:rFonts w:ascii="Times New Roman"/>
                <w:b/>
                <w:bCs/>
                <w:color w:val="000000" w:themeColor="text1"/>
                <w:kern w:val="0"/>
                <w:sz w:val="21"/>
                <w:szCs w:val="21"/>
                <w:lang w:bidi="ar"/>
                <w14:textFill>
                  <w14:solidFill>
                    <w14:schemeClr w14:val="tx1"/>
                  </w14:solidFill>
                </w14:textFill>
              </w:rPr>
              <w:t>占标率（%）</w:t>
            </w:r>
          </w:p>
        </w:tc>
      </w:tr>
      <w:tr w14:paraId="6324A0D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4213" w:type="dxa"/>
            <w:tcBorders>
              <w:top w:val="single" w:color="auto" w:sz="4" w:space="0"/>
              <w:left w:val="single" w:color="auto" w:sz="4" w:space="0"/>
              <w:bottom w:val="single" w:color="auto" w:sz="4" w:space="0"/>
              <w:right w:val="single" w:color="auto" w:sz="4" w:space="0"/>
            </w:tcBorders>
            <w:noWrap w:val="0"/>
            <w:vAlign w:val="center"/>
          </w:tcPr>
          <w:p w14:paraId="5202D187">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10</w:t>
            </w:r>
          </w:p>
        </w:tc>
        <w:tc>
          <w:tcPr>
            <w:tcW w:w="2281" w:type="dxa"/>
            <w:tcBorders>
              <w:top w:val="single" w:color="auto" w:sz="4" w:space="0"/>
              <w:left w:val="single" w:color="auto" w:sz="4" w:space="0"/>
              <w:bottom w:val="single" w:color="auto" w:sz="4" w:space="0"/>
              <w:right w:val="single" w:color="auto" w:sz="4" w:space="0"/>
            </w:tcBorders>
            <w:noWrap w:val="0"/>
            <w:vAlign w:val="center"/>
          </w:tcPr>
          <w:p w14:paraId="0FEE208F">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0.122</w:t>
            </w:r>
          </w:p>
        </w:tc>
        <w:tc>
          <w:tcPr>
            <w:tcW w:w="2225" w:type="dxa"/>
            <w:tcBorders>
              <w:top w:val="single" w:color="auto" w:sz="4" w:space="0"/>
              <w:left w:val="single" w:color="auto" w:sz="4" w:space="0"/>
              <w:bottom w:val="single" w:color="auto" w:sz="4" w:space="0"/>
              <w:right w:val="single" w:color="auto" w:sz="4" w:space="0"/>
            </w:tcBorders>
            <w:noWrap w:val="0"/>
            <w:vAlign w:val="center"/>
          </w:tcPr>
          <w:p w14:paraId="157A805C">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0.01</w:t>
            </w:r>
          </w:p>
        </w:tc>
      </w:tr>
      <w:tr w14:paraId="6D2904D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4213" w:type="dxa"/>
            <w:tcBorders>
              <w:top w:val="single" w:color="auto" w:sz="4" w:space="0"/>
              <w:left w:val="single" w:color="auto" w:sz="4" w:space="0"/>
              <w:bottom w:val="single" w:color="auto" w:sz="4" w:space="0"/>
              <w:right w:val="single" w:color="auto" w:sz="4" w:space="0"/>
            </w:tcBorders>
            <w:noWrap w:val="0"/>
            <w:vAlign w:val="center"/>
          </w:tcPr>
          <w:p w14:paraId="79217521">
            <w:pPr>
              <w:widowControl/>
              <w:jc w:val="center"/>
              <w:rPr>
                <w:rFonts w:ascii="Times New Roman"/>
                <w:b/>
                <w:bCs/>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50</w:t>
            </w:r>
          </w:p>
        </w:tc>
        <w:tc>
          <w:tcPr>
            <w:tcW w:w="2281" w:type="dxa"/>
            <w:tcBorders>
              <w:top w:val="single" w:color="auto" w:sz="4" w:space="0"/>
              <w:left w:val="single" w:color="auto" w:sz="4" w:space="0"/>
              <w:bottom w:val="single" w:color="auto" w:sz="4" w:space="0"/>
              <w:right w:val="single" w:color="auto" w:sz="4" w:space="0"/>
            </w:tcBorders>
            <w:noWrap w:val="0"/>
            <w:vAlign w:val="center"/>
          </w:tcPr>
          <w:p w14:paraId="0AC90798">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1.577</w:t>
            </w:r>
          </w:p>
        </w:tc>
        <w:tc>
          <w:tcPr>
            <w:tcW w:w="2225" w:type="dxa"/>
            <w:tcBorders>
              <w:top w:val="single" w:color="auto" w:sz="4" w:space="0"/>
              <w:left w:val="single" w:color="auto" w:sz="4" w:space="0"/>
              <w:bottom w:val="single" w:color="auto" w:sz="4" w:space="0"/>
              <w:right w:val="single" w:color="auto" w:sz="4" w:space="0"/>
            </w:tcBorders>
            <w:noWrap w:val="0"/>
            <w:vAlign w:val="center"/>
          </w:tcPr>
          <w:p w14:paraId="1169B84B">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0.18</w:t>
            </w:r>
          </w:p>
        </w:tc>
      </w:tr>
      <w:tr w14:paraId="4FDB27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4213" w:type="dxa"/>
            <w:tcBorders>
              <w:top w:val="single" w:color="auto" w:sz="4" w:space="0"/>
              <w:left w:val="single" w:color="auto" w:sz="4" w:space="0"/>
              <w:bottom w:val="single" w:color="auto" w:sz="4" w:space="0"/>
              <w:right w:val="single" w:color="auto" w:sz="4" w:space="0"/>
            </w:tcBorders>
            <w:noWrap w:val="0"/>
            <w:vAlign w:val="center"/>
          </w:tcPr>
          <w:p w14:paraId="16532115">
            <w:pPr>
              <w:widowControl/>
              <w:jc w:val="center"/>
              <w:rPr>
                <w:rFonts w:hint="default" w:ascii="Times New Roman" w:eastAsia="宋体"/>
                <w:b/>
                <w:bCs/>
                <w:color w:val="000000" w:themeColor="text1"/>
                <w:kern w:val="0"/>
                <w:sz w:val="21"/>
                <w:szCs w:val="21"/>
                <w:lang w:val="en-US" w:eastAsia="zh-CN"/>
                <w14:textFill>
                  <w14:solidFill>
                    <w14:schemeClr w14:val="tx1"/>
                  </w14:solidFill>
                </w14:textFill>
              </w:rPr>
            </w:pPr>
            <w:r>
              <w:rPr>
                <w:rFonts w:hint="eastAsia"/>
                <w:b/>
                <w:bCs/>
                <w:color w:val="000000" w:themeColor="text1"/>
                <w:kern w:val="0"/>
                <w:sz w:val="21"/>
                <w:szCs w:val="21"/>
                <w:lang w:val="en-US" w:eastAsia="zh-CN"/>
                <w14:textFill>
                  <w14:solidFill>
                    <w14:schemeClr w14:val="tx1"/>
                  </w14:solidFill>
                </w14:textFill>
              </w:rPr>
              <w:t>98</w:t>
            </w:r>
          </w:p>
        </w:tc>
        <w:tc>
          <w:tcPr>
            <w:tcW w:w="2281" w:type="dxa"/>
            <w:tcBorders>
              <w:top w:val="single" w:color="auto" w:sz="4" w:space="0"/>
              <w:left w:val="single" w:color="auto" w:sz="4" w:space="0"/>
              <w:bottom w:val="single" w:color="auto" w:sz="4" w:space="0"/>
              <w:right w:val="single" w:color="auto" w:sz="4" w:space="0"/>
            </w:tcBorders>
            <w:noWrap w:val="0"/>
            <w:vAlign w:val="center"/>
          </w:tcPr>
          <w:p w14:paraId="09E4F5FA">
            <w:pPr>
              <w:widowControl/>
              <w:jc w:val="center"/>
              <w:rPr>
                <w:rFonts w:hint="default" w:ascii="Times New Roman" w:eastAsia="宋体"/>
                <w:b/>
                <w:bCs/>
                <w:color w:val="000000" w:themeColor="text1"/>
                <w:kern w:val="0"/>
                <w:sz w:val="21"/>
                <w:szCs w:val="21"/>
                <w:lang w:val="en-US" w:eastAsia="zh-CN"/>
                <w14:textFill>
                  <w14:solidFill>
                    <w14:schemeClr w14:val="tx1"/>
                  </w14:solidFill>
                </w14:textFill>
              </w:rPr>
            </w:pPr>
            <w:r>
              <w:rPr>
                <w:rFonts w:hint="eastAsia"/>
                <w:b/>
                <w:bCs/>
                <w:color w:val="000000" w:themeColor="text1"/>
                <w:kern w:val="0"/>
                <w:sz w:val="21"/>
                <w:szCs w:val="21"/>
                <w:lang w:val="en-US" w:eastAsia="zh-CN"/>
                <w14:textFill>
                  <w14:solidFill>
                    <w14:schemeClr w14:val="tx1"/>
                  </w14:solidFill>
                </w14:textFill>
              </w:rPr>
              <w:t>9.337</w:t>
            </w:r>
          </w:p>
        </w:tc>
        <w:tc>
          <w:tcPr>
            <w:tcW w:w="2225" w:type="dxa"/>
            <w:tcBorders>
              <w:top w:val="single" w:color="auto" w:sz="4" w:space="0"/>
              <w:left w:val="single" w:color="auto" w:sz="4" w:space="0"/>
              <w:bottom w:val="single" w:color="auto" w:sz="4" w:space="0"/>
              <w:right w:val="single" w:color="auto" w:sz="4" w:space="0"/>
            </w:tcBorders>
            <w:noWrap w:val="0"/>
            <w:vAlign w:val="center"/>
          </w:tcPr>
          <w:p w14:paraId="5F889CF3">
            <w:pPr>
              <w:widowControl/>
              <w:jc w:val="center"/>
              <w:rPr>
                <w:rFonts w:hint="default" w:ascii="Times New Roman" w:eastAsia="宋体"/>
                <w:b/>
                <w:bCs/>
                <w:color w:val="000000" w:themeColor="text1"/>
                <w:kern w:val="0"/>
                <w:sz w:val="21"/>
                <w:szCs w:val="21"/>
                <w:lang w:val="en-US" w:eastAsia="zh-CN"/>
                <w14:textFill>
                  <w14:solidFill>
                    <w14:schemeClr w14:val="tx1"/>
                  </w14:solidFill>
                </w14:textFill>
              </w:rPr>
            </w:pPr>
            <w:r>
              <w:rPr>
                <w:rFonts w:hint="eastAsia"/>
                <w:b/>
                <w:bCs/>
                <w:color w:val="000000" w:themeColor="text1"/>
                <w:kern w:val="0"/>
                <w:sz w:val="21"/>
                <w:szCs w:val="21"/>
                <w:lang w:val="en-US" w:eastAsia="zh-CN"/>
                <w14:textFill>
                  <w14:solidFill>
                    <w14:schemeClr w14:val="tx1"/>
                  </w14:solidFill>
                </w14:textFill>
              </w:rPr>
              <w:t>2.07</w:t>
            </w:r>
          </w:p>
        </w:tc>
      </w:tr>
      <w:tr w14:paraId="1E0BE7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4213" w:type="dxa"/>
            <w:tcBorders>
              <w:top w:val="single" w:color="auto" w:sz="4" w:space="0"/>
              <w:left w:val="single" w:color="auto" w:sz="4" w:space="0"/>
              <w:bottom w:val="single" w:color="auto" w:sz="4" w:space="0"/>
              <w:right w:val="single" w:color="auto" w:sz="4" w:space="0"/>
            </w:tcBorders>
            <w:noWrap w:val="0"/>
            <w:vAlign w:val="center"/>
          </w:tcPr>
          <w:p w14:paraId="01066366">
            <w:pPr>
              <w:widowControl/>
              <w:jc w:val="center"/>
              <w:rPr>
                <w:rFonts w:ascii="Times New Roman"/>
                <w:b/>
                <w:bCs/>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100</w:t>
            </w:r>
          </w:p>
        </w:tc>
        <w:tc>
          <w:tcPr>
            <w:tcW w:w="2281" w:type="dxa"/>
            <w:tcBorders>
              <w:top w:val="single" w:color="auto" w:sz="4" w:space="0"/>
              <w:left w:val="single" w:color="auto" w:sz="4" w:space="0"/>
              <w:bottom w:val="single" w:color="auto" w:sz="4" w:space="0"/>
              <w:right w:val="single" w:color="auto" w:sz="4" w:space="0"/>
            </w:tcBorders>
            <w:noWrap w:val="0"/>
            <w:vAlign w:val="center"/>
          </w:tcPr>
          <w:p w14:paraId="7900AEEC">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9.227</w:t>
            </w:r>
          </w:p>
        </w:tc>
        <w:tc>
          <w:tcPr>
            <w:tcW w:w="2225" w:type="dxa"/>
            <w:tcBorders>
              <w:top w:val="single" w:color="auto" w:sz="4" w:space="0"/>
              <w:left w:val="single" w:color="auto" w:sz="4" w:space="0"/>
              <w:bottom w:val="single" w:color="auto" w:sz="4" w:space="0"/>
              <w:right w:val="single" w:color="auto" w:sz="4" w:space="0"/>
            </w:tcBorders>
            <w:noWrap w:val="0"/>
            <w:vAlign w:val="center"/>
          </w:tcPr>
          <w:p w14:paraId="1D24225A">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1.03</w:t>
            </w:r>
          </w:p>
        </w:tc>
      </w:tr>
      <w:tr w14:paraId="2E03D1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4213" w:type="dxa"/>
            <w:tcBorders>
              <w:top w:val="single" w:color="auto" w:sz="4" w:space="0"/>
              <w:left w:val="single" w:color="auto" w:sz="4" w:space="0"/>
              <w:bottom w:val="single" w:color="auto" w:sz="4" w:space="0"/>
              <w:right w:val="single" w:color="auto" w:sz="4" w:space="0"/>
            </w:tcBorders>
            <w:noWrap w:val="0"/>
            <w:vAlign w:val="center"/>
          </w:tcPr>
          <w:p w14:paraId="69AAEA3A">
            <w:pPr>
              <w:widowControl/>
              <w:jc w:val="center"/>
              <w:rPr>
                <w:rFonts w:ascii="Times New Roman"/>
                <w:bCs/>
                <w:color w:val="000000" w:themeColor="text1"/>
                <w:kern w:val="0"/>
                <w:sz w:val="21"/>
                <w:szCs w:val="21"/>
                <w14:textFill>
                  <w14:solidFill>
                    <w14:schemeClr w14:val="tx1"/>
                  </w14:solidFill>
                </w14:textFill>
              </w:rPr>
            </w:pPr>
            <w:r>
              <w:rPr>
                <w:rFonts w:ascii="Times New Roman"/>
                <w:bCs/>
                <w:color w:val="000000" w:themeColor="text1"/>
                <w:kern w:val="0"/>
                <w:sz w:val="21"/>
                <w:szCs w:val="21"/>
                <w14:textFill>
                  <w14:solidFill>
                    <w14:schemeClr w14:val="tx1"/>
                  </w14:solidFill>
                </w14:textFill>
              </w:rPr>
              <w:t>150</w:t>
            </w:r>
          </w:p>
        </w:tc>
        <w:tc>
          <w:tcPr>
            <w:tcW w:w="2281" w:type="dxa"/>
            <w:tcBorders>
              <w:top w:val="single" w:color="auto" w:sz="4" w:space="0"/>
              <w:left w:val="single" w:color="auto" w:sz="4" w:space="0"/>
              <w:bottom w:val="single" w:color="auto" w:sz="4" w:space="0"/>
              <w:right w:val="single" w:color="auto" w:sz="4" w:space="0"/>
            </w:tcBorders>
            <w:noWrap w:val="0"/>
            <w:vAlign w:val="center"/>
          </w:tcPr>
          <w:p w14:paraId="08055FFF">
            <w:pPr>
              <w:widowControl/>
              <w:jc w:val="center"/>
              <w:rPr>
                <w:rFonts w:hint="default" w:ascii="Times New Roman" w:eastAsia="宋体"/>
                <w:bCs/>
                <w:color w:val="000000" w:themeColor="text1"/>
                <w:kern w:val="0"/>
                <w:sz w:val="21"/>
                <w:szCs w:val="21"/>
                <w:lang w:val="en-US" w:eastAsia="zh-CN"/>
                <w14:textFill>
                  <w14:solidFill>
                    <w14:schemeClr w14:val="tx1"/>
                  </w14:solidFill>
                </w14:textFill>
              </w:rPr>
            </w:pPr>
            <w:r>
              <w:rPr>
                <w:rFonts w:hint="eastAsia"/>
                <w:bCs/>
                <w:color w:val="000000" w:themeColor="text1"/>
                <w:kern w:val="0"/>
                <w:sz w:val="21"/>
                <w:szCs w:val="21"/>
                <w:lang w:val="en-US" w:eastAsia="zh-CN"/>
                <w14:textFill>
                  <w14:solidFill>
                    <w14:schemeClr w14:val="tx1"/>
                  </w14:solidFill>
                </w14:textFill>
              </w:rPr>
              <w:t>5.419</w:t>
            </w:r>
          </w:p>
        </w:tc>
        <w:tc>
          <w:tcPr>
            <w:tcW w:w="2225" w:type="dxa"/>
            <w:tcBorders>
              <w:top w:val="single" w:color="auto" w:sz="4" w:space="0"/>
              <w:left w:val="single" w:color="auto" w:sz="4" w:space="0"/>
              <w:bottom w:val="single" w:color="auto" w:sz="4" w:space="0"/>
              <w:right w:val="single" w:color="auto" w:sz="4" w:space="0"/>
            </w:tcBorders>
            <w:noWrap w:val="0"/>
            <w:vAlign w:val="center"/>
          </w:tcPr>
          <w:p w14:paraId="17121ED0">
            <w:pPr>
              <w:widowControl/>
              <w:jc w:val="center"/>
              <w:rPr>
                <w:rFonts w:hint="default" w:ascii="Times New Roman" w:eastAsia="宋体"/>
                <w:bCs/>
                <w:color w:val="000000" w:themeColor="text1"/>
                <w:kern w:val="0"/>
                <w:sz w:val="21"/>
                <w:szCs w:val="21"/>
                <w:lang w:val="en-US" w:eastAsia="zh-CN"/>
                <w14:textFill>
                  <w14:solidFill>
                    <w14:schemeClr w14:val="tx1"/>
                  </w14:solidFill>
                </w14:textFill>
              </w:rPr>
            </w:pPr>
            <w:r>
              <w:rPr>
                <w:rFonts w:hint="eastAsia"/>
                <w:bCs/>
                <w:color w:val="000000" w:themeColor="text1"/>
                <w:kern w:val="0"/>
                <w:sz w:val="21"/>
                <w:szCs w:val="21"/>
                <w:lang w:val="en-US" w:eastAsia="zh-CN"/>
                <w14:textFill>
                  <w14:solidFill>
                    <w14:schemeClr w14:val="tx1"/>
                  </w14:solidFill>
                </w14:textFill>
              </w:rPr>
              <w:t>0.60</w:t>
            </w:r>
          </w:p>
        </w:tc>
      </w:tr>
      <w:tr w14:paraId="3BDD95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4213" w:type="dxa"/>
            <w:tcBorders>
              <w:top w:val="single" w:color="auto" w:sz="4" w:space="0"/>
              <w:left w:val="single" w:color="auto" w:sz="4" w:space="0"/>
              <w:bottom w:val="single" w:color="auto" w:sz="4" w:space="0"/>
              <w:right w:val="single" w:color="auto" w:sz="4" w:space="0"/>
            </w:tcBorders>
            <w:noWrap w:val="0"/>
            <w:vAlign w:val="center"/>
          </w:tcPr>
          <w:p w14:paraId="0E7D7353">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200</w:t>
            </w:r>
          </w:p>
        </w:tc>
        <w:tc>
          <w:tcPr>
            <w:tcW w:w="2281" w:type="dxa"/>
            <w:tcBorders>
              <w:top w:val="single" w:color="auto" w:sz="4" w:space="0"/>
              <w:left w:val="single" w:color="auto" w:sz="4" w:space="0"/>
              <w:bottom w:val="single" w:color="auto" w:sz="4" w:space="0"/>
              <w:right w:val="single" w:color="auto" w:sz="4" w:space="0"/>
            </w:tcBorders>
            <w:noWrap w:val="0"/>
            <w:vAlign w:val="center"/>
          </w:tcPr>
          <w:p w14:paraId="3D953B48">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3.683</w:t>
            </w:r>
          </w:p>
        </w:tc>
        <w:tc>
          <w:tcPr>
            <w:tcW w:w="2225" w:type="dxa"/>
            <w:tcBorders>
              <w:top w:val="single" w:color="auto" w:sz="4" w:space="0"/>
              <w:left w:val="single" w:color="auto" w:sz="4" w:space="0"/>
              <w:bottom w:val="single" w:color="auto" w:sz="4" w:space="0"/>
              <w:right w:val="single" w:color="auto" w:sz="4" w:space="0"/>
            </w:tcBorders>
            <w:noWrap w:val="0"/>
            <w:vAlign w:val="center"/>
          </w:tcPr>
          <w:p w14:paraId="40D0C858">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0.41</w:t>
            </w:r>
          </w:p>
        </w:tc>
      </w:tr>
      <w:tr w14:paraId="049049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4213" w:type="dxa"/>
            <w:tcBorders>
              <w:top w:val="single" w:color="auto" w:sz="4" w:space="0"/>
              <w:left w:val="single" w:color="auto" w:sz="4" w:space="0"/>
              <w:bottom w:val="single" w:color="auto" w:sz="4" w:space="0"/>
              <w:right w:val="single" w:color="auto" w:sz="4" w:space="0"/>
            </w:tcBorders>
            <w:noWrap w:val="0"/>
            <w:vAlign w:val="center"/>
          </w:tcPr>
          <w:p w14:paraId="6E92BF29">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300</w:t>
            </w:r>
          </w:p>
        </w:tc>
        <w:tc>
          <w:tcPr>
            <w:tcW w:w="2281" w:type="dxa"/>
            <w:tcBorders>
              <w:top w:val="single" w:color="auto" w:sz="4" w:space="0"/>
              <w:left w:val="single" w:color="auto" w:sz="4" w:space="0"/>
              <w:bottom w:val="single" w:color="auto" w:sz="4" w:space="0"/>
              <w:right w:val="single" w:color="auto" w:sz="4" w:space="0"/>
            </w:tcBorders>
            <w:noWrap w:val="0"/>
            <w:vAlign w:val="center"/>
          </w:tcPr>
          <w:p w14:paraId="002DF758">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1.935</w:t>
            </w:r>
          </w:p>
        </w:tc>
        <w:tc>
          <w:tcPr>
            <w:tcW w:w="2225" w:type="dxa"/>
            <w:tcBorders>
              <w:top w:val="single" w:color="auto" w:sz="4" w:space="0"/>
              <w:left w:val="single" w:color="auto" w:sz="4" w:space="0"/>
              <w:bottom w:val="single" w:color="auto" w:sz="4" w:space="0"/>
              <w:right w:val="single" w:color="auto" w:sz="4" w:space="0"/>
            </w:tcBorders>
            <w:noWrap w:val="0"/>
            <w:vAlign w:val="center"/>
          </w:tcPr>
          <w:p w14:paraId="4732E12E">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0.22</w:t>
            </w:r>
          </w:p>
        </w:tc>
      </w:tr>
      <w:tr w14:paraId="5B3A7B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4213" w:type="dxa"/>
            <w:tcBorders>
              <w:top w:val="single" w:color="auto" w:sz="4" w:space="0"/>
              <w:left w:val="single" w:color="auto" w:sz="4" w:space="0"/>
              <w:bottom w:val="single" w:color="auto" w:sz="4" w:space="0"/>
              <w:right w:val="single" w:color="auto" w:sz="4" w:space="0"/>
            </w:tcBorders>
            <w:noWrap w:val="0"/>
            <w:vAlign w:val="center"/>
          </w:tcPr>
          <w:p w14:paraId="3F6BDCB1">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500</w:t>
            </w:r>
          </w:p>
        </w:tc>
        <w:tc>
          <w:tcPr>
            <w:tcW w:w="2281" w:type="dxa"/>
            <w:tcBorders>
              <w:top w:val="single" w:color="auto" w:sz="4" w:space="0"/>
              <w:left w:val="single" w:color="auto" w:sz="4" w:space="0"/>
              <w:bottom w:val="single" w:color="auto" w:sz="4" w:space="0"/>
              <w:right w:val="single" w:color="auto" w:sz="4" w:space="0"/>
            </w:tcBorders>
            <w:noWrap w:val="0"/>
            <w:vAlign w:val="center"/>
          </w:tcPr>
          <w:p w14:paraId="10F9AA31">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1.150</w:t>
            </w:r>
          </w:p>
        </w:tc>
        <w:tc>
          <w:tcPr>
            <w:tcW w:w="2225" w:type="dxa"/>
            <w:tcBorders>
              <w:top w:val="single" w:color="auto" w:sz="4" w:space="0"/>
              <w:left w:val="single" w:color="auto" w:sz="4" w:space="0"/>
              <w:bottom w:val="single" w:color="auto" w:sz="4" w:space="0"/>
              <w:right w:val="single" w:color="auto" w:sz="4" w:space="0"/>
            </w:tcBorders>
            <w:noWrap w:val="0"/>
            <w:vAlign w:val="center"/>
          </w:tcPr>
          <w:p w14:paraId="144AC71D">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0.13</w:t>
            </w:r>
          </w:p>
        </w:tc>
      </w:tr>
      <w:tr w14:paraId="421A02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4213" w:type="dxa"/>
            <w:tcBorders>
              <w:top w:val="single" w:color="auto" w:sz="4" w:space="0"/>
              <w:left w:val="single" w:color="auto" w:sz="4" w:space="0"/>
              <w:bottom w:val="single" w:color="auto" w:sz="4" w:space="0"/>
              <w:right w:val="single" w:color="auto" w:sz="4" w:space="0"/>
            </w:tcBorders>
            <w:noWrap w:val="0"/>
            <w:vAlign w:val="center"/>
          </w:tcPr>
          <w:p w14:paraId="58800E2B">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700</w:t>
            </w:r>
          </w:p>
        </w:tc>
        <w:tc>
          <w:tcPr>
            <w:tcW w:w="2281" w:type="dxa"/>
            <w:tcBorders>
              <w:top w:val="single" w:color="auto" w:sz="4" w:space="0"/>
              <w:left w:val="single" w:color="auto" w:sz="4" w:space="0"/>
              <w:bottom w:val="single" w:color="auto" w:sz="4" w:space="0"/>
              <w:right w:val="single" w:color="auto" w:sz="4" w:space="0"/>
            </w:tcBorders>
            <w:noWrap w:val="0"/>
            <w:vAlign w:val="center"/>
          </w:tcPr>
          <w:p w14:paraId="4F8F17E7">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0.771</w:t>
            </w:r>
          </w:p>
        </w:tc>
        <w:tc>
          <w:tcPr>
            <w:tcW w:w="2225" w:type="dxa"/>
            <w:tcBorders>
              <w:top w:val="single" w:color="auto" w:sz="4" w:space="0"/>
              <w:left w:val="single" w:color="auto" w:sz="4" w:space="0"/>
              <w:bottom w:val="single" w:color="auto" w:sz="4" w:space="0"/>
              <w:right w:val="single" w:color="auto" w:sz="4" w:space="0"/>
            </w:tcBorders>
            <w:noWrap w:val="0"/>
            <w:vAlign w:val="center"/>
          </w:tcPr>
          <w:p w14:paraId="69E2DE26">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0.09</w:t>
            </w:r>
          </w:p>
        </w:tc>
      </w:tr>
      <w:tr w14:paraId="63D043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4213" w:type="dxa"/>
            <w:tcBorders>
              <w:top w:val="single" w:color="auto" w:sz="4" w:space="0"/>
              <w:left w:val="single" w:color="auto" w:sz="4" w:space="0"/>
              <w:bottom w:val="single" w:color="auto" w:sz="4" w:space="0"/>
              <w:right w:val="single" w:color="auto" w:sz="4" w:space="0"/>
            </w:tcBorders>
            <w:noWrap w:val="0"/>
            <w:vAlign w:val="center"/>
          </w:tcPr>
          <w:p w14:paraId="3A4E4FC3">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1000</w:t>
            </w:r>
          </w:p>
        </w:tc>
        <w:tc>
          <w:tcPr>
            <w:tcW w:w="2281" w:type="dxa"/>
            <w:tcBorders>
              <w:top w:val="single" w:color="auto" w:sz="4" w:space="0"/>
              <w:left w:val="single" w:color="auto" w:sz="4" w:space="0"/>
              <w:bottom w:val="single" w:color="auto" w:sz="4" w:space="0"/>
              <w:right w:val="single" w:color="auto" w:sz="4" w:space="0"/>
            </w:tcBorders>
            <w:noWrap w:val="0"/>
            <w:vAlign w:val="center"/>
          </w:tcPr>
          <w:p w14:paraId="07F707C7">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0.511</w:t>
            </w:r>
          </w:p>
        </w:tc>
        <w:tc>
          <w:tcPr>
            <w:tcW w:w="2225" w:type="dxa"/>
            <w:tcBorders>
              <w:top w:val="single" w:color="auto" w:sz="4" w:space="0"/>
              <w:left w:val="single" w:color="auto" w:sz="4" w:space="0"/>
              <w:bottom w:val="single" w:color="auto" w:sz="4" w:space="0"/>
              <w:right w:val="single" w:color="auto" w:sz="4" w:space="0"/>
            </w:tcBorders>
            <w:noWrap w:val="0"/>
            <w:vAlign w:val="center"/>
          </w:tcPr>
          <w:p w14:paraId="27D0191C">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0.06</w:t>
            </w:r>
          </w:p>
        </w:tc>
      </w:tr>
      <w:tr w14:paraId="7B63C2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4213" w:type="dxa"/>
            <w:tcBorders>
              <w:top w:val="single" w:color="auto" w:sz="4" w:space="0"/>
              <w:left w:val="single" w:color="auto" w:sz="4" w:space="0"/>
              <w:bottom w:val="single" w:color="auto" w:sz="4" w:space="0"/>
              <w:right w:val="single" w:color="auto" w:sz="4" w:space="0"/>
            </w:tcBorders>
            <w:noWrap w:val="0"/>
            <w:vAlign w:val="center"/>
          </w:tcPr>
          <w:p w14:paraId="638FDA98">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1300</w:t>
            </w:r>
          </w:p>
        </w:tc>
        <w:tc>
          <w:tcPr>
            <w:tcW w:w="2281" w:type="dxa"/>
            <w:tcBorders>
              <w:top w:val="single" w:color="auto" w:sz="4" w:space="0"/>
              <w:left w:val="single" w:color="auto" w:sz="4" w:space="0"/>
              <w:bottom w:val="single" w:color="auto" w:sz="4" w:space="0"/>
              <w:right w:val="single" w:color="auto" w:sz="4" w:space="0"/>
            </w:tcBorders>
            <w:noWrap w:val="0"/>
            <w:vAlign w:val="center"/>
          </w:tcPr>
          <w:p w14:paraId="4A9429AD">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0.382</w:t>
            </w:r>
          </w:p>
        </w:tc>
        <w:tc>
          <w:tcPr>
            <w:tcW w:w="2225" w:type="dxa"/>
            <w:tcBorders>
              <w:top w:val="single" w:color="auto" w:sz="4" w:space="0"/>
              <w:left w:val="single" w:color="auto" w:sz="4" w:space="0"/>
              <w:bottom w:val="single" w:color="auto" w:sz="4" w:space="0"/>
              <w:right w:val="single" w:color="auto" w:sz="4" w:space="0"/>
            </w:tcBorders>
            <w:noWrap w:val="0"/>
            <w:vAlign w:val="center"/>
          </w:tcPr>
          <w:p w14:paraId="1EA78C40">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0.04</w:t>
            </w:r>
          </w:p>
        </w:tc>
      </w:tr>
      <w:tr w14:paraId="5543A2E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4213" w:type="dxa"/>
            <w:tcBorders>
              <w:top w:val="single" w:color="auto" w:sz="4" w:space="0"/>
              <w:left w:val="single" w:color="auto" w:sz="4" w:space="0"/>
              <w:bottom w:val="single" w:color="auto" w:sz="4" w:space="0"/>
              <w:right w:val="single" w:color="auto" w:sz="4" w:space="0"/>
            </w:tcBorders>
            <w:noWrap w:val="0"/>
            <w:vAlign w:val="center"/>
          </w:tcPr>
          <w:p w14:paraId="5ADA9A12">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1500</w:t>
            </w:r>
          </w:p>
        </w:tc>
        <w:tc>
          <w:tcPr>
            <w:tcW w:w="2281" w:type="dxa"/>
            <w:tcBorders>
              <w:top w:val="single" w:color="auto" w:sz="4" w:space="0"/>
              <w:left w:val="single" w:color="auto" w:sz="4" w:space="0"/>
              <w:bottom w:val="single" w:color="auto" w:sz="4" w:space="0"/>
              <w:right w:val="single" w:color="auto" w:sz="4" w:space="0"/>
            </w:tcBorders>
            <w:noWrap w:val="0"/>
            <w:vAlign w:val="center"/>
          </w:tcPr>
          <w:p w14:paraId="65AE65C1">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0.333</w:t>
            </w:r>
          </w:p>
        </w:tc>
        <w:tc>
          <w:tcPr>
            <w:tcW w:w="2225" w:type="dxa"/>
            <w:tcBorders>
              <w:top w:val="single" w:color="auto" w:sz="4" w:space="0"/>
              <w:left w:val="single" w:color="auto" w:sz="4" w:space="0"/>
              <w:bottom w:val="single" w:color="auto" w:sz="4" w:space="0"/>
              <w:right w:val="single" w:color="auto" w:sz="4" w:space="0"/>
            </w:tcBorders>
            <w:noWrap w:val="0"/>
            <w:vAlign w:val="center"/>
          </w:tcPr>
          <w:p w14:paraId="261C82F0">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0.04</w:t>
            </w:r>
          </w:p>
        </w:tc>
      </w:tr>
      <w:tr w14:paraId="58FE1A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4213" w:type="dxa"/>
            <w:tcBorders>
              <w:top w:val="single" w:color="auto" w:sz="4" w:space="0"/>
              <w:left w:val="single" w:color="auto" w:sz="4" w:space="0"/>
              <w:bottom w:val="single" w:color="auto" w:sz="4" w:space="0"/>
              <w:right w:val="single" w:color="auto" w:sz="4" w:space="0"/>
            </w:tcBorders>
            <w:noWrap w:val="0"/>
            <w:vAlign w:val="center"/>
          </w:tcPr>
          <w:p w14:paraId="3653FE2B">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1700</w:t>
            </w:r>
          </w:p>
        </w:tc>
        <w:tc>
          <w:tcPr>
            <w:tcW w:w="2281" w:type="dxa"/>
            <w:tcBorders>
              <w:top w:val="single" w:color="auto" w:sz="4" w:space="0"/>
              <w:left w:val="single" w:color="auto" w:sz="4" w:space="0"/>
              <w:bottom w:val="single" w:color="auto" w:sz="4" w:space="0"/>
              <w:right w:val="single" w:color="auto" w:sz="4" w:space="0"/>
            </w:tcBorders>
            <w:noWrap w:val="0"/>
            <w:vAlign w:val="center"/>
          </w:tcPr>
          <w:p w14:paraId="763F3BF3">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0.294</w:t>
            </w:r>
          </w:p>
        </w:tc>
        <w:tc>
          <w:tcPr>
            <w:tcW w:w="2225" w:type="dxa"/>
            <w:tcBorders>
              <w:top w:val="single" w:color="auto" w:sz="4" w:space="0"/>
              <w:left w:val="single" w:color="auto" w:sz="4" w:space="0"/>
              <w:bottom w:val="single" w:color="auto" w:sz="4" w:space="0"/>
              <w:right w:val="single" w:color="auto" w:sz="4" w:space="0"/>
            </w:tcBorders>
            <w:noWrap w:val="0"/>
            <w:vAlign w:val="center"/>
          </w:tcPr>
          <w:p w14:paraId="769E1CE5">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0.03</w:t>
            </w:r>
          </w:p>
        </w:tc>
      </w:tr>
      <w:tr w14:paraId="7CD7AC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4213" w:type="dxa"/>
            <w:tcBorders>
              <w:top w:val="single" w:color="auto" w:sz="4" w:space="0"/>
              <w:left w:val="single" w:color="auto" w:sz="4" w:space="0"/>
              <w:bottom w:val="single" w:color="auto" w:sz="4" w:space="0"/>
              <w:right w:val="single" w:color="auto" w:sz="4" w:space="0"/>
            </w:tcBorders>
            <w:noWrap w:val="0"/>
            <w:vAlign w:val="center"/>
          </w:tcPr>
          <w:p w14:paraId="6F4E9D1C">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1900</w:t>
            </w:r>
          </w:p>
        </w:tc>
        <w:tc>
          <w:tcPr>
            <w:tcW w:w="2281" w:type="dxa"/>
            <w:tcBorders>
              <w:top w:val="single" w:color="auto" w:sz="4" w:space="0"/>
              <w:left w:val="single" w:color="auto" w:sz="4" w:space="0"/>
              <w:bottom w:val="single" w:color="auto" w:sz="4" w:space="0"/>
              <w:right w:val="single" w:color="auto" w:sz="4" w:space="0"/>
            </w:tcBorders>
            <w:noWrap w:val="0"/>
            <w:vAlign w:val="center"/>
          </w:tcPr>
          <w:p w14:paraId="57CEFEF3">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0.251</w:t>
            </w:r>
          </w:p>
        </w:tc>
        <w:tc>
          <w:tcPr>
            <w:tcW w:w="2225" w:type="dxa"/>
            <w:tcBorders>
              <w:top w:val="single" w:color="auto" w:sz="4" w:space="0"/>
              <w:left w:val="single" w:color="auto" w:sz="4" w:space="0"/>
              <w:bottom w:val="single" w:color="auto" w:sz="4" w:space="0"/>
              <w:right w:val="single" w:color="auto" w:sz="4" w:space="0"/>
            </w:tcBorders>
            <w:noWrap w:val="0"/>
            <w:vAlign w:val="center"/>
          </w:tcPr>
          <w:p w14:paraId="25CC7C58">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0.03</w:t>
            </w:r>
          </w:p>
        </w:tc>
      </w:tr>
      <w:tr w14:paraId="63BF47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4213" w:type="dxa"/>
            <w:tcBorders>
              <w:top w:val="single" w:color="auto" w:sz="4" w:space="0"/>
              <w:left w:val="single" w:color="auto" w:sz="4" w:space="0"/>
              <w:bottom w:val="single" w:color="auto" w:sz="4" w:space="0"/>
              <w:right w:val="single" w:color="auto" w:sz="4" w:space="0"/>
            </w:tcBorders>
            <w:noWrap w:val="0"/>
            <w:vAlign w:val="center"/>
          </w:tcPr>
          <w:p w14:paraId="0A407908">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2000</w:t>
            </w:r>
          </w:p>
        </w:tc>
        <w:tc>
          <w:tcPr>
            <w:tcW w:w="2281" w:type="dxa"/>
            <w:tcBorders>
              <w:top w:val="single" w:color="auto" w:sz="4" w:space="0"/>
              <w:left w:val="single" w:color="auto" w:sz="4" w:space="0"/>
              <w:bottom w:val="single" w:color="auto" w:sz="4" w:space="0"/>
              <w:right w:val="single" w:color="auto" w:sz="4" w:space="0"/>
            </w:tcBorders>
            <w:noWrap w:val="0"/>
            <w:vAlign w:val="center"/>
          </w:tcPr>
          <w:p w14:paraId="7CF1A8E1">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0.249</w:t>
            </w:r>
          </w:p>
        </w:tc>
        <w:tc>
          <w:tcPr>
            <w:tcW w:w="2225" w:type="dxa"/>
            <w:tcBorders>
              <w:top w:val="single" w:color="auto" w:sz="4" w:space="0"/>
              <w:left w:val="single" w:color="auto" w:sz="4" w:space="0"/>
              <w:bottom w:val="single" w:color="auto" w:sz="4" w:space="0"/>
              <w:right w:val="single" w:color="auto" w:sz="4" w:space="0"/>
            </w:tcBorders>
            <w:noWrap w:val="0"/>
            <w:vAlign w:val="center"/>
          </w:tcPr>
          <w:p w14:paraId="400B5128">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0.03</w:t>
            </w:r>
          </w:p>
        </w:tc>
      </w:tr>
      <w:tr w14:paraId="69F185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4213" w:type="dxa"/>
            <w:tcBorders>
              <w:top w:val="single" w:color="auto" w:sz="4" w:space="0"/>
              <w:left w:val="single" w:color="auto" w:sz="4" w:space="0"/>
              <w:bottom w:val="single" w:color="auto" w:sz="4" w:space="0"/>
              <w:right w:val="single" w:color="auto" w:sz="4" w:space="0"/>
            </w:tcBorders>
            <w:noWrap w:val="0"/>
            <w:vAlign w:val="center"/>
          </w:tcPr>
          <w:p w14:paraId="176B33BC">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2300</w:t>
            </w:r>
          </w:p>
        </w:tc>
        <w:tc>
          <w:tcPr>
            <w:tcW w:w="2281" w:type="dxa"/>
            <w:tcBorders>
              <w:top w:val="single" w:color="auto" w:sz="4" w:space="0"/>
              <w:left w:val="single" w:color="auto" w:sz="4" w:space="0"/>
              <w:bottom w:val="single" w:color="auto" w:sz="4" w:space="0"/>
              <w:right w:val="single" w:color="auto" w:sz="4" w:space="0"/>
            </w:tcBorders>
            <w:noWrap w:val="0"/>
            <w:vAlign w:val="center"/>
          </w:tcPr>
          <w:p w14:paraId="1C7E9E82">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0.203</w:t>
            </w:r>
          </w:p>
        </w:tc>
        <w:tc>
          <w:tcPr>
            <w:tcW w:w="2225" w:type="dxa"/>
            <w:tcBorders>
              <w:top w:val="single" w:color="auto" w:sz="4" w:space="0"/>
              <w:left w:val="single" w:color="auto" w:sz="4" w:space="0"/>
              <w:bottom w:val="single" w:color="auto" w:sz="4" w:space="0"/>
              <w:right w:val="single" w:color="auto" w:sz="4" w:space="0"/>
            </w:tcBorders>
            <w:noWrap w:val="0"/>
            <w:vAlign w:val="center"/>
          </w:tcPr>
          <w:p w14:paraId="51665CAB">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0.02</w:t>
            </w:r>
          </w:p>
        </w:tc>
      </w:tr>
      <w:tr w14:paraId="120B1F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4213" w:type="dxa"/>
            <w:tcBorders>
              <w:top w:val="single" w:color="auto" w:sz="4" w:space="0"/>
              <w:left w:val="single" w:color="auto" w:sz="4" w:space="0"/>
              <w:bottom w:val="single" w:color="auto" w:sz="4" w:space="0"/>
              <w:right w:val="single" w:color="auto" w:sz="4" w:space="0"/>
            </w:tcBorders>
            <w:noWrap w:val="0"/>
            <w:vAlign w:val="center"/>
          </w:tcPr>
          <w:p w14:paraId="16CFA679">
            <w:pPr>
              <w:widowControl/>
              <w:jc w:val="center"/>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2500</w:t>
            </w:r>
          </w:p>
        </w:tc>
        <w:tc>
          <w:tcPr>
            <w:tcW w:w="2281" w:type="dxa"/>
            <w:tcBorders>
              <w:top w:val="single" w:color="auto" w:sz="4" w:space="0"/>
              <w:left w:val="single" w:color="auto" w:sz="4" w:space="0"/>
              <w:bottom w:val="single" w:color="auto" w:sz="4" w:space="0"/>
              <w:right w:val="single" w:color="auto" w:sz="4" w:space="0"/>
            </w:tcBorders>
            <w:noWrap w:val="0"/>
            <w:vAlign w:val="center"/>
          </w:tcPr>
          <w:p w14:paraId="0600DDA4">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0.174</w:t>
            </w:r>
          </w:p>
        </w:tc>
        <w:tc>
          <w:tcPr>
            <w:tcW w:w="2225" w:type="dxa"/>
            <w:tcBorders>
              <w:top w:val="single" w:color="auto" w:sz="4" w:space="0"/>
              <w:left w:val="single" w:color="auto" w:sz="4" w:space="0"/>
              <w:bottom w:val="single" w:color="auto" w:sz="4" w:space="0"/>
              <w:right w:val="single" w:color="auto" w:sz="4" w:space="0"/>
            </w:tcBorders>
            <w:noWrap w:val="0"/>
            <w:vAlign w:val="center"/>
          </w:tcPr>
          <w:p w14:paraId="57252CA7">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0.02</w:t>
            </w:r>
          </w:p>
        </w:tc>
      </w:tr>
      <w:tr w14:paraId="34EA8F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4213" w:type="dxa"/>
            <w:tcBorders>
              <w:top w:val="single" w:color="auto" w:sz="4" w:space="0"/>
              <w:left w:val="single" w:color="auto" w:sz="4" w:space="0"/>
              <w:bottom w:val="single" w:color="auto" w:sz="4" w:space="0"/>
              <w:right w:val="single" w:color="auto" w:sz="4" w:space="0"/>
            </w:tcBorders>
            <w:noWrap w:val="0"/>
            <w:vAlign w:val="center"/>
          </w:tcPr>
          <w:p w14:paraId="5C8FEBE4">
            <w:pPr>
              <w:adjustRightInd w:val="0"/>
              <w:snapToGrid w:val="0"/>
              <w:spacing w:before="10"/>
              <w:jc w:val="cente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t>下风向最大质量浓度及占标率（%）</w:t>
            </w:r>
          </w:p>
        </w:tc>
        <w:tc>
          <w:tcPr>
            <w:tcW w:w="2281" w:type="dxa"/>
            <w:tcBorders>
              <w:top w:val="single" w:color="auto" w:sz="4" w:space="0"/>
              <w:left w:val="single" w:color="auto" w:sz="4" w:space="0"/>
              <w:bottom w:val="single" w:color="auto" w:sz="4" w:space="0"/>
              <w:right w:val="single" w:color="auto" w:sz="4" w:space="0"/>
            </w:tcBorders>
            <w:noWrap w:val="0"/>
            <w:vAlign w:val="center"/>
          </w:tcPr>
          <w:p w14:paraId="67C06518">
            <w:pPr>
              <w:widowControl/>
              <w:jc w:val="center"/>
              <w:rPr>
                <w:rFonts w:hint="default" w:ascii="Times New Roman" w:eastAsia="宋体"/>
                <w:b/>
                <w:color w:val="000000" w:themeColor="text1"/>
                <w:kern w:val="0"/>
                <w:sz w:val="21"/>
                <w:szCs w:val="21"/>
                <w:lang w:val="en-US" w:eastAsia="zh-CN"/>
                <w14:textFill>
                  <w14:solidFill>
                    <w14:schemeClr w14:val="tx1"/>
                  </w14:solidFill>
                </w14:textFill>
              </w:rPr>
            </w:pPr>
            <w:r>
              <w:rPr>
                <w:rFonts w:hint="eastAsia"/>
                <w:b/>
                <w:color w:val="000000" w:themeColor="text1"/>
                <w:kern w:val="0"/>
                <w:sz w:val="21"/>
                <w:szCs w:val="21"/>
                <w:lang w:val="en-US" w:eastAsia="zh-CN"/>
                <w14:textFill>
                  <w14:solidFill>
                    <w14:schemeClr w14:val="tx1"/>
                  </w14:solidFill>
                </w14:textFill>
              </w:rPr>
              <w:t>9.337</w:t>
            </w:r>
          </w:p>
        </w:tc>
        <w:tc>
          <w:tcPr>
            <w:tcW w:w="2225" w:type="dxa"/>
            <w:tcBorders>
              <w:top w:val="single" w:color="auto" w:sz="4" w:space="0"/>
              <w:left w:val="single" w:color="auto" w:sz="4" w:space="0"/>
              <w:bottom w:val="single" w:color="auto" w:sz="4" w:space="0"/>
              <w:right w:val="single" w:color="auto" w:sz="4" w:space="0"/>
            </w:tcBorders>
            <w:noWrap w:val="0"/>
            <w:vAlign w:val="center"/>
          </w:tcPr>
          <w:p w14:paraId="71874861">
            <w:pPr>
              <w:widowControl/>
              <w:jc w:val="center"/>
              <w:rPr>
                <w:rFonts w:hint="default" w:ascii="Times New Roman" w:eastAsia="宋体"/>
                <w:b/>
                <w:color w:val="000000" w:themeColor="text1"/>
                <w:kern w:val="0"/>
                <w:sz w:val="21"/>
                <w:szCs w:val="21"/>
                <w:lang w:val="en-US" w:eastAsia="zh-CN"/>
                <w14:textFill>
                  <w14:solidFill>
                    <w14:schemeClr w14:val="tx1"/>
                  </w14:solidFill>
                </w14:textFill>
              </w:rPr>
            </w:pPr>
            <w:r>
              <w:rPr>
                <w:rFonts w:hint="eastAsia"/>
                <w:b/>
                <w:color w:val="000000" w:themeColor="text1"/>
                <w:kern w:val="0"/>
                <w:sz w:val="21"/>
                <w:szCs w:val="21"/>
                <w:lang w:val="en-US" w:eastAsia="zh-CN"/>
                <w14:textFill>
                  <w14:solidFill>
                    <w14:schemeClr w14:val="tx1"/>
                  </w14:solidFill>
                </w14:textFill>
              </w:rPr>
              <w:t>1.04</w:t>
            </w:r>
          </w:p>
        </w:tc>
      </w:tr>
    </w:tbl>
    <w:p w14:paraId="3CE341C4">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根据估算结果，DA001排气筒</w:t>
      </w:r>
      <w:r>
        <w:rPr>
          <w:rFonts w:hint="eastAsia"/>
          <w:color w:val="000000" w:themeColor="text1"/>
          <w:lang w:val="en-US" w:eastAsia="zh-CN"/>
          <w14:textFill>
            <w14:solidFill>
              <w14:schemeClr w14:val="tx1"/>
            </w14:solidFill>
          </w14:textFill>
        </w:rPr>
        <w:t>TVOC</w:t>
      </w:r>
      <w:r>
        <w:rPr>
          <w:rFonts w:hint="default"/>
          <w:color w:val="000000" w:themeColor="text1"/>
          <w:lang w:val="en-US" w:eastAsia="zh-CN"/>
          <w14:textFill>
            <w14:solidFill>
              <w14:schemeClr w14:val="tx1"/>
            </w14:solidFill>
          </w14:textFill>
        </w:rPr>
        <w:t>最大落地浓度为</w:t>
      </w:r>
      <w:r>
        <w:rPr>
          <w:rFonts w:hint="eastAsia"/>
          <w:color w:val="000000" w:themeColor="text1"/>
          <w:lang w:val="en-US" w:eastAsia="zh-CN"/>
          <w14:textFill>
            <w14:solidFill>
              <w14:schemeClr w14:val="tx1"/>
            </w14:solidFill>
          </w14:textFill>
        </w:rPr>
        <w:t>83.958</w:t>
      </w:r>
      <w:r>
        <w:rPr>
          <w:rFonts w:hint="default"/>
          <w:color w:val="000000" w:themeColor="text1"/>
          <w:lang w:val="en-US" w:eastAsia="zh-CN"/>
          <w14:textFill>
            <w14:solidFill>
              <w14:schemeClr w14:val="tx1"/>
            </w14:solidFill>
          </w14:textFill>
        </w:rPr>
        <w:t>ug/m</w:t>
      </w:r>
      <w:r>
        <w:rPr>
          <w:rFonts w:hint="default"/>
          <w:color w:val="000000" w:themeColor="text1"/>
          <w:vertAlign w:val="superscript"/>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，占标率为7.0</w:t>
      </w:r>
      <w:r>
        <w:rPr>
          <w:rFonts w:hint="eastAsia"/>
          <w:color w:val="000000" w:themeColor="text1"/>
          <w:lang w:val="en-US" w:eastAsia="zh-CN"/>
          <w14:textFill>
            <w14:solidFill>
              <w14:schemeClr w14:val="tx1"/>
            </w14:solidFill>
          </w14:textFill>
        </w:rPr>
        <w:t>0</w:t>
      </w: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。甲醛最大</w:t>
      </w:r>
      <w:r>
        <w:rPr>
          <w:rFonts w:hint="default"/>
          <w:color w:val="000000" w:themeColor="text1"/>
          <w:lang w:val="en-US" w:eastAsia="zh-CN"/>
          <w14:textFill>
            <w14:solidFill>
              <w14:schemeClr w14:val="tx1"/>
            </w14:solidFill>
          </w14:textFill>
        </w:rPr>
        <w:t>落地浓度为</w:t>
      </w:r>
      <w:r>
        <w:rPr>
          <w:rFonts w:hint="eastAsia" w:ascii="Times New Roman" w:eastAsia="宋体"/>
          <w:color w:val="000000" w:themeColor="text1"/>
          <w:lang w:val="en-US" w:eastAsia="zh-CN"/>
          <w14:textFill>
            <w14:solidFill>
              <w14:schemeClr w14:val="tx1"/>
            </w14:solidFill>
          </w14:textFill>
        </w:rPr>
        <w:t>0.372</w:t>
      </w:r>
      <w:r>
        <w:rPr>
          <w:rFonts w:hint="default"/>
          <w:color w:val="000000" w:themeColor="text1"/>
          <w:lang w:val="en-US" w:eastAsia="zh-CN"/>
          <w14:textFill>
            <w14:solidFill>
              <w14:schemeClr w14:val="tx1"/>
            </w14:solidFill>
          </w14:textFill>
        </w:rPr>
        <w:t>ug/m</w:t>
      </w:r>
      <w:r>
        <w:rPr>
          <w:rFonts w:hint="default"/>
          <w:color w:val="000000" w:themeColor="text1"/>
          <w:vertAlign w:val="superscript"/>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，占标率为</w:t>
      </w:r>
      <w:r>
        <w:rPr>
          <w:rFonts w:hint="eastAsia"/>
          <w:color w:val="000000" w:themeColor="text1"/>
          <w:lang w:val="en-US" w:eastAsia="zh-CN"/>
          <w14:textFill>
            <w14:solidFill>
              <w14:schemeClr w14:val="tx1"/>
            </w14:solidFill>
          </w14:textFill>
        </w:rPr>
        <w:t>0.75</w:t>
      </w:r>
      <w:r>
        <w:rPr>
          <w:rFonts w:hint="default"/>
          <w:color w:val="000000" w:themeColor="text1"/>
          <w:lang w:val="en-US" w:eastAsia="zh-CN"/>
          <w14:textFill>
            <w14:solidFill>
              <w14:schemeClr w14:val="tx1"/>
            </w14:solidFill>
          </w14:textFill>
        </w:rPr>
        <w:t>%；DA002排气筒</w:t>
      </w:r>
      <w:r>
        <w:rPr>
          <w:rFonts w:hint="eastAsia"/>
          <w:color w:val="000000" w:themeColor="text1"/>
          <w:lang w:val="en-US" w:eastAsia="zh-CN"/>
          <w14:textFill>
            <w14:solidFill>
              <w14:schemeClr w14:val="tx1"/>
            </w14:solidFill>
          </w14:textFill>
        </w:rPr>
        <w:t>PM</w:t>
      </w:r>
      <w:r>
        <w:rPr>
          <w:rFonts w:hint="eastAsia"/>
          <w:color w:val="000000" w:themeColor="text1"/>
          <w:vertAlign w:val="subscript"/>
          <w:lang w:val="en-US" w:eastAsia="zh-CN"/>
          <w14:textFill>
            <w14:solidFill>
              <w14:schemeClr w14:val="tx1"/>
            </w14:solidFill>
          </w14:textFill>
        </w:rPr>
        <w:t>10</w:t>
      </w:r>
      <w:r>
        <w:rPr>
          <w:rFonts w:hint="default"/>
          <w:color w:val="000000" w:themeColor="text1"/>
          <w:lang w:val="en-US" w:eastAsia="zh-CN"/>
          <w14:textFill>
            <w14:solidFill>
              <w14:schemeClr w14:val="tx1"/>
            </w14:solidFill>
          </w14:textFill>
        </w:rPr>
        <w:t>最大落地浓度为</w:t>
      </w:r>
      <w:r>
        <w:rPr>
          <w:rFonts w:hint="eastAsia"/>
          <w:color w:val="000000" w:themeColor="text1"/>
          <w:lang w:val="en-US" w:eastAsia="zh-CN"/>
          <w14:textFill>
            <w14:solidFill>
              <w14:schemeClr w14:val="tx1"/>
            </w14:solidFill>
          </w14:textFill>
        </w:rPr>
        <w:t>9.337</w:t>
      </w:r>
      <w:r>
        <w:rPr>
          <w:rFonts w:hint="default"/>
          <w:color w:val="000000" w:themeColor="text1"/>
          <w:lang w:val="en-US" w:eastAsia="zh-CN"/>
          <w14:textFill>
            <w14:solidFill>
              <w14:schemeClr w14:val="tx1"/>
            </w14:solidFill>
          </w14:textFill>
        </w:rPr>
        <w:t>ug/m</w:t>
      </w:r>
      <w:r>
        <w:rPr>
          <w:rFonts w:hint="default"/>
          <w:color w:val="000000" w:themeColor="text1"/>
          <w:vertAlign w:val="superscript"/>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，占标率为</w:t>
      </w:r>
      <w:r>
        <w:rPr>
          <w:rFonts w:hint="eastAsia"/>
          <w:color w:val="000000" w:themeColor="text1"/>
          <w:lang w:val="en-US" w:eastAsia="zh-CN"/>
          <w14:textFill>
            <w14:solidFill>
              <w14:schemeClr w14:val="tx1"/>
            </w14:solidFill>
          </w14:textFill>
        </w:rPr>
        <w:t>2.07</w:t>
      </w:r>
      <w:r>
        <w:rPr>
          <w:rFonts w:hint="default"/>
          <w:color w:val="000000" w:themeColor="text1"/>
          <w:lang w:val="en-US" w:eastAsia="zh-CN"/>
          <w14:textFill>
            <w14:solidFill>
              <w14:schemeClr w14:val="tx1"/>
            </w14:solidFill>
          </w14:textFill>
        </w:rPr>
        <w:t>%，对应的距离为</w:t>
      </w:r>
      <w:r>
        <w:rPr>
          <w:rFonts w:hint="eastAsia"/>
          <w:color w:val="000000" w:themeColor="text1"/>
          <w:lang w:val="en-US" w:eastAsia="zh-CN"/>
          <w14:textFill>
            <w14:solidFill>
              <w14:schemeClr w14:val="tx1"/>
            </w14:solidFill>
          </w14:textFill>
        </w:rPr>
        <w:t>98</w:t>
      </w:r>
      <w:r>
        <w:rPr>
          <w:rFonts w:hint="default"/>
          <w:color w:val="000000" w:themeColor="text1"/>
          <w:lang w:val="en-US" w:eastAsia="zh-CN"/>
          <w14:textFill>
            <w14:solidFill>
              <w14:schemeClr w14:val="tx1"/>
            </w14:solidFill>
          </w14:textFill>
        </w:rPr>
        <w:t>m。</w:t>
      </w:r>
    </w:p>
    <w:p w14:paraId="5DDC1850">
      <w:pPr>
        <w:adjustRightInd w:val="0"/>
        <w:snapToGrid w:val="0"/>
        <w:spacing w:after="0" w:line="360" w:lineRule="auto"/>
        <w:ind w:firstLine="480" w:firstLineChars="200"/>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t>②无组织排放废气预测结果</w:t>
      </w:r>
    </w:p>
    <w:p w14:paraId="6BEB9D41">
      <w:pPr>
        <w:adjustRightInd w:val="0"/>
        <w:snapToGrid w:val="0"/>
        <w:spacing w:after="0" w:line="360" w:lineRule="auto"/>
        <w:ind w:firstLine="480" w:firstLineChars="200"/>
        <w:jc w:val="both"/>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t>拟建项目正常排放情况下无组织排放废气污染物估算模式浓度预测结果见表5.2-</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8</w:t>
      </w: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t>。</w:t>
      </w:r>
    </w:p>
    <w:p w14:paraId="2DE85B4E">
      <w:pPr>
        <w:widowControl/>
        <w:adjustRightInd w:val="0"/>
        <w:snapToGrid w:val="0"/>
        <w:jc w:val="center"/>
        <w:rPr>
          <w:rFonts w:ascii="Times New Roman"/>
          <w:b/>
          <w:bCs/>
          <w:color w:val="000000" w:themeColor="text1"/>
          <w:kern w:val="0"/>
          <w:sz w:val="21"/>
          <w:szCs w:val="20"/>
          <w14:textFill>
            <w14:solidFill>
              <w14:schemeClr w14:val="tx1"/>
            </w14:solidFill>
          </w14:textFill>
        </w:rPr>
      </w:pPr>
      <w:r>
        <w:rPr>
          <w:rFonts w:ascii="Times New Roman"/>
          <w:b/>
          <w:bCs/>
          <w:color w:val="000000" w:themeColor="text1"/>
          <w:kern w:val="0"/>
          <w:sz w:val="21"/>
          <w:szCs w:val="20"/>
          <w14:textFill>
            <w14:solidFill>
              <w14:schemeClr w14:val="tx1"/>
            </w14:solidFill>
          </w14:textFill>
        </w:rPr>
        <w:t>表</w:t>
      </w:r>
      <w:r>
        <w:rPr>
          <w:rFonts w:hint="eastAsia"/>
          <w:b/>
          <w:bCs/>
          <w:color w:val="000000" w:themeColor="text1"/>
          <w:kern w:val="0"/>
          <w:sz w:val="21"/>
          <w:szCs w:val="20"/>
          <w:lang w:val="en-US" w:eastAsia="zh-CN"/>
          <w14:textFill>
            <w14:solidFill>
              <w14:schemeClr w14:val="tx1"/>
            </w14:solidFill>
          </w14:textFill>
        </w:rPr>
        <w:t>4</w:t>
      </w:r>
      <w:r>
        <w:rPr>
          <w:rFonts w:ascii="Times New Roman"/>
          <w:b/>
          <w:bCs/>
          <w:color w:val="000000" w:themeColor="text1"/>
          <w:kern w:val="0"/>
          <w:sz w:val="21"/>
          <w:szCs w:val="20"/>
          <w14:textFill>
            <w14:solidFill>
              <w14:schemeClr w14:val="tx1"/>
            </w14:solidFill>
          </w14:textFill>
        </w:rPr>
        <w:t>.2-</w:t>
      </w:r>
      <w:r>
        <w:rPr>
          <w:rFonts w:hint="eastAsia" w:ascii="Times New Roman"/>
          <w:b/>
          <w:bCs/>
          <w:color w:val="000000" w:themeColor="text1"/>
          <w:kern w:val="0"/>
          <w:sz w:val="21"/>
          <w:szCs w:val="20"/>
          <w:lang w:val="en-US" w:eastAsia="zh-CN"/>
          <w14:textFill>
            <w14:solidFill>
              <w14:schemeClr w14:val="tx1"/>
            </w14:solidFill>
          </w14:textFill>
        </w:rPr>
        <w:t>7</w:t>
      </w:r>
      <w:r>
        <w:rPr>
          <w:rFonts w:ascii="Times New Roman"/>
          <w:b/>
          <w:bCs/>
          <w:color w:val="000000" w:themeColor="text1"/>
          <w:kern w:val="0"/>
          <w:sz w:val="21"/>
          <w:szCs w:val="20"/>
          <w14:textFill>
            <w14:solidFill>
              <w14:schemeClr w14:val="tx1"/>
            </w14:solidFill>
          </w14:textFill>
        </w:rPr>
        <w:t xml:space="preserve">  无组织废气估算模式预测污染物浓度扩散结果</w:t>
      </w:r>
    </w:p>
    <w:tbl>
      <w:tblPr>
        <w:tblStyle w:val="31"/>
        <w:tblW w:w="87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751"/>
        <w:gridCol w:w="1593"/>
        <w:gridCol w:w="796"/>
        <w:gridCol w:w="1373"/>
        <w:gridCol w:w="819"/>
        <w:gridCol w:w="1627"/>
        <w:gridCol w:w="771"/>
      </w:tblGrid>
      <w:tr w14:paraId="004BE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Header/>
          <w:jc w:val="center"/>
        </w:trPr>
        <w:tc>
          <w:tcPr>
            <w:tcW w:w="1751" w:type="dxa"/>
            <w:vMerge w:val="restart"/>
            <w:tcBorders>
              <w:top w:val="single" w:color="auto" w:sz="4" w:space="0"/>
            </w:tcBorders>
            <w:noWrap w:val="0"/>
            <w:vAlign w:val="center"/>
          </w:tcPr>
          <w:p w14:paraId="1EF196F1">
            <w:pPr>
              <w:keepNext w:val="0"/>
              <w:keepLines w:val="0"/>
              <w:pageBreakBefore w:val="0"/>
              <w:widowControl/>
              <w:kinsoku/>
              <w:wordWrap/>
              <w:overflowPunct/>
              <w:topLinePunct w:val="0"/>
              <w:autoSpaceDE/>
              <w:autoSpaceDN/>
              <w:bidi w:val="0"/>
              <w:adjustRightInd w:val="0"/>
              <w:snapToGrid w:val="0"/>
              <w:spacing w:before="0"/>
              <w:jc w:val="center"/>
              <w:textAlignment w:val="auto"/>
              <w:rPr>
                <w:rFonts w:hint="default" w:ascii="Times New Roman" w:hAnsi="Times New Roman" w:eastAsia="宋体" w:cs="Times New Roman"/>
                <w:b/>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color w:val="000000" w:themeColor="text1"/>
                <w:kern w:val="0"/>
                <w:sz w:val="21"/>
                <w:szCs w:val="21"/>
                <w:lang w:val="en-US" w:eastAsia="zh-CN" w:bidi="ar-SA"/>
                <w14:textFill>
                  <w14:solidFill>
                    <w14:schemeClr w14:val="tx1"/>
                  </w14:solidFill>
                </w14:textFill>
              </w:rPr>
              <w:t>下风向</w:t>
            </w:r>
            <w:r>
              <w:rPr>
                <w:rFonts w:hint="default" w:ascii="Times New Roman" w:hAnsi="Times New Roman" w:eastAsia="宋体" w:cs="Times New Roman"/>
                <w:b/>
                <w:color w:val="000000" w:themeColor="text1"/>
                <w:kern w:val="0"/>
                <w:sz w:val="21"/>
                <w:szCs w:val="21"/>
                <w:lang w:val="en-US" w:eastAsia="en-US" w:bidi="ar-SA"/>
                <w14:textFill>
                  <w14:solidFill>
                    <w14:schemeClr w14:val="tx1"/>
                  </w14:solidFill>
                </w14:textFill>
              </w:rPr>
              <w:t>距离（</w:t>
            </w:r>
            <w:r>
              <w:rPr>
                <w:rFonts w:hint="default" w:ascii="Times New Roman" w:hAnsi="Times New Roman" w:eastAsia="Times New Roman" w:cs="Times New Roman"/>
                <w:b/>
                <w:color w:val="000000" w:themeColor="text1"/>
                <w:kern w:val="0"/>
                <w:sz w:val="21"/>
                <w:szCs w:val="21"/>
                <w:lang w:val="en-US" w:eastAsia="en-US" w:bidi="ar-SA"/>
                <w14:textFill>
                  <w14:solidFill>
                    <w14:schemeClr w14:val="tx1"/>
                  </w14:solidFill>
                </w14:textFill>
              </w:rPr>
              <w:t>m</w:t>
            </w:r>
            <w:r>
              <w:rPr>
                <w:rFonts w:hint="default" w:ascii="Times New Roman" w:hAnsi="Times New Roman" w:eastAsia="宋体" w:cs="Times New Roman"/>
                <w:b/>
                <w:color w:val="000000" w:themeColor="text1"/>
                <w:kern w:val="0"/>
                <w:sz w:val="21"/>
                <w:szCs w:val="21"/>
                <w:lang w:val="en-US" w:eastAsia="en-US" w:bidi="ar-SA"/>
                <w14:textFill>
                  <w14:solidFill>
                    <w14:schemeClr w14:val="tx1"/>
                  </w14:solidFill>
                </w14:textFill>
              </w:rPr>
              <w:t>）</w:t>
            </w:r>
          </w:p>
        </w:tc>
        <w:tc>
          <w:tcPr>
            <w:tcW w:w="2389" w:type="dxa"/>
            <w:gridSpan w:val="2"/>
            <w:tcBorders>
              <w:top w:val="single" w:color="auto" w:sz="4" w:space="0"/>
            </w:tcBorders>
            <w:noWrap w:val="0"/>
            <w:vAlign w:val="center"/>
          </w:tcPr>
          <w:p w14:paraId="0C706436">
            <w:pPr>
              <w:keepNext w:val="0"/>
              <w:keepLines w:val="0"/>
              <w:pageBreakBefore w:val="0"/>
              <w:widowControl/>
              <w:kinsoku/>
              <w:wordWrap/>
              <w:overflowPunct/>
              <w:topLinePunct w:val="0"/>
              <w:autoSpaceDE/>
              <w:autoSpaceDN/>
              <w:bidi w:val="0"/>
              <w:adjustRightInd w:val="0"/>
              <w:snapToGrid w:val="0"/>
              <w:spacing w:before="0"/>
              <w:jc w:val="center"/>
              <w:textAlignment w:val="auto"/>
              <w:rPr>
                <w:rFonts w:hint="default"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
                <w:color w:val="000000" w:themeColor="text1"/>
                <w:kern w:val="0"/>
                <w:sz w:val="21"/>
                <w:szCs w:val="21"/>
                <w:lang w:val="en-US" w:eastAsia="zh-CN" w:bidi="ar-SA"/>
                <w14:textFill>
                  <w14:solidFill>
                    <w14:schemeClr w14:val="tx1"/>
                  </w14:solidFill>
                </w14:textFill>
              </w:rPr>
              <w:t>TSP</w:t>
            </w:r>
          </w:p>
        </w:tc>
        <w:tc>
          <w:tcPr>
            <w:tcW w:w="2192" w:type="dxa"/>
            <w:gridSpan w:val="2"/>
            <w:noWrap w:val="0"/>
            <w:vAlign w:val="center"/>
          </w:tcPr>
          <w:p w14:paraId="1D91B546">
            <w:pPr>
              <w:keepNext w:val="0"/>
              <w:keepLines w:val="0"/>
              <w:pageBreakBefore w:val="0"/>
              <w:widowControl/>
              <w:kinsoku/>
              <w:wordWrap/>
              <w:overflowPunct/>
              <w:topLinePunct w:val="0"/>
              <w:autoSpaceDE/>
              <w:autoSpaceDN/>
              <w:bidi w:val="0"/>
              <w:adjustRightInd w:val="0"/>
              <w:snapToGrid w:val="0"/>
              <w:spacing w:before="0"/>
              <w:jc w:val="center"/>
              <w:textAlignment w:val="auto"/>
              <w:rPr>
                <w:rFonts w:hint="default"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
                <w:color w:val="000000" w:themeColor="text1"/>
                <w:kern w:val="0"/>
                <w:sz w:val="21"/>
                <w:szCs w:val="21"/>
                <w:lang w:val="en-US" w:eastAsia="zh-CN" w:bidi="ar-SA"/>
                <w14:textFill>
                  <w14:solidFill>
                    <w14:schemeClr w14:val="tx1"/>
                  </w14:solidFill>
                </w14:textFill>
              </w:rPr>
              <w:t>TVOC</w:t>
            </w:r>
          </w:p>
        </w:tc>
        <w:tc>
          <w:tcPr>
            <w:tcW w:w="2398" w:type="dxa"/>
            <w:gridSpan w:val="2"/>
            <w:noWrap w:val="0"/>
            <w:vAlign w:val="center"/>
          </w:tcPr>
          <w:p w14:paraId="2853B2DD">
            <w:pPr>
              <w:keepNext w:val="0"/>
              <w:keepLines w:val="0"/>
              <w:pageBreakBefore w:val="0"/>
              <w:widowControl/>
              <w:kinsoku/>
              <w:wordWrap/>
              <w:overflowPunct/>
              <w:topLinePunct w:val="0"/>
              <w:autoSpaceDE/>
              <w:autoSpaceDN/>
              <w:bidi w:val="0"/>
              <w:adjustRightInd w:val="0"/>
              <w:snapToGrid w:val="0"/>
              <w:spacing w:before="0"/>
              <w:jc w:val="center"/>
              <w:textAlignment w:val="auto"/>
              <w:rPr>
                <w:rFonts w:hint="default"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
                <w:color w:val="000000" w:themeColor="text1"/>
                <w:kern w:val="0"/>
                <w:sz w:val="21"/>
                <w:szCs w:val="21"/>
                <w:lang w:val="en-US" w:eastAsia="zh-CN" w:bidi="ar-SA"/>
                <w14:textFill>
                  <w14:solidFill>
                    <w14:schemeClr w14:val="tx1"/>
                  </w14:solidFill>
                </w14:textFill>
              </w:rPr>
              <w:t>甲醛</w:t>
            </w:r>
          </w:p>
        </w:tc>
      </w:tr>
      <w:tr w14:paraId="20D61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blHeader/>
          <w:jc w:val="center"/>
        </w:trPr>
        <w:tc>
          <w:tcPr>
            <w:tcW w:w="1751" w:type="dxa"/>
            <w:vMerge w:val="continue"/>
            <w:noWrap w:val="0"/>
            <w:vAlign w:val="center"/>
          </w:tcPr>
          <w:p w14:paraId="698A6AF2">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cs="Times New Roman"/>
                <w:b/>
                <w:color w:val="000000" w:themeColor="text1"/>
                <w:kern w:val="0"/>
                <w:sz w:val="21"/>
                <w:szCs w:val="21"/>
                <w14:textFill>
                  <w14:solidFill>
                    <w14:schemeClr w14:val="tx1"/>
                  </w14:solidFill>
                </w14:textFill>
              </w:rPr>
            </w:pPr>
          </w:p>
        </w:tc>
        <w:tc>
          <w:tcPr>
            <w:tcW w:w="1593" w:type="dxa"/>
            <w:noWrap w:val="0"/>
            <w:vAlign w:val="center"/>
          </w:tcPr>
          <w:p w14:paraId="098BB832">
            <w:pPr>
              <w:keepNext w:val="0"/>
              <w:keepLines w:val="0"/>
              <w:pageBreakBefore w:val="0"/>
              <w:widowControl/>
              <w:kinsoku/>
              <w:wordWrap/>
              <w:overflowPunct/>
              <w:topLinePunct w:val="0"/>
              <w:autoSpaceDE/>
              <w:autoSpaceDN/>
              <w:bidi w:val="0"/>
              <w:adjustRightInd w:val="0"/>
              <w:snapToGrid w:val="0"/>
              <w:spacing w:before="0"/>
              <w:jc w:val="center"/>
              <w:textAlignment w:val="auto"/>
              <w:rPr>
                <w:rFonts w:hint="default" w:ascii="Times New Roman" w:hAnsi="Times New Roman" w:eastAsia="宋体" w:cs="Times New Roman"/>
                <w:b/>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color w:val="000000" w:themeColor="text1"/>
                <w:kern w:val="0"/>
                <w:sz w:val="21"/>
                <w:szCs w:val="21"/>
                <w:lang w:val="en-US" w:eastAsia="zh-CN" w:bidi="ar-SA"/>
                <w14:textFill>
                  <w14:solidFill>
                    <w14:schemeClr w14:val="tx1"/>
                  </w14:solidFill>
                </w14:textFill>
              </w:rPr>
              <w:t>预测质量</w:t>
            </w:r>
            <w:r>
              <w:rPr>
                <w:rFonts w:hint="default" w:ascii="Times New Roman" w:hAnsi="Times New Roman" w:eastAsia="宋体" w:cs="Times New Roman"/>
                <w:b/>
                <w:color w:val="000000" w:themeColor="text1"/>
                <w:kern w:val="0"/>
                <w:sz w:val="21"/>
                <w:szCs w:val="21"/>
                <w:lang w:val="en-US" w:eastAsia="en-US" w:bidi="ar-SA"/>
                <w14:textFill>
                  <w14:solidFill>
                    <w14:schemeClr w14:val="tx1"/>
                  </w14:solidFill>
                </w14:textFill>
              </w:rPr>
              <w:t>浓度</w:t>
            </w:r>
          </w:p>
          <w:p w14:paraId="5DA810AD">
            <w:pPr>
              <w:keepNext w:val="0"/>
              <w:keepLines w:val="0"/>
              <w:pageBreakBefore w:val="0"/>
              <w:widowControl/>
              <w:kinsoku/>
              <w:wordWrap/>
              <w:overflowPunct/>
              <w:topLinePunct w:val="0"/>
              <w:autoSpaceDE/>
              <w:autoSpaceDN/>
              <w:bidi w:val="0"/>
              <w:adjustRightInd w:val="0"/>
              <w:snapToGrid w:val="0"/>
              <w:spacing w:before="0"/>
              <w:jc w:val="center"/>
              <w:textAlignment w:val="auto"/>
              <w:rPr>
                <w:rFonts w:hint="eastAsia"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hint="eastAsia" w:cs="Times New Roman"/>
                <w:b/>
                <w:color w:val="000000" w:themeColor="text1"/>
                <w:kern w:val="0"/>
                <w:sz w:val="21"/>
                <w:szCs w:val="21"/>
                <w:lang w:val="en-US" w:eastAsia="zh-CN" w:bidi="ar-SA"/>
                <w14:textFill>
                  <w14:solidFill>
                    <w14:schemeClr w14:val="tx1"/>
                  </w14:solidFill>
                </w14:textFill>
              </w:rPr>
              <w:t>（</w:t>
            </w:r>
            <w:r>
              <w:rPr>
                <w:rFonts w:hint="default" w:ascii="Times New Roman" w:hAnsi="Times New Roman" w:eastAsia="宋体" w:cs="Times New Roman"/>
                <w:b/>
                <w:color w:val="000000" w:themeColor="text1"/>
                <w:kern w:val="0"/>
                <w:sz w:val="21"/>
                <w:szCs w:val="21"/>
                <w:lang w:val="en-US" w:eastAsia="en-US" w:bidi="ar-SA"/>
                <w14:textFill>
                  <w14:solidFill>
                    <w14:schemeClr w14:val="tx1"/>
                  </w14:solidFill>
                </w14:textFill>
              </w:rPr>
              <w:t>ug/m</w:t>
            </w:r>
            <w:r>
              <w:rPr>
                <w:rFonts w:hint="default" w:ascii="Times New Roman" w:hAnsi="Times New Roman" w:eastAsia="宋体" w:cs="Times New Roman"/>
                <w:b/>
                <w:color w:val="000000" w:themeColor="text1"/>
                <w:kern w:val="0"/>
                <w:sz w:val="21"/>
                <w:szCs w:val="21"/>
                <w:vertAlign w:val="superscript"/>
                <w:lang w:val="en-US" w:eastAsia="en-US" w:bidi="ar-SA"/>
                <w14:textFill>
                  <w14:solidFill>
                    <w14:schemeClr w14:val="tx1"/>
                  </w14:solidFill>
                </w14:textFill>
              </w:rPr>
              <w:t>3</w:t>
            </w:r>
            <w:r>
              <w:rPr>
                <w:rFonts w:hint="eastAsia" w:cs="Times New Roman"/>
                <w:b/>
                <w:color w:val="000000" w:themeColor="text1"/>
                <w:kern w:val="0"/>
                <w:sz w:val="21"/>
                <w:szCs w:val="21"/>
                <w:lang w:val="en-US" w:eastAsia="zh-CN" w:bidi="ar-SA"/>
                <w14:textFill>
                  <w14:solidFill>
                    <w14:schemeClr w14:val="tx1"/>
                  </w14:solidFill>
                </w14:textFill>
              </w:rPr>
              <w:t>）</w:t>
            </w:r>
          </w:p>
        </w:tc>
        <w:tc>
          <w:tcPr>
            <w:tcW w:w="796" w:type="dxa"/>
            <w:noWrap w:val="0"/>
            <w:vAlign w:val="center"/>
          </w:tcPr>
          <w:p w14:paraId="4B1B7BF7">
            <w:pPr>
              <w:keepNext w:val="0"/>
              <w:keepLines w:val="0"/>
              <w:pageBreakBefore w:val="0"/>
              <w:widowControl/>
              <w:kinsoku/>
              <w:wordWrap/>
              <w:overflowPunct/>
              <w:topLinePunct w:val="0"/>
              <w:autoSpaceDE/>
              <w:autoSpaceDN/>
              <w:bidi w:val="0"/>
              <w:adjustRightInd w:val="0"/>
              <w:snapToGrid w:val="0"/>
              <w:spacing w:before="0"/>
              <w:jc w:val="center"/>
              <w:textAlignment w:val="auto"/>
              <w:rPr>
                <w:rFonts w:hint="default" w:ascii="Times New Roman" w:hAnsi="Times New Roman" w:eastAsia="宋体" w:cs="Times New Roman"/>
                <w:b/>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color w:val="000000" w:themeColor="text1"/>
                <w:kern w:val="0"/>
                <w:sz w:val="21"/>
                <w:szCs w:val="21"/>
                <w:lang w:val="en-US" w:eastAsia="en-US" w:bidi="ar-SA"/>
                <w14:textFill>
                  <w14:solidFill>
                    <w14:schemeClr w14:val="tx1"/>
                  </w14:solidFill>
                </w14:textFill>
              </w:rPr>
              <w:t>占标率</w:t>
            </w:r>
          </w:p>
          <w:p w14:paraId="48420285">
            <w:pPr>
              <w:keepNext w:val="0"/>
              <w:keepLines w:val="0"/>
              <w:pageBreakBefore w:val="0"/>
              <w:widowControl/>
              <w:kinsoku/>
              <w:wordWrap/>
              <w:overflowPunct/>
              <w:topLinePunct w:val="0"/>
              <w:autoSpaceDE/>
              <w:autoSpaceDN/>
              <w:bidi w:val="0"/>
              <w:adjustRightInd w:val="0"/>
              <w:snapToGrid w:val="0"/>
              <w:spacing w:before="0"/>
              <w:jc w:val="center"/>
              <w:textAlignment w:val="auto"/>
              <w:rPr>
                <w:rFonts w:hint="eastAsia"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hint="eastAsia" w:cs="Times New Roman"/>
                <w:b/>
                <w:color w:val="000000" w:themeColor="text1"/>
                <w:kern w:val="0"/>
                <w:sz w:val="21"/>
                <w:szCs w:val="21"/>
                <w:lang w:val="en-US" w:eastAsia="zh-CN" w:bidi="ar-SA"/>
                <w14:textFill>
                  <w14:solidFill>
                    <w14:schemeClr w14:val="tx1"/>
                  </w14:solidFill>
                </w14:textFill>
              </w:rPr>
              <w:t>（</w:t>
            </w:r>
            <w:r>
              <w:rPr>
                <w:rFonts w:hint="default" w:ascii="Times New Roman" w:hAnsi="Times New Roman" w:eastAsia="宋体" w:cs="Times New Roman"/>
                <w:b/>
                <w:color w:val="000000" w:themeColor="text1"/>
                <w:kern w:val="0"/>
                <w:sz w:val="21"/>
                <w:szCs w:val="21"/>
                <w:lang w:val="en-US" w:eastAsia="en-US" w:bidi="ar-SA"/>
                <w14:textFill>
                  <w14:solidFill>
                    <w14:schemeClr w14:val="tx1"/>
                  </w14:solidFill>
                </w14:textFill>
              </w:rPr>
              <w:t>%</w:t>
            </w:r>
            <w:r>
              <w:rPr>
                <w:rFonts w:hint="eastAsia" w:cs="Times New Roman"/>
                <w:b/>
                <w:color w:val="000000" w:themeColor="text1"/>
                <w:kern w:val="0"/>
                <w:sz w:val="21"/>
                <w:szCs w:val="21"/>
                <w:lang w:val="en-US" w:eastAsia="zh-CN" w:bidi="ar-SA"/>
                <w14:textFill>
                  <w14:solidFill>
                    <w14:schemeClr w14:val="tx1"/>
                  </w14:solidFill>
                </w14:textFill>
              </w:rPr>
              <w:t>）</w:t>
            </w:r>
          </w:p>
        </w:tc>
        <w:tc>
          <w:tcPr>
            <w:tcW w:w="1373" w:type="dxa"/>
            <w:noWrap w:val="0"/>
            <w:vAlign w:val="center"/>
          </w:tcPr>
          <w:p w14:paraId="414EAEB6">
            <w:pPr>
              <w:keepNext w:val="0"/>
              <w:keepLines w:val="0"/>
              <w:pageBreakBefore w:val="0"/>
              <w:widowControl/>
              <w:kinsoku/>
              <w:wordWrap/>
              <w:overflowPunct/>
              <w:topLinePunct w:val="0"/>
              <w:autoSpaceDE/>
              <w:autoSpaceDN/>
              <w:bidi w:val="0"/>
              <w:adjustRightInd w:val="0"/>
              <w:snapToGrid w:val="0"/>
              <w:spacing w:before="0"/>
              <w:jc w:val="center"/>
              <w:textAlignment w:val="auto"/>
              <w:rPr>
                <w:rFonts w:hint="eastAsia"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
                <w:color w:val="000000" w:themeColor="text1"/>
                <w:kern w:val="0"/>
                <w:sz w:val="21"/>
                <w:szCs w:val="21"/>
                <w:lang w:val="en-US" w:eastAsia="zh-CN" w:bidi="ar-SA"/>
                <w14:textFill>
                  <w14:solidFill>
                    <w14:schemeClr w14:val="tx1"/>
                  </w14:solidFill>
                </w14:textFill>
              </w:rPr>
              <w:t>预测质量</w:t>
            </w:r>
            <w:r>
              <w:rPr>
                <w:rFonts w:hint="default" w:ascii="Times New Roman" w:hAnsi="Times New Roman" w:eastAsia="宋体" w:cs="Times New Roman"/>
                <w:b/>
                <w:color w:val="000000" w:themeColor="text1"/>
                <w:kern w:val="0"/>
                <w:sz w:val="21"/>
                <w:szCs w:val="21"/>
                <w:lang w:val="en-US" w:eastAsia="en-US" w:bidi="ar-SA"/>
                <w14:textFill>
                  <w14:solidFill>
                    <w14:schemeClr w14:val="tx1"/>
                  </w14:solidFill>
                </w14:textFill>
              </w:rPr>
              <w:t>浓度</w:t>
            </w:r>
            <w:r>
              <w:rPr>
                <w:rFonts w:hint="eastAsia" w:cs="Times New Roman"/>
                <w:b/>
                <w:color w:val="000000" w:themeColor="text1"/>
                <w:kern w:val="0"/>
                <w:sz w:val="21"/>
                <w:szCs w:val="21"/>
                <w:lang w:val="en-US" w:eastAsia="zh-CN" w:bidi="ar-SA"/>
                <w14:textFill>
                  <w14:solidFill>
                    <w14:schemeClr w14:val="tx1"/>
                  </w14:solidFill>
                </w14:textFill>
              </w:rPr>
              <w:t>（</w:t>
            </w:r>
            <w:r>
              <w:rPr>
                <w:rFonts w:hint="default" w:ascii="Times New Roman" w:hAnsi="Times New Roman" w:eastAsia="宋体" w:cs="Times New Roman"/>
                <w:b/>
                <w:color w:val="000000" w:themeColor="text1"/>
                <w:kern w:val="0"/>
                <w:sz w:val="21"/>
                <w:szCs w:val="21"/>
                <w:lang w:val="en-US" w:eastAsia="en-US" w:bidi="ar-SA"/>
                <w14:textFill>
                  <w14:solidFill>
                    <w14:schemeClr w14:val="tx1"/>
                  </w14:solidFill>
                </w14:textFill>
              </w:rPr>
              <w:t>ug/m</w:t>
            </w:r>
            <w:r>
              <w:rPr>
                <w:rFonts w:hint="default" w:ascii="Times New Roman" w:hAnsi="Times New Roman" w:eastAsia="宋体" w:cs="Times New Roman"/>
                <w:b/>
                <w:color w:val="000000" w:themeColor="text1"/>
                <w:kern w:val="0"/>
                <w:sz w:val="21"/>
                <w:szCs w:val="21"/>
                <w:vertAlign w:val="superscript"/>
                <w:lang w:val="en-US" w:eastAsia="en-US" w:bidi="ar-SA"/>
                <w14:textFill>
                  <w14:solidFill>
                    <w14:schemeClr w14:val="tx1"/>
                  </w14:solidFill>
                </w14:textFill>
              </w:rPr>
              <w:t>3</w:t>
            </w:r>
            <w:r>
              <w:rPr>
                <w:rFonts w:hint="eastAsia" w:cs="Times New Roman"/>
                <w:b/>
                <w:color w:val="000000" w:themeColor="text1"/>
                <w:kern w:val="0"/>
                <w:sz w:val="21"/>
                <w:szCs w:val="21"/>
                <w:lang w:val="en-US" w:eastAsia="zh-CN" w:bidi="ar-SA"/>
                <w14:textFill>
                  <w14:solidFill>
                    <w14:schemeClr w14:val="tx1"/>
                  </w14:solidFill>
                </w14:textFill>
              </w:rPr>
              <w:t>）</w:t>
            </w:r>
          </w:p>
        </w:tc>
        <w:tc>
          <w:tcPr>
            <w:tcW w:w="819" w:type="dxa"/>
            <w:noWrap w:val="0"/>
            <w:vAlign w:val="center"/>
          </w:tcPr>
          <w:p w14:paraId="347EC597">
            <w:pPr>
              <w:keepNext w:val="0"/>
              <w:keepLines w:val="0"/>
              <w:pageBreakBefore w:val="0"/>
              <w:widowControl/>
              <w:kinsoku/>
              <w:wordWrap/>
              <w:overflowPunct/>
              <w:topLinePunct w:val="0"/>
              <w:autoSpaceDE/>
              <w:autoSpaceDN/>
              <w:bidi w:val="0"/>
              <w:adjustRightInd w:val="0"/>
              <w:snapToGrid w:val="0"/>
              <w:spacing w:before="0"/>
              <w:jc w:val="center"/>
              <w:textAlignment w:val="auto"/>
              <w:rPr>
                <w:rFonts w:hint="default" w:ascii="Times New Roman" w:hAnsi="Times New Roman" w:eastAsia="宋体" w:cs="Times New Roman"/>
                <w:b/>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color w:val="000000" w:themeColor="text1"/>
                <w:kern w:val="0"/>
                <w:sz w:val="21"/>
                <w:szCs w:val="21"/>
                <w:lang w:val="en-US" w:eastAsia="en-US" w:bidi="ar-SA"/>
                <w14:textFill>
                  <w14:solidFill>
                    <w14:schemeClr w14:val="tx1"/>
                  </w14:solidFill>
                </w14:textFill>
              </w:rPr>
              <w:t>占标率</w:t>
            </w:r>
          </w:p>
          <w:p w14:paraId="66DA4C15">
            <w:pPr>
              <w:keepNext w:val="0"/>
              <w:keepLines w:val="0"/>
              <w:pageBreakBefore w:val="0"/>
              <w:widowControl/>
              <w:kinsoku/>
              <w:wordWrap/>
              <w:overflowPunct/>
              <w:topLinePunct w:val="0"/>
              <w:autoSpaceDE/>
              <w:autoSpaceDN/>
              <w:bidi w:val="0"/>
              <w:adjustRightInd w:val="0"/>
              <w:snapToGrid w:val="0"/>
              <w:spacing w:before="0"/>
              <w:jc w:val="center"/>
              <w:textAlignment w:val="auto"/>
              <w:rPr>
                <w:rFonts w:hint="eastAsia"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hint="eastAsia" w:cs="Times New Roman"/>
                <w:b/>
                <w:color w:val="000000" w:themeColor="text1"/>
                <w:kern w:val="0"/>
                <w:sz w:val="21"/>
                <w:szCs w:val="21"/>
                <w:lang w:val="en-US" w:eastAsia="zh-CN" w:bidi="ar-SA"/>
                <w14:textFill>
                  <w14:solidFill>
                    <w14:schemeClr w14:val="tx1"/>
                  </w14:solidFill>
                </w14:textFill>
              </w:rPr>
              <w:t>（</w:t>
            </w:r>
            <w:r>
              <w:rPr>
                <w:rFonts w:hint="default" w:ascii="Times New Roman" w:hAnsi="Times New Roman" w:eastAsia="宋体" w:cs="Times New Roman"/>
                <w:b/>
                <w:color w:val="000000" w:themeColor="text1"/>
                <w:kern w:val="0"/>
                <w:sz w:val="21"/>
                <w:szCs w:val="21"/>
                <w:lang w:val="en-US" w:eastAsia="en-US" w:bidi="ar-SA"/>
                <w14:textFill>
                  <w14:solidFill>
                    <w14:schemeClr w14:val="tx1"/>
                  </w14:solidFill>
                </w14:textFill>
              </w:rPr>
              <w:t>%</w:t>
            </w:r>
            <w:r>
              <w:rPr>
                <w:rFonts w:hint="eastAsia" w:cs="Times New Roman"/>
                <w:b/>
                <w:color w:val="000000" w:themeColor="text1"/>
                <w:kern w:val="0"/>
                <w:sz w:val="21"/>
                <w:szCs w:val="21"/>
                <w:lang w:val="en-US" w:eastAsia="zh-CN" w:bidi="ar-SA"/>
                <w14:textFill>
                  <w14:solidFill>
                    <w14:schemeClr w14:val="tx1"/>
                  </w14:solidFill>
                </w14:textFill>
              </w:rPr>
              <w:t>）</w:t>
            </w:r>
          </w:p>
        </w:tc>
        <w:tc>
          <w:tcPr>
            <w:tcW w:w="1627" w:type="dxa"/>
            <w:noWrap w:val="0"/>
            <w:vAlign w:val="center"/>
          </w:tcPr>
          <w:p w14:paraId="55785999">
            <w:pPr>
              <w:keepNext w:val="0"/>
              <w:keepLines w:val="0"/>
              <w:pageBreakBefore w:val="0"/>
              <w:widowControl/>
              <w:kinsoku/>
              <w:wordWrap/>
              <w:overflowPunct/>
              <w:topLinePunct w:val="0"/>
              <w:autoSpaceDE/>
              <w:autoSpaceDN/>
              <w:bidi w:val="0"/>
              <w:adjustRightInd w:val="0"/>
              <w:snapToGrid w:val="0"/>
              <w:spacing w:before="0"/>
              <w:jc w:val="center"/>
              <w:textAlignment w:val="auto"/>
              <w:rPr>
                <w:rFonts w:hint="eastAsia"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
                <w:color w:val="000000" w:themeColor="text1"/>
                <w:kern w:val="0"/>
                <w:sz w:val="21"/>
                <w:szCs w:val="21"/>
                <w:lang w:val="en-US" w:eastAsia="zh-CN" w:bidi="ar-SA"/>
                <w14:textFill>
                  <w14:solidFill>
                    <w14:schemeClr w14:val="tx1"/>
                  </w14:solidFill>
                </w14:textFill>
              </w:rPr>
              <w:t>预测质量</w:t>
            </w:r>
            <w:r>
              <w:rPr>
                <w:rFonts w:hint="default" w:ascii="Times New Roman" w:hAnsi="Times New Roman" w:eastAsia="宋体" w:cs="Times New Roman"/>
                <w:b/>
                <w:color w:val="000000" w:themeColor="text1"/>
                <w:kern w:val="0"/>
                <w:sz w:val="21"/>
                <w:szCs w:val="21"/>
                <w:lang w:val="en-US" w:eastAsia="en-US" w:bidi="ar-SA"/>
                <w14:textFill>
                  <w14:solidFill>
                    <w14:schemeClr w14:val="tx1"/>
                  </w14:solidFill>
                </w14:textFill>
              </w:rPr>
              <w:t>浓度</w:t>
            </w:r>
            <w:r>
              <w:rPr>
                <w:rFonts w:hint="eastAsia" w:cs="Times New Roman"/>
                <w:b/>
                <w:color w:val="000000" w:themeColor="text1"/>
                <w:kern w:val="0"/>
                <w:sz w:val="21"/>
                <w:szCs w:val="21"/>
                <w:lang w:val="en-US" w:eastAsia="zh-CN" w:bidi="ar-SA"/>
                <w14:textFill>
                  <w14:solidFill>
                    <w14:schemeClr w14:val="tx1"/>
                  </w14:solidFill>
                </w14:textFill>
              </w:rPr>
              <w:t>（</w:t>
            </w:r>
            <w:r>
              <w:rPr>
                <w:rFonts w:hint="default" w:ascii="Times New Roman" w:hAnsi="Times New Roman" w:eastAsia="宋体" w:cs="Times New Roman"/>
                <w:b/>
                <w:color w:val="000000" w:themeColor="text1"/>
                <w:kern w:val="0"/>
                <w:sz w:val="21"/>
                <w:szCs w:val="21"/>
                <w:lang w:val="en-US" w:eastAsia="en-US" w:bidi="ar-SA"/>
                <w14:textFill>
                  <w14:solidFill>
                    <w14:schemeClr w14:val="tx1"/>
                  </w14:solidFill>
                </w14:textFill>
              </w:rPr>
              <w:t>ug/m</w:t>
            </w:r>
            <w:r>
              <w:rPr>
                <w:rFonts w:hint="default" w:ascii="Times New Roman" w:hAnsi="Times New Roman" w:eastAsia="宋体" w:cs="Times New Roman"/>
                <w:b/>
                <w:color w:val="000000" w:themeColor="text1"/>
                <w:kern w:val="0"/>
                <w:sz w:val="21"/>
                <w:szCs w:val="21"/>
                <w:vertAlign w:val="superscript"/>
                <w:lang w:val="en-US" w:eastAsia="en-US" w:bidi="ar-SA"/>
                <w14:textFill>
                  <w14:solidFill>
                    <w14:schemeClr w14:val="tx1"/>
                  </w14:solidFill>
                </w14:textFill>
              </w:rPr>
              <w:t>3</w:t>
            </w:r>
            <w:r>
              <w:rPr>
                <w:rFonts w:hint="eastAsia" w:cs="Times New Roman"/>
                <w:b/>
                <w:color w:val="000000" w:themeColor="text1"/>
                <w:kern w:val="0"/>
                <w:sz w:val="21"/>
                <w:szCs w:val="21"/>
                <w:lang w:val="en-US" w:eastAsia="zh-CN" w:bidi="ar-SA"/>
                <w14:textFill>
                  <w14:solidFill>
                    <w14:schemeClr w14:val="tx1"/>
                  </w14:solidFill>
                </w14:textFill>
              </w:rPr>
              <w:t>）</w:t>
            </w:r>
          </w:p>
        </w:tc>
        <w:tc>
          <w:tcPr>
            <w:tcW w:w="771" w:type="dxa"/>
            <w:noWrap w:val="0"/>
            <w:vAlign w:val="center"/>
          </w:tcPr>
          <w:p w14:paraId="0E6B2E1A">
            <w:pPr>
              <w:keepNext w:val="0"/>
              <w:keepLines w:val="0"/>
              <w:pageBreakBefore w:val="0"/>
              <w:widowControl/>
              <w:kinsoku/>
              <w:wordWrap/>
              <w:overflowPunct/>
              <w:topLinePunct w:val="0"/>
              <w:autoSpaceDE/>
              <w:autoSpaceDN/>
              <w:bidi w:val="0"/>
              <w:adjustRightInd w:val="0"/>
              <w:snapToGrid w:val="0"/>
              <w:spacing w:before="0"/>
              <w:jc w:val="center"/>
              <w:textAlignment w:val="auto"/>
              <w:rPr>
                <w:rFonts w:hint="default" w:ascii="Times New Roman" w:hAnsi="Times New Roman" w:eastAsia="宋体" w:cs="Times New Roman"/>
                <w:b/>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color w:val="000000" w:themeColor="text1"/>
                <w:kern w:val="0"/>
                <w:sz w:val="21"/>
                <w:szCs w:val="21"/>
                <w:lang w:val="en-US" w:eastAsia="en-US" w:bidi="ar-SA"/>
                <w14:textFill>
                  <w14:solidFill>
                    <w14:schemeClr w14:val="tx1"/>
                  </w14:solidFill>
                </w14:textFill>
              </w:rPr>
              <w:t>占标率</w:t>
            </w:r>
          </w:p>
          <w:p w14:paraId="74995891">
            <w:pPr>
              <w:keepNext w:val="0"/>
              <w:keepLines w:val="0"/>
              <w:pageBreakBefore w:val="0"/>
              <w:widowControl/>
              <w:kinsoku/>
              <w:wordWrap/>
              <w:overflowPunct/>
              <w:topLinePunct w:val="0"/>
              <w:autoSpaceDE/>
              <w:autoSpaceDN/>
              <w:bidi w:val="0"/>
              <w:adjustRightInd w:val="0"/>
              <w:snapToGrid w:val="0"/>
              <w:spacing w:before="0"/>
              <w:jc w:val="center"/>
              <w:textAlignment w:val="auto"/>
              <w:rPr>
                <w:rFonts w:hint="eastAsia"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hint="eastAsia" w:cs="Times New Roman"/>
                <w:b/>
                <w:color w:val="000000" w:themeColor="text1"/>
                <w:kern w:val="0"/>
                <w:sz w:val="21"/>
                <w:szCs w:val="21"/>
                <w:lang w:val="en-US" w:eastAsia="zh-CN" w:bidi="ar-SA"/>
                <w14:textFill>
                  <w14:solidFill>
                    <w14:schemeClr w14:val="tx1"/>
                  </w14:solidFill>
                </w14:textFill>
              </w:rPr>
              <w:t>（</w:t>
            </w:r>
            <w:r>
              <w:rPr>
                <w:rFonts w:hint="default" w:ascii="Times New Roman" w:hAnsi="Times New Roman" w:eastAsia="宋体" w:cs="Times New Roman"/>
                <w:b/>
                <w:color w:val="000000" w:themeColor="text1"/>
                <w:kern w:val="0"/>
                <w:sz w:val="21"/>
                <w:szCs w:val="21"/>
                <w:lang w:val="en-US" w:eastAsia="en-US" w:bidi="ar-SA"/>
                <w14:textFill>
                  <w14:solidFill>
                    <w14:schemeClr w14:val="tx1"/>
                  </w14:solidFill>
                </w14:textFill>
              </w:rPr>
              <w:t>%</w:t>
            </w:r>
            <w:r>
              <w:rPr>
                <w:rFonts w:hint="eastAsia" w:cs="Times New Roman"/>
                <w:b/>
                <w:color w:val="000000" w:themeColor="text1"/>
                <w:kern w:val="0"/>
                <w:sz w:val="21"/>
                <w:szCs w:val="21"/>
                <w:lang w:val="en-US" w:eastAsia="zh-CN" w:bidi="ar-SA"/>
                <w14:textFill>
                  <w14:solidFill>
                    <w14:schemeClr w14:val="tx1"/>
                  </w14:solidFill>
                </w14:textFill>
              </w:rPr>
              <w:t>）</w:t>
            </w:r>
          </w:p>
        </w:tc>
      </w:tr>
      <w:tr w14:paraId="4912D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751" w:type="dxa"/>
            <w:noWrap w:val="0"/>
            <w:vAlign w:val="center"/>
          </w:tcPr>
          <w:p w14:paraId="23ECBB37">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10</w:t>
            </w:r>
          </w:p>
        </w:tc>
        <w:tc>
          <w:tcPr>
            <w:tcW w:w="1593" w:type="dxa"/>
            <w:noWrap w:val="0"/>
            <w:vAlign w:val="center"/>
          </w:tcPr>
          <w:p w14:paraId="6A1610EA">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17.715</w:t>
            </w:r>
          </w:p>
        </w:tc>
        <w:tc>
          <w:tcPr>
            <w:tcW w:w="796" w:type="dxa"/>
            <w:noWrap w:val="0"/>
            <w:vAlign w:val="center"/>
          </w:tcPr>
          <w:p w14:paraId="77376DE0">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1.97</w:t>
            </w:r>
          </w:p>
        </w:tc>
        <w:tc>
          <w:tcPr>
            <w:tcW w:w="1373" w:type="dxa"/>
            <w:noWrap w:val="0"/>
            <w:vAlign w:val="center"/>
          </w:tcPr>
          <w:p w14:paraId="7C2F477E">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27.377</w:t>
            </w:r>
          </w:p>
        </w:tc>
        <w:tc>
          <w:tcPr>
            <w:tcW w:w="819" w:type="dxa"/>
            <w:noWrap w:val="0"/>
            <w:vAlign w:val="center"/>
          </w:tcPr>
          <w:p w14:paraId="5926D0E4">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2.28</w:t>
            </w:r>
          </w:p>
        </w:tc>
        <w:tc>
          <w:tcPr>
            <w:tcW w:w="1627" w:type="dxa"/>
            <w:noWrap w:val="0"/>
            <w:vAlign w:val="center"/>
          </w:tcPr>
          <w:p w14:paraId="07CBD3D3">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0.089</w:t>
            </w:r>
          </w:p>
        </w:tc>
        <w:tc>
          <w:tcPr>
            <w:tcW w:w="771" w:type="dxa"/>
            <w:noWrap w:val="0"/>
            <w:vAlign w:val="center"/>
          </w:tcPr>
          <w:p w14:paraId="6C47DE41">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0.18</w:t>
            </w:r>
          </w:p>
        </w:tc>
      </w:tr>
      <w:tr w14:paraId="0146F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751" w:type="dxa"/>
            <w:noWrap w:val="0"/>
            <w:vAlign w:val="center"/>
          </w:tcPr>
          <w:p w14:paraId="592D7F81">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25</w:t>
            </w:r>
          </w:p>
        </w:tc>
        <w:tc>
          <w:tcPr>
            <w:tcW w:w="1593" w:type="dxa"/>
            <w:noWrap w:val="0"/>
            <w:vAlign w:val="center"/>
          </w:tcPr>
          <w:p w14:paraId="37E654C6">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20.392</w:t>
            </w:r>
          </w:p>
        </w:tc>
        <w:tc>
          <w:tcPr>
            <w:tcW w:w="796" w:type="dxa"/>
            <w:noWrap w:val="0"/>
            <w:vAlign w:val="center"/>
          </w:tcPr>
          <w:p w14:paraId="7E7996ED">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2.27</w:t>
            </w:r>
          </w:p>
        </w:tc>
        <w:tc>
          <w:tcPr>
            <w:tcW w:w="1373" w:type="dxa"/>
            <w:noWrap w:val="0"/>
            <w:vAlign w:val="center"/>
          </w:tcPr>
          <w:p w14:paraId="67536DD3">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31.514</w:t>
            </w:r>
          </w:p>
        </w:tc>
        <w:tc>
          <w:tcPr>
            <w:tcW w:w="819" w:type="dxa"/>
            <w:noWrap w:val="0"/>
            <w:vAlign w:val="center"/>
          </w:tcPr>
          <w:p w14:paraId="7CB56047">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2.63</w:t>
            </w:r>
          </w:p>
        </w:tc>
        <w:tc>
          <w:tcPr>
            <w:tcW w:w="1627" w:type="dxa"/>
            <w:noWrap w:val="0"/>
            <w:vAlign w:val="center"/>
          </w:tcPr>
          <w:p w14:paraId="60D8A5F9">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0.103</w:t>
            </w:r>
          </w:p>
        </w:tc>
        <w:tc>
          <w:tcPr>
            <w:tcW w:w="771" w:type="dxa"/>
            <w:noWrap w:val="0"/>
            <w:vAlign w:val="center"/>
          </w:tcPr>
          <w:p w14:paraId="20C1B1C3">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0.23</w:t>
            </w:r>
          </w:p>
        </w:tc>
      </w:tr>
      <w:tr w14:paraId="38CE3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751" w:type="dxa"/>
            <w:noWrap w:val="0"/>
            <w:vAlign w:val="center"/>
          </w:tcPr>
          <w:p w14:paraId="6EEB2210">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bCs/>
                <w:color w:val="000000" w:themeColor="text1"/>
                <w:kern w:val="0"/>
                <w:sz w:val="21"/>
                <w:szCs w:val="21"/>
                <w:lang w:val="en-US" w:eastAsia="zh-CN"/>
                <w14:textFill>
                  <w14:solidFill>
                    <w14:schemeClr w14:val="tx1"/>
                  </w14:solidFill>
                </w14:textFill>
              </w:rPr>
              <w:t>40</w:t>
            </w:r>
          </w:p>
        </w:tc>
        <w:tc>
          <w:tcPr>
            <w:tcW w:w="1593" w:type="dxa"/>
            <w:noWrap w:val="0"/>
            <w:vAlign w:val="center"/>
          </w:tcPr>
          <w:p w14:paraId="00478483">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b/>
                <w:bCs/>
                <w:color w:val="000000" w:themeColor="text1"/>
                <w:kern w:val="0"/>
                <w:sz w:val="21"/>
                <w:szCs w:val="21"/>
                <w:lang w:val="en-US" w:eastAsia="zh-CN"/>
                <w14:textFill>
                  <w14:solidFill>
                    <w14:schemeClr w14:val="tx1"/>
                  </w14:solidFill>
                </w14:textFill>
              </w:rPr>
              <w:t>22.365</w:t>
            </w:r>
          </w:p>
        </w:tc>
        <w:tc>
          <w:tcPr>
            <w:tcW w:w="796" w:type="dxa"/>
            <w:noWrap w:val="0"/>
            <w:vAlign w:val="center"/>
          </w:tcPr>
          <w:p w14:paraId="7858998C">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bCs/>
                <w:color w:val="000000" w:themeColor="text1"/>
                <w:kern w:val="0"/>
                <w:sz w:val="21"/>
                <w:szCs w:val="21"/>
                <w:lang w:val="en-US" w:eastAsia="zh-CN"/>
                <w14:textFill>
                  <w14:solidFill>
                    <w14:schemeClr w14:val="tx1"/>
                  </w14:solidFill>
                </w14:textFill>
              </w:rPr>
              <w:t>2.49</w:t>
            </w:r>
          </w:p>
        </w:tc>
        <w:tc>
          <w:tcPr>
            <w:tcW w:w="1373" w:type="dxa"/>
            <w:noWrap w:val="0"/>
            <w:vAlign w:val="center"/>
          </w:tcPr>
          <w:p w14:paraId="36949F42">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b/>
                <w:bCs/>
                <w:color w:val="000000" w:themeColor="text1"/>
                <w:kern w:val="0"/>
                <w:sz w:val="21"/>
                <w:szCs w:val="21"/>
                <w:lang w:val="en-US" w:eastAsia="zh-CN"/>
                <w14:textFill>
                  <w14:solidFill>
                    <w14:schemeClr w14:val="tx1"/>
                  </w14:solidFill>
                </w14:textFill>
              </w:rPr>
              <w:t>34.564</w:t>
            </w:r>
          </w:p>
        </w:tc>
        <w:tc>
          <w:tcPr>
            <w:tcW w:w="819" w:type="dxa"/>
            <w:noWrap w:val="0"/>
            <w:vAlign w:val="center"/>
          </w:tcPr>
          <w:p w14:paraId="7D10BE38">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cs="Times New Roman"/>
                <w:b/>
                <w:bCs/>
                <w:color w:val="000000" w:themeColor="text1"/>
                <w:kern w:val="0"/>
                <w:sz w:val="21"/>
                <w:szCs w:val="21"/>
                <w:lang w:val="en-US" w:eastAsia="zh-CN"/>
                <w14:textFill>
                  <w14:solidFill>
                    <w14:schemeClr w14:val="tx1"/>
                  </w14:solidFill>
                </w14:textFill>
              </w:rPr>
              <w:t>2</w:t>
            </w:r>
            <w:r>
              <w:rPr>
                <w:rFonts w:hint="default" w:ascii="Times New Roman" w:hAnsi="Times New Roman" w:cs="Times New Roman"/>
                <w:b/>
                <w:bCs/>
                <w:color w:val="000000" w:themeColor="text1"/>
                <w:kern w:val="0"/>
                <w:sz w:val="21"/>
                <w:szCs w:val="21"/>
                <w:lang w:val="en-US" w:eastAsia="zh-CN"/>
                <w14:textFill>
                  <w14:solidFill>
                    <w14:schemeClr w14:val="tx1"/>
                  </w14:solidFill>
                </w14:textFill>
              </w:rPr>
              <w:t>.88</w:t>
            </w:r>
          </w:p>
        </w:tc>
        <w:tc>
          <w:tcPr>
            <w:tcW w:w="1627" w:type="dxa"/>
            <w:noWrap w:val="0"/>
            <w:vAlign w:val="center"/>
          </w:tcPr>
          <w:p w14:paraId="44572749">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b/>
                <w:bCs/>
                <w:color w:val="000000" w:themeColor="text1"/>
                <w:kern w:val="0"/>
                <w:sz w:val="21"/>
                <w:szCs w:val="21"/>
                <w:lang w:val="en-US" w:eastAsia="zh-CN"/>
                <w14:textFill>
                  <w14:solidFill>
                    <w14:schemeClr w14:val="tx1"/>
                  </w14:solidFill>
                </w14:textFill>
              </w:rPr>
              <w:t>0.113</w:t>
            </w:r>
          </w:p>
        </w:tc>
        <w:tc>
          <w:tcPr>
            <w:tcW w:w="771" w:type="dxa"/>
            <w:noWrap w:val="0"/>
            <w:vAlign w:val="center"/>
          </w:tcPr>
          <w:p w14:paraId="024E872F">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bCs/>
                <w:color w:val="000000" w:themeColor="text1"/>
                <w:kern w:val="0"/>
                <w:sz w:val="21"/>
                <w:szCs w:val="21"/>
                <w:lang w:val="en-US" w:eastAsia="zh-CN"/>
                <w14:textFill>
                  <w14:solidFill>
                    <w14:schemeClr w14:val="tx1"/>
                  </w14:solidFill>
                </w14:textFill>
              </w:rPr>
              <w:t>0.23</w:t>
            </w:r>
          </w:p>
        </w:tc>
      </w:tr>
      <w:tr w14:paraId="31977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751" w:type="dxa"/>
            <w:noWrap w:val="0"/>
            <w:vAlign w:val="center"/>
          </w:tcPr>
          <w:p w14:paraId="39941D24">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50</w:t>
            </w:r>
          </w:p>
        </w:tc>
        <w:tc>
          <w:tcPr>
            <w:tcW w:w="1593" w:type="dxa"/>
            <w:noWrap w:val="0"/>
            <w:vAlign w:val="center"/>
          </w:tcPr>
          <w:p w14:paraId="3AACA189">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21.701</w:t>
            </w:r>
          </w:p>
        </w:tc>
        <w:tc>
          <w:tcPr>
            <w:tcW w:w="796" w:type="dxa"/>
            <w:noWrap w:val="0"/>
            <w:vAlign w:val="center"/>
          </w:tcPr>
          <w:p w14:paraId="6CD7C946">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2.41</w:t>
            </w:r>
          </w:p>
        </w:tc>
        <w:tc>
          <w:tcPr>
            <w:tcW w:w="1373" w:type="dxa"/>
            <w:noWrap w:val="0"/>
            <w:vAlign w:val="center"/>
          </w:tcPr>
          <w:p w14:paraId="0C6DE960">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33.537</w:t>
            </w:r>
          </w:p>
        </w:tc>
        <w:tc>
          <w:tcPr>
            <w:tcW w:w="819" w:type="dxa"/>
            <w:noWrap w:val="0"/>
            <w:vAlign w:val="center"/>
          </w:tcPr>
          <w:p w14:paraId="1B263795">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2.79</w:t>
            </w:r>
          </w:p>
        </w:tc>
        <w:tc>
          <w:tcPr>
            <w:tcW w:w="1627" w:type="dxa"/>
            <w:noWrap w:val="0"/>
            <w:vAlign w:val="center"/>
          </w:tcPr>
          <w:p w14:paraId="5C75A672">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0.109</w:t>
            </w:r>
          </w:p>
        </w:tc>
        <w:tc>
          <w:tcPr>
            <w:tcW w:w="771" w:type="dxa"/>
            <w:noWrap w:val="0"/>
            <w:vAlign w:val="center"/>
          </w:tcPr>
          <w:p w14:paraId="09865119">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0.22</w:t>
            </w:r>
          </w:p>
        </w:tc>
      </w:tr>
      <w:tr w14:paraId="0B775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751" w:type="dxa"/>
            <w:noWrap w:val="0"/>
            <w:vAlign w:val="center"/>
          </w:tcPr>
          <w:p w14:paraId="4D145377">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 w:val="0"/>
                <w:bCs/>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val="0"/>
                <w:bCs/>
                <w:color w:val="000000" w:themeColor="text1"/>
                <w:kern w:val="0"/>
                <w:sz w:val="21"/>
                <w:szCs w:val="21"/>
                <w:lang w:val="en-US" w:eastAsia="zh-CN"/>
                <w14:textFill>
                  <w14:solidFill>
                    <w14:schemeClr w14:val="tx1"/>
                  </w14:solidFill>
                </w14:textFill>
              </w:rPr>
              <w:t>75</w:t>
            </w:r>
          </w:p>
        </w:tc>
        <w:tc>
          <w:tcPr>
            <w:tcW w:w="1593" w:type="dxa"/>
            <w:noWrap w:val="0"/>
            <w:vAlign w:val="center"/>
          </w:tcPr>
          <w:p w14:paraId="3C015BDA">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 w:val="0"/>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kern w:val="0"/>
                <w:sz w:val="21"/>
                <w:szCs w:val="21"/>
                <w:lang w:val="en-US" w:eastAsia="zh-CN"/>
                <w14:textFill>
                  <w14:solidFill>
                    <w14:schemeClr w14:val="tx1"/>
                  </w14:solidFill>
                </w14:textFill>
              </w:rPr>
              <w:t>17.792</w:t>
            </w:r>
          </w:p>
        </w:tc>
        <w:tc>
          <w:tcPr>
            <w:tcW w:w="796" w:type="dxa"/>
            <w:noWrap w:val="0"/>
            <w:vAlign w:val="center"/>
          </w:tcPr>
          <w:p w14:paraId="69691F9D">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 w:val="0"/>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kern w:val="0"/>
                <w:sz w:val="21"/>
                <w:szCs w:val="21"/>
                <w:lang w:val="en-US" w:eastAsia="zh-CN"/>
                <w14:textFill>
                  <w14:solidFill>
                    <w14:schemeClr w14:val="tx1"/>
                  </w14:solidFill>
                </w14:textFill>
              </w:rPr>
              <w:t>1.98</w:t>
            </w:r>
          </w:p>
        </w:tc>
        <w:tc>
          <w:tcPr>
            <w:tcW w:w="1373" w:type="dxa"/>
            <w:noWrap w:val="0"/>
            <w:vAlign w:val="center"/>
          </w:tcPr>
          <w:p w14:paraId="5CF4DA0D">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 w:val="0"/>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kern w:val="0"/>
                <w:sz w:val="21"/>
                <w:szCs w:val="21"/>
                <w:lang w:val="en-US" w:eastAsia="zh-CN"/>
                <w14:textFill>
                  <w14:solidFill>
                    <w14:schemeClr w14:val="tx1"/>
                  </w14:solidFill>
                </w14:textFill>
              </w:rPr>
              <w:t>27.496</w:t>
            </w:r>
          </w:p>
        </w:tc>
        <w:tc>
          <w:tcPr>
            <w:tcW w:w="819" w:type="dxa"/>
            <w:noWrap w:val="0"/>
            <w:vAlign w:val="center"/>
          </w:tcPr>
          <w:p w14:paraId="3A43A84F">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 w:val="0"/>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kern w:val="0"/>
                <w:sz w:val="21"/>
                <w:szCs w:val="21"/>
                <w:lang w:val="en-US" w:eastAsia="zh-CN"/>
                <w14:textFill>
                  <w14:solidFill>
                    <w14:schemeClr w14:val="tx1"/>
                  </w14:solidFill>
                </w14:textFill>
              </w:rPr>
              <w:t>2.29</w:t>
            </w:r>
          </w:p>
        </w:tc>
        <w:tc>
          <w:tcPr>
            <w:tcW w:w="1627" w:type="dxa"/>
            <w:noWrap w:val="0"/>
            <w:vAlign w:val="center"/>
          </w:tcPr>
          <w:p w14:paraId="1A19EACE">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 w:val="0"/>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kern w:val="0"/>
                <w:sz w:val="21"/>
                <w:szCs w:val="21"/>
                <w:lang w:val="en-US" w:eastAsia="zh-CN"/>
                <w14:textFill>
                  <w14:solidFill>
                    <w14:schemeClr w14:val="tx1"/>
                  </w14:solidFill>
                </w14:textFill>
              </w:rPr>
              <w:t>0.089</w:t>
            </w:r>
          </w:p>
        </w:tc>
        <w:tc>
          <w:tcPr>
            <w:tcW w:w="771" w:type="dxa"/>
            <w:noWrap w:val="0"/>
            <w:vAlign w:val="center"/>
          </w:tcPr>
          <w:p w14:paraId="2CD82F51">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 w:val="0"/>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kern w:val="0"/>
                <w:sz w:val="21"/>
                <w:szCs w:val="21"/>
                <w:lang w:val="en-US" w:eastAsia="zh-CN"/>
                <w14:textFill>
                  <w14:solidFill>
                    <w14:schemeClr w14:val="tx1"/>
                  </w14:solidFill>
                </w14:textFill>
              </w:rPr>
              <w:t>0.18</w:t>
            </w:r>
          </w:p>
        </w:tc>
      </w:tr>
      <w:tr w14:paraId="3E3DA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751" w:type="dxa"/>
            <w:noWrap w:val="0"/>
            <w:vAlign w:val="center"/>
          </w:tcPr>
          <w:p w14:paraId="2BDEDBEF">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100</w:t>
            </w:r>
          </w:p>
        </w:tc>
        <w:tc>
          <w:tcPr>
            <w:tcW w:w="1593" w:type="dxa"/>
            <w:noWrap w:val="0"/>
            <w:vAlign w:val="center"/>
          </w:tcPr>
          <w:p w14:paraId="70B6A777">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0"/>
                <w:sz w:val="21"/>
                <w:szCs w:val="21"/>
                <w:lang w:val="en-US" w:eastAsia="zh-CN"/>
                <w14:textFill>
                  <w14:solidFill>
                    <w14:schemeClr w14:val="tx1"/>
                  </w14:solidFill>
                </w14:textFill>
              </w:rPr>
              <w:t>14.540</w:t>
            </w:r>
          </w:p>
        </w:tc>
        <w:tc>
          <w:tcPr>
            <w:tcW w:w="796" w:type="dxa"/>
            <w:noWrap w:val="0"/>
            <w:vAlign w:val="center"/>
          </w:tcPr>
          <w:p w14:paraId="20733E33">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0"/>
                <w:sz w:val="21"/>
                <w:szCs w:val="21"/>
                <w:lang w:val="en-US" w:eastAsia="zh-CN"/>
                <w14:textFill>
                  <w14:solidFill>
                    <w14:schemeClr w14:val="tx1"/>
                  </w14:solidFill>
                </w14:textFill>
              </w:rPr>
              <w:t>1.62</w:t>
            </w:r>
          </w:p>
        </w:tc>
        <w:tc>
          <w:tcPr>
            <w:tcW w:w="1373" w:type="dxa"/>
            <w:noWrap w:val="0"/>
            <w:vAlign w:val="center"/>
          </w:tcPr>
          <w:p w14:paraId="106AE4B5">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0"/>
                <w:sz w:val="21"/>
                <w:szCs w:val="21"/>
                <w:lang w:val="en-US" w:eastAsia="zh-CN"/>
                <w14:textFill>
                  <w14:solidFill>
                    <w14:schemeClr w14:val="tx1"/>
                  </w14:solidFill>
                </w14:textFill>
              </w:rPr>
              <w:t>22.470</w:t>
            </w:r>
          </w:p>
        </w:tc>
        <w:tc>
          <w:tcPr>
            <w:tcW w:w="819" w:type="dxa"/>
            <w:noWrap w:val="0"/>
            <w:vAlign w:val="center"/>
          </w:tcPr>
          <w:p w14:paraId="1EFDDD57">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1.87</w:t>
            </w:r>
          </w:p>
        </w:tc>
        <w:tc>
          <w:tcPr>
            <w:tcW w:w="1627" w:type="dxa"/>
            <w:noWrap w:val="0"/>
            <w:vAlign w:val="center"/>
          </w:tcPr>
          <w:p w14:paraId="09564F1B">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0"/>
                <w:sz w:val="21"/>
                <w:szCs w:val="21"/>
                <w:lang w:val="en-US" w:eastAsia="zh-CN"/>
                <w14:textFill>
                  <w14:solidFill>
                    <w14:schemeClr w14:val="tx1"/>
                  </w14:solidFill>
                </w14:textFill>
              </w:rPr>
              <w:t>0.073</w:t>
            </w:r>
          </w:p>
        </w:tc>
        <w:tc>
          <w:tcPr>
            <w:tcW w:w="771" w:type="dxa"/>
            <w:noWrap w:val="0"/>
            <w:vAlign w:val="center"/>
          </w:tcPr>
          <w:p w14:paraId="340CA5DF">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0"/>
                <w:sz w:val="21"/>
                <w:szCs w:val="21"/>
                <w:lang w:val="en-US" w:eastAsia="zh-CN"/>
                <w14:textFill>
                  <w14:solidFill>
                    <w14:schemeClr w14:val="tx1"/>
                  </w14:solidFill>
                </w14:textFill>
              </w:rPr>
              <w:t>0.15</w:t>
            </w:r>
          </w:p>
        </w:tc>
      </w:tr>
      <w:tr w14:paraId="6EB2B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751" w:type="dxa"/>
            <w:noWrap w:val="0"/>
            <w:vAlign w:val="center"/>
          </w:tcPr>
          <w:p w14:paraId="69FBF014">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200</w:t>
            </w:r>
          </w:p>
        </w:tc>
        <w:tc>
          <w:tcPr>
            <w:tcW w:w="1593" w:type="dxa"/>
            <w:noWrap w:val="0"/>
            <w:vAlign w:val="center"/>
          </w:tcPr>
          <w:p w14:paraId="587BB236">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10.303</w:t>
            </w:r>
          </w:p>
        </w:tc>
        <w:tc>
          <w:tcPr>
            <w:tcW w:w="796" w:type="dxa"/>
            <w:noWrap w:val="0"/>
            <w:vAlign w:val="center"/>
          </w:tcPr>
          <w:p w14:paraId="039B3D38">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1.14</w:t>
            </w:r>
          </w:p>
        </w:tc>
        <w:tc>
          <w:tcPr>
            <w:tcW w:w="1373" w:type="dxa"/>
            <w:noWrap w:val="0"/>
            <w:vAlign w:val="center"/>
          </w:tcPr>
          <w:p w14:paraId="0942767B">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15.922</w:t>
            </w:r>
          </w:p>
        </w:tc>
        <w:tc>
          <w:tcPr>
            <w:tcW w:w="819" w:type="dxa"/>
            <w:noWrap w:val="0"/>
            <w:vAlign w:val="center"/>
          </w:tcPr>
          <w:p w14:paraId="1AA8F792">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1.33</w:t>
            </w:r>
          </w:p>
        </w:tc>
        <w:tc>
          <w:tcPr>
            <w:tcW w:w="1627" w:type="dxa"/>
            <w:noWrap w:val="0"/>
            <w:vAlign w:val="center"/>
          </w:tcPr>
          <w:p w14:paraId="0268CB8B">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0.052</w:t>
            </w:r>
          </w:p>
        </w:tc>
        <w:tc>
          <w:tcPr>
            <w:tcW w:w="771" w:type="dxa"/>
            <w:noWrap w:val="0"/>
            <w:vAlign w:val="center"/>
          </w:tcPr>
          <w:p w14:paraId="760D2BA4">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0.10</w:t>
            </w:r>
          </w:p>
        </w:tc>
      </w:tr>
      <w:tr w14:paraId="5F56F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751" w:type="dxa"/>
            <w:noWrap w:val="0"/>
            <w:vAlign w:val="center"/>
          </w:tcPr>
          <w:p w14:paraId="037D6E1F">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300</w:t>
            </w:r>
          </w:p>
        </w:tc>
        <w:tc>
          <w:tcPr>
            <w:tcW w:w="1593" w:type="dxa"/>
            <w:noWrap w:val="0"/>
            <w:vAlign w:val="center"/>
          </w:tcPr>
          <w:p w14:paraId="46F2DA4E">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7.736</w:t>
            </w:r>
          </w:p>
        </w:tc>
        <w:tc>
          <w:tcPr>
            <w:tcW w:w="796" w:type="dxa"/>
            <w:noWrap w:val="0"/>
            <w:vAlign w:val="center"/>
          </w:tcPr>
          <w:p w14:paraId="26571456">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0.86</w:t>
            </w:r>
          </w:p>
        </w:tc>
        <w:tc>
          <w:tcPr>
            <w:tcW w:w="1373" w:type="dxa"/>
            <w:noWrap w:val="0"/>
            <w:vAlign w:val="center"/>
          </w:tcPr>
          <w:p w14:paraId="049254E9">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11.956</w:t>
            </w:r>
          </w:p>
        </w:tc>
        <w:tc>
          <w:tcPr>
            <w:tcW w:w="819" w:type="dxa"/>
            <w:noWrap w:val="0"/>
            <w:vAlign w:val="center"/>
          </w:tcPr>
          <w:p w14:paraId="79A4C245">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1.00</w:t>
            </w:r>
          </w:p>
        </w:tc>
        <w:tc>
          <w:tcPr>
            <w:tcW w:w="1627" w:type="dxa"/>
            <w:noWrap w:val="0"/>
            <w:vAlign w:val="center"/>
          </w:tcPr>
          <w:p w14:paraId="2808F998">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0.039</w:t>
            </w:r>
          </w:p>
        </w:tc>
        <w:tc>
          <w:tcPr>
            <w:tcW w:w="771" w:type="dxa"/>
            <w:noWrap w:val="0"/>
            <w:vAlign w:val="center"/>
          </w:tcPr>
          <w:p w14:paraId="7FD2A835">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0.08</w:t>
            </w:r>
          </w:p>
        </w:tc>
      </w:tr>
      <w:tr w14:paraId="4B637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751" w:type="dxa"/>
            <w:noWrap w:val="0"/>
            <w:vAlign w:val="center"/>
          </w:tcPr>
          <w:p w14:paraId="121FFD9F">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500</w:t>
            </w:r>
          </w:p>
        </w:tc>
        <w:tc>
          <w:tcPr>
            <w:tcW w:w="1593" w:type="dxa"/>
            <w:noWrap w:val="0"/>
            <w:vAlign w:val="center"/>
          </w:tcPr>
          <w:p w14:paraId="22C9FD9E">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5.314</w:t>
            </w:r>
          </w:p>
        </w:tc>
        <w:tc>
          <w:tcPr>
            <w:tcW w:w="796" w:type="dxa"/>
            <w:noWrap w:val="0"/>
            <w:vAlign w:val="center"/>
          </w:tcPr>
          <w:p w14:paraId="6B61686F">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0.59</w:t>
            </w:r>
          </w:p>
        </w:tc>
        <w:tc>
          <w:tcPr>
            <w:tcW w:w="1373" w:type="dxa"/>
            <w:noWrap w:val="0"/>
            <w:vAlign w:val="center"/>
          </w:tcPr>
          <w:p w14:paraId="3676C765">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8.212</w:t>
            </w:r>
          </w:p>
        </w:tc>
        <w:tc>
          <w:tcPr>
            <w:tcW w:w="819" w:type="dxa"/>
            <w:noWrap w:val="0"/>
            <w:vAlign w:val="center"/>
          </w:tcPr>
          <w:p w14:paraId="1D0A6990">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0.68</w:t>
            </w:r>
          </w:p>
        </w:tc>
        <w:tc>
          <w:tcPr>
            <w:tcW w:w="1627" w:type="dxa"/>
            <w:noWrap w:val="0"/>
            <w:vAlign w:val="center"/>
          </w:tcPr>
          <w:p w14:paraId="74C2B816">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0.026</w:t>
            </w:r>
          </w:p>
        </w:tc>
        <w:tc>
          <w:tcPr>
            <w:tcW w:w="771" w:type="dxa"/>
            <w:noWrap w:val="0"/>
            <w:vAlign w:val="center"/>
          </w:tcPr>
          <w:p w14:paraId="4D64FAFE">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0.05</w:t>
            </w:r>
          </w:p>
        </w:tc>
      </w:tr>
      <w:tr w14:paraId="731D0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751" w:type="dxa"/>
            <w:noWrap w:val="0"/>
            <w:vAlign w:val="center"/>
          </w:tcPr>
          <w:p w14:paraId="478DAF0F">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700</w:t>
            </w:r>
          </w:p>
        </w:tc>
        <w:tc>
          <w:tcPr>
            <w:tcW w:w="1593" w:type="dxa"/>
            <w:noWrap w:val="0"/>
            <w:vAlign w:val="center"/>
          </w:tcPr>
          <w:p w14:paraId="37A949B9">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3.943</w:t>
            </w:r>
          </w:p>
        </w:tc>
        <w:tc>
          <w:tcPr>
            <w:tcW w:w="796" w:type="dxa"/>
            <w:noWrap w:val="0"/>
            <w:vAlign w:val="center"/>
          </w:tcPr>
          <w:p w14:paraId="2E48675E">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0.44</w:t>
            </w:r>
          </w:p>
        </w:tc>
        <w:tc>
          <w:tcPr>
            <w:tcW w:w="1373" w:type="dxa"/>
            <w:noWrap w:val="0"/>
            <w:vAlign w:val="center"/>
          </w:tcPr>
          <w:p w14:paraId="35FDD34A">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6.094</w:t>
            </w:r>
          </w:p>
        </w:tc>
        <w:tc>
          <w:tcPr>
            <w:tcW w:w="819" w:type="dxa"/>
            <w:noWrap w:val="0"/>
            <w:vAlign w:val="center"/>
          </w:tcPr>
          <w:p w14:paraId="2059F071">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0.51</w:t>
            </w:r>
          </w:p>
        </w:tc>
        <w:tc>
          <w:tcPr>
            <w:tcW w:w="1627" w:type="dxa"/>
            <w:noWrap w:val="0"/>
            <w:vAlign w:val="center"/>
          </w:tcPr>
          <w:p w14:paraId="20233062">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0.019</w:t>
            </w:r>
          </w:p>
        </w:tc>
        <w:tc>
          <w:tcPr>
            <w:tcW w:w="771" w:type="dxa"/>
            <w:noWrap w:val="0"/>
            <w:vAlign w:val="center"/>
          </w:tcPr>
          <w:p w14:paraId="4069D15D">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0.04</w:t>
            </w:r>
          </w:p>
        </w:tc>
      </w:tr>
      <w:tr w14:paraId="0584B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751" w:type="dxa"/>
            <w:noWrap w:val="0"/>
            <w:vAlign w:val="center"/>
          </w:tcPr>
          <w:p w14:paraId="646C6D59">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900</w:t>
            </w:r>
          </w:p>
        </w:tc>
        <w:tc>
          <w:tcPr>
            <w:tcW w:w="1593" w:type="dxa"/>
            <w:noWrap w:val="0"/>
            <w:vAlign w:val="center"/>
          </w:tcPr>
          <w:p w14:paraId="317DA733">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3.076</w:t>
            </w:r>
          </w:p>
        </w:tc>
        <w:tc>
          <w:tcPr>
            <w:tcW w:w="796" w:type="dxa"/>
            <w:noWrap w:val="0"/>
            <w:vAlign w:val="center"/>
          </w:tcPr>
          <w:p w14:paraId="3F32A134">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0.34</w:t>
            </w:r>
          </w:p>
        </w:tc>
        <w:tc>
          <w:tcPr>
            <w:tcW w:w="1373" w:type="dxa"/>
            <w:noWrap w:val="0"/>
            <w:vAlign w:val="center"/>
          </w:tcPr>
          <w:p w14:paraId="08136FAB">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4.754</w:t>
            </w:r>
          </w:p>
        </w:tc>
        <w:tc>
          <w:tcPr>
            <w:tcW w:w="819" w:type="dxa"/>
            <w:noWrap w:val="0"/>
            <w:vAlign w:val="center"/>
          </w:tcPr>
          <w:p w14:paraId="185BA92C">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0.40</w:t>
            </w:r>
          </w:p>
        </w:tc>
        <w:tc>
          <w:tcPr>
            <w:tcW w:w="1627" w:type="dxa"/>
            <w:noWrap w:val="0"/>
            <w:vAlign w:val="center"/>
          </w:tcPr>
          <w:p w14:paraId="4411214C">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0.015</w:t>
            </w:r>
          </w:p>
        </w:tc>
        <w:tc>
          <w:tcPr>
            <w:tcW w:w="771" w:type="dxa"/>
            <w:noWrap w:val="0"/>
            <w:vAlign w:val="center"/>
          </w:tcPr>
          <w:p w14:paraId="0392F516">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0.03</w:t>
            </w:r>
          </w:p>
        </w:tc>
      </w:tr>
      <w:tr w14:paraId="0C428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751" w:type="dxa"/>
            <w:noWrap w:val="0"/>
            <w:vAlign w:val="center"/>
          </w:tcPr>
          <w:p w14:paraId="054D6CD4">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1000</w:t>
            </w:r>
          </w:p>
        </w:tc>
        <w:tc>
          <w:tcPr>
            <w:tcW w:w="1593" w:type="dxa"/>
            <w:noWrap w:val="0"/>
            <w:vAlign w:val="center"/>
          </w:tcPr>
          <w:p w14:paraId="18AFE99A">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2.754</w:t>
            </w:r>
          </w:p>
        </w:tc>
        <w:tc>
          <w:tcPr>
            <w:tcW w:w="796" w:type="dxa"/>
            <w:noWrap w:val="0"/>
            <w:vAlign w:val="center"/>
          </w:tcPr>
          <w:p w14:paraId="25471B8B">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0.31</w:t>
            </w:r>
          </w:p>
        </w:tc>
        <w:tc>
          <w:tcPr>
            <w:tcW w:w="1373" w:type="dxa"/>
            <w:noWrap w:val="0"/>
            <w:vAlign w:val="center"/>
          </w:tcPr>
          <w:p w14:paraId="40C32D39">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4.256</w:t>
            </w:r>
          </w:p>
        </w:tc>
        <w:tc>
          <w:tcPr>
            <w:tcW w:w="819" w:type="dxa"/>
            <w:noWrap w:val="0"/>
            <w:vAlign w:val="center"/>
          </w:tcPr>
          <w:p w14:paraId="62BB2DB0">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0.35</w:t>
            </w:r>
          </w:p>
        </w:tc>
        <w:tc>
          <w:tcPr>
            <w:tcW w:w="1627" w:type="dxa"/>
            <w:noWrap w:val="0"/>
            <w:vAlign w:val="center"/>
          </w:tcPr>
          <w:p w14:paraId="231B1157">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0.013</w:t>
            </w:r>
          </w:p>
        </w:tc>
        <w:tc>
          <w:tcPr>
            <w:tcW w:w="771" w:type="dxa"/>
            <w:noWrap w:val="0"/>
            <w:vAlign w:val="center"/>
          </w:tcPr>
          <w:p w14:paraId="2252E5EB">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0.03</w:t>
            </w:r>
          </w:p>
        </w:tc>
      </w:tr>
      <w:tr w14:paraId="26DAF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751" w:type="dxa"/>
            <w:noWrap w:val="0"/>
            <w:vAlign w:val="center"/>
          </w:tcPr>
          <w:p w14:paraId="3B53122F">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1300</w:t>
            </w:r>
          </w:p>
        </w:tc>
        <w:tc>
          <w:tcPr>
            <w:tcW w:w="1593" w:type="dxa"/>
            <w:noWrap w:val="0"/>
            <w:vAlign w:val="center"/>
          </w:tcPr>
          <w:p w14:paraId="4B172601">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2.066</w:t>
            </w:r>
          </w:p>
        </w:tc>
        <w:tc>
          <w:tcPr>
            <w:tcW w:w="796" w:type="dxa"/>
            <w:noWrap w:val="0"/>
            <w:vAlign w:val="center"/>
          </w:tcPr>
          <w:p w14:paraId="4C08279A">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0.23</w:t>
            </w:r>
          </w:p>
        </w:tc>
        <w:tc>
          <w:tcPr>
            <w:tcW w:w="1373" w:type="dxa"/>
            <w:noWrap w:val="0"/>
            <w:vAlign w:val="center"/>
          </w:tcPr>
          <w:p w14:paraId="7071EC05">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3.193</w:t>
            </w:r>
          </w:p>
        </w:tc>
        <w:tc>
          <w:tcPr>
            <w:tcW w:w="819" w:type="dxa"/>
            <w:noWrap w:val="0"/>
            <w:vAlign w:val="center"/>
          </w:tcPr>
          <w:p w14:paraId="591F84F9">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0.27</w:t>
            </w:r>
          </w:p>
        </w:tc>
        <w:tc>
          <w:tcPr>
            <w:tcW w:w="1627" w:type="dxa"/>
            <w:noWrap w:val="0"/>
            <w:vAlign w:val="center"/>
          </w:tcPr>
          <w:p w14:paraId="2118123D">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0.010</w:t>
            </w:r>
          </w:p>
        </w:tc>
        <w:tc>
          <w:tcPr>
            <w:tcW w:w="771" w:type="dxa"/>
            <w:noWrap w:val="0"/>
            <w:vAlign w:val="center"/>
          </w:tcPr>
          <w:p w14:paraId="021E8B73">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0.02</w:t>
            </w:r>
          </w:p>
        </w:tc>
      </w:tr>
      <w:tr w14:paraId="34BCD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751" w:type="dxa"/>
            <w:noWrap w:val="0"/>
            <w:vAlign w:val="center"/>
          </w:tcPr>
          <w:p w14:paraId="3A0C2681">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1500</w:t>
            </w:r>
          </w:p>
        </w:tc>
        <w:tc>
          <w:tcPr>
            <w:tcW w:w="1593" w:type="dxa"/>
            <w:noWrap w:val="0"/>
            <w:vAlign w:val="center"/>
          </w:tcPr>
          <w:p w14:paraId="69BBAC06">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1.755</w:t>
            </w:r>
          </w:p>
        </w:tc>
        <w:tc>
          <w:tcPr>
            <w:tcW w:w="796" w:type="dxa"/>
            <w:noWrap w:val="0"/>
            <w:vAlign w:val="center"/>
          </w:tcPr>
          <w:p w14:paraId="441613E1">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0.20</w:t>
            </w:r>
          </w:p>
        </w:tc>
        <w:tc>
          <w:tcPr>
            <w:tcW w:w="1373" w:type="dxa"/>
            <w:noWrap w:val="0"/>
            <w:vAlign w:val="center"/>
          </w:tcPr>
          <w:p w14:paraId="37E705C4">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2.713</w:t>
            </w:r>
          </w:p>
        </w:tc>
        <w:tc>
          <w:tcPr>
            <w:tcW w:w="819" w:type="dxa"/>
            <w:noWrap w:val="0"/>
            <w:vAlign w:val="center"/>
          </w:tcPr>
          <w:p w14:paraId="5D8AB8FD">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0.23</w:t>
            </w:r>
          </w:p>
        </w:tc>
        <w:tc>
          <w:tcPr>
            <w:tcW w:w="1627" w:type="dxa"/>
            <w:noWrap w:val="0"/>
            <w:vAlign w:val="center"/>
          </w:tcPr>
          <w:p w14:paraId="2F7B9146">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0.008</w:t>
            </w:r>
          </w:p>
        </w:tc>
        <w:tc>
          <w:tcPr>
            <w:tcW w:w="771" w:type="dxa"/>
            <w:noWrap w:val="0"/>
            <w:vAlign w:val="center"/>
          </w:tcPr>
          <w:p w14:paraId="59A51E73">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0.02</w:t>
            </w:r>
          </w:p>
        </w:tc>
      </w:tr>
      <w:tr w14:paraId="3F5A6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751" w:type="dxa"/>
            <w:noWrap w:val="0"/>
            <w:vAlign w:val="center"/>
          </w:tcPr>
          <w:p w14:paraId="15BC8DF5">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1700</w:t>
            </w:r>
          </w:p>
        </w:tc>
        <w:tc>
          <w:tcPr>
            <w:tcW w:w="1593" w:type="dxa"/>
            <w:noWrap w:val="0"/>
            <w:vAlign w:val="center"/>
          </w:tcPr>
          <w:p w14:paraId="31FD410A">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1.517</w:t>
            </w:r>
          </w:p>
        </w:tc>
        <w:tc>
          <w:tcPr>
            <w:tcW w:w="796" w:type="dxa"/>
            <w:noWrap w:val="0"/>
            <w:vAlign w:val="center"/>
          </w:tcPr>
          <w:p w14:paraId="523EE867">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0.17</w:t>
            </w:r>
          </w:p>
        </w:tc>
        <w:tc>
          <w:tcPr>
            <w:tcW w:w="1373" w:type="dxa"/>
            <w:noWrap w:val="0"/>
            <w:vAlign w:val="center"/>
          </w:tcPr>
          <w:p w14:paraId="194DC62B">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2.345</w:t>
            </w:r>
          </w:p>
        </w:tc>
        <w:tc>
          <w:tcPr>
            <w:tcW w:w="819" w:type="dxa"/>
            <w:noWrap w:val="0"/>
            <w:vAlign w:val="center"/>
          </w:tcPr>
          <w:p w14:paraId="1EECD741">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0.20</w:t>
            </w:r>
          </w:p>
        </w:tc>
        <w:tc>
          <w:tcPr>
            <w:tcW w:w="1627" w:type="dxa"/>
            <w:noWrap w:val="0"/>
            <w:vAlign w:val="center"/>
          </w:tcPr>
          <w:p w14:paraId="01466C26">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0.007</w:t>
            </w:r>
          </w:p>
        </w:tc>
        <w:tc>
          <w:tcPr>
            <w:tcW w:w="771" w:type="dxa"/>
            <w:noWrap w:val="0"/>
            <w:vAlign w:val="center"/>
          </w:tcPr>
          <w:p w14:paraId="6FF9B9B7">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0.02</w:t>
            </w:r>
          </w:p>
        </w:tc>
      </w:tr>
      <w:tr w14:paraId="4564F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751" w:type="dxa"/>
            <w:noWrap w:val="0"/>
            <w:vAlign w:val="center"/>
          </w:tcPr>
          <w:p w14:paraId="09D76DD5">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1900</w:t>
            </w:r>
          </w:p>
        </w:tc>
        <w:tc>
          <w:tcPr>
            <w:tcW w:w="1593" w:type="dxa"/>
            <w:noWrap w:val="0"/>
            <w:vAlign w:val="center"/>
          </w:tcPr>
          <w:p w14:paraId="56446F9E">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1.330</w:t>
            </w:r>
          </w:p>
        </w:tc>
        <w:tc>
          <w:tcPr>
            <w:tcW w:w="796" w:type="dxa"/>
            <w:noWrap w:val="0"/>
            <w:vAlign w:val="center"/>
          </w:tcPr>
          <w:p w14:paraId="7F96E35F">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0.15</w:t>
            </w:r>
          </w:p>
        </w:tc>
        <w:tc>
          <w:tcPr>
            <w:tcW w:w="1373" w:type="dxa"/>
            <w:noWrap w:val="0"/>
            <w:vAlign w:val="center"/>
          </w:tcPr>
          <w:p w14:paraId="4A396DCA">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2.056</w:t>
            </w:r>
          </w:p>
        </w:tc>
        <w:tc>
          <w:tcPr>
            <w:tcW w:w="819" w:type="dxa"/>
            <w:noWrap w:val="0"/>
            <w:vAlign w:val="center"/>
          </w:tcPr>
          <w:p w14:paraId="5FD86A8A">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0.17</w:t>
            </w:r>
          </w:p>
        </w:tc>
        <w:tc>
          <w:tcPr>
            <w:tcW w:w="1627" w:type="dxa"/>
            <w:noWrap w:val="0"/>
            <w:vAlign w:val="center"/>
          </w:tcPr>
          <w:p w14:paraId="4FC33484">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0.006</w:t>
            </w:r>
          </w:p>
        </w:tc>
        <w:tc>
          <w:tcPr>
            <w:tcW w:w="771" w:type="dxa"/>
            <w:noWrap w:val="0"/>
            <w:vAlign w:val="center"/>
          </w:tcPr>
          <w:p w14:paraId="1BC6D3EB">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0.01</w:t>
            </w:r>
          </w:p>
        </w:tc>
      </w:tr>
      <w:tr w14:paraId="0A181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751" w:type="dxa"/>
            <w:noWrap w:val="0"/>
            <w:vAlign w:val="center"/>
          </w:tcPr>
          <w:p w14:paraId="1EFF72EA">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2000</w:t>
            </w:r>
          </w:p>
        </w:tc>
        <w:tc>
          <w:tcPr>
            <w:tcW w:w="1593" w:type="dxa"/>
            <w:noWrap w:val="0"/>
            <w:vAlign w:val="center"/>
          </w:tcPr>
          <w:p w14:paraId="312AB368">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1.251</w:t>
            </w:r>
          </w:p>
        </w:tc>
        <w:tc>
          <w:tcPr>
            <w:tcW w:w="796" w:type="dxa"/>
            <w:noWrap w:val="0"/>
            <w:vAlign w:val="center"/>
          </w:tcPr>
          <w:p w14:paraId="261B37F2">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0.13</w:t>
            </w:r>
          </w:p>
        </w:tc>
        <w:tc>
          <w:tcPr>
            <w:tcW w:w="1373" w:type="dxa"/>
            <w:noWrap w:val="0"/>
            <w:vAlign w:val="center"/>
          </w:tcPr>
          <w:p w14:paraId="742EB963">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1.934</w:t>
            </w:r>
          </w:p>
        </w:tc>
        <w:tc>
          <w:tcPr>
            <w:tcW w:w="819" w:type="dxa"/>
            <w:noWrap w:val="0"/>
            <w:vAlign w:val="center"/>
          </w:tcPr>
          <w:p w14:paraId="1E8305B2">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0.15</w:t>
            </w:r>
          </w:p>
        </w:tc>
        <w:tc>
          <w:tcPr>
            <w:tcW w:w="1627" w:type="dxa"/>
            <w:noWrap w:val="0"/>
            <w:vAlign w:val="center"/>
          </w:tcPr>
          <w:p w14:paraId="5DC5B46F">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0.006</w:t>
            </w:r>
          </w:p>
        </w:tc>
        <w:tc>
          <w:tcPr>
            <w:tcW w:w="771" w:type="dxa"/>
            <w:noWrap w:val="0"/>
            <w:vAlign w:val="center"/>
          </w:tcPr>
          <w:p w14:paraId="177E1C99">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0.01</w:t>
            </w:r>
          </w:p>
        </w:tc>
      </w:tr>
      <w:tr w14:paraId="0D8F7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751" w:type="dxa"/>
            <w:noWrap w:val="0"/>
            <w:vAlign w:val="center"/>
          </w:tcPr>
          <w:p w14:paraId="004F8DF7">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2300</w:t>
            </w:r>
          </w:p>
        </w:tc>
        <w:tc>
          <w:tcPr>
            <w:tcW w:w="1593" w:type="dxa"/>
            <w:noWrap w:val="0"/>
            <w:vAlign w:val="center"/>
          </w:tcPr>
          <w:p w14:paraId="0BC5F5F0">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1.057</w:t>
            </w:r>
          </w:p>
        </w:tc>
        <w:tc>
          <w:tcPr>
            <w:tcW w:w="796" w:type="dxa"/>
            <w:noWrap w:val="0"/>
            <w:vAlign w:val="center"/>
          </w:tcPr>
          <w:p w14:paraId="4FD8948B">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0.12</w:t>
            </w:r>
          </w:p>
        </w:tc>
        <w:tc>
          <w:tcPr>
            <w:tcW w:w="1373" w:type="dxa"/>
            <w:noWrap w:val="0"/>
            <w:vAlign w:val="center"/>
          </w:tcPr>
          <w:p w14:paraId="59E39DDE">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1.634</w:t>
            </w:r>
          </w:p>
        </w:tc>
        <w:tc>
          <w:tcPr>
            <w:tcW w:w="819" w:type="dxa"/>
            <w:noWrap w:val="0"/>
            <w:vAlign w:val="center"/>
          </w:tcPr>
          <w:p w14:paraId="50D2F44E">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0.14</w:t>
            </w:r>
          </w:p>
        </w:tc>
        <w:tc>
          <w:tcPr>
            <w:tcW w:w="1627" w:type="dxa"/>
            <w:noWrap w:val="0"/>
            <w:vAlign w:val="center"/>
          </w:tcPr>
          <w:p w14:paraId="2DAFD318">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0.005</w:t>
            </w:r>
          </w:p>
        </w:tc>
        <w:tc>
          <w:tcPr>
            <w:tcW w:w="771" w:type="dxa"/>
            <w:noWrap w:val="0"/>
            <w:vAlign w:val="center"/>
          </w:tcPr>
          <w:p w14:paraId="33CDECA3">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0.01</w:t>
            </w:r>
          </w:p>
        </w:tc>
      </w:tr>
      <w:tr w14:paraId="6326B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751" w:type="dxa"/>
            <w:noWrap w:val="0"/>
            <w:vAlign w:val="center"/>
          </w:tcPr>
          <w:p w14:paraId="5C4BC78D">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2500</w:t>
            </w:r>
          </w:p>
        </w:tc>
        <w:tc>
          <w:tcPr>
            <w:tcW w:w="1593" w:type="dxa"/>
            <w:noWrap w:val="0"/>
            <w:vAlign w:val="center"/>
          </w:tcPr>
          <w:p w14:paraId="7FDE7C73">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0.955</w:t>
            </w:r>
          </w:p>
        </w:tc>
        <w:tc>
          <w:tcPr>
            <w:tcW w:w="796" w:type="dxa"/>
            <w:noWrap w:val="0"/>
            <w:vAlign w:val="center"/>
          </w:tcPr>
          <w:p w14:paraId="40B3B56C">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0.11</w:t>
            </w:r>
          </w:p>
        </w:tc>
        <w:tc>
          <w:tcPr>
            <w:tcW w:w="1373" w:type="dxa"/>
            <w:noWrap w:val="0"/>
            <w:vAlign w:val="center"/>
          </w:tcPr>
          <w:p w14:paraId="5B82D917">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1.476</w:t>
            </w:r>
          </w:p>
        </w:tc>
        <w:tc>
          <w:tcPr>
            <w:tcW w:w="819" w:type="dxa"/>
            <w:noWrap w:val="0"/>
            <w:vAlign w:val="center"/>
          </w:tcPr>
          <w:p w14:paraId="2E404501">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0.12</w:t>
            </w:r>
          </w:p>
        </w:tc>
        <w:tc>
          <w:tcPr>
            <w:tcW w:w="1627" w:type="dxa"/>
            <w:noWrap w:val="0"/>
            <w:vAlign w:val="center"/>
          </w:tcPr>
          <w:p w14:paraId="2F03C92F">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0.004</w:t>
            </w:r>
          </w:p>
        </w:tc>
        <w:tc>
          <w:tcPr>
            <w:tcW w:w="771" w:type="dxa"/>
            <w:noWrap w:val="0"/>
            <w:vAlign w:val="center"/>
          </w:tcPr>
          <w:p w14:paraId="45250131">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0.01</w:t>
            </w:r>
          </w:p>
        </w:tc>
      </w:tr>
      <w:tr w14:paraId="6D5C1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751" w:type="dxa"/>
            <w:noWrap w:val="0"/>
            <w:vAlign w:val="center"/>
          </w:tcPr>
          <w:p w14:paraId="11AC0DEA">
            <w:pPr>
              <w:keepNext w:val="0"/>
              <w:keepLines w:val="0"/>
              <w:pageBreakBefore w:val="0"/>
              <w:widowControl/>
              <w:kinsoku/>
              <w:wordWrap/>
              <w:overflowPunct/>
              <w:topLinePunct w:val="0"/>
              <w:autoSpaceDE/>
              <w:autoSpaceDN/>
              <w:bidi w:val="0"/>
              <w:adjustRightInd w:val="0"/>
              <w:snapToGrid w:val="0"/>
              <w:spacing w:before="0"/>
              <w:jc w:val="center"/>
              <w:textAlignment w:val="auto"/>
              <w:rPr>
                <w:rFonts w:hint="default" w:ascii="Times New Roman" w:hAnsi="Times New Roman" w:eastAsia="宋体" w:cs="Times New Roman"/>
                <w:b/>
                <w:bCs/>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SA"/>
                <w14:textFill>
                  <w14:solidFill>
                    <w14:schemeClr w14:val="tx1"/>
                  </w14:solidFill>
                </w14:textFill>
              </w:rPr>
              <w:t>下风向最大质量浓度及占标率（%）</w:t>
            </w:r>
          </w:p>
        </w:tc>
        <w:tc>
          <w:tcPr>
            <w:tcW w:w="1593" w:type="dxa"/>
            <w:noWrap w:val="0"/>
            <w:vAlign w:val="center"/>
          </w:tcPr>
          <w:p w14:paraId="126B87EB">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b/>
                <w:bCs/>
                <w:color w:val="000000" w:themeColor="text1"/>
                <w:kern w:val="0"/>
                <w:sz w:val="21"/>
                <w:szCs w:val="21"/>
                <w:lang w:val="en-US" w:eastAsia="zh-CN"/>
                <w14:textFill>
                  <w14:solidFill>
                    <w14:schemeClr w14:val="tx1"/>
                  </w14:solidFill>
                </w14:textFill>
              </w:rPr>
              <w:t>22.365</w:t>
            </w:r>
          </w:p>
        </w:tc>
        <w:tc>
          <w:tcPr>
            <w:tcW w:w="796" w:type="dxa"/>
            <w:noWrap w:val="0"/>
            <w:vAlign w:val="center"/>
          </w:tcPr>
          <w:p w14:paraId="12173AE8">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b/>
                <w:bCs/>
                <w:color w:val="000000" w:themeColor="text1"/>
                <w:kern w:val="0"/>
                <w:sz w:val="21"/>
                <w:szCs w:val="21"/>
                <w:lang w:val="en-US" w:eastAsia="zh-CN"/>
                <w14:textFill>
                  <w14:solidFill>
                    <w14:schemeClr w14:val="tx1"/>
                  </w14:solidFill>
                </w14:textFill>
              </w:rPr>
              <w:t>2.49</w:t>
            </w:r>
          </w:p>
        </w:tc>
        <w:tc>
          <w:tcPr>
            <w:tcW w:w="1373" w:type="dxa"/>
            <w:noWrap w:val="0"/>
            <w:vAlign w:val="center"/>
          </w:tcPr>
          <w:p w14:paraId="29F64F06">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b/>
                <w:bCs/>
                <w:color w:val="000000" w:themeColor="text1"/>
                <w:kern w:val="0"/>
                <w:sz w:val="21"/>
                <w:szCs w:val="21"/>
                <w:lang w:val="en-US" w:eastAsia="zh-CN"/>
                <w14:textFill>
                  <w14:solidFill>
                    <w14:schemeClr w14:val="tx1"/>
                  </w14:solidFill>
                </w14:textFill>
              </w:rPr>
              <w:t>34.564</w:t>
            </w:r>
          </w:p>
        </w:tc>
        <w:tc>
          <w:tcPr>
            <w:tcW w:w="819" w:type="dxa"/>
            <w:noWrap w:val="0"/>
            <w:vAlign w:val="center"/>
          </w:tcPr>
          <w:p w14:paraId="6210A081">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cs="Times New Roman"/>
                <w:b/>
                <w:bCs/>
                <w:color w:val="000000" w:themeColor="text1"/>
                <w:kern w:val="0"/>
                <w:sz w:val="21"/>
                <w:szCs w:val="21"/>
                <w:lang w:val="en-US" w:eastAsia="zh-CN"/>
                <w14:textFill>
                  <w14:solidFill>
                    <w14:schemeClr w14:val="tx1"/>
                  </w14:solidFill>
                </w14:textFill>
              </w:rPr>
              <w:t>2</w:t>
            </w:r>
            <w:r>
              <w:rPr>
                <w:rFonts w:hint="default" w:ascii="Times New Roman" w:hAnsi="Times New Roman" w:cs="Times New Roman"/>
                <w:b/>
                <w:bCs/>
                <w:color w:val="000000" w:themeColor="text1"/>
                <w:kern w:val="0"/>
                <w:sz w:val="21"/>
                <w:szCs w:val="21"/>
                <w14:textFill>
                  <w14:solidFill>
                    <w14:schemeClr w14:val="tx1"/>
                  </w14:solidFill>
                </w14:textFill>
              </w:rPr>
              <w:t>.</w:t>
            </w:r>
            <w:r>
              <w:rPr>
                <w:rFonts w:hint="eastAsia" w:ascii="Times New Roman" w:hAnsi="Times New Roman" w:cs="Times New Roman"/>
                <w:b/>
                <w:bCs/>
                <w:color w:val="000000" w:themeColor="text1"/>
                <w:kern w:val="0"/>
                <w:sz w:val="21"/>
                <w:szCs w:val="21"/>
                <w:lang w:val="en-US" w:eastAsia="zh-CN"/>
                <w14:textFill>
                  <w14:solidFill>
                    <w14:schemeClr w14:val="tx1"/>
                  </w14:solidFill>
                </w14:textFill>
              </w:rPr>
              <w:t>88</w:t>
            </w:r>
          </w:p>
        </w:tc>
        <w:tc>
          <w:tcPr>
            <w:tcW w:w="1627" w:type="dxa"/>
            <w:noWrap w:val="0"/>
            <w:vAlign w:val="center"/>
          </w:tcPr>
          <w:p w14:paraId="7B3CA837">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b/>
                <w:bCs/>
                <w:color w:val="000000" w:themeColor="text1"/>
                <w:kern w:val="0"/>
                <w:sz w:val="21"/>
                <w:szCs w:val="21"/>
                <w:lang w:val="en-US"/>
                <w14:textFill>
                  <w14:solidFill>
                    <w14:schemeClr w14:val="tx1"/>
                  </w14:solidFill>
                </w14:textFill>
              </w:rPr>
            </w:pPr>
            <w:r>
              <w:rPr>
                <w:rFonts w:hint="eastAsia" w:ascii="Times New Roman" w:hAnsi="Times New Roman" w:cs="Times New Roman"/>
                <w:b/>
                <w:bCs/>
                <w:color w:val="000000" w:themeColor="text1"/>
                <w:kern w:val="0"/>
                <w:sz w:val="21"/>
                <w:szCs w:val="21"/>
                <w:lang w:val="en-US" w:eastAsia="zh-CN"/>
                <w14:textFill>
                  <w14:solidFill>
                    <w14:schemeClr w14:val="tx1"/>
                  </w14:solidFill>
                </w14:textFill>
              </w:rPr>
              <w:t>0.113</w:t>
            </w:r>
          </w:p>
        </w:tc>
        <w:tc>
          <w:tcPr>
            <w:tcW w:w="771" w:type="dxa"/>
            <w:noWrap w:val="0"/>
            <w:vAlign w:val="center"/>
          </w:tcPr>
          <w:p w14:paraId="26995B27">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0.</w:t>
            </w:r>
            <w:r>
              <w:rPr>
                <w:rFonts w:hint="eastAsia" w:ascii="Times New Roman" w:hAnsi="Times New Roman" w:cs="Times New Roman"/>
                <w:b/>
                <w:bCs/>
                <w:color w:val="000000" w:themeColor="text1"/>
                <w:kern w:val="0"/>
                <w:sz w:val="21"/>
                <w:szCs w:val="21"/>
                <w:lang w:val="en-US" w:eastAsia="zh-CN"/>
                <w14:textFill>
                  <w14:solidFill>
                    <w14:schemeClr w14:val="tx1"/>
                  </w14:solidFill>
                </w14:textFill>
              </w:rPr>
              <w:t>23</w:t>
            </w:r>
          </w:p>
        </w:tc>
      </w:tr>
    </w:tbl>
    <w:p w14:paraId="5A08C36A">
      <w:pPr>
        <w:widowControl/>
        <w:adjustRightInd w:val="0"/>
        <w:snapToGrid w:val="0"/>
        <w:spacing w:line="360" w:lineRule="auto"/>
        <w:ind w:firstLine="480" w:firstLineChars="200"/>
        <w:jc w:val="left"/>
        <w:rPr>
          <w:rFonts w:ascii="Times New Roman"/>
          <w:color w:val="000000" w:themeColor="text1"/>
          <w:kern w:val="0"/>
          <w:sz w:val="24"/>
          <w:szCs w:val="20"/>
          <w14:textFill>
            <w14:solidFill>
              <w14:schemeClr w14:val="tx1"/>
            </w14:solidFill>
          </w14:textFill>
        </w:rPr>
      </w:pPr>
      <w:r>
        <w:rPr>
          <w:rFonts w:ascii="Times New Roman"/>
          <w:color w:val="000000" w:themeColor="text1"/>
          <w:kern w:val="0"/>
          <w:sz w:val="24"/>
          <w:szCs w:val="20"/>
          <w14:textFill>
            <w14:solidFill>
              <w14:schemeClr w14:val="tx1"/>
            </w14:solidFill>
          </w14:textFill>
        </w:rPr>
        <w:t>根据估算结果，项目区</w:t>
      </w:r>
      <w:r>
        <w:rPr>
          <w:rFonts w:hint="eastAsia"/>
          <w:color w:val="000000" w:themeColor="text1"/>
          <w:kern w:val="0"/>
          <w:sz w:val="24"/>
          <w:szCs w:val="20"/>
          <w:lang w:val="en-US" w:eastAsia="zh-CN"/>
          <w14:textFill>
            <w14:solidFill>
              <w14:schemeClr w14:val="tx1"/>
            </w14:solidFill>
          </w14:textFill>
        </w:rPr>
        <w:t>TVOC</w:t>
      </w:r>
      <w:r>
        <w:rPr>
          <w:rFonts w:ascii="Times New Roman"/>
          <w:color w:val="000000" w:themeColor="text1"/>
          <w:kern w:val="0"/>
          <w:sz w:val="24"/>
          <w:szCs w:val="20"/>
          <w14:textFill>
            <w14:solidFill>
              <w14:schemeClr w14:val="tx1"/>
            </w14:solidFill>
          </w14:textFill>
        </w:rPr>
        <w:t>最大落地浓度为</w:t>
      </w:r>
      <w:r>
        <w:rPr>
          <w:rFonts w:hint="eastAsia"/>
          <w:color w:val="000000" w:themeColor="text1"/>
          <w:kern w:val="0"/>
          <w:sz w:val="24"/>
          <w:szCs w:val="20"/>
          <w:lang w:val="en-US" w:eastAsia="zh-CN"/>
          <w14:textFill>
            <w14:solidFill>
              <w14:schemeClr w14:val="tx1"/>
            </w14:solidFill>
          </w14:textFill>
        </w:rPr>
        <w:t>34.564</w:t>
      </w:r>
      <w:r>
        <w:rPr>
          <w:rFonts w:ascii="Times New Roman"/>
          <w:color w:val="000000" w:themeColor="text1"/>
          <w:kern w:val="0"/>
          <w:sz w:val="24"/>
          <w:szCs w:val="20"/>
          <w14:textFill>
            <w14:solidFill>
              <w14:schemeClr w14:val="tx1"/>
            </w14:solidFill>
          </w14:textFill>
        </w:rPr>
        <w:t>ug/m</w:t>
      </w:r>
      <w:r>
        <w:rPr>
          <w:rFonts w:ascii="Times New Roman"/>
          <w:color w:val="000000" w:themeColor="text1"/>
          <w:kern w:val="0"/>
          <w:sz w:val="24"/>
          <w:szCs w:val="20"/>
          <w:vertAlign w:val="superscript"/>
          <w14:textFill>
            <w14:solidFill>
              <w14:schemeClr w14:val="tx1"/>
            </w14:solidFill>
          </w14:textFill>
        </w:rPr>
        <w:t>3</w:t>
      </w:r>
      <w:r>
        <w:rPr>
          <w:rFonts w:ascii="Times New Roman"/>
          <w:color w:val="000000" w:themeColor="text1"/>
          <w:kern w:val="0"/>
          <w:sz w:val="24"/>
          <w:szCs w:val="20"/>
          <w14:textFill>
            <w14:solidFill>
              <w14:schemeClr w14:val="tx1"/>
            </w14:solidFill>
          </w14:textFill>
        </w:rPr>
        <w:t>，占标率为</w:t>
      </w:r>
      <w:r>
        <w:rPr>
          <w:rFonts w:hint="eastAsia"/>
          <w:color w:val="000000" w:themeColor="text1"/>
          <w:kern w:val="0"/>
          <w:sz w:val="24"/>
          <w:szCs w:val="20"/>
          <w:lang w:val="en-US" w:eastAsia="zh-CN"/>
          <w14:textFill>
            <w14:solidFill>
              <w14:schemeClr w14:val="tx1"/>
            </w14:solidFill>
          </w14:textFill>
        </w:rPr>
        <w:t>2.88</w:t>
      </w:r>
      <w:r>
        <w:rPr>
          <w:rFonts w:ascii="Times New Roman"/>
          <w:color w:val="000000" w:themeColor="text1"/>
          <w:kern w:val="0"/>
          <w:sz w:val="24"/>
          <w:szCs w:val="20"/>
          <w14:textFill>
            <w14:solidFill>
              <w14:schemeClr w14:val="tx1"/>
            </w14:solidFill>
          </w14:textFill>
        </w:rPr>
        <w:t>%，对应的距离为</w:t>
      </w:r>
      <w:r>
        <w:rPr>
          <w:rFonts w:hint="eastAsia"/>
          <w:color w:val="000000" w:themeColor="text1"/>
          <w:kern w:val="0"/>
          <w:sz w:val="24"/>
          <w:szCs w:val="20"/>
          <w:lang w:val="en-US" w:eastAsia="zh-CN"/>
          <w14:textFill>
            <w14:solidFill>
              <w14:schemeClr w14:val="tx1"/>
            </w14:solidFill>
          </w14:textFill>
        </w:rPr>
        <w:t>40</w:t>
      </w:r>
      <w:r>
        <w:rPr>
          <w:rFonts w:ascii="Times New Roman"/>
          <w:color w:val="000000" w:themeColor="text1"/>
          <w:kern w:val="0"/>
          <w:sz w:val="24"/>
          <w:szCs w:val="20"/>
          <w14:textFill>
            <w14:solidFill>
              <w14:schemeClr w14:val="tx1"/>
            </w14:solidFill>
          </w14:textFill>
        </w:rPr>
        <w:t>m</w:t>
      </w:r>
      <w:r>
        <w:rPr>
          <w:rFonts w:hint="eastAsia" w:ascii="Times New Roman"/>
          <w:color w:val="000000" w:themeColor="text1"/>
          <w:kern w:val="0"/>
          <w:sz w:val="24"/>
          <w:szCs w:val="20"/>
          <w:lang w:eastAsia="zh-CN"/>
          <w14:textFill>
            <w14:solidFill>
              <w14:schemeClr w14:val="tx1"/>
            </w14:solidFill>
          </w14:textFill>
        </w:rPr>
        <w:t>；</w:t>
      </w:r>
      <w:r>
        <w:rPr>
          <w:rFonts w:ascii="Times New Roman"/>
          <w:color w:val="000000" w:themeColor="text1"/>
          <w:kern w:val="0"/>
          <w:sz w:val="24"/>
          <w:szCs w:val="20"/>
          <w14:textFill>
            <w14:solidFill>
              <w14:schemeClr w14:val="tx1"/>
            </w14:solidFill>
          </w14:textFill>
        </w:rPr>
        <w:t>项目区</w:t>
      </w:r>
      <w:r>
        <w:rPr>
          <w:rFonts w:hint="eastAsia" w:ascii="Times New Roman"/>
          <w:color w:val="000000" w:themeColor="text1"/>
          <w:kern w:val="0"/>
          <w:sz w:val="24"/>
          <w:szCs w:val="20"/>
          <w:lang w:val="en-US" w:eastAsia="zh-CN"/>
          <w14:textFill>
            <w14:solidFill>
              <w14:schemeClr w14:val="tx1"/>
            </w14:solidFill>
          </w14:textFill>
        </w:rPr>
        <w:t>TSP</w:t>
      </w:r>
      <w:r>
        <w:rPr>
          <w:rFonts w:ascii="Times New Roman"/>
          <w:color w:val="000000" w:themeColor="text1"/>
          <w:kern w:val="0"/>
          <w:sz w:val="24"/>
          <w:szCs w:val="20"/>
          <w14:textFill>
            <w14:solidFill>
              <w14:schemeClr w14:val="tx1"/>
            </w14:solidFill>
          </w14:textFill>
        </w:rPr>
        <w:t>最大落地浓度为</w:t>
      </w:r>
      <w:r>
        <w:rPr>
          <w:rFonts w:hint="eastAsia"/>
          <w:color w:val="000000" w:themeColor="text1"/>
          <w:kern w:val="0"/>
          <w:sz w:val="24"/>
          <w:szCs w:val="20"/>
          <w:lang w:val="en-US" w:eastAsia="zh-CN"/>
          <w14:textFill>
            <w14:solidFill>
              <w14:schemeClr w14:val="tx1"/>
            </w14:solidFill>
          </w14:textFill>
        </w:rPr>
        <w:t>22.365</w:t>
      </w:r>
      <w:r>
        <w:rPr>
          <w:rFonts w:ascii="Times New Roman"/>
          <w:color w:val="000000" w:themeColor="text1"/>
          <w:kern w:val="0"/>
          <w:sz w:val="24"/>
          <w:szCs w:val="20"/>
          <w14:textFill>
            <w14:solidFill>
              <w14:schemeClr w14:val="tx1"/>
            </w14:solidFill>
          </w14:textFill>
        </w:rPr>
        <w:t>ug/m</w:t>
      </w:r>
      <w:r>
        <w:rPr>
          <w:rFonts w:ascii="Times New Roman"/>
          <w:color w:val="000000" w:themeColor="text1"/>
          <w:kern w:val="0"/>
          <w:sz w:val="24"/>
          <w:szCs w:val="20"/>
          <w:vertAlign w:val="superscript"/>
          <w14:textFill>
            <w14:solidFill>
              <w14:schemeClr w14:val="tx1"/>
            </w14:solidFill>
          </w14:textFill>
        </w:rPr>
        <w:t>3</w:t>
      </w:r>
      <w:r>
        <w:rPr>
          <w:rFonts w:ascii="Times New Roman"/>
          <w:color w:val="000000" w:themeColor="text1"/>
          <w:kern w:val="0"/>
          <w:sz w:val="24"/>
          <w:szCs w:val="20"/>
          <w14:textFill>
            <w14:solidFill>
              <w14:schemeClr w14:val="tx1"/>
            </w14:solidFill>
          </w14:textFill>
        </w:rPr>
        <w:t>，占标率为</w:t>
      </w:r>
      <w:r>
        <w:rPr>
          <w:rFonts w:hint="eastAsia"/>
          <w:color w:val="000000" w:themeColor="text1"/>
          <w:kern w:val="0"/>
          <w:sz w:val="24"/>
          <w:szCs w:val="20"/>
          <w:lang w:val="en-US" w:eastAsia="zh-CN"/>
          <w14:textFill>
            <w14:solidFill>
              <w14:schemeClr w14:val="tx1"/>
            </w14:solidFill>
          </w14:textFill>
        </w:rPr>
        <w:t>2.49</w:t>
      </w:r>
      <w:r>
        <w:rPr>
          <w:rFonts w:ascii="Times New Roman"/>
          <w:color w:val="000000" w:themeColor="text1"/>
          <w:kern w:val="0"/>
          <w:sz w:val="24"/>
          <w:szCs w:val="20"/>
          <w14:textFill>
            <w14:solidFill>
              <w14:schemeClr w14:val="tx1"/>
            </w14:solidFill>
          </w14:textFill>
        </w:rPr>
        <w:t>%，对应的距离为</w:t>
      </w:r>
      <w:r>
        <w:rPr>
          <w:rFonts w:hint="eastAsia"/>
          <w:color w:val="000000" w:themeColor="text1"/>
          <w:kern w:val="0"/>
          <w:sz w:val="24"/>
          <w:szCs w:val="20"/>
          <w:lang w:val="en-US" w:eastAsia="zh-CN"/>
          <w14:textFill>
            <w14:solidFill>
              <w14:schemeClr w14:val="tx1"/>
            </w14:solidFill>
          </w14:textFill>
        </w:rPr>
        <w:t>40</w:t>
      </w:r>
      <w:r>
        <w:rPr>
          <w:rFonts w:ascii="Times New Roman"/>
          <w:color w:val="000000" w:themeColor="text1"/>
          <w:kern w:val="0"/>
          <w:sz w:val="24"/>
          <w:szCs w:val="20"/>
          <w14:textFill>
            <w14:solidFill>
              <w14:schemeClr w14:val="tx1"/>
            </w14:solidFill>
          </w14:textFill>
        </w:rPr>
        <w:t>m</w:t>
      </w:r>
      <w:r>
        <w:rPr>
          <w:rFonts w:hint="eastAsia" w:ascii="Times New Roman"/>
          <w:color w:val="000000" w:themeColor="text1"/>
          <w:kern w:val="0"/>
          <w:sz w:val="24"/>
          <w:szCs w:val="20"/>
          <w:lang w:eastAsia="zh-CN"/>
          <w14:textFill>
            <w14:solidFill>
              <w14:schemeClr w14:val="tx1"/>
            </w14:solidFill>
          </w14:textFill>
        </w:rPr>
        <w:t>；</w:t>
      </w:r>
      <w:r>
        <w:rPr>
          <w:rFonts w:ascii="Times New Roman"/>
          <w:color w:val="000000" w:themeColor="text1"/>
          <w:kern w:val="0"/>
          <w:sz w:val="24"/>
          <w:szCs w:val="20"/>
          <w14:textFill>
            <w14:solidFill>
              <w14:schemeClr w14:val="tx1"/>
            </w14:solidFill>
          </w14:textFill>
        </w:rPr>
        <w:t>项目区</w:t>
      </w:r>
      <w:r>
        <w:rPr>
          <w:rFonts w:hint="eastAsia"/>
          <w:color w:val="000000" w:themeColor="text1"/>
          <w:kern w:val="0"/>
          <w:sz w:val="24"/>
          <w:szCs w:val="20"/>
          <w:lang w:val="en-US" w:eastAsia="zh-CN"/>
          <w14:textFill>
            <w14:solidFill>
              <w14:schemeClr w14:val="tx1"/>
            </w14:solidFill>
          </w14:textFill>
        </w:rPr>
        <w:t>甲醛</w:t>
      </w:r>
      <w:r>
        <w:rPr>
          <w:rFonts w:ascii="Times New Roman"/>
          <w:color w:val="000000" w:themeColor="text1"/>
          <w:kern w:val="0"/>
          <w:sz w:val="24"/>
          <w:szCs w:val="20"/>
          <w14:textFill>
            <w14:solidFill>
              <w14:schemeClr w14:val="tx1"/>
            </w14:solidFill>
          </w14:textFill>
        </w:rPr>
        <w:t>最大落地浓度为0.</w:t>
      </w:r>
      <w:r>
        <w:rPr>
          <w:rFonts w:hint="eastAsia"/>
          <w:color w:val="000000" w:themeColor="text1"/>
          <w:kern w:val="0"/>
          <w:sz w:val="24"/>
          <w:szCs w:val="20"/>
          <w:lang w:val="en-US" w:eastAsia="zh-CN"/>
          <w14:textFill>
            <w14:solidFill>
              <w14:schemeClr w14:val="tx1"/>
            </w14:solidFill>
          </w14:textFill>
        </w:rPr>
        <w:t>113</w:t>
      </w:r>
      <w:r>
        <w:rPr>
          <w:rFonts w:ascii="Times New Roman"/>
          <w:color w:val="000000" w:themeColor="text1"/>
          <w:kern w:val="0"/>
          <w:sz w:val="24"/>
          <w:szCs w:val="20"/>
          <w14:textFill>
            <w14:solidFill>
              <w14:schemeClr w14:val="tx1"/>
            </w14:solidFill>
          </w14:textFill>
        </w:rPr>
        <w:t>ug/m</w:t>
      </w:r>
      <w:r>
        <w:rPr>
          <w:rFonts w:ascii="Times New Roman"/>
          <w:color w:val="000000" w:themeColor="text1"/>
          <w:kern w:val="0"/>
          <w:sz w:val="24"/>
          <w:szCs w:val="20"/>
          <w:vertAlign w:val="superscript"/>
          <w14:textFill>
            <w14:solidFill>
              <w14:schemeClr w14:val="tx1"/>
            </w14:solidFill>
          </w14:textFill>
        </w:rPr>
        <w:t>3</w:t>
      </w:r>
      <w:r>
        <w:rPr>
          <w:rFonts w:ascii="Times New Roman"/>
          <w:color w:val="000000" w:themeColor="text1"/>
          <w:kern w:val="0"/>
          <w:sz w:val="24"/>
          <w:szCs w:val="20"/>
          <w14:textFill>
            <w14:solidFill>
              <w14:schemeClr w14:val="tx1"/>
            </w14:solidFill>
          </w14:textFill>
        </w:rPr>
        <w:t>，占标率为0.</w:t>
      </w:r>
      <w:r>
        <w:rPr>
          <w:rFonts w:hint="eastAsia"/>
          <w:color w:val="000000" w:themeColor="text1"/>
          <w:kern w:val="0"/>
          <w:sz w:val="24"/>
          <w:szCs w:val="20"/>
          <w:lang w:val="en-US" w:eastAsia="zh-CN"/>
          <w14:textFill>
            <w14:solidFill>
              <w14:schemeClr w14:val="tx1"/>
            </w14:solidFill>
          </w14:textFill>
        </w:rPr>
        <w:t>23</w:t>
      </w:r>
      <w:r>
        <w:rPr>
          <w:rFonts w:ascii="Times New Roman"/>
          <w:color w:val="000000" w:themeColor="text1"/>
          <w:kern w:val="0"/>
          <w:sz w:val="24"/>
          <w:szCs w:val="20"/>
          <w14:textFill>
            <w14:solidFill>
              <w14:schemeClr w14:val="tx1"/>
            </w14:solidFill>
          </w14:textFill>
        </w:rPr>
        <w:t>%，对应的距离为</w:t>
      </w:r>
      <w:r>
        <w:rPr>
          <w:rFonts w:hint="eastAsia"/>
          <w:color w:val="000000" w:themeColor="text1"/>
          <w:kern w:val="0"/>
          <w:sz w:val="24"/>
          <w:szCs w:val="20"/>
          <w:lang w:val="en-US" w:eastAsia="zh-CN"/>
          <w14:textFill>
            <w14:solidFill>
              <w14:schemeClr w14:val="tx1"/>
            </w14:solidFill>
          </w14:textFill>
        </w:rPr>
        <w:t>40</w:t>
      </w:r>
      <w:r>
        <w:rPr>
          <w:rFonts w:ascii="Times New Roman"/>
          <w:color w:val="000000" w:themeColor="text1"/>
          <w:kern w:val="0"/>
          <w:sz w:val="24"/>
          <w:szCs w:val="20"/>
          <w14:textFill>
            <w14:solidFill>
              <w14:schemeClr w14:val="tx1"/>
            </w14:solidFill>
          </w14:textFill>
        </w:rPr>
        <w:t>m。</w:t>
      </w:r>
    </w:p>
    <w:p w14:paraId="50B466BA">
      <w:pPr>
        <w:widowControl/>
        <w:adjustRightInd w:val="0"/>
        <w:snapToGrid w:val="0"/>
        <w:spacing w:line="360" w:lineRule="auto"/>
        <w:ind w:firstLine="482" w:firstLineChars="200"/>
        <w:jc w:val="left"/>
        <w:rPr>
          <w:rFonts w:ascii="Times New Roman"/>
          <w:b/>
          <w:color w:val="000000" w:themeColor="text1"/>
          <w:kern w:val="0"/>
          <w:sz w:val="24"/>
          <w:szCs w:val="20"/>
          <w14:textFill>
            <w14:solidFill>
              <w14:schemeClr w14:val="tx1"/>
            </w14:solidFill>
          </w14:textFill>
        </w:rPr>
      </w:pPr>
      <w:r>
        <w:rPr>
          <w:rFonts w:ascii="Times New Roman"/>
          <w:b/>
          <w:color w:val="000000" w:themeColor="text1"/>
          <w:kern w:val="0"/>
          <w:sz w:val="24"/>
          <w:szCs w:val="20"/>
          <w14:textFill>
            <w14:solidFill>
              <w14:schemeClr w14:val="tx1"/>
            </w14:solidFill>
          </w14:textFill>
        </w:rPr>
        <w:t>5、污染物排放量核算</w:t>
      </w:r>
    </w:p>
    <w:p w14:paraId="4455E321">
      <w:pPr>
        <w:widowControl/>
        <w:adjustRightInd w:val="0"/>
        <w:snapToGrid w:val="0"/>
        <w:spacing w:line="360" w:lineRule="auto"/>
        <w:ind w:firstLine="480" w:firstLineChars="200"/>
        <w:jc w:val="left"/>
        <w:rPr>
          <w:rFonts w:ascii="Times New Roman"/>
          <w:color w:val="000000" w:themeColor="text1"/>
          <w:kern w:val="0"/>
          <w:sz w:val="24"/>
          <w:szCs w:val="20"/>
          <w14:textFill>
            <w14:solidFill>
              <w14:schemeClr w14:val="tx1"/>
            </w14:solidFill>
          </w14:textFill>
        </w:rPr>
      </w:pPr>
      <w:r>
        <w:rPr>
          <w:rFonts w:ascii="Times New Roman"/>
          <w:color w:val="000000" w:themeColor="text1"/>
          <w:kern w:val="0"/>
          <w:sz w:val="24"/>
          <w:szCs w:val="20"/>
          <w14:textFill>
            <w14:solidFill>
              <w14:schemeClr w14:val="tx1"/>
            </w14:solidFill>
          </w14:textFill>
        </w:rPr>
        <w:t>项目大气环境影响评价工作等级为二级，根据《环境影响评价技术导则</w:t>
      </w:r>
      <w:r>
        <w:rPr>
          <w:rFonts w:hint="eastAsia" w:ascii="Times New Roman"/>
          <w:color w:val="000000" w:themeColor="text1"/>
          <w:kern w:val="0"/>
          <w:sz w:val="24"/>
          <w:szCs w:val="20"/>
          <w:lang w:val="en-US" w:eastAsia="zh-CN"/>
          <w14:textFill>
            <w14:solidFill>
              <w14:schemeClr w14:val="tx1"/>
            </w14:solidFill>
          </w14:textFill>
        </w:rPr>
        <w:t xml:space="preserve"> </w:t>
      </w:r>
      <w:r>
        <w:rPr>
          <w:rFonts w:ascii="Times New Roman"/>
          <w:color w:val="000000" w:themeColor="text1"/>
          <w:kern w:val="0"/>
          <w:sz w:val="24"/>
          <w:szCs w:val="20"/>
          <w14:textFill>
            <w14:solidFill>
              <w14:schemeClr w14:val="tx1"/>
            </w14:solidFill>
          </w14:textFill>
        </w:rPr>
        <w:t>大气环境》（HJ2.2-2018）中8.1.2内容：二级评价项目不进行进一步预测与评价。结合项目废气排放形式，根据附录C.6.1有组织排放量核算、C.6.2无组织排放量核算，对项目污染物排放量进行核算。</w:t>
      </w:r>
    </w:p>
    <w:p w14:paraId="49F2AE88">
      <w:pPr>
        <w:widowControl/>
        <w:adjustRightInd w:val="0"/>
        <w:snapToGrid w:val="0"/>
        <w:jc w:val="center"/>
        <w:rPr>
          <w:rFonts w:ascii="Times New Roman"/>
          <w:b/>
          <w:bCs/>
          <w:color w:val="000000" w:themeColor="text1"/>
          <w:kern w:val="0"/>
          <w:sz w:val="24"/>
          <w:szCs w:val="20"/>
          <w14:textFill>
            <w14:solidFill>
              <w14:schemeClr w14:val="tx1"/>
            </w14:solidFill>
          </w14:textFill>
        </w:rPr>
      </w:pPr>
      <w:r>
        <w:rPr>
          <w:rFonts w:ascii="Times New Roman"/>
          <w:b/>
          <w:bCs/>
          <w:color w:val="000000" w:themeColor="text1"/>
          <w:kern w:val="0"/>
          <w:sz w:val="21"/>
          <w:szCs w:val="16"/>
          <w14:textFill>
            <w14:solidFill>
              <w14:schemeClr w14:val="tx1"/>
            </w14:solidFill>
          </w14:textFill>
        </w:rPr>
        <w:t>表</w:t>
      </w:r>
      <w:r>
        <w:rPr>
          <w:rFonts w:hint="eastAsia"/>
          <w:b/>
          <w:bCs/>
          <w:color w:val="000000" w:themeColor="text1"/>
          <w:kern w:val="0"/>
          <w:sz w:val="21"/>
          <w:szCs w:val="16"/>
          <w:lang w:val="en-US" w:eastAsia="zh-CN"/>
          <w14:textFill>
            <w14:solidFill>
              <w14:schemeClr w14:val="tx1"/>
            </w14:solidFill>
          </w14:textFill>
        </w:rPr>
        <w:t>4</w:t>
      </w:r>
      <w:r>
        <w:rPr>
          <w:rFonts w:ascii="Times New Roman"/>
          <w:b/>
          <w:bCs/>
          <w:color w:val="000000" w:themeColor="text1"/>
          <w:kern w:val="0"/>
          <w:sz w:val="21"/>
          <w:szCs w:val="16"/>
          <w14:textFill>
            <w14:solidFill>
              <w14:schemeClr w14:val="tx1"/>
            </w14:solidFill>
          </w14:textFill>
        </w:rPr>
        <w:t>.2-</w:t>
      </w:r>
      <w:r>
        <w:rPr>
          <w:rFonts w:hint="eastAsia" w:ascii="Times New Roman"/>
          <w:b/>
          <w:bCs/>
          <w:color w:val="000000" w:themeColor="text1"/>
          <w:kern w:val="0"/>
          <w:sz w:val="21"/>
          <w:szCs w:val="16"/>
          <w:lang w:val="en-US" w:eastAsia="zh-CN"/>
          <w14:textFill>
            <w14:solidFill>
              <w14:schemeClr w14:val="tx1"/>
            </w14:solidFill>
          </w14:textFill>
        </w:rPr>
        <w:t>8</w:t>
      </w:r>
      <w:r>
        <w:rPr>
          <w:rFonts w:ascii="Times New Roman"/>
          <w:b/>
          <w:bCs/>
          <w:color w:val="000000" w:themeColor="text1"/>
          <w:kern w:val="0"/>
          <w:sz w:val="21"/>
          <w:szCs w:val="16"/>
          <w14:textFill>
            <w14:solidFill>
              <w14:schemeClr w14:val="tx1"/>
            </w14:solidFill>
          </w14:textFill>
        </w:rPr>
        <w:t xml:space="preserve"> 大气污染物有组织排放量核算</w:t>
      </w:r>
    </w:p>
    <w:tbl>
      <w:tblPr>
        <w:tblStyle w:val="31"/>
        <w:tblW w:w="850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9"/>
        <w:gridCol w:w="1276"/>
        <w:gridCol w:w="1174"/>
        <w:gridCol w:w="1446"/>
        <w:gridCol w:w="1447"/>
        <w:gridCol w:w="1447"/>
        <w:gridCol w:w="1005"/>
      </w:tblGrid>
      <w:tr w14:paraId="376F8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jc w:val="center"/>
        </w:trPr>
        <w:tc>
          <w:tcPr>
            <w:tcW w:w="709" w:type="dxa"/>
            <w:noWrap w:val="0"/>
            <w:vAlign w:val="center"/>
          </w:tcPr>
          <w:p w14:paraId="38D3BB69">
            <w:pPr>
              <w:widowControl/>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序号</w:t>
            </w:r>
          </w:p>
        </w:tc>
        <w:tc>
          <w:tcPr>
            <w:tcW w:w="1276" w:type="dxa"/>
            <w:noWrap w:val="0"/>
            <w:vAlign w:val="center"/>
          </w:tcPr>
          <w:p w14:paraId="29DB958C">
            <w:pPr>
              <w:widowControl/>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排放口编号</w:t>
            </w:r>
          </w:p>
        </w:tc>
        <w:tc>
          <w:tcPr>
            <w:tcW w:w="1174" w:type="dxa"/>
            <w:noWrap w:val="0"/>
            <w:vAlign w:val="center"/>
          </w:tcPr>
          <w:p w14:paraId="595B7418">
            <w:pPr>
              <w:spacing w:before="10"/>
              <w:jc w:val="cente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t>污染物</w:t>
            </w:r>
          </w:p>
        </w:tc>
        <w:tc>
          <w:tcPr>
            <w:tcW w:w="1446" w:type="dxa"/>
            <w:noWrap w:val="0"/>
            <w:vAlign w:val="center"/>
          </w:tcPr>
          <w:p w14:paraId="1251837F">
            <w:pPr>
              <w:spacing w:before="10"/>
              <w:jc w:val="cente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t>核算排放浓度（ug/m</w:t>
            </w:r>
            <w:r>
              <w:rPr>
                <w:rFonts w:ascii="Times New Roman" w:hAnsi="Times New Roman" w:eastAsia="宋体" w:cs="Times New Roman"/>
                <w:b/>
                <w:color w:val="000000" w:themeColor="text1"/>
                <w:kern w:val="0"/>
                <w:sz w:val="21"/>
                <w:szCs w:val="21"/>
                <w:vertAlign w:val="superscript"/>
                <w:lang w:val="en-US" w:eastAsia="zh-CN" w:bidi="ar-SA"/>
                <w14:textFill>
                  <w14:solidFill>
                    <w14:schemeClr w14:val="tx1"/>
                  </w14:solidFill>
                </w14:textFill>
              </w:rPr>
              <w:t>3</w:t>
            </w:r>
            <w: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t>）</w:t>
            </w:r>
          </w:p>
        </w:tc>
        <w:tc>
          <w:tcPr>
            <w:tcW w:w="1447" w:type="dxa"/>
            <w:noWrap w:val="0"/>
            <w:vAlign w:val="center"/>
          </w:tcPr>
          <w:p w14:paraId="18E01CD9">
            <w:pPr>
              <w:spacing w:before="10"/>
              <w:jc w:val="cente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t>核算排放速率（kg/h）</w:t>
            </w:r>
          </w:p>
        </w:tc>
        <w:tc>
          <w:tcPr>
            <w:tcW w:w="1447" w:type="dxa"/>
            <w:noWrap w:val="0"/>
            <w:vAlign w:val="center"/>
          </w:tcPr>
          <w:p w14:paraId="7808373A">
            <w:pPr>
              <w:spacing w:before="10"/>
              <w:jc w:val="cente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t>核算年排放量（t/a）</w:t>
            </w:r>
          </w:p>
        </w:tc>
        <w:tc>
          <w:tcPr>
            <w:tcW w:w="1005" w:type="dxa"/>
            <w:noWrap w:val="0"/>
            <w:vAlign w:val="center"/>
          </w:tcPr>
          <w:p w14:paraId="4E062FE2">
            <w:pPr>
              <w:spacing w:before="10"/>
              <w:jc w:val="cente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t>备注</w:t>
            </w:r>
          </w:p>
        </w:tc>
      </w:tr>
      <w:tr w14:paraId="1A7FF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jc w:val="center"/>
        </w:trPr>
        <w:tc>
          <w:tcPr>
            <w:tcW w:w="709" w:type="dxa"/>
            <w:vMerge w:val="restart"/>
            <w:noWrap w:val="0"/>
            <w:vAlign w:val="center"/>
          </w:tcPr>
          <w:p w14:paraId="5802CB8C">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t>1</w:t>
            </w:r>
          </w:p>
        </w:tc>
        <w:tc>
          <w:tcPr>
            <w:tcW w:w="1276" w:type="dxa"/>
            <w:vMerge w:val="restart"/>
            <w:noWrap w:val="0"/>
            <w:vAlign w:val="center"/>
          </w:tcPr>
          <w:p w14:paraId="00E6CF41">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t>DA001</w:t>
            </w:r>
          </w:p>
        </w:tc>
        <w:tc>
          <w:tcPr>
            <w:tcW w:w="1174" w:type="dxa"/>
            <w:noWrap w:val="0"/>
            <w:vAlign w:val="center"/>
          </w:tcPr>
          <w:p w14:paraId="53147E0A">
            <w:pPr>
              <w:widowControl/>
              <w:autoSpaceDN w:val="0"/>
              <w:jc w:val="center"/>
              <w:textAlignment w:val="bottom"/>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非甲烷总烃</w:t>
            </w:r>
          </w:p>
        </w:tc>
        <w:tc>
          <w:tcPr>
            <w:tcW w:w="1446" w:type="dxa"/>
            <w:noWrap w:val="0"/>
            <w:vAlign w:val="center"/>
          </w:tcPr>
          <w:p w14:paraId="42AE529F">
            <w:pPr>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12520</w:t>
            </w:r>
          </w:p>
        </w:tc>
        <w:tc>
          <w:tcPr>
            <w:tcW w:w="1447" w:type="dxa"/>
            <w:noWrap w:val="0"/>
            <w:vAlign w:val="center"/>
          </w:tcPr>
          <w:p w14:paraId="5CBA5AF8">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ascii="Times New Roman"/>
                <w:color w:val="000000" w:themeColor="text1"/>
                <w:kern w:val="0"/>
                <w:sz w:val="21"/>
                <w:szCs w:val="21"/>
                <w14:textFill>
                  <w14:solidFill>
                    <w14:schemeClr w14:val="tx1"/>
                  </w14:solidFill>
                </w14:textFill>
              </w:rPr>
              <w:t>0.</w:t>
            </w:r>
            <w:r>
              <w:rPr>
                <w:rFonts w:hint="eastAsia"/>
                <w:color w:val="000000" w:themeColor="text1"/>
                <w:kern w:val="0"/>
                <w:sz w:val="21"/>
                <w:szCs w:val="21"/>
                <w:lang w:val="en-US" w:eastAsia="zh-CN"/>
                <w14:textFill>
                  <w14:solidFill>
                    <w14:schemeClr w14:val="tx1"/>
                  </w14:solidFill>
                </w14:textFill>
              </w:rPr>
              <w:t>09</w:t>
            </w:r>
          </w:p>
        </w:tc>
        <w:tc>
          <w:tcPr>
            <w:tcW w:w="1447" w:type="dxa"/>
            <w:noWrap w:val="0"/>
            <w:vAlign w:val="center"/>
          </w:tcPr>
          <w:p w14:paraId="6A8A492A">
            <w:pPr>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0.36</w:t>
            </w:r>
          </w:p>
        </w:tc>
        <w:tc>
          <w:tcPr>
            <w:tcW w:w="1005" w:type="dxa"/>
            <w:vMerge w:val="restart"/>
            <w:noWrap w:val="0"/>
            <w:vAlign w:val="center"/>
          </w:tcPr>
          <w:p w14:paraId="165D9CC2">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t>一般排放口</w:t>
            </w:r>
          </w:p>
        </w:tc>
      </w:tr>
      <w:tr w14:paraId="551E5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jc w:val="center"/>
        </w:trPr>
        <w:tc>
          <w:tcPr>
            <w:tcW w:w="709" w:type="dxa"/>
            <w:vMerge w:val="continue"/>
            <w:noWrap w:val="0"/>
            <w:vAlign w:val="center"/>
          </w:tcPr>
          <w:p w14:paraId="7B319AF7">
            <w:pPr>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p>
        </w:tc>
        <w:tc>
          <w:tcPr>
            <w:tcW w:w="1276" w:type="dxa"/>
            <w:vMerge w:val="continue"/>
            <w:noWrap w:val="0"/>
            <w:vAlign w:val="center"/>
          </w:tcPr>
          <w:p w14:paraId="1632D23C">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p>
        </w:tc>
        <w:tc>
          <w:tcPr>
            <w:tcW w:w="1174" w:type="dxa"/>
            <w:noWrap w:val="0"/>
            <w:vAlign w:val="center"/>
          </w:tcPr>
          <w:p w14:paraId="13102186">
            <w:pPr>
              <w:widowControl/>
              <w:autoSpaceDN w:val="0"/>
              <w:jc w:val="center"/>
              <w:textAlignment w:val="bottom"/>
              <w:rPr>
                <w:rFonts w:hint="eastAsia"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甲醛</w:t>
            </w:r>
          </w:p>
        </w:tc>
        <w:tc>
          <w:tcPr>
            <w:tcW w:w="1446" w:type="dxa"/>
            <w:noWrap w:val="0"/>
            <w:vAlign w:val="center"/>
          </w:tcPr>
          <w:p w14:paraId="4815265A">
            <w:pPr>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60</w:t>
            </w:r>
          </w:p>
        </w:tc>
        <w:tc>
          <w:tcPr>
            <w:tcW w:w="1447" w:type="dxa"/>
            <w:noWrap w:val="0"/>
            <w:vAlign w:val="center"/>
          </w:tcPr>
          <w:p w14:paraId="72D86357">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0.0004</w:t>
            </w:r>
          </w:p>
        </w:tc>
        <w:tc>
          <w:tcPr>
            <w:tcW w:w="1447" w:type="dxa"/>
            <w:noWrap w:val="0"/>
            <w:vAlign w:val="center"/>
          </w:tcPr>
          <w:p w14:paraId="2D652323">
            <w:pPr>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0.002</w:t>
            </w:r>
          </w:p>
        </w:tc>
        <w:tc>
          <w:tcPr>
            <w:tcW w:w="1005" w:type="dxa"/>
            <w:vMerge w:val="continue"/>
            <w:noWrap w:val="0"/>
            <w:vAlign w:val="center"/>
          </w:tcPr>
          <w:p w14:paraId="617FBAF2">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p>
        </w:tc>
      </w:tr>
      <w:tr w14:paraId="019AB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5" w:hRule="atLeast"/>
          <w:jc w:val="center"/>
        </w:trPr>
        <w:tc>
          <w:tcPr>
            <w:tcW w:w="709" w:type="dxa"/>
            <w:noWrap w:val="0"/>
            <w:vAlign w:val="center"/>
          </w:tcPr>
          <w:p w14:paraId="3E9028A5">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t>2</w:t>
            </w:r>
          </w:p>
        </w:tc>
        <w:tc>
          <w:tcPr>
            <w:tcW w:w="1276" w:type="dxa"/>
            <w:noWrap w:val="0"/>
            <w:vAlign w:val="center"/>
          </w:tcPr>
          <w:p w14:paraId="197D3664">
            <w:pPr>
              <w:widowControl/>
              <w:jc w:val="center"/>
              <w:rPr>
                <w:rFonts w:ascii="Times New Roman"/>
                <w:b/>
                <w:bCs/>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DA002</w:t>
            </w:r>
          </w:p>
        </w:tc>
        <w:tc>
          <w:tcPr>
            <w:tcW w:w="1174" w:type="dxa"/>
            <w:noWrap w:val="0"/>
            <w:vAlign w:val="center"/>
          </w:tcPr>
          <w:p w14:paraId="7207EFBE">
            <w:pPr>
              <w:widowControl/>
              <w:autoSpaceDN w:val="0"/>
              <w:jc w:val="center"/>
              <w:textAlignment w:val="bottom"/>
              <w:rPr>
                <w:rFonts w:hint="eastAsia" w:ascii="Times New Roman" w:eastAsia="宋体"/>
                <w:color w:val="000000" w:themeColor="text1"/>
                <w:kern w:val="0"/>
                <w:sz w:val="21"/>
                <w:szCs w:val="21"/>
                <w:lang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颗粒物</w:t>
            </w:r>
          </w:p>
        </w:tc>
        <w:tc>
          <w:tcPr>
            <w:tcW w:w="1446" w:type="dxa"/>
            <w:noWrap w:val="0"/>
            <w:vAlign w:val="center"/>
          </w:tcPr>
          <w:p w14:paraId="11BBCCAF">
            <w:pPr>
              <w:widowControl/>
              <w:adjustRightInd w:val="0"/>
              <w:snapToGrid w:val="0"/>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6130</w:t>
            </w:r>
          </w:p>
        </w:tc>
        <w:tc>
          <w:tcPr>
            <w:tcW w:w="1447" w:type="dxa"/>
            <w:noWrap w:val="0"/>
            <w:vAlign w:val="center"/>
          </w:tcPr>
          <w:p w14:paraId="71E3123C">
            <w:pPr>
              <w:widowControl/>
              <w:adjustRightInd w:val="0"/>
              <w:snapToGrid w:val="0"/>
              <w:jc w:val="center"/>
              <w:rPr>
                <w:rFonts w:hint="eastAsia" w:ascii="Times New Roman" w:eastAsia="宋体"/>
                <w:color w:val="000000" w:themeColor="text1"/>
                <w:kern w:val="0"/>
                <w:sz w:val="21"/>
                <w:szCs w:val="21"/>
                <w:lang w:val="en-US" w:eastAsia="zh-CN"/>
                <w14:textFill>
                  <w14:solidFill>
                    <w14:schemeClr w14:val="tx1"/>
                  </w14:solidFill>
                </w14:textFill>
              </w:rPr>
            </w:pPr>
            <w:r>
              <w:rPr>
                <w:rFonts w:ascii="Times New Roman"/>
                <w:color w:val="000000" w:themeColor="text1"/>
                <w:kern w:val="0"/>
                <w:sz w:val="21"/>
                <w:szCs w:val="21"/>
                <w14:textFill>
                  <w14:solidFill>
                    <w14:schemeClr w14:val="tx1"/>
                  </w14:solidFill>
                </w14:textFill>
              </w:rPr>
              <w:t>0.0</w:t>
            </w:r>
            <w:r>
              <w:rPr>
                <w:rFonts w:hint="eastAsia"/>
                <w:color w:val="000000" w:themeColor="text1"/>
                <w:kern w:val="0"/>
                <w:sz w:val="21"/>
                <w:szCs w:val="21"/>
                <w:lang w:val="en-US" w:eastAsia="zh-CN"/>
                <w14:textFill>
                  <w14:solidFill>
                    <w14:schemeClr w14:val="tx1"/>
                  </w14:solidFill>
                </w14:textFill>
              </w:rPr>
              <w:t>1</w:t>
            </w:r>
          </w:p>
        </w:tc>
        <w:tc>
          <w:tcPr>
            <w:tcW w:w="1447" w:type="dxa"/>
            <w:noWrap w:val="0"/>
            <w:vAlign w:val="center"/>
          </w:tcPr>
          <w:p w14:paraId="229D83B7">
            <w:pPr>
              <w:widowControl/>
              <w:adjustRightInd w:val="0"/>
              <w:snapToGrid w:val="0"/>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ascii="Times New Roman"/>
                <w:color w:val="000000" w:themeColor="text1"/>
                <w:kern w:val="0"/>
                <w:sz w:val="21"/>
                <w:szCs w:val="21"/>
                <w:lang w:val="en-US" w:eastAsia="zh-CN"/>
                <w14:textFill>
                  <w14:solidFill>
                    <w14:schemeClr w14:val="tx1"/>
                  </w14:solidFill>
                </w14:textFill>
              </w:rPr>
              <w:t>0.</w:t>
            </w:r>
            <w:r>
              <w:rPr>
                <w:rFonts w:hint="eastAsia"/>
                <w:color w:val="000000" w:themeColor="text1"/>
                <w:kern w:val="0"/>
                <w:sz w:val="21"/>
                <w:szCs w:val="21"/>
                <w:lang w:val="en-US" w:eastAsia="zh-CN"/>
                <w14:textFill>
                  <w14:solidFill>
                    <w14:schemeClr w14:val="tx1"/>
                  </w14:solidFill>
                </w14:textFill>
              </w:rPr>
              <w:t>05</w:t>
            </w:r>
          </w:p>
        </w:tc>
        <w:tc>
          <w:tcPr>
            <w:tcW w:w="1005" w:type="dxa"/>
            <w:noWrap w:val="0"/>
            <w:vAlign w:val="center"/>
          </w:tcPr>
          <w:p w14:paraId="51B85FD0">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t>一般排放口</w:t>
            </w:r>
          </w:p>
        </w:tc>
      </w:tr>
      <w:tr w14:paraId="31E8D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jc w:val="center"/>
        </w:trPr>
        <w:tc>
          <w:tcPr>
            <w:tcW w:w="8504" w:type="dxa"/>
            <w:gridSpan w:val="7"/>
            <w:noWrap w:val="0"/>
            <w:vAlign w:val="center"/>
          </w:tcPr>
          <w:p w14:paraId="76257246">
            <w:pPr>
              <w:spacing w:before="10"/>
              <w:jc w:val="center"/>
              <w:rPr>
                <w:rFonts w:ascii="Times New Roman" w:hAnsi="Times New Roman" w:eastAsia="宋体" w:cs="Times New Roman"/>
                <w:b/>
                <w:bCs/>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b/>
                <w:bCs/>
                <w:color w:val="000000" w:themeColor="text1"/>
                <w:kern w:val="0"/>
                <w:sz w:val="21"/>
                <w:szCs w:val="21"/>
                <w:lang w:val="en-US" w:eastAsia="zh-CN" w:bidi="ar-SA"/>
                <w14:textFill>
                  <w14:solidFill>
                    <w14:schemeClr w14:val="tx1"/>
                  </w14:solidFill>
                </w14:textFill>
              </w:rPr>
              <w:t>合计</w:t>
            </w:r>
          </w:p>
        </w:tc>
      </w:tr>
      <w:tr w14:paraId="7D02A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jc w:val="center"/>
        </w:trPr>
        <w:tc>
          <w:tcPr>
            <w:tcW w:w="3159" w:type="dxa"/>
            <w:gridSpan w:val="3"/>
            <w:vMerge w:val="restart"/>
            <w:noWrap w:val="0"/>
            <w:vAlign w:val="center"/>
          </w:tcPr>
          <w:p w14:paraId="1378BDF1">
            <w:pPr>
              <w:widowControl/>
              <w:autoSpaceDN w:val="0"/>
              <w:jc w:val="center"/>
              <w:textAlignment w:val="bottom"/>
              <w:rPr>
                <w:rFonts w:ascii="Times New Roman"/>
                <w:color w:val="000000" w:themeColor="text1"/>
                <w:kern w:val="0"/>
                <w:sz w:val="21"/>
                <w:szCs w:val="21"/>
                <w14:textFill>
                  <w14:solidFill>
                    <w14:schemeClr w14:val="tx1"/>
                  </w14:solidFill>
                </w14:textFill>
              </w:rPr>
            </w:pPr>
            <w:r>
              <w:rPr>
                <w:rFonts w:ascii="Times New Roman"/>
                <w:b/>
                <w:bCs/>
                <w:color w:val="000000" w:themeColor="text1"/>
                <w:kern w:val="0"/>
                <w:sz w:val="21"/>
                <w:szCs w:val="21"/>
                <w14:textFill>
                  <w14:solidFill>
                    <w14:schemeClr w14:val="tx1"/>
                  </w14:solidFill>
                </w14:textFill>
              </w:rPr>
              <w:t>有组织排放合计</w:t>
            </w:r>
          </w:p>
        </w:tc>
        <w:tc>
          <w:tcPr>
            <w:tcW w:w="2893" w:type="dxa"/>
            <w:gridSpan w:val="2"/>
            <w:noWrap w:val="0"/>
            <w:vAlign w:val="center"/>
          </w:tcPr>
          <w:p w14:paraId="417F9B8B">
            <w:pPr>
              <w:widowControl/>
              <w:autoSpaceDN w:val="0"/>
              <w:jc w:val="center"/>
              <w:textAlignment w:val="bottom"/>
              <w:rPr>
                <w:rFonts w:ascii="Times New Roman"/>
                <w:color w:val="000000" w:themeColor="text1"/>
                <w:kern w:val="0"/>
                <w:sz w:val="21"/>
                <w:szCs w:val="21"/>
                <w14:textFill>
                  <w14:solidFill>
                    <w14:schemeClr w14:val="tx1"/>
                  </w14:solidFill>
                </w14:textFill>
              </w:rPr>
            </w:pPr>
            <w:r>
              <w:rPr>
                <w:rFonts w:ascii="Times New Roman"/>
                <w:color w:val="000000" w:themeColor="text1"/>
                <w:kern w:val="0"/>
                <w:sz w:val="21"/>
                <w:szCs w:val="21"/>
                <w14:textFill>
                  <w14:solidFill>
                    <w14:schemeClr w14:val="tx1"/>
                  </w14:solidFill>
                </w14:textFill>
              </w:rPr>
              <w:t>非甲烷总烃</w:t>
            </w:r>
          </w:p>
        </w:tc>
        <w:tc>
          <w:tcPr>
            <w:tcW w:w="2452" w:type="dxa"/>
            <w:gridSpan w:val="2"/>
            <w:noWrap w:val="0"/>
            <w:vAlign w:val="center"/>
          </w:tcPr>
          <w:p w14:paraId="48B120D0">
            <w:pPr>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0.36</w:t>
            </w:r>
          </w:p>
        </w:tc>
      </w:tr>
      <w:tr w14:paraId="7B06E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jc w:val="center"/>
        </w:trPr>
        <w:tc>
          <w:tcPr>
            <w:tcW w:w="3159" w:type="dxa"/>
            <w:gridSpan w:val="3"/>
            <w:vMerge w:val="continue"/>
            <w:noWrap w:val="0"/>
            <w:vAlign w:val="center"/>
          </w:tcPr>
          <w:p w14:paraId="10233F3F">
            <w:pPr>
              <w:widowControl/>
              <w:autoSpaceDN w:val="0"/>
              <w:jc w:val="center"/>
              <w:textAlignment w:val="bottom"/>
              <w:rPr>
                <w:rFonts w:ascii="Times New Roman"/>
                <w:color w:val="000000" w:themeColor="text1"/>
                <w:kern w:val="0"/>
                <w:sz w:val="21"/>
                <w:szCs w:val="21"/>
                <w14:textFill>
                  <w14:solidFill>
                    <w14:schemeClr w14:val="tx1"/>
                  </w14:solidFill>
                </w14:textFill>
              </w:rPr>
            </w:pPr>
          </w:p>
        </w:tc>
        <w:tc>
          <w:tcPr>
            <w:tcW w:w="2893" w:type="dxa"/>
            <w:gridSpan w:val="2"/>
            <w:noWrap w:val="0"/>
            <w:vAlign w:val="center"/>
          </w:tcPr>
          <w:p w14:paraId="60DD3D22">
            <w:pPr>
              <w:widowControl/>
              <w:autoSpaceDN w:val="0"/>
              <w:jc w:val="center"/>
              <w:textAlignment w:val="bottom"/>
              <w:rPr>
                <w:rFonts w:ascii="Times New Roman"/>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甲醛</w:t>
            </w:r>
          </w:p>
        </w:tc>
        <w:tc>
          <w:tcPr>
            <w:tcW w:w="2452" w:type="dxa"/>
            <w:gridSpan w:val="2"/>
            <w:noWrap w:val="0"/>
            <w:vAlign w:val="center"/>
          </w:tcPr>
          <w:p w14:paraId="669D6E0B">
            <w:pPr>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0.002</w:t>
            </w:r>
          </w:p>
        </w:tc>
      </w:tr>
      <w:tr w14:paraId="6D2A8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jc w:val="center"/>
        </w:trPr>
        <w:tc>
          <w:tcPr>
            <w:tcW w:w="3159" w:type="dxa"/>
            <w:gridSpan w:val="3"/>
            <w:vMerge w:val="continue"/>
            <w:noWrap w:val="0"/>
            <w:vAlign w:val="center"/>
          </w:tcPr>
          <w:p w14:paraId="49C78B74">
            <w:pPr>
              <w:widowControl/>
              <w:autoSpaceDN w:val="0"/>
              <w:jc w:val="center"/>
              <w:textAlignment w:val="bottom"/>
              <w:rPr>
                <w:rFonts w:ascii="Times New Roman"/>
                <w:color w:val="000000" w:themeColor="text1"/>
                <w:kern w:val="0"/>
                <w:sz w:val="21"/>
                <w:szCs w:val="21"/>
                <w14:textFill>
                  <w14:solidFill>
                    <w14:schemeClr w14:val="tx1"/>
                  </w14:solidFill>
                </w14:textFill>
              </w:rPr>
            </w:pPr>
          </w:p>
        </w:tc>
        <w:tc>
          <w:tcPr>
            <w:tcW w:w="2893" w:type="dxa"/>
            <w:gridSpan w:val="2"/>
            <w:noWrap w:val="0"/>
            <w:vAlign w:val="center"/>
          </w:tcPr>
          <w:p w14:paraId="57CA6A57">
            <w:pPr>
              <w:widowControl/>
              <w:autoSpaceDN w:val="0"/>
              <w:jc w:val="center"/>
              <w:textAlignment w:val="bottom"/>
              <w:rPr>
                <w:rFonts w:ascii="Times New Roman"/>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颗粒物</w:t>
            </w:r>
          </w:p>
        </w:tc>
        <w:tc>
          <w:tcPr>
            <w:tcW w:w="2452" w:type="dxa"/>
            <w:gridSpan w:val="2"/>
            <w:noWrap w:val="0"/>
            <w:vAlign w:val="center"/>
          </w:tcPr>
          <w:p w14:paraId="482DFA3B">
            <w:pPr>
              <w:widowControl/>
              <w:adjustRightInd w:val="0"/>
              <w:snapToGrid w:val="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color w:val="000000" w:themeColor="text1"/>
                <w:kern w:val="0"/>
                <w:sz w:val="21"/>
                <w:szCs w:val="21"/>
                <w:lang w:val="en-US" w:eastAsia="zh-CN"/>
                <w14:textFill>
                  <w14:solidFill>
                    <w14:schemeClr w14:val="tx1"/>
                  </w14:solidFill>
                </w14:textFill>
              </w:rPr>
              <w:t>0.</w:t>
            </w:r>
            <w:r>
              <w:rPr>
                <w:rFonts w:hint="eastAsia"/>
                <w:color w:val="000000" w:themeColor="text1"/>
                <w:kern w:val="0"/>
                <w:sz w:val="21"/>
                <w:szCs w:val="21"/>
                <w:lang w:val="en-US" w:eastAsia="zh-CN"/>
                <w14:textFill>
                  <w14:solidFill>
                    <w14:schemeClr w14:val="tx1"/>
                  </w14:solidFill>
                </w14:textFill>
              </w:rPr>
              <w:t>05</w:t>
            </w:r>
          </w:p>
        </w:tc>
      </w:tr>
    </w:tbl>
    <w:p w14:paraId="0207D1C6">
      <w:pPr>
        <w:widowControl/>
        <w:adjustRightInd w:val="0"/>
        <w:snapToGrid w:val="0"/>
        <w:spacing w:before="156" w:beforeLines="50"/>
        <w:jc w:val="center"/>
        <w:rPr>
          <w:rFonts w:ascii="Times New Roman"/>
          <w:b/>
          <w:bCs/>
          <w:color w:val="000000" w:themeColor="text1"/>
          <w:kern w:val="0"/>
          <w:sz w:val="21"/>
          <w:szCs w:val="16"/>
          <w14:textFill>
            <w14:solidFill>
              <w14:schemeClr w14:val="tx1"/>
            </w14:solidFill>
          </w14:textFill>
        </w:rPr>
      </w:pPr>
      <w:r>
        <w:rPr>
          <w:rFonts w:ascii="Times New Roman"/>
          <w:b/>
          <w:bCs/>
          <w:color w:val="000000" w:themeColor="text1"/>
          <w:kern w:val="0"/>
          <w:sz w:val="21"/>
          <w:szCs w:val="16"/>
          <w14:textFill>
            <w14:solidFill>
              <w14:schemeClr w14:val="tx1"/>
            </w14:solidFill>
          </w14:textFill>
        </w:rPr>
        <w:t>表</w:t>
      </w:r>
      <w:r>
        <w:rPr>
          <w:rFonts w:hint="eastAsia"/>
          <w:b/>
          <w:bCs/>
          <w:color w:val="000000" w:themeColor="text1"/>
          <w:kern w:val="0"/>
          <w:sz w:val="21"/>
          <w:szCs w:val="16"/>
          <w:lang w:val="en-US" w:eastAsia="zh-CN"/>
          <w14:textFill>
            <w14:solidFill>
              <w14:schemeClr w14:val="tx1"/>
            </w14:solidFill>
          </w14:textFill>
        </w:rPr>
        <w:t>4</w:t>
      </w:r>
      <w:r>
        <w:rPr>
          <w:rFonts w:ascii="Times New Roman"/>
          <w:b/>
          <w:bCs/>
          <w:color w:val="000000" w:themeColor="text1"/>
          <w:kern w:val="0"/>
          <w:sz w:val="21"/>
          <w:szCs w:val="16"/>
          <w14:textFill>
            <w14:solidFill>
              <w14:schemeClr w14:val="tx1"/>
            </w14:solidFill>
          </w14:textFill>
        </w:rPr>
        <w:t>.2-</w:t>
      </w:r>
      <w:r>
        <w:rPr>
          <w:rFonts w:hint="eastAsia" w:ascii="Times New Roman"/>
          <w:b/>
          <w:bCs/>
          <w:color w:val="000000" w:themeColor="text1"/>
          <w:kern w:val="0"/>
          <w:sz w:val="21"/>
          <w:szCs w:val="16"/>
          <w:lang w:val="en-US" w:eastAsia="zh-CN"/>
          <w14:textFill>
            <w14:solidFill>
              <w14:schemeClr w14:val="tx1"/>
            </w14:solidFill>
          </w14:textFill>
        </w:rPr>
        <w:t>9</w:t>
      </w:r>
      <w:r>
        <w:rPr>
          <w:rFonts w:ascii="Times New Roman"/>
          <w:b/>
          <w:bCs/>
          <w:color w:val="000000" w:themeColor="text1"/>
          <w:kern w:val="0"/>
          <w:sz w:val="21"/>
          <w:szCs w:val="16"/>
          <w14:textFill>
            <w14:solidFill>
              <w14:schemeClr w14:val="tx1"/>
            </w14:solidFill>
          </w14:textFill>
        </w:rPr>
        <w:t xml:space="preserve">  大气污染物无组织排放量核算</w:t>
      </w:r>
    </w:p>
    <w:tbl>
      <w:tblPr>
        <w:tblStyle w:val="31"/>
        <w:tblW w:w="86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88"/>
        <w:gridCol w:w="1771"/>
        <w:gridCol w:w="1200"/>
        <w:gridCol w:w="1156"/>
        <w:gridCol w:w="1652"/>
        <w:gridCol w:w="1105"/>
        <w:gridCol w:w="946"/>
      </w:tblGrid>
      <w:tr w14:paraId="22B89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4" w:hRule="atLeast"/>
          <w:jc w:val="center"/>
        </w:trPr>
        <w:tc>
          <w:tcPr>
            <w:tcW w:w="788" w:type="dxa"/>
            <w:vMerge w:val="restart"/>
            <w:noWrap w:val="0"/>
            <w:vAlign w:val="center"/>
          </w:tcPr>
          <w:p w14:paraId="1A1B05B2">
            <w:pPr>
              <w:widowControl/>
              <w:jc w:val="center"/>
              <w:rPr>
                <w:rFonts w:ascii="Times New Roman"/>
                <w:b/>
                <w:color w:val="000000" w:themeColor="text1"/>
                <w:kern w:val="0"/>
                <w:sz w:val="21"/>
                <w:szCs w:val="21"/>
                <w14:textFill>
                  <w14:solidFill>
                    <w14:schemeClr w14:val="tx1"/>
                  </w14:solidFill>
                </w14:textFill>
              </w:rPr>
            </w:pPr>
            <w:r>
              <w:rPr>
                <w:rFonts w:ascii="Times New Roman"/>
                <w:b/>
                <w:color w:val="000000" w:themeColor="text1"/>
                <w:kern w:val="0"/>
                <w:sz w:val="21"/>
                <w:szCs w:val="21"/>
                <w14:textFill>
                  <w14:solidFill>
                    <w14:schemeClr w14:val="tx1"/>
                  </w14:solidFill>
                </w14:textFill>
              </w:rPr>
              <w:t>序号</w:t>
            </w:r>
          </w:p>
        </w:tc>
        <w:tc>
          <w:tcPr>
            <w:tcW w:w="1771" w:type="dxa"/>
            <w:vMerge w:val="restart"/>
            <w:noWrap w:val="0"/>
            <w:vAlign w:val="center"/>
          </w:tcPr>
          <w:p w14:paraId="16EAFF4B">
            <w:pPr>
              <w:spacing w:before="10"/>
              <w:jc w:val="cente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t>产污环节</w:t>
            </w:r>
          </w:p>
        </w:tc>
        <w:tc>
          <w:tcPr>
            <w:tcW w:w="1200" w:type="dxa"/>
            <w:vMerge w:val="restart"/>
            <w:noWrap w:val="0"/>
            <w:vAlign w:val="center"/>
          </w:tcPr>
          <w:p w14:paraId="7889D6A4">
            <w:pPr>
              <w:spacing w:before="10"/>
              <w:jc w:val="cente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t>污染物</w:t>
            </w:r>
          </w:p>
        </w:tc>
        <w:tc>
          <w:tcPr>
            <w:tcW w:w="1156" w:type="dxa"/>
            <w:vMerge w:val="restart"/>
            <w:noWrap w:val="0"/>
            <w:vAlign w:val="center"/>
          </w:tcPr>
          <w:p w14:paraId="100A148D">
            <w:pPr>
              <w:spacing w:before="10"/>
              <w:jc w:val="cente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t>主要污染防治措施</w:t>
            </w:r>
          </w:p>
        </w:tc>
        <w:tc>
          <w:tcPr>
            <w:tcW w:w="2757" w:type="dxa"/>
            <w:gridSpan w:val="2"/>
            <w:noWrap w:val="0"/>
            <w:vAlign w:val="center"/>
          </w:tcPr>
          <w:p w14:paraId="20BD3CC9">
            <w:pPr>
              <w:spacing w:before="10"/>
              <w:jc w:val="cente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t>污染物排放标准</w:t>
            </w:r>
          </w:p>
        </w:tc>
        <w:tc>
          <w:tcPr>
            <w:tcW w:w="946" w:type="dxa"/>
            <w:vMerge w:val="restart"/>
            <w:noWrap w:val="0"/>
            <w:vAlign w:val="center"/>
          </w:tcPr>
          <w:p w14:paraId="37869BDE">
            <w:pPr>
              <w:spacing w:before="10"/>
              <w:jc w:val="cente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t>年排放量（t/a）</w:t>
            </w:r>
          </w:p>
        </w:tc>
      </w:tr>
      <w:tr w14:paraId="1B21D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7" w:hRule="atLeast"/>
          <w:jc w:val="center"/>
        </w:trPr>
        <w:tc>
          <w:tcPr>
            <w:tcW w:w="788" w:type="dxa"/>
            <w:vMerge w:val="continue"/>
            <w:shd w:val="clear" w:color="auto" w:fill="auto"/>
            <w:noWrap w:val="0"/>
            <w:vAlign w:val="center"/>
          </w:tcPr>
          <w:p w14:paraId="0CC01514">
            <w:pPr>
              <w:widowControl/>
              <w:jc w:val="center"/>
              <w:rPr>
                <w:rFonts w:ascii="Times New Roman"/>
                <w:b/>
                <w:color w:val="000000" w:themeColor="text1"/>
                <w:kern w:val="0"/>
                <w:sz w:val="21"/>
                <w:szCs w:val="21"/>
                <w14:textFill>
                  <w14:solidFill>
                    <w14:schemeClr w14:val="tx1"/>
                  </w14:solidFill>
                </w14:textFill>
              </w:rPr>
            </w:pPr>
          </w:p>
        </w:tc>
        <w:tc>
          <w:tcPr>
            <w:tcW w:w="1771" w:type="dxa"/>
            <w:vMerge w:val="continue"/>
            <w:shd w:val="clear" w:color="auto" w:fill="auto"/>
            <w:noWrap w:val="0"/>
            <w:vAlign w:val="center"/>
          </w:tcPr>
          <w:p w14:paraId="187AB487">
            <w:pPr>
              <w:spacing w:before="10"/>
              <w:jc w:val="cente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pPr>
          </w:p>
        </w:tc>
        <w:tc>
          <w:tcPr>
            <w:tcW w:w="1200" w:type="dxa"/>
            <w:vMerge w:val="continue"/>
            <w:shd w:val="clear" w:color="auto" w:fill="auto"/>
            <w:noWrap w:val="0"/>
            <w:vAlign w:val="center"/>
          </w:tcPr>
          <w:p w14:paraId="3E718FF2">
            <w:pPr>
              <w:spacing w:before="10"/>
              <w:jc w:val="cente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pPr>
          </w:p>
        </w:tc>
        <w:tc>
          <w:tcPr>
            <w:tcW w:w="1156" w:type="dxa"/>
            <w:vMerge w:val="continue"/>
            <w:shd w:val="clear" w:color="auto" w:fill="auto"/>
            <w:noWrap w:val="0"/>
            <w:vAlign w:val="center"/>
          </w:tcPr>
          <w:p w14:paraId="76BAAB27">
            <w:pPr>
              <w:spacing w:before="10"/>
              <w:jc w:val="cente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pPr>
          </w:p>
        </w:tc>
        <w:tc>
          <w:tcPr>
            <w:tcW w:w="1652" w:type="dxa"/>
            <w:shd w:val="clear" w:color="auto" w:fill="auto"/>
            <w:noWrap w:val="0"/>
            <w:vAlign w:val="center"/>
          </w:tcPr>
          <w:p w14:paraId="2B6A73F9">
            <w:pPr>
              <w:spacing w:before="10"/>
              <w:jc w:val="cente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t>标准名称</w:t>
            </w:r>
          </w:p>
        </w:tc>
        <w:tc>
          <w:tcPr>
            <w:tcW w:w="1105" w:type="dxa"/>
            <w:shd w:val="clear" w:color="auto" w:fill="auto"/>
            <w:noWrap w:val="0"/>
            <w:vAlign w:val="center"/>
          </w:tcPr>
          <w:p w14:paraId="23FC8E2A">
            <w:pPr>
              <w:spacing w:before="10"/>
              <w:jc w:val="cente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t>浓度限值（ug/m</w:t>
            </w:r>
            <w:r>
              <w:rPr>
                <w:rFonts w:ascii="Times New Roman" w:hAnsi="Times New Roman" w:eastAsia="宋体" w:cs="Times New Roman"/>
                <w:b/>
                <w:color w:val="000000" w:themeColor="text1"/>
                <w:kern w:val="0"/>
                <w:sz w:val="21"/>
                <w:szCs w:val="21"/>
                <w:vertAlign w:val="superscript"/>
                <w:lang w:val="en-US" w:eastAsia="zh-CN" w:bidi="ar-SA"/>
                <w14:textFill>
                  <w14:solidFill>
                    <w14:schemeClr w14:val="tx1"/>
                  </w14:solidFill>
                </w14:textFill>
              </w:rPr>
              <w:t>3</w:t>
            </w:r>
            <w: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t>）</w:t>
            </w:r>
          </w:p>
        </w:tc>
        <w:tc>
          <w:tcPr>
            <w:tcW w:w="946" w:type="dxa"/>
            <w:vMerge w:val="continue"/>
            <w:shd w:val="clear" w:color="auto" w:fill="D9D9D9"/>
            <w:noWrap w:val="0"/>
            <w:vAlign w:val="center"/>
          </w:tcPr>
          <w:p w14:paraId="772EA0C9">
            <w:pPr>
              <w:spacing w:before="10"/>
              <w:jc w:val="center"/>
              <w:rPr>
                <w:rFonts w:ascii="Times New Roman" w:hAnsi="Times New Roman" w:eastAsia="宋体" w:cs="Times New Roman"/>
                <w:b/>
                <w:color w:val="000000" w:themeColor="text1"/>
                <w:kern w:val="0"/>
                <w:sz w:val="21"/>
                <w:szCs w:val="21"/>
                <w:lang w:val="en-US" w:eastAsia="zh-CN" w:bidi="ar-SA"/>
                <w14:textFill>
                  <w14:solidFill>
                    <w14:schemeClr w14:val="tx1"/>
                  </w14:solidFill>
                </w14:textFill>
              </w:rPr>
            </w:pPr>
          </w:p>
        </w:tc>
      </w:tr>
      <w:tr w14:paraId="1B074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7" w:hRule="atLeast"/>
          <w:jc w:val="center"/>
        </w:trPr>
        <w:tc>
          <w:tcPr>
            <w:tcW w:w="788" w:type="dxa"/>
            <w:noWrap w:val="0"/>
            <w:vAlign w:val="center"/>
          </w:tcPr>
          <w:p w14:paraId="6E1463BA">
            <w:pPr>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1</w:t>
            </w:r>
          </w:p>
        </w:tc>
        <w:tc>
          <w:tcPr>
            <w:tcW w:w="1771" w:type="dxa"/>
            <w:vMerge w:val="restart"/>
            <w:noWrap w:val="0"/>
            <w:vAlign w:val="center"/>
          </w:tcPr>
          <w:p w14:paraId="5CBCD287">
            <w:pPr>
              <w:widowControl/>
              <w:autoSpaceDN w:val="0"/>
              <w:jc w:val="center"/>
              <w:textAlignment w:val="bottom"/>
              <w:rPr>
                <w:rFonts w:hint="default" w:ascii="Times New Roman" w:eastAsia="宋体"/>
                <w:color w:val="000000" w:themeColor="text1"/>
                <w:kern w:val="0"/>
                <w:sz w:val="21"/>
                <w:szCs w:val="21"/>
                <w:lang w:val="en-US" w:eastAsia="zh-CN"/>
                <w14:textFill>
                  <w14:solidFill>
                    <w14:schemeClr w14:val="tx1"/>
                  </w14:solidFill>
                </w14:textFill>
              </w:rPr>
            </w:pPr>
            <w:r>
              <w:rPr>
                <w:rFonts w:hint="eastAsia" w:ascii="Times New Roman"/>
                <w:color w:val="000000" w:themeColor="text1"/>
                <w:kern w:val="0"/>
                <w:sz w:val="21"/>
                <w:szCs w:val="21"/>
                <w:lang w:val="en-US" w:eastAsia="zh-CN"/>
                <w14:textFill>
                  <w14:solidFill>
                    <w14:schemeClr w14:val="tx1"/>
                  </w14:solidFill>
                </w14:textFill>
              </w:rPr>
              <w:t>集气罩未捕集</w:t>
            </w:r>
          </w:p>
        </w:tc>
        <w:tc>
          <w:tcPr>
            <w:tcW w:w="1200" w:type="dxa"/>
            <w:noWrap w:val="0"/>
            <w:vAlign w:val="center"/>
          </w:tcPr>
          <w:p w14:paraId="0779DFCD">
            <w:pPr>
              <w:widowControl/>
              <w:autoSpaceDN w:val="0"/>
              <w:jc w:val="center"/>
              <w:textAlignment w:val="bottom"/>
              <w:rPr>
                <w:rFonts w:hint="default" w:ascii="Times New Roman" w:eastAsia="宋体"/>
                <w:color w:val="000000" w:themeColor="text1"/>
                <w:kern w:val="0"/>
                <w:sz w:val="21"/>
                <w:szCs w:val="21"/>
                <w:lang w:val="en-US" w:eastAsia="zh-CN"/>
                <w14:textFill>
                  <w14:solidFill>
                    <w14:schemeClr w14:val="tx1"/>
                  </w14:solidFill>
                </w14:textFill>
              </w:rPr>
            </w:pPr>
            <w:r>
              <w:rPr>
                <w:rFonts w:hint="eastAsia" w:ascii="Times New Roman"/>
                <w:color w:val="000000" w:themeColor="text1"/>
                <w:kern w:val="0"/>
                <w:sz w:val="21"/>
                <w:szCs w:val="21"/>
                <w:lang w:val="en-US" w:eastAsia="zh-CN"/>
                <w14:textFill>
                  <w14:solidFill>
                    <w14:schemeClr w14:val="tx1"/>
                  </w14:solidFill>
                </w14:textFill>
              </w:rPr>
              <w:t>非甲烷总烃</w:t>
            </w:r>
          </w:p>
        </w:tc>
        <w:tc>
          <w:tcPr>
            <w:tcW w:w="1156" w:type="dxa"/>
            <w:noWrap w:val="0"/>
            <w:vAlign w:val="center"/>
          </w:tcPr>
          <w:p w14:paraId="72A930DF">
            <w:pPr>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自然扩散</w:t>
            </w:r>
          </w:p>
        </w:tc>
        <w:tc>
          <w:tcPr>
            <w:tcW w:w="1652" w:type="dxa"/>
            <w:vMerge w:val="restart"/>
            <w:noWrap w:val="0"/>
            <w:vAlign w:val="center"/>
          </w:tcPr>
          <w:p w14:paraId="6623A41F">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宋体" w:eastAsia="宋体" w:cs="宋体"/>
                <w:color w:val="000000" w:themeColor="text1"/>
                <w:kern w:val="0"/>
                <w:sz w:val="21"/>
                <w:szCs w:val="21"/>
                <w:lang w:val="en-US" w:eastAsia="en-US" w:bidi="ar-SA"/>
                <w14:textFill>
                  <w14:solidFill>
                    <w14:schemeClr w14:val="tx1"/>
                  </w14:solidFill>
                </w14:textFill>
              </w:rPr>
              <w:t>《合成树脂工业污染物排放标准》（</w:t>
            </w:r>
            <w:r>
              <w:rPr>
                <w:rFonts w:hint="eastAsia" w:hAnsi="宋体" w:cs="宋体"/>
                <w:color w:val="000000" w:themeColor="text1"/>
                <w:kern w:val="0"/>
                <w:sz w:val="21"/>
                <w:szCs w:val="21"/>
                <w:lang w:val="en-US" w:eastAsia="zh-CN" w:bidi="ar-SA"/>
                <w14:textFill>
                  <w14:solidFill>
                    <w14:schemeClr w14:val="tx1"/>
                  </w14:solidFill>
                </w14:textFill>
              </w:rPr>
              <w:t>GB31572-2015，含2024年修改单</w:t>
            </w:r>
            <w:r>
              <w:rPr>
                <w:rFonts w:hint="default" w:ascii="Times New Roman" w:hAnsi="宋体" w:eastAsia="宋体" w:cs="宋体"/>
                <w:color w:val="000000" w:themeColor="text1"/>
                <w:kern w:val="0"/>
                <w:sz w:val="21"/>
                <w:szCs w:val="21"/>
                <w:lang w:val="en-US" w:eastAsia="en-US" w:bidi="ar-SA"/>
                <w14:textFill>
                  <w14:solidFill>
                    <w14:schemeClr w14:val="tx1"/>
                  </w14:solidFill>
                </w14:textFill>
              </w:rPr>
              <w:t>）</w:t>
            </w:r>
          </w:p>
        </w:tc>
        <w:tc>
          <w:tcPr>
            <w:tcW w:w="1105" w:type="dxa"/>
            <w:noWrap w:val="0"/>
            <w:vAlign w:val="center"/>
          </w:tcPr>
          <w:p w14:paraId="2C054537">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ascii="Times New Roman"/>
                <w:color w:val="000000" w:themeColor="text1"/>
                <w:kern w:val="0"/>
                <w:sz w:val="21"/>
                <w:szCs w:val="21"/>
                <w:lang w:val="en-US" w:eastAsia="zh-CN"/>
                <w14:textFill>
                  <w14:solidFill>
                    <w14:schemeClr w14:val="tx1"/>
                  </w14:solidFill>
                </w14:textFill>
              </w:rPr>
              <w:t>4000</w:t>
            </w:r>
          </w:p>
        </w:tc>
        <w:tc>
          <w:tcPr>
            <w:tcW w:w="946" w:type="dxa"/>
            <w:noWrap w:val="0"/>
            <w:vAlign w:val="center"/>
          </w:tcPr>
          <w:p w14:paraId="2F3DF40D">
            <w:pPr>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0</w:t>
            </w:r>
            <w:r>
              <w:rPr>
                <w:rFonts w:hint="eastAsia" w:cs="Times New Roman"/>
                <w:color w:val="000000" w:themeColor="text1"/>
                <w:kern w:val="0"/>
                <w:sz w:val="21"/>
                <w:szCs w:val="21"/>
                <w:lang w:val="en-US" w:eastAsia="zh-CN" w:bidi="ar-SA"/>
                <w14:textFill>
                  <w14:solidFill>
                    <w14:schemeClr w14:val="tx1"/>
                  </w14:solidFill>
                </w14:textFill>
              </w:rPr>
              <w:t>.27</w:t>
            </w:r>
          </w:p>
        </w:tc>
      </w:tr>
      <w:tr w14:paraId="4F24F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0" w:hRule="atLeast"/>
          <w:jc w:val="center"/>
        </w:trPr>
        <w:tc>
          <w:tcPr>
            <w:tcW w:w="788" w:type="dxa"/>
            <w:noWrap w:val="0"/>
            <w:vAlign w:val="center"/>
          </w:tcPr>
          <w:p w14:paraId="028F4506">
            <w:pPr>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2</w:t>
            </w:r>
          </w:p>
        </w:tc>
        <w:tc>
          <w:tcPr>
            <w:tcW w:w="1771" w:type="dxa"/>
            <w:vMerge w:val="continue"/>
            <w:noWrap w:val="0"/>
            <w:vAlign w:val="center"/>
          </w:tcPr>
          <w:p w14:paraId="4648A598">
            <w:pPr>
              <w:widowControl/>
              <w:autoSpaceDN w:val="0"/>
              <w:jc w:val="center"/>
              <w:textAlignment w:val="bottom"/>
              <w:rPr>
                <w:rFonts w:ascii="Times New Roman"/>
                <w:color w:val="000000" w:themeColor="text1"/>
                <w:kern w:val="0"/>
                <w:sz w:val="21"/>
                <w:szCs w:val="21"/>
                <w14:textFill>
                  <w14:solidFill>
                    <w14:schemeClr w14:val="tx1"/>
                  </w14:solidFill>
                </w14:textFill>
              </w:rPr>
            </w:pPr>
          </w:p>
        </w:tc>
        <w:tc>
          <w:tcPr>
            <w:tcW w:w="1200" w:type="dxa"/>
            <w:noWrap w:val="0"/>
            <w:vAlign w:val="center"/>
          </w:tcPr>
          <w:p w14:paraId="50A3B871">
            <w:pPr>
              <w:widowControl/>
              <w:autoSpaceDN w:val="0"/>
              <w:jc w:val="center"/>
              <w:textAlignment w:val="bottom"/>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颗粒物</w:t>
            </w:r>
          </w:p>
        </w:tc>
        <w:tc>
          <w:tcPr>
            <w:tcW w:w="1156" w:type="dxa"/>
            <w:noWrap w:val="0"/>
            <w:vAlign w:val="center"/>
          </w:tcPr>
          <w:p w14:paraId="48AB1CF0">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车间沉降</w:t>
            </w:r>
          </w:p>
        </w:tc>
        <w:tc>
          <w:tcPr>
            <w:tcW w:w="1652" w:type="dxa"/>
            <w:vMerge w:val="continue"/>
            <w:noWrap w:val="0"/>
            <w:vAlign w:val="center"/>
          </w:tcPr>
          <w:p w14:paraId="2832BEBD">
            <w:pPr>
              <w:spacing w:before="10"/>
              <w:jc w:val="center"/>
              <w:rPr>
                <w:rFonts w:ascii="Times New Roman" w:hAnsi="宋体" w:eastAsia="宋体" w:cs="宋体"/>
                <w:color w:val="000000" w:themeColor="text1"/>
                <w:kern w:val="0"/>
                <w:sz w:val="21"/>
                <w:szCs w:val="21"/>
                <w:lang w:val="en-US" w:eastAsia="en-US" w:bidi="ar-SA"/>
                <w14:textFill>
                  <w14:solidFill>
                    <w14:schemeClr w14:val="tx1"/>
                  </w14:solidFill>
                </w14:textFill>
              </w:rPr>
            </w:pPr>
          </w:p>
        </w:tc>
        <w:tc>
          <w:tcPr>
            <w:tcW w:w="1105" w:type="dxa"/>
            <w:noWrap w:val="0"/>
            <w:vAlign w:val="center"/>
          </w:tcPr>
          <w:p w14:paraId="7F2E6DA0">
            <w:pPr>
              <w:widowControl/>
              <w:jc w:val="center"/>
              <w:rPr>
                <w:rFonts w:hint="default" w:ascii="Times New Roman"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1000</w:t>
            </w:r>
          </w:p>
        </w:tc>
        <w:tc>
          <w:tcPr>
            <w:tcW w:w="946" w:type="dxa"/>
            <w:noWrap w:val="0"/>
            <w:vAlign w:val="center"/>
          </w:tcPr>
          <w:p w14:paraId="1136FEEC">
            <w:pPr>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0.36</w:t>
            </w:r>
          </w:p>
        </w:tc>
      </w:tr>
      <w:tr w14:paraId="226F2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0" w:hRule="atLeast"/>
          <w:jc w:val="center"/>
        </w:trPr>
        <w:tc>
          <w:tcPr>
            <w:tcW w:w="788" w:type="dxa"/>
            <w:noWrap w:val="0"/>
            <w:vAlign w:val="center"/>
          </w:tcPr>
          <w:p w14:paraId="52BCF1FE">
            <w:pPr>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3</w:t>
            </w:r>
          </w:p>
        </w:tc>
        <w:tc>
          <w:tcPr>
            <w:tcW w:w="1771" w:type="dxa"/>
            <w:vMerge w:val="continue"/>
            <w:noWrap w:val="0"/>
            <w:vAlign w:val="center"/>
          </w:tcPr>
          <w:p w14:paraId="5A217AC5">
            <w:pPr>
              <w:widowControl/>
              <w:autoSpaceDN w:val="0"/>
              <w:jc w:val="center"/>
              <w:textAlignment w:val="bottom"/>
              <w:rPr>
                <w:rFonts w:ascii="Times New Roman"/>
                <w:color w:val="000000" w:themeColor="text1"/>
                <w:kern w:val="0"/>
                <w:sz w:val="21"/>
                <w:szCs w:val="21"/>
                <w14:textFill>
                  <w14:solidFill>
                    <w14:schemeClr w14:val="tx1"/>
                  </w14:solidFill>
                </w14:textFill>
              </w:rPr>
            </w:pPr>
          </w:p>
        </w:tc>
        <w:tc>
          <w:tcPr>
            <w:tcW w:w="1200" w:type="dxa"/>
            <w:noWrap w:val="0"/>
            <w:vAlign w:val="center"/>
          </w:tcPr>
          <w:p w14:paraId="51FD600C">
            <w:pPr>
              <w:widowControl/>
              <w:autoSpaceDN w:val="0"/>
              <w:jc w:val="center"/>
              <w:textAlignment w:val="bottom"/>
              <w:rPr>
                <w:rFonts w:hint="default" w:ascii="Times New Roman"/>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甲醛</w:t>
            </w:r>
          </w:p>
        </w:tc>
        <w:tc>
          <w:tcPr>
            <w:tcW w:w="1156" w:type="dxa"/>
            <w:noWrap w:val="0"/>
            <w:vAlign w:val="center"/>
          </w:tcPr>
          <w:p w14:paraId="60672B9A">
            <w:pPr>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自然扩散</w:t>
            </w:r>
          </w:p>
        </w:tc>
        <w:tc>
          <w:tcPr>
            <w:tcW w:w="1652" w:type="dxa"/>
            <w:noWrap w:val="0"/>
            <w:vAlign w:val="center"/>
          </w:tcPr>
          <w:p w14:paraId="692FC3F5">
            <w:pPr>
              <w:spacing w:before="10"/>
              <w:jc w:val="center"/>
              <w:rPr>
                <w:rFonts w:hint="eastAsia" w:ascii="Times New Roman" w:hAnsi="宋体" w:eastAsia="宋体" w:cs="宋体"/>
                <w:color w:val="000000" w:themeColor="text1"/>
                <w:kern w:val="0"/>
                <w:sz w:val="21"/>
                <w:szCs w:val="21"/>
                <w:lang w:val="en-US" w:eastAsia="zh-CN" w:bidi="ar-SA"/>
                <w14:textFill>
                  <w14:solidFill>
                    <w14:schemeClr w14:val="tx1"/>
                  </w14:solidFill>
                </w14:textFill>
              </w:rPr>
            </w:pPr>
            <w:r>
              <w:rPr>
                <w:rFonts w:ascii="Times New Roman" w:hAnsi="宋体" w:eastAsia="宋体" w:cs="宋体"/>
                <w:color w:val="000000" w:themeColor="text1"/>
                <w:kern w:val="0"/>
                <w:sz w:val="21"/>
                <w:szCs w:val="21"/>
                <w:lang w:val="en-US" w:eastAsia="en-US" w:bidi="ar-SA"/>
                <w14:textFill>
                  <w14:solidFill>
                    <w14:schemeClr w14:val="tx1"/>
                  </w14:solidFill>
                </w14:textFill>
              </w:rPr>
              <w:t>《大气污染物综合排放标准》（GB16297-1996</w:t>
            </w:r>
            <w:r>
              <w:rPr>
                <w:rFonts w:hint="eastAsia" w:hAnsi="宋体" w:cs="宋体"/>
                <w:color w:val="000000" w:themeColor="text1"/>
                <w:kern w:val="0"/>
                <w:sz w:val="21"/>
                <w:szCs w:val="21"/>
                <w:lang w:val="en-US" w:eastAsia="zh-CN" w:bidi="ar-SA"/>
                <w14:textFill>
                  <w14:solidFill>
                    <w14:schemeClr w14:val="tx1"/>
                  </w14:solidFill>
                </w14:textFill>
              </w:rPr>
              <w:t>）</w:t>
            </w:r>
          </w:p>
        </w:tc>
        <w:tc>
          <w:tcPr>
            <w:tcW w:w="1105" w:type="dxa"/>
            <w:noWrap w:val="0"/>
            <w:vAlign w:val="center"/>
          </w:tcPr>
          <w:p w14:paraId="2B8DD137">
            <w:pPr>
              <w:widowControl/>
              <w:jc w:val="center"/>
              <w:rPr>
                <w:rFonts w:hint="default" w:ascii="Times New Roman"/>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250</w:t>
            </w:r>
          </w:p>
        </w:tc>
        <w:tc>
          <w:tcPr>
            <w:tcW w:w="946" w:type="dxa"/>
            <w:noWrap w:val="0"/>
            <w:vAlign w:val="center"/>
          </w:tcPr>
          <w:p w14:paraId="24A4CB4D">
            <w:pPr>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0.001</w:t>
            </w:r>
          </w:p>
        </w:tc>
      </w:tr>
    </w:tbl>
    <w:p w14:paraId="548C91B4">
      <w:pPr>
        <w:widowControl/>
        <w:adjustRightInd w:val="0"/>
        <w:snapToGrid w:val="0"/>
        <w:spacing w:before="156" w:beforeLines="50"/>
        <w:jc w:val="center"/>
        <w:rPr>
          <w:rFonts w:ascii="Times New Roman"/>
          <w:b/>
          <w:bCs/>
          <w:color w:val="000000" w:themeColor="text1"/>
          <w:kern w:val="0"/>
          <w:sz w:val="24"/>
          <w:szCs w:val="20"/>
          <w14:textFill>
            <w14:solidFill>
              <w14:schemeClr w14:val="tx1"/>
            </w14:solidFill>
          </w14:textFill>
        </w:rPr>
      </w:pPr>
      <w:r>
        <w:rPr>
          <w:rFonts w:ascii="Times New Roman"/>
          <w:b/>
          <w:bCs/>
          <w:color w:val="000000" w:themeColor="text1"/>
          <w:kern w:val="0"/>
          <w:sz w:val="21"/>
          <w:szCs w:val="16"/>
          <w14:textFill>
            <w14:solidFill>
              <w14:schemeClr w14:val="tx1"/>
            </w14:solidFill>
          </w14:textFill>
        </w:rPr>
        <w:t>表</w:t>
      </w:r>
      <w:r>
        <w:rPr>
          <w:rFonts w:hint="eastAsia"/>
          <w:b/>
          <w:bCs/>
          <w:color w:val="000000" w:themeColor="text1"/>
          <w:kern w:val="0"/>
          <w:sz w:val="21"/>
          <w:szCs w:val="16"/>
          <w:lang w:val="en-US" w:eastAsia="zh-CN"/>
          <w14:textFill>
            <w14:solidFill>
              <w14:schemeClr w14:val="tx1"/>
            </w14:solidFill>
          </w14:textFill>
        </w:rPr>
        <w:t>4</w:t>
      </w:r>
      <w:r>
        <w:rPr>
          <w:rFonts w:ascii="Times New Roman"/>
          <w:b/>
          <w:bCs/>
          <w:color w:val="000000" w:themeColor="text1"/>
          <w:kern w:val="0"/>
          <w:sz w:val="21"/>
          <w:szCs w:val="16"/>
          <w14:textFill>
            <w14:solidFill>
              <w14:schemeClr w14:val="tx1"/>
            </w14:solidFill>
          </w14:textFill>
        </w:rPr>
        <w:t>.2</w:t>
      </w:r>
      <w:r>
        <w:rPr>
          <w:rFonts w:hint="eastAsia" w:ascii="Times New Roman"/>
          <w:b/>
          <w:bCs/>
          <w:color w:val="000000" w:themeColor="text1"/>
          <w:kern w:val="0"/>
          <w:sz w:val="21"/>
          <w:szCs w:val="16"/>
          <w:lang w:val="en-US" w:eastAsia="zh-CN"/>
          <w14:textFill>
            <w14:solidFill>
              <w14:schemeClr w14:val="tx1"/>
            </w14:solidFill>
          </w14:textFill>
        </w:rPr>
        <w:t>-10</w:t>
      </w:r>
      <w:r>
        <w:rPr>
          <w:rFonts w:ascii="Times New Roman"/>
          <w:b/>
          <w:bCs/>
          <w:color w:val="000000" w:themeColor="text1"/>
          <w:kern w:val="0"/>
          <w:sz w:val="21"/>
          <w:szCs w:val="16"/>
          <w14:textFill>
            <w14:solidFill>
              <w14:schemeClr w14:val="tx1"/>
            </w14:solidFill>
          </w14:textFill>
        </w:rPr>
        <w:t xml:space="preserve"> 污染源非正常排放量核算表</w:t>
      </w:r>
    </w:p>
    <w:tbl>
      <w:tblPr>
        <w:tblStyle w:val="32"/>
        <w:tblW w:w="4765" w:type="pct"/>
        <w:tblInd w:w="2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0"/>
        <w:gridCol w:w="939"/>
        <w:gridCol w:w="981"/>
        <w:gridCol w:w="800"/>
        <w:gridCol w:w="1057"/>
        <w:gridCol w:w="1030"/>
        <w:gridCol w:w="927"/>
        <w:gridCol w:w="836"/>
        <w:gridCol w:w="883"/>
      </w:tblGrid>
      <w:tr w14:paraId="522A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pct"/>
            <w:vAlign w:val="center"/>
          </w:tcPr>
          <w:p w14:paraId="50DDC587">
            <w:pPr>
              <w:bidi w:val="0"/>
              <w:spacing w:line="240" w:lineRule="auto"/>
              <w:ind w:firstLine="0" w:firstLineChars="0"/>
              <w:jc w:val="cente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污染源</w:t>
            </w:r>
          </w:p>
        </w:tc>
        <w:tc>
          <w:tcPr>
            <w:tcW w:w="543" w:type="pct"/>
            <w:vAlign w:val="center"/>
          </w:tcPr>
          <w:p w14:paraId="1F15BE52">
            <w:pPr>
              <w:bidi w:val="0"/>
              <w:spacing w:line="240" w:lineRule="auto"/>
              <w:ind w:firstLine="0" w:firstLineChars="0"/>
              <w:jc w:val="cente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污染物</w:t>
            </w:r>
          </w:p>
        </w:tc>
        <w:tc>
          <w:tcPr>
            <w:tcW w:w="568" w:type="pct"/>
            <w:vAlign w:val="center"/>
          </w:tcPr>
          <w:p w14:paraId="46ACC548">
            <w:pPr>
              <w:bidi w:val="0"/>
              <w:spacing w:line="240" w:lineRule="auto"/>
              <w:ind w:firstLine="0" w:firstLineChars="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非正常排放原因</w:t>
            </w:r>
          </w:p>
        </w:tc>
        <w:tc>
          <w:tcPr>
            <w:tcW w:w="463" w:type="pct"/>
            <w:vAlign w:val="center"/>
          </w:tcPr>
          <w:p w14:paraId="4AD096B9">
            <w:pPr>
              <w:bidi w:val="0"/>
              <w:spacing w:line="240" w:lineRule="auto"/>
              <w:ind w:firstLine="0" w:firstLineChars="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处理效率</w:t>
            </w:r>
          </w:p>
        </w:tc>
        <w:tc>
          <w:tcPr>
            <w:tcW w:w="612" w:type="pct"/>
            <w:vAlign w:val="center"/>
          </w:tcPr>
          <w:p w14:paraId="399B59CF">
            <w:pPr>
              <w:bidi w:val="0"/>
              <w:spacing w:line="240" w:lineRule="auto"/>
              <w:ind w:firstLine="0" w:firstLineChars="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非正常排放速率</w:t>
            </w:r>
          </w:p>
        </w:tc>
        <w:tc>
          <w:tcPr>
            <w:tcW w:w="596" w:type="pct"/>
            <w:vAlign w:val="center"/>
          </w:tcPr>
          <w:p w14:paraId="4155FB35">
            <w:pPr>
              <w:bidi w:val="0"/>
              <w:spacing w:line="240" w:lineRule="auto"/>
              <w:ind w:firstLine="0" w:firstLineChars="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单次持续时间/h</w:t>
            </w:r>
          </w:p>
        </w:tc>
        <w:tc>
          <w:tcPr>
            <w:tcW w:w="536" w:type="pct"/>
            <w:vAlign w:val="center"/>
          </w:tcPr>
          <w:p w14:paraId="7C00DAB7">
            <w:pPr>
              <w:bidi w:val="0"/>
              <w:spacing w:line="240" w:lineRule="auto"/>
              <w:ind w:firstLine="0" w:firstLineChars="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年发生频次/次</w:t>
            </w:r>
          </w:p>
        </w:tc>
        <w:tc>
          <w:tcPr>
            <w:tcW w:w="484" w:type="pct"/>
            <w:vAlign w:val="center"/>
          </w:tcPr>
          <w:p w14:paraId="69DE4A12">
            <w:pPr>
              <w:bidi w:val="0"/>
              <w:spacing w:line="240" w:lineRule="auto"/>
              <w:ind w:firstLine="0" w:firstLineChars="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排放浓度</w:t>
            </w:r>
          </w:p>
        </w:tc>
        <w:tc>
          <w:tcPr>
            <w:tcW w:w="511" w:type="pct"/>
            <w:vAlign w:val="center"/>
          </w:tcPr>
          <w:p w14:paraId="1CDCE8E8">
            <w:pPr>
              <w:bidi w:val="0"/>
              <w:spacing w:line="240" w:lineRule="auto"/>
              <w:ind w:firstLine="0" w:firstLineChars="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单次排放量（kg）</w:t>
            </w:r>
          </w:p>
        </w:tc>
      </w:tr>
      <w:tr w14:paraId="176DE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683" w:type="pct"/>
            <w:vMerge w:val="restart"/>
            <w:vAlign w:val="center"/>
          </w:tcPr>
          <w:p w14:paraId="7C20A33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电预热、模压罩光废气（DA001）</w:t>
            </w:r>
          </w:p>
        </w:tc>
        <w:tc>
          <w:tcPr>
            <w:tcW w:w="543" w:type="pct"/>
            <w:vAlign w:val="center"/>
          </w:tcPr>
          <w:p w14:paraId="43B756FB">
            <w:pPr>
              <w:bidi w:val="0"/>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非甲烷总烃</w:t>
            </w:r>
          </w:p>
        </w:tc>
        <w:tc>
          <w:tcPr>
            <w:tcW w:w="568" w:type="pct"/>
            <w:vMerge w:val="restart"/>
            <w:vAlign w:val="center"/>
          </w:tcPr>
          <w:p w14:paraId="6E50FBA4">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废气处理设施故障（效率降为50%）</w:t>
            </w:r>
          </w:p>
        </w:tc>
        <w:tc>
          <w:tcPr>
            <w:tcW w:w="463" w:type="pct"/>
            <w:vAlign w:val="center"/>
          </w:tcPr>
          <w:p w14:paraId="608CCE2B">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50</w:t>
            </w:r>
          </w:p>
        </w:tc>
        <w:tc>
          <w:tcPr>
            <w:tcW w:w="612" w:type="pct"/>
            <w:vAlign w:val="center"/>
          </w:tcPr>
          <w:p w14:paraId="3E36D624">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0.29</w:t>
            </w:r>
          </w:p>
        </w:tc>
        <w:tc>
          <w:tcPr>
            <w:tcW w:w="596" w:type="pct"/>
            <w:vAlign w:val="center"/>
          </w:tcPr>
          <w:p w14:paraId="4841940C">
            <w:pPr>
              <w:bidi w:val="0"/>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w:t>
            </w:r>
          </w:p>
        </w:tc>
        <w:tc>
          <w:tcPr>
            <w:tcW w:w="536" w:type="pct"/>
            <w:vAlign w:val="center"/>
          </w:tcPr>
          <w:p w14:paraId="28B9935D">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1~2</w:t>
            </w:r>
          </w:p>
        </w:tc>
        <w:tc>
          <w:tcPr>
            <w:tcW w:w="484" w:type="pct"/>
            <w:vAlign w:val="center"/>
          </w:tcPr>
          <w:p w14:paraId="258900E1">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41.72</w:t>
            </w:r>
          </w:p>
        </w:tc>
        <w:tc>
          <w:tcPr>
            <w:tcW w:w="511" w:type="pct"/>
            <w:shd w:val="clear" w:color="auto" w:fill="auto"/>
            <w:vAlign w:val="center"/>
          </w:tcPr>
          <w:p w14:paraId="57FCE2BB">
            <w:pPr>
              <w:bidi w:val="0"/>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0.29</w:t>
            </w:r>
          </w:p>
        </w:tc>
      </w:tr>
      <w:tr w14:paraId="5665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683" w:type="pct"/>
            <w:vMerge w:val="continue"/>
            <w:vAlign w:val="center"/>
          </w:tcPr>
          <w:p w14:paraId="19AAA67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p>
        </w:tc>
        <w:tc>
          <w:tcPr>
            <w:tcW w:w="543" w:type="pct"/>
            <w:vAlign w:val="center"/>
          </w:tcPr>
          <w:p w14:paraId="1CE7020C">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甲醛</w:t>
            </w:r>
          </w:p>
        </w:tc>
        <w:tc>
          <w:tcPr>
            <w:tcW w:w="568" w:type="pct"/>
            <w:vMerge w:val="continue"/>
            <w:vAlign w:val="center"/>
          </w:tcPr>
          <w:p w14:paraId="07D47B93">
            <w:pPr>
              <w:bidi w:val="0"/>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463" w:type="pct"/>
            <w:vAlign w:val="center"/>
          </w:tcPr>
          <w:p w14:paraId="3A3031CF">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50</w:t>
            </w:r>
          </w:p>
        </w:tc>
        <w:tc>
          <w:tcPr>
            <w:tcW w:w="612" w:type="pct"/>
            <w:vAlign w:val="center"/>
          </w:tcPr>
          <w:p w14:paraId="5F894013">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0.001</w:t>
            </w:r>
          </w:p>
        </w:tc>
        <w:tc>
          <w:tcPr>
            <w:tcW w:w="596" w:type="pct"/>
            <w:vAlign w:val="center"/>
          </w:tcPr>
          <w:p w14:paraId="27969B5E">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w:t>
            </w:r>
          </w:p>
        </w:tc>
        <w:tc>
          <w:tcPr>
            <w:tcW w:w="536" w:type="pct"/>
            <w:vAlign w:val="center"/>
          </w:tcPr>
          <w:p w14:paraId="67EDCE47">
            <w:pPr>
              <w:bidi w:val="0"/>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1~2</w:t>
            </w:r>
          </w:p>
        </w:tc>
        <w:tc>
          <w:tcPr>
            <w:tcW w:w="484" w:type="pct"/>
            <w:vAlign w:val="center"/>
          </w:tcPr>
          <w:p w14:paraId="4B02F267">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0.19</w:t>
            </w:r>
          </w:p>
        </w:tc>
        <w:tc>
          <w:tcPr>
            <w:tcW w:w="511" w:type="pct"/>
            <w:shd w:val="clear" w:color="auto" w:fill="auto"/>
            <w:vAlign w:val="center"/>
          </w:tcPr>
          <w:p w14:paraId="3EF6EF83">
            <w:pPr>
              <w:bidi w:val="0"/>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0.001</w:t>
            </w:r>
          </w:p>
        </w:tc>
      </w:tr>
      <w:tr w14:paraId="5B484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pct"/>
            <w:vAlign w:val="center"/>
          </w:tcPr>
          <w:p w14:paraId="479B1AC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称量打磨废气（DA002）</w:t>
            </w:r>
          </w:p>
        </w:tc>
        <w:tc>
          <w:tcPr>
            <w:tcW w:w="543" w:type="pct"/>
            <w:vAlign w:val="center"/>
          </w:tcPr>
          <w:p w14:paraId="4DC68D45">
            <w:pPr>
              <w:bidi w:val="0"/>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颗粒物</w:t>
            </w:r>
          </w:p>
        </w:tc>
        <w:tc>
          <w:tcPr>
            <w:tcW w:w="568" w:type="pct"/>
            <w:vMerge w:val="continue"/>
            <w:vAlign w:val="center"/>
          </w:tcPr>
          <w:p w14:paraId="027EB119">
            <w:pPr>
              <w:bidi w:val="0"/>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463" w:type="pct"/>
            <w:vAlign w:val="center"/>
          </w:tcPr>
          <w:p w14:paraId="231E87B4">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50</w:t>
            </w:r>
          </w:p>
        </w:tc>
        <w:tc>
          <w:tcPr>
            <w:tcW w:w="612" w:type="pct"/>
            <w:vAlign w:val="center"/>
          </w:tcPr>
          <w:p w14:paraId="78F67587">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w:t>
            </w:r>
            <w:r>
              <w:rPr>
                <w:rFonts w:hint="eastAsia" w:cs="Times New Roman"/>
                <w:color w:val="000000" w:themeColor="text1"/>
                <w:sz w:val="21"/>
                <w:szCs w:val="21"/>
                <w:lang w:val="en-US" w:eastAsia="zh-CN"/>
                <w14:textFill>
                  <w14:solidFill>
                    <w14:schemeClr w14:val="tx1"/>
                  </w14:solidFill>
                </w14:textFill>
              </w:rPr>
              <w:t>60</w:t>
            </w:r>
          </w:p>
        </w:tc>
        <w:tc>
          <w:tcPr>
            <w:tcW w:w="596" w:type="pct"/>
            <w:vAlign w:val="center"/>
          </w:tcPr>
          <w:p w14:paraId="65368FC7">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w:t>
            </w:r>
          </w:p>
        </w:tc>
        <w:tc>
          <w:tcPr>
            <w:tcW w:w="536" w:type="pct"/>
            <w:vAlign w:val="center"/>
          </w:tcPr>
          <w:p w14:paraId="6730288E">
            <w:pPr>
              <w:bidi w:val="0"/>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1~2</w:t>
            </w:r>
          </w:p>
        </w:tc>
        <w:tc>
          <w:tcPr>
            <w:tcW w:w="484" w:type="pct"/>
            <w:vAlign w:val="center"/>
          </w:tcPr>
          <w:p w14:paraId="68B1D7BA">
            <w:pPr>
              <w:bidi w:val="0"/>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306.49</w:t>
            </w:r>
          </w:p>
        </w:tc>
        <w:tc>
          <w:tcPr>
            <w:tcW w:w="511" w:type="pct"/>
            <w:shd w:val="clear" w:color="auto" w:fill="auto"/>
            <w:vAlign w:val="center"/>
          </w:tcPr>
          <w:p w14:paraId="412A2F93">
            <w:pPr>
              <w:bidi w:val="0"/>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w:t>
            </w:r>
            <w:r>
              <w:rPr>
                <w:rFonts w:hint="eastAsia" w:cs="Times New Roman"/>
                <w:color w:val="000000" w:themeColor="text1"/>
                <w:sz w:val="21"/>
                <w:szCs w:val="21"/>
                <w:lang w:val="en-US" w:eastAsia="zh-CN"/>
                <w14:textFill>
                  <w14:solidFill>
                    <w14:schemeClr w14:val="tx1"/>
                  </w14:solidFill>
                </w14:textFill>
              </w:rPr>
              <w:t>61</w:t>
            </w:r>
          </w:p>
        </w:tc>
      </w:tr>
    </w:tbl>
    <w:p w14:paraId="0BF31447">
      <w:pPr>
        <w:widowControl/>
        <w:adjustRightInd w:val="0"/>
        <w:snapToGrid w:val="0"/>
        <w:spacing w:line="360" w:lineRule="auto"/>
        <w:ind w:firstLine="482" w:firstLineChars="200"/>
        <w:jc w:val="left"/>
        <w:rPr>
          <w:rFonts w:ascii="Times New Roman"/>
          <w:b/>
          <w:color w:val="000000" w:themeColor="text1"/>
          <w:kern w:val="0"/>
          <w:sz w:val="24"/>
          <w:szCs w:val="20"/>
          <w14:textFill>
            <w14:solidFill>
              <w14:schemeClr w14:val="tx1"/>
            </w14:solidFill>
          </w14:textFill>
        </w:rPr>
      </w:pPr>
      <w:r>
        <w:rPr>
          <w:rFonts w:ascii="Times New Roman"/>
          <w:b/>
          <w:color w:val="000000" w:themeColor="text1"/>
          <w:kern w:val="0"/>
          <w:sz w:val="24"/>
          <w:szCs w:val="20"/>
          <w14:textFill>
            <w14:solidFill>
              <w14:schemeClr w14:val="tx1"/>
            </w14:solidFill>
          </w14:textFill>
        </w:rPr>
        <w:t>6、大气环境防护距离</w:t>
      </w:r>
    </w:p>
    <w:p w14:paraId="6C58FBD6">
      <w:pPr>
        <w:pStyle w:val="79"/>
        <w:bidi w:val="0"/>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t>本次项目大气评价等级定为二级，不用进一步预测，故无需计算大气环境防护距离，无需设置大气环境防护区域。</w:t>
      </w:r>
    </w:p>
    <w:p w14:paraId="5AFB68FA">
      <w:pPr>
        <w:pStyle w:val="79"/>
        <w:bidi w:val="0"/>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eastAsia" w:cs="Times New Roman"/>
          <w:b/>
          <w:bCs/>
          <w:color w:val="000000" w:themeColor="text1"/>
          <w:kern w:val="2"/>
          <w:sz w:val="24"/>
          <w:szCs w:val="24"/>
          <w:lang w:val="en-US" w:eastAsia="zh-CN" w:bidi="ar-SA"/>
          <w14:textFill>
            <w14:solidFill>
              <w14:schemeClr w14:val="tx1"/>
            </w14:solidFill>
          </w14:textFill>
        </w:rPr>
        <w:t>7</w:t>
      </w: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、小结</w:t>
      </w:r>
    </w:p>
    <w:p w14:paraId="1FBEE8F4">
      <w:pPr>
        <w:pStyle w:val="79"/>
        <w:bidi w:val="0"/>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经预测，项目有组织排放的非甲烷总烃</w:t>
      </w:r>
      <w:r>
        <w:rPr>
          <w:rFonts w:hint="eastAsia" w:cs="Times New Roman"/>
          <w:color w:val="000000" w:themeColor="text1"/>
          <w:kern w:val="2"/>
          <w:sz w:val="24"/>
          <w:szCs w:val="24"/>
          <w:lang w:val="en-US" w:eastAsia="zh-CN" w:bidi="ar-SA"/>
          <w14:textFill>
            <w14:solidFill>
              <w14:schemeClr w14:val="tx1"/>
            </w14:solidFill>
          </w14:textFill>
        </w:rPr>
        <w:t>、甲醛与颗粒物</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正常排放情况最大落地浓度能达到《合成树脂工业污染物排放标准》（</w:t>
      </w:r>
      <w:r>
        <w:rPr>
          <w:rFonts w:hint="eastAsia" w:cs="Times New Roman"/>
          <w:color w:val="000000" w:themeColor="text1"/>
          <w:kern w:val="2"/>
          <w:sz w:val="24"/>
          <w:szCs w:val="24"/>
          <w:lang w:val="en-US" w:eastAsia="zh-CN" w:bidi="ar-SA"/>
          <w14:textFill>
            <w14:solidFill>
              <w14:schemeClr w14:val="tx1"/>
            </w14:solidFill>
          </w14:textFill>
        </w:rPr>
        <w:t>GB31572-2015，含2024年修改单</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）表4 大气污染物排放限值要求，对项目区周围环境影响较小。</w:t>
      </w:r>
    </w:p>
    <w:p w14:paraId="2E23A3B3">
      <w:pPr>
        <w:pStyle w:val="2"/>
        <w:numPr>
          <w:ilvl w:val="0"/>
          <w:numId w:val="0"/>
        </w:numPr>
        <w:bidi w:val="0"/>
        <w:ind w:left="0" w:leftChars="0" w:firstLine="0" w:firstLineChars="0"/>
        <w:rPr>
          <w:rFonts w:hint="eastAsia"/>
          <w:color w:val="000000" w:themeColor="text1"/>
          <w:lang w:val="en-US" w:eastAsia="zh-CN"/>
          <w14:textFill>
            <w14:solidFill>
              <w14:schemeClr w14:val="tx1"/>
            </w14:solidFill>
          </w14:textFill>
        </w:rPr>
      </w:pPr>
      <w:bookmarkStart w:id="505" w:name="_Toc14772"/>
      <w:bookmarkStart w:id="506" w:name="_Toc30573"/>
      <w:bookmarkStart w:id="507" w:name="_Toc5352"/>
      <w:r>
        <w:rPr>
          <w:rFonts w:hint="eastAsia" w:cs="Times New Roman"/>
          <w:b/>
          <w:bCs/>
          <w:color w:val="000000" w:themeColor="text1"/>
          <w:kern w:val="44"/>
          <w:sz w:val="32"/>
          <w:szCs w:val="30"/>
          <w:lang w:val="en-US" w:eastAsia="zh-CN" w:bidi="ar-SA"/>
          <w14:textFill>
            <w14:solidFill>
              <w14:schemeClr w14:val="tx1"/>
            </w14:solidFill>
          </w14:textFill>
        </w:rPr>
        <w:t>5、</w:t>
      </w:r>
      <w:r>
        <w:rPr>
          <w:rFonts w:hint="eastAsia"/>
          <w:color w:val="000000" w:themeColor="text1"/>
          <w:lang w:val="en-US" w:eastAsia="zh-CN"/>
          <w14:textFill>
            <w14:solidFill>
              <w14:schemeClr w14:val="tx1"/>
            </w14:solidFill>
          </w14:textFill>
        </w:rPr>
        <w:t>废气污染防治措施及可行性分析</w:t>
      </w:r>
      <w:bookmarkEnd w:id="505"/>
      <w:bookmarkEnd w:id="506"/>
      <w:bookmarkEnd w:id="507"/>
    </w:p>
    <w:p w14:paraId="7195A3FE">
      <w:pPr>
        <w:pStyle w:val="3"/>
        <w:bidi w:val="0"/>
        <w:rPr>
          <w:rFonts w:hint="eastAsia"/>
          <w:color w:val="000000" w:themeColor="text1"/>
          <w:lang w:val="en-US" w:eastAsia="zh-CN"/>
          <w14:textFill>
            <w14:solidFill>
              <w14:schemeClr w14:val="tx1"/>
            </w14:solidFill>
          </w14:textFill>
        </w:rPr>
      </w:pPr>
      <w:bookmarkStart w:id="508" w:name="_Toc31315"/>
      <w:bookmarkStart w:id="509" w:name="_Toc3926"/>
      <w:bookmarkStart w:id="510" w:name="_Toc14526"/>
      <w:r>
        <w:rPr>
          <w:rFonts w:hint="eastAsia"/>
          <w:color w:val="000000" w:themeColor="text1"/>
          <w:lang w:val="en-US" w:eastAsia="zh-CN"/>
          <w14:textFill>
            <w14:solidFill>
              <w14:schemeClr w14:val="tx1"/>
            </w14:solidFill>
          </w14:textFill>
        </w:rPr>
        <w:t>5.1 施工期大气污染防治措施及可行性论证</w:t>
      </w:r>
      <w:bookmarkEnd w:id="508"/>
      <w:bookmarkEnd w:id="509"/>
      <w:bookmarkEnd w:id="510"/>
    </w:p>
    <w:p w14:paraId="4FEEEAFC">
      <w:pPr>
        <w:pStyle w:val="79"/>
        <w:bidi w:val="0"/>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1、扬尘污染防治措施</w:t>
      </w:r>
    </w:p>
    <w:p w14:paraId="77F0CA44">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（1）施工场地定期洒水，以有效防止扬尘，在风速大于四级风速气象条件下加大洒水量及洒水频次，蓬布遮盖</w:t>
      </w:r>
      <w:r>
        <w:rPr>
          <w:rFonts w:hint="eastAsia"/>
          <w:color w:val="000000" w:themeColor="text1"/>
          <w:lang w:val="en-US" w:eastAsia="zh-CN"/>
          <w14:textFill>
            <w14:solidFill>
              <w14:schemeClr w14:val="tx1"/>
            </w14:solidFill>
          </w14:textFill>
        </w:rPr>
        <w:t>原材料</w:t>
      </w:r>
      <w:r>
        <w:rPr>
          <w:rFonts w:hint="default"/>
          <w:color w:val="000000" w:themeColor="text1"/>
          <w:lang w:val="en-US" w:eastAsia="zh-CN"/>
          <w14:textFill>
            <w14:solidFill>
              <w14:schemeClr w14:val="tx1"/>
            </w14:solidFill>
          </w14:textFill>
        </w:rPr>
        <w:t>，尽量按量购进建筑材料等措施，避免在场内长时间堆放等措施，来降低扬尘的影响；</w:t>
      </w:r>
    </w:p>
    <w:p w14:paraId="31E16D32">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（2）在施工场地清理阶段，做到先洒水，后清扫，防止扬尘产生；</w:t>
      </w:r>
    </w:p>
    <w:p w14:paraId="11F50E22">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）施工后期建筑垃圾及时清理，减少粉尘、扬尘扩散。</w:t>
      </w:r>
    </w:p>
    <w:p w14:paraId="208CC5DE">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项目施工期废气均为无组织粉尘，通过对产尘点采用洒水降尘、物料遮盖等降尘措施予以控制，该类措施均为施工期常用防尘措施，技术可行。</w:t>
      </w:r>
    </w:p>
    <w:p w14:paraId="72E24E84">
      <w:pPr>
        <w:pStyle w:val="79"/>
        <w:bidi w:val="0"/>
        <w:rPr>
          <w:rFonts w:hint="default"/>
          <w:b/>
          <w:bCs/>
          <w:color w:val="000000" w:themeColor="text1"/>
          <w:lang w:val="en-US" w:eastAsia="zh-CN"/>
          <w14:textFill>
            <w14:solidFill>
              <w14:schemeClr w14:val="tx1"/>
            </w14:solidFill>
          </w14:textFill>
        </w:rPr>
      </w:pPr>
      <w:r>
        <w:rPr>
          <w:rFonts w:hint="default"/>
          <w:b/>
          <w:bCs/>
          <w:color w:val="000000" w:themeColor="text1"/>
          <w:lang w:val="en-US" w:eastAsia="zh-CN"/>
          <w14:textFill>
            <w14:solidFill>
              <w14:schemeClr w14:val="tx1"/>
            </w14:solidFill>
          </w14:textFill>
        </w:rPr>
        <w:t>2、焊接废气污染防治措施</w:t>
      </w:r>
    </w:p>
    <w:p w14:paraId="6A1D73F1">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采用源头控制，使用环保型焊丝，减少施工过程焊接废气产生量。</w:t>
      </w:r>
    </w:p>
    <w:p w14:paraId="389E3EF6">
      <w:pPr>
        <w:pStyle w:val="79"/>
        <w:bidi w:val="0"/>
        <w:rPr>
          <w:rFonts w:hint="default"/>
          <w:b/>
          <w:bCs/>
          <w:color w:val="000000" w:themeColor="text1"/>
          <w:lang w:val="en-US" w:eastAsia="zh-CN"/>
          <w14:textFill>
            <w14:solidFill>
              <w14:schemeClr w14:val="tx1"/>
            </w14:solidFill>
          </w14:textFill>
        </w:rPr>
      </w:pPr>
      <w:r>
        <w:rPr>
          <w:rFonts w:hint="default"/>
          <w:b/>
          <w:bCs/>
          <w:color w:val="000000" w:themeColor="text1"/>
          <w:lang w:val="en-US" w:eastAsia="zh-CN"/>
          <w14:textFill>
            <w14:solidFill>
              <w14:schemeClr w14:val="tx1"/>
            </w14:solidFill>
          </w14:textFill>
        </w:rPr>
        <w:t>3、装修废气污染防治措施</w:t>
      </w:r>
    </w:p>
    <w:p w14:paraId="00589D0A">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采用源头控制，使用环保型涂料，减少有害气体的挥发。</w:t>
      </w:r>
    </w:p>
    <w:p w14:paraId="4C7E725E">
      <w:pPr>
        <w:pStyle w:val="79"/>
        <w:bidi w:val="0"/>
        <w:rPr>
          <w:rFonts w:hint="default"/>
          <w:b/>
          <w:bCs/>
          <w:color w:val="000000" w:themeColor="text1"/>
          <w:lang w:val="en-US" w:eastAsia="zh-CN"/>
          <w14:textFill>
            <w14:solidFill>
              <w14:schemeClr w14:val="tx1"/>
            </w14:solidFill>
          </w14:textFill>
        </w:rPr>
      </w:pPr>
      <w:r>
        <w:rPr>
          <w:rFonts w:hint="default"/>
          <w:b/>
          <w:bCs/>
          <w:color w:val="000000" w:themeColor="text1"/>
          <w:lang w:val="en-US" w:eastAsia="zh-CN"/>
          <w14:textFill>
            <w14:solidFill>
              <w14:schemeClr w14:val="tx1"/>
            </w14:solidFill>
          </w14:textFill>
        </w:rPr>
        <w:t>4、燃油尾气污染防治措施</w:t>
      </w:r>
    </w:p>
    <w:p w14:paraId="002252C8">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（1）厂区车辆选用尾气达标车辆及燃油机械设备；</w:t>
      </w:r>
    </w:p>
    <w:p w14:paraId="6BF873F2">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（2）加强对施工机械，运输车辆的维修保养，严格按照施工机械操作流程。</w:t>
      </w:r>
    </w:p>
    <w:p w14:paraId="0C543F0B">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施工是短期行为，随着施工期的结束，针对施工废气项目采取了源头防治，措施有效可行。</w:t>
      </w:r>
    </w:p>
    <w:p w14:paraId="1BD882B2">
      <w:pPr>
        <w:pStyle w:val="3"/>
        <w:bidi w:val="0"/>
        <w:rPr>
          <w:rFonts w:hint="eastAsia"/>
          <w:color w:val="000000" w:themeColor="text1"/>
          <w:lang w:val="en-US" w:eastAsia="zh-CN"/>
          <w14:textFill>
            <w14:solidFill>
              <w14:schemeClr w14:val="tx1"/>
            </w14:solidFill>
          </w14:textFill>
        </w:rPr>
      </w:pPr>
      <w:bookmarkStart w:id="511" w:name="_Toc7333"/>
      <w:bookmarkStart w:id="512" w:name="_Toc4777"/>
      <w:bookmarkStart w:id="513" w:name="_Toc23039"/>
      <w:r>
        <w:rPr>
          <w:rFonts w:hint="eastAsia"/>
          <w:color w:val="000000" w:themeColor="text1"/>
          <w:lang w:val="en-US" w:eastAsia="zh-CN"/>
          <w14:textFill>
            <w14:solidFill>
              <w14:schemeClr w14:val="tx1"/>
            </w14:solidFill>
          </w14:textFill>
        </w:rPr>
        <w:t>5.2 运营期废气污染防治措施</w:t>
      </w:r>
      <w:bookmarkEnd w:id="511"/>
      <w:bookmarkEnd w:id="512"/>
      <w:bookmarkEnd w:id="513"/>
    </w:p>
    <w:p w14:paraId="1396F6B6">
      <w:pPr>
        <w:pStyle w:val="79"/>
        <w:bidi w:val="0"/>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1、项目有组织废气污染防治措施</w:t>
      </w:r>
    </w:p>
    <w:p w14:paraId="2DF542B5">
      <w:pPr>
        <w:pStyle w:val="79"/>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（1）项目电预热、模压成型、罩光废气采用引风机（风机风量20000m</w:t>
      </w:r>
      <w:r>
        <w:rPr>
          <w:rFonts w:hint="eastAsia"/>
          <w:color w:val="000000" w:themeColor="text1"/>
          <w:vertAlign w:val="superscript"/>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/h）+集气罩（收集效率90%）+活性炭吸附/脱附+催化燃烧（处理效率85%）处理后通过15m高排气筒（DA001）外排。</w:t>
      </w:r>
    </w:p>
    <w:p w14:paraId="2BE864AA">
      <w:pPr>
        <w:pStyle w:val="79"/>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（2）项目称量打磨废气采用引风机（风机风量7000m</w:t>
      </w:r>
      <w:r>
        <w:rPr>
          <w:rFonts w:hint="eastAsia"/>
          <w:color w:val="000000" w:themeColor="text1"/>
          <w:vertAlign w:val="superscript"/>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/h）+集气罩（收集效率85%）+布袋除尘器（处理效率99%）处理后通过15m高排气筒（DA002）外排。</w:t>
      </w:r>
    </w:p>
    <w:p w14:paraId="617D8D10">
      <w:pPr>
        <w:pStyle w:val="79"/>
        <w:bidi w:val="0"/>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2、项目无组织废气污染防治措施</w:t>
      </w:r>
    </w:p>
    <w:p w14:paraId="3312E39D">
      <w:pPr>
        <w:pStyle w:val="79"/>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项目无组织废气主要为集气罩未收集废气，称量打磨未被收集的颗粒物大部分在车间内自然沉降，且项目生产车间均为封闭厂房，约有60%未收集到的粉尘在车间内自然沉降。</w:t>
      </w:r>
    </w:p>
    <w:p w14:paraId="612BB3A7">
      <w:pPr>
        <w:pStyle w:val="3"/>
        <w:bidi w:val="0"/>
        <w:rPr>
          <w:rFonts w:hint="eastAsia"/>
          <w:color w:val="000000" w:themeColor="text1"/>
          <w:lang w:val="en-US" w:eastAsia="zh-CN"/>
          <w14:textFill>
            <w14:solidFill>
              <w14:schemeClr w14:val="tx1"/>
            </w14:solidFill>
          </w14:textFill>
        </w:rPr>
      </w:pPr>
      <w:bookmarkStart w:id="514" w:name="_Toc27074"/>
      <w:bookmarkStart w:id="515" w:name="_Toc16273"/>
      <w:bookmarkStart w:id="516" w:name="_Toc20962"/>
      <w:r>
        <w:rPr>
          <w:rFonts w:hint="eastAsia"/>
          <w:color w:val="000000" w:themeColor="text1"/>
          <w:lang w:val="en-US" w:eastAsia="zh-CN"/>
          <w14:textFill>
            <w14:solidFill>
              <w14:schemeClr w14:val="tx1"/>
            </w14:solidFill>
          </w14:textFill>
        </w:rPr>
        <w:t>5.3 废气污染防治可行性分析</w:t>
      </w:r>
      <w:bookmarkEnd w:id="514"/>
      <w:bookmarkEnd w:id="515"/>
      <w:bookmarkEnd w:id="516"/>
    </w:p>
    <w:p w14:paraId="3A001485">
      <w:pPr>
        <w:pStyle w:val="5"/>
        <w:bidi w:val="0"/>
        <w:rPr>
          <w:rFonts w:hint="eastAsia"/>
          <w:color w:val="000000" w:themeColor="text1"/>
          <w:lang w:val="en-US" w:eastAsia="zh-CN"/>
          <w14:textFill>
            <w14:solidFill>
              <w14:schemeClr w14:val="tx1"/>
            </w14:solidFill>
          </w14:textFill>
        </w:rPr>
      </w:pPr>
      <w:bookmarkStart w:id="517" w:name="_Toc1416"/>
      <w:bookmarkStart w:id="518" w:name="_Toc15002"/>
      <w:r>
        <w:rPr>
          <w:rFonts w:hint="eastAsia"/>
          <w:color w:val="000000" w:themeColor="text1"/>
          <w:lang w:val="en-US" w:eastAsia="zh-CN"/>
          <w14:textFill>
            <w14:solidFill>
              <w14:schemeClr w14:val="tx1"/>
            </w14:solidFill>
          </w14:textFill>
        </w:rPr>
        <w:t>5.3.1 有组织废气防治措施可行性分析</w:t>
      </w:r>
      <w:bookmarkEnd w:id="517"/>
      <w:bookmarkEnd w:id="518"/>
    </w:p>
    <w:p w14:paraId="25C6869A">
      <w:pPr>
        <w:pStyle w:val="79"/>
        <w:bidi w:val="0"/>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1、废气处理设施处理简介</w:t>
      </w:r>
    </w:p>
    <w:p w14:paraId="1916D974">
      <w:pPr>
        <w:pStyle w:val="79"/>
        <w:bidi w:val="0"/>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（1）布袋除尘器</w:t>
      </w:r>
    </w:p>
    <w:p w14:paraId="3D67111C">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布袋除尘器主要由滤袋、袋架和壳体组成，壳体由箱体和净气室组成，布袋安装在箱体与净气室中间的隔板上。含尘气体进入箱体后，粉体产生惯性、扩散、粘附、静电作用附着在滤布表面，清洁气体穿过滤布的孔隙从净气室排出，滤布上的粉尘通过反吹或振击作用脱离滤布而坠入料斗中。袋式除尘器具有以下特点：</w:t>
      </w:r>
    </w:p>
    <w:p w14:paraId="64AB84C6">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①除尘效率高，可捕集粒径细小粉尘，除尘效率可达99%～99.99%以上。</w:t>
      </w:r>
    </w:p>
    <w:p w14:paraId="7CCE8937">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②使用灵活，处理风量可由每小时数百立方米到每小时数十万立方米，可以作为直接设于室内，机床附近的小型机组，也可作为大型的除尘室，即</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袋房</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w:t>
      </w:r>
    </w:p>
    <w:p w14:paraId="396B2C66">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③结构比较简单，运行比较稳定，初投资较少，维护方便。</w:t>
      </w:r>
    </w:p>
    <w:p w14:paraId="0C1F450B">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影响布袋除尘器长期稳定运行的主要因素是清灰效果下降造成滤袋等设施寿命下降，造成无法稳定运行。布袋除尘器采用分室听风脉冲喷吹清灰技术后，喷吹一次可达到彻底清灰的目的，清灰周期长，降低了清灰能耗，同时滤袋与脉冲阀的疲劳程度也相应降低，从而成倍提高滤袋与阀片的寿命，可在后期运行中保证对含尘废气的处理效果，保证长期稳定达标。</w:t>
      </w:r>
    </w:p>
    <w:p w14:paraId="76CF91A4">
      <w:pPr>
        <w:pStyle w:val="79"/>
        <w:numPr>
          <w:ilvl w:val="0"/>
          <w:numId w:val="5"/>
        </w:numPr>
        <w:bidi w:val="0"/>
        <w:ind w:left="0" w:leftChars="0" w:firstLine="482" w:firstLineChars="200"/>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活性炭吸附/脱附+催化燃烧装置</w:t>
      </w:r>
    </w:p>
    <w:p w14:paraId="7F686349">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活性炭吸附/脱附+催化燃烧装置是一种将吸附浓缩与催化燃烧两种技术优势相结合的有机废气（VOCs）组合治理工艺。该装置特别适用于处理大风量、低浓度的有机废气，其核心设计思路是先将低浓度废气通过活性炭吸附浓缩，再将脱附后的高浓度废气送入催化燃烧单元进行彻底氧化分解</w:t>
      </w:r>
      <w:r>
        <w:rPr>
          <w:rFonts w:hint="default"/>
          <w:color w:val="000000" w:themeColor="text1"/>
          <w:lang w:val="en-US" w:eastAsia="zh-CN"/>
          <w14:textFill>
            <w14:solidFill>
              <w14:schemeClr w14:val="tx1"/>
            </w14:solidFill>
          </w14:textFill>
        </w:rPr>
        <w:fldChar w:fldCharType="begin"/>
      </w:r>
      <w:r>
        <w:rPr>
          <w:rFonts w:hint="default"/>
          <w:color w:val="000000" w:themeColor="text1"/>
          <w:lang w:val="en-US" w:eastAsia="zh-CN"/>
          <w14:textFill>
            <w14:solidFill>
              <w14:schemeClr w14:val="tx1"/>
            </w14:solidFill>
          </w14:textFill>
        </w:rPr>
        <w:instrText xml:space="preserve"> HYPERLINK "http://shhzdrilling.com/hxjs/info.aspx?itemid=204&amp;lcid=2" \t "https://chat.deepseek.com/a/chat/s/_blank" </w:instrText>
      </w:r>
      <w:r>
        <w:rPr>
          <w:rFonts w:hint="default"/>
          <w:color w:val="000000" w:themeColor="text1"/>
          <w:lang w:val="en-US" w:eastAsia="zh-CN"/>
          <w14:textFill>
            <w14:solidFill>
              <w14:schemeClr w14:val="tx1"/>
            </w14:solidFill>
          </w14:textFill>
        </w:rPr>
        <w:fldChar w:fldCharType="separate"/>
      </w:r>
      <w:r>
        <w:rPr>
          <w:rFonts w:hint="default"/>
          <w:color w:val="000000" w:themeColor="text1"/>
          <w:lang w:val="en-US" w:eastAsia="zh-CN"/>
          <w14:textFill>
            <w14:solidFill>
              <w14:schemeClr w14:val="tx1"/>
            </w14:solidFill>
          </w14:textFill>
        </w:rPr>
        <w:fldChar w:fldCharType="end"/>
      </w: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项目活性炭吸附/脱附+催化燃烧装置设备示意图如下：</w:t>
      </w:r>
    </w:p>
    <w:p w14:paraId="7BEC4665">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drawing>
          <wp:inline distT="0" distB="0" distL="114300" distR="114300">
            <wp:extent cx="5609590" cy="2087880"/>
            <wp:effectExtent l="0" t="0" r="10160" b="7620"/>
            <wp:docPr id="4" name="图片 4" descr="7884d41a040b3d6c8b124eab525a30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884d41a040b3d6c8b124eab525a30a3"/>
                    <pic:cNvPicPr>
                      <a:picLocks noChangeAspect="1"/>
                    </pic:cNvPicPr>
                  </pic:nvPicPr>
                  <pic:blipFill>
                    <a:blip r:embed="rId32"/>
                    <a:stretch>
                      <a:fillRect/>
                    </a:stretch>
                  </pic:blipFill>
                  <pic:spPr>
                    <a:xfrm>
                      <a:off x="0" y="0"/>
                      <a:ext cx="5609590" cy="2087880"/>
                    </a:xfrm>
                    <a:prstGeom prst="rect">
                      <a:avLst/>
                    </a:prstGeom>
                  </pic:spPr>
                </pic:pic>
              </a:graphicData>
            </a:graphic>
          </wp:inline>
        </w:drawing>
      </w:r>
    </w:p>
    <w:p w14:paraId="00B1E43C">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图5.3-1 设备示意图</w:t>
      </w:r>
    </w:p>
    <w:p w14:paraId="210B8E8A">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工作原理：该装置依据吸附（效率高）和催化燃烧（节能）两个基本原理设计。在吸附阶段，含有机物的废气经风机作用通过活性炭吸附层，有机物被活性炭特有的作用力截留在其内部，洁净气体达标排放。当活性炭接近饱和时，系统自动切换气流，利用催化燃烧室产生的高温热气流（通常为60～120℃）加热活性炭床，使被吸附的有机物脱附出来。脱附后的废气中有机物浓度较原来提高几十倍，随后被送入催化燃烧室，在250～400℃的温度下，借助催化剂的作用，与氧气发生无焰催化氧化反应，彻底分解为无害的二氧化碳（CO₂）和水（H₂O）。本项目催化燃烧系统采用电加热方式，整个反应过程为无焰催化氧化，无明火产生；同时，由于反应温度控制在400℃以下，且不涉及燃料燃烧，因此运行过程中不产生氮氧化物（NOₓ）等瞬时污染物，具有更高的安全性和环保性。反应释放的大量热量经换热器回收，用于预热脱附气体或维持系统热平衡，当有机废气浓度达到2000ppm以上时，可无需外加能源，实现自持运行。</w:t>
      </w:r>
      <w:r>
        <w:rPr>
          <w:rFonts w:hint="default"/>
          <w:color w:val="000000" w:themeColor="text1"/>
          <w:lang w:val="en-US" w:eastAsia="zh-CN"/>
          <w14:textFill>
            <w14:solidFill>
              <w14:schemeClr w14:val="tx1"/>
            </w14:solidFill>
          </w14:textFill>
        </w:rPr>
        <w:fldChar w:fldCharType="begin"/>
      </w:r>
      <w:r>
        <w:rPr>
          <w:rFonts w:hint="default"/>
          <w:color w:val="000000" w:themeColor="text1"/>
          <w:lang w:val="en-US" w:eastAsia="zh-CN"/>
          <w14:textFill>
            <w14:solidFill>
              <w14:schemeClr w14:val="tx1"/>
            </w14:solidFill>
          </w14:textFill>
        </w:rPr>
        <w:instrText xml:space="preserve"> HYPERLINK "https://hbshebei.bjx.com.cn/product/334407.html" \t "https://chat.deepseek.com/a/chat/s/_blank" </w:instrText>
      </w:r>
      <w:r>
        <w:rPr>
          <w:rFonts w:hint="default"/>
          <w:color w:val="000000" w:themeColor="text1"/>
          <w:lang w:val="en-US" w:eastAsia="zh-CN"/>
          <w14:textFill>
            <w14:solidFill>
              <w14:schemeClr w14:val="tx1"/>
            </w14:solidFill>
          </w14:textFill>
        </w:rPr>
        <w:fldChar w:fldCharType="separate"/>
      </w:r>
      <w:r>
        <w:rPr>
          <w:rFonts w:hint="default"/>
          <w:color w:val="000000" w:themeColor="text1"/>
          <w:lang w:val="en-US" w:eastAsia="zh-CN"/>
          <w14:textFill>
            <w14:solidFill>
              <w14:schemeClr w14:val="tx1"/>
            </w14:solidFill>
          </w14:textFill>
        </w:rPr>
        <w:fldChar w:fldCharType="end"/>
      </w:r>
      <w:r>
        <w:rPr>
          <w:rFonts w:hint="default"/>
          <w:color w:val="000000" w:themeColor="text1"/>
          <w:lang w:val="en-US" w:eastAsia="zh-CN"/>
          <w14:textFill>
            <w14:solidFill>
              <w14:schemeClr w14:val="tx1"/>
            </w14:solidFill>
          </w14:textFill>
        </w:rPr>
        <w:fldChar w:fldCharType="begin"/>
      </w:r>
      <w:r>
        <w:rPr>
          <w:rFonts w:hint="default"/>
          <w:color w:val="000000" w:themeColor="text1"/>
          <w:lang w:val="en-US" w:eastAsia="zh-CN"/>
          <w14:textFill>
            <w14:solidFill>
              <w14:schemeClr w14:val="tx1"/>
            </w14:solidFill>
          </w14:textFill>
        </w:rPr>
        <w:instrText xml:space="preserve"> HYPERLINK "https://hbshebei.bjx.com.cn/product/334407.html" \t "https://chat.deepseek.com/a/chat/s/_blank" </w:instrText>
      </w:r>
      <w:r>
        <w:rPr>
          <w:rFonts w:hint="default"/>
          <w:color w:val="000000" w:themeColor="text1"/>
          <w:lang w:val="en-US" w:eastAsia="zh-CN"/>
          <w14:textFill>
            <w14:solidFill>
              <w14:schemeClr w14:val="tx1"/>
            </w14:solidFill>
          </w14:textFill>
        </w:rPr>
        <w:fldChar w:fldCharType="separate"/>
      </w:r>
      <w:r>
        <w:rPr>
          <w:rFonts w:hint="default"/>
          <w:color w:val="000000" w:themeColor="text1"/>
          <w:lang w:val="en-US" w:eastAsia="zh-CN"/>
          <w14:textFill>
            <w14:solidFill>
              <w14:schemeClr w14:val="tx1"/>
            </w14:solidFill>
          </w14:textFill>
        </w:rPr>
        <w:fldChar w:fldCharType="end"/>
      </w:r>
    </w:p>
    <w:p w14:paraId="178F3A8C">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结构特点：该系统主要由活性炭吸附设备（通常采用抽屉式结构，装填方便</w:t>
      </w:r>
      <w:r>
        <w:rPr>
          <w:rFonts w:hint="default"/>
          <w:color w:val="000000" w:themeColor="text1"/>
          <w:lang w:val="en-US" w:eastAsia="zh-CN"/>
          <w14:textFill>
            <w14:solidFill>
              <w14:schemeClr w14:val="tx1"/>
            </w14:solidFill>
          </w14:textFill>
        </w:rPr>
        <w:fldChar w:fldCharType="begin"/>
      </w:r>
      <w:r>
        <w:rPr>
          <w:rFonts w:hint="default"/>
          <w:color w:val="000000" w:themeColor="text1"/>
          <w:lang w:val="en-US" w:eastAsia="zh-CN"/>
          <w14:textFill>
            <w14:solidFill>
              <w14:schemeClr w14:val="tx1"/>
            </w14:solidFill>
          </w14:textFill>
        </w:rPr>
        <w:instrText xml:space="preserve"> HYPERLINK "https://hbshebei.bjx.com.cn/product/334407.html" \t "https://chat.deepseek.com/a/chat/s/_blank" </w:instrText>
      </w:r>
      <w:r>
        <w:rPr>
          <w:rFonts w:hint="default"/>
          <w:color w:val="000000" w:themeColor="text1"/>
          <w:lang w:val="en-US" w:eastAsia="zh-CN"/>
          <w14:textFill>
            <w14:solidFill>
              <w14:schemeClr w14:val="tx1"/>
            </w14:solidFill>
          </w14:textFill>
        </w:rPr>
        <w:fldChar w:fldCharType="separate"/>
      </w:r>
      <w:r>
        <w:rPr>
          <w:rFonts w:hint="default"/>
          <w:color w:val="000000" w:themeColor="text1"/>
          <w:lang w:val="en-US" w:eastAsia="zh-CN"/>
          <w14:textFill>
            <w14:solidFill>
              <w14:schemeClr w14:val="tx1"/>
            </w14:solidFill>
          </w14:textFill>
        </w:rPr>
        <w:fldChar w:fldCharType="end"/>
      </w:r>
      <w:r>
        <w:rPr>
          <w:rFonts w:hint="default"/>
          <w:color w:val="000000" w:themeColor="text1"/>
          <w:lang w:val="en-US" w:eastAsia="zh-CN"/>
          <w14:textFill>
            <w14:solidFill>
              <w14:schemeClr w14:val="tx1"/>
            </w14:solidFill>
          </w14:textFill>
        </w:rPr>
        <w:t>）、催化燃烧设备、风量调节阀组、风机系统及电控系统等组成</w:t>
      </w:r>
      <w:r>
        <w:rPr>
          <w:rFonts w:hint="default"/>
          <w:color w:val="000000" w:themeColor="text1"/>
          <w:lang w:val="en-US" w:eastAsia="zh-CN"/>
          <w14:textFill>
            <w14:solidFill>
              <w14:schemeClr w14:val="tx1"/>
            </w14:solidFill>
          </w14:textFill>
        </w:rPr>
        <w:fldChar w:fldCharType="begin"/>
      </w:r>
      <w:r>
        <w:rPr>
          <w:rFonts w:hint="default"/>
          <w:color w:val="000000" w:themeColor="text1"/>
          <w:lang w:val="en-US" w:eastAsia="zh-CN"/>
          <w14:textFill>
            <w14:solidFill>
              <w14:schemeClr w14:val="tx1"/>
            </w14:solidFill>
          </w14:textFill>
        </w:rPr>
        <w:instrText xml:space="preserve"> HYPERLINK "https://hbshebei.bjx.com.cn/product/399473.html" \t "https://chat.deepseek.com/a/chat/s/_blank" </w:instrText>
      </w:r>
      <w:r>
        <w:rPr>
          <w:rFonts w:hint="default"/>
          <w:color w:val="000000" w:themeColor="text1"/>
          <w:lang w:val="en-US" w:eastAsia="zh-CN"/>
          <w14:textFill>
            <w14:solidFill>
              <w14:schemeClr w14:val="tx1"/>
            </w14:solidFill>
          </w14:textFill>
        </w:rPr>
        <w:fldChar w:fldCharType="separate"/>
      </w:r>
      <w:r>
        <w:rPr>
          <w:rFonts w:hint="default"/>
          <w:color w:val="000000" w:themeColor="text1"/>
          <w:lang w:val="en-US" w:eastAsia="zh-CN"/>
          <w14:textFill>
            <w14:solidFill>
              <w14:schemeClr w14:val="tx1"/>
            </w14:solidFill>
          </w14:textFill>
        </w:rPr>
        <w:fldChar w:fldCharType="end"/>
      </w:r>
      <w:r>
        <w:rPr>
          <w:rFonts w:hint="default"/>
          <w:color w:val="000000" w:themeColor="text1"/>
          <w:lang w:val="en-US" w:eastAsia="zh-CN"/>
          <w14:textFill>
            <w14:solidFill>
              <w14:schemeClr w14:val="tx1"/>
            </w14:solidFill>
          </w14:textFill>
        </w:rPr>
        <w:t>。整套系统由PLC实现全自动控制，并配置有触控数字显示屏，可实现自动切换、自动脱附、异常报警等功能</w:t>
      </w:r>
      <w:r>
        <w:rPr>
          <w:rFonts w:hint="default"/>
          <w:color w:val="000000" w:themeColor="text1"/>
          <w:lang w:val="en-US" w:eastAsia="zh-CN"/>
          <w14:textFill>
            <w14:solidFill>
              <w14:schemeClr w14:val="tx1"/>
            </w14:solidFill>
          </w14:textFill>
        </w:rPr>
        <w:fldChar w:fldCharType="begin"/>
      </w:r>
      <w:r>
        <w:rPr>
          <w:rFonts w:hint="default"/>
          <w:color w:val="000000" w:themeColor="text1"/>
          <w:lang w:val="en-US" w:eastAsia="zh-CN"/>
          <w14:textFill>
            <w14:solidFill>
              <w14:schemeClr w14:val="tx1"/>
            </w14:solidFill>
          </w14:textFill>
        </w:rPr>
        <w:instrText xml:space="preserve"> HYPERLINK "https://hbshebei.bjx.com.cn/product/399473.html" \t "https://chat.deepseek.com/a/chat/s/_blank" </w:instrText>
      </w:r>
      <w:r>
        <w:rPr>
          <w:rFonts w:hint="default"/>
          <w:color w:val="000000" w:themeColor="text1"/>
          <w:lang w:val="en-US" w:eastAsia="zh-CN"/>
          <w14:textFill>
            <w14:solidFill>
              <w14:schemeClr w14:val="tx1"/>
            </w14:solidFill>
          </w14:textFill>
        </w:rPr>
        <w:fldChar w:fldCharType="separate"/>
      </w:r>
      <w:r>
        <w:rPr>
          <w:rFonts w:hint="default"/>
          <w:color w:val="000000" w:themeColor="text1"/>
          <w:lang w:val="en-US" w:eastAsia="zh-CN"/>
          <w14:textFill>
            <w14:solidFill>
              <w14:schemeClr w14:val="tx1"/>
            </w14:solidFill>
          </w14:textFill>
        </w:rPr>
        <w:fldChar w:fldCharType="end"/>
      </w:r>
      <w:r>
        <w:rPr>
          <w:rFonts w:hint="default"/>
          <w:color w:val="000000" w:themeColor="text1"/>
          <w:lang w:val="en-US" w:eastAsia="zh-CN"/>
          <w14:textFill>
            <w14:solidFill>
              <w14:schemeClr w14:val="tx1"/>
            </w14:solidFill>
          </w14:textFill>
        </w:rPr>
        <w:t>。催化燃烧室采用蜂窝陶瓷状为载体的贵金属催化剂，阻力小，活性高</w:t>
      </w:r>
      <w:r>
        <w:rPr>
          <w:rFonts w:hint="default"/>
          <w:color w:val="000000" w:themeColor="text1"/>
          <w:lang w:val="en-US" w:eastAsia="zh-CN"/>
          <w14:textFill>
            <w14:solidFill>
              <w14:schemeClr w14:val="tx1"/>
            </w14:solidFill>
          </w14:textFill>
        </w:rPr>
        <w:fldChar w:fldCharType="begin"/>
      </w:r>
      <w:r>
        <w:rPr>
          <w:rFonts w:hint="default"/>
          <w:color w:val="000000" w:themeColor="text1"/>
          <w:lang w:val="en-US" w:eastAsia="zh-CN"/>
          <w14:textFill>
            <w14:solidFill>
              <w14:schemeClr w14:val="tx1"/>
            </w14:solidFill>
          </w14:textFill>
        </w:rPr>
        <w:instrText xml:space="preserve"> HYPERLINK "https://hbshebei.bjx.com.cn/product/334407.html" \t "https://chat.deepseek.com/a/chat/s/_blank" </w:instrText>
      </w:r>
      <w:r>
        <w:rPr>
          <w:rFonts w:hint="default"/>
          <w:color w:val="000000" w:themeColor="text1"/>
          <w:lang w:val="en-US" w:eastAsia="zh-CN"/>
          <w14:textFill>
            <w14:solidFill>
              <w14:schemeClr w14:val="tx1"/>
            </w14:solidFill>
          </w14:textFill>
        </w:rPr>
        <w:fldChar w:fldCharType="separate"/>
      </w:r>
      <w:r>
        <w:rPr>
          <w:rFonts w:hint="default"/>
          <w:color w:val="000000" w:themeColor="text1"/>
          <w:lang w:val="en-US" w:eastAsia="zh-CN"/>
          <w14:textFill>
            <w14:solidFill>
              <w14:schemeClr w14:val="tx1"/>
            </w14:solidFill>
          </w14:textFill>
        </w:rPr>
        <w:fldChar w:fldCharType="end"/>
      </w:r>
      <w:r>
        <w:rPr>
          <w:rFonts w:hint="default"/>
          <w:color w:val="000000" w:themeColor="text1"/>
          <w:lang w:val="en-US" w:eastAsia="zh-CN"/>
          <w14:textFill>
            <w14:solidFill>
              <w14:schemeClr w14:val="tx1"/>
            </w14:solidFill>
          </w14:textFill>
        </w:rPr>
        <w:t>。该设备设计原理先进、用材独特，性能稳定，结构简便，安全可靠，无二次污染</w:t>
      </w:r>
      <w:r>
        <w:rPr>
          <w:rFonts w:hint="default"/>
          <w:color w:val="000000" w:themeColor="text1"/>
          <w:lang w:val="en-US" w:eastAsia="zh-CN"/>
          <w14:textFill>
            <w14:solidFill>
              <w14:schemeClr w14:val="tx1"/>
            </w14:solidFill>
          </w14:textFill>
        </w:rPr>
        <w:fldChar w:fldCharType="begin"/>
      </w:r>
      <w:r>
        <w:rPr>
          <w:rFonts w:hint="default"/>
          <w:color w:val="000000" w:themeColor="text1"/>
          <w:lang w:val="en-US" w:eastAsia="zh-CN"/>
          <w14:textFill>
            <w14:solidFill>
              <w14:schemeClr w14:val="tx1"/>
            </w14:solidFill>
          </w14:textFill>
        </w:rPr>
        <w:instrText xml:space="preserve"> HYPERLINK "https://hbshebei.bjx.com.cn/product/334407.html" \t "https://chat.deepseek.com/a/chat/s/_blank" </w:instrText>
      </w:r>
      <w:r>
        <w:rPr>
          <w:rFonts w:hint="default"/>
          <w:color w:val="000000" w:themeColor="text1"/>
          <w:lang w:val="en-US" w:eastAsia="zh-CN"/>
          <w14:textFill>
            <w14:solidFill>
              <w14:schemeClr w14:val="tx1"/>
            </w14:solidFill>
          </w14:textFill>
        </w:rPr>
        <w:fldChar w:fldCharType="separate"/>
      </w:r>
      <w:r>
        <w:rPr>
          <w:rFonts w:hint="default"/>
          <w:color w:val="000000" w:themeColor="text1"/>
          <w:lang w:val="en-US" w:eastAsia="zh-CN"/>
          <w14:textFill>
            <w14:solidFill>
              <w14:schemeClr w14:val="tx1"/>
            </w14:solidFill>
          </w14:textFill>
        </w:rPr>
        <w:fldChar w:fldCharType="end"/>
      </w:r>
      <w:r>
        <w:rPr>
          <w:rFonts w:hint="default"/>
          <w:color w:val="000000" w:themeColor="text1"/>
          <w:lang w:val="en-US" w:eastAsia="zh-CN"/>
          <w14:textFill>
            <w14:solidFill>
              <w14:schemeClr w14:val="tx1"/>
            </w14:solidFill>
          </w14:textFill>
        </w:rPr>
        <w:t>。</w:t>
      </w:r>
    </w:p>
    <w:p w14:paraId="10F76550">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本项目使用有机废气产生量</w:t>
      </w:r>
      <w:r>
        <w:rPr>
          <w:rFonts w:hint="eastAsia"/>
          <w:color w:val="000000" w:themeColor="text1"/>
          <w:lang w:val="en-US" w:eastAsia="zh-CN"/>
          <w14:textFill>
            <w14:solidFill>
              <w14:schemeClr w14:val="tx1"/>
            </w14:solidFill>
          </w14:textFill>
        </w:rPr>
        <w:t>较</w:t>
      </w:r>
      <w:r>
        <w:rPr>
          <w:rFonts w:hint="default"/>
          <w:color w:val="000000" w:themeColor="text1"/>
          <w:lang w:val="en-US" w:eastAsia="zh-CN"/>
          <w14:textFill>
            <w14:solidFill>
              <w14:schemeClr w14:val="tx1"/>
            </w14:solidFill>
          </w14:textFill>
        </w:rPr>
        <w:t>少、浓度</w:t>
      </w:r>
      <w:r>
        <w:rPr>
          <w:rFonts w:hint="eastAsia"/>
          <w:color w:val="000000" w:themeColor="text1"/>
          <w:lang w:val="en-US" w:eastAsia="zh-CN"/>
          <w14:textFill>
            <w14:solidFill>
              <w14:schemeClr w14:val="tx1"/>
            </w14:solidFill>
          </w14:textFill>
        </w:rPr>
        <w:t>较</w:t>
      </w:r>
      <w:r>
        <w:rPr>
          <w:rFonts w:hint="default"/>
          <w:color w:val="000000" w:themeColor="text1"/>
          <w:lang w:val="en-US" w:eastAsia="zh-CN"/>
          <w14:textFill>
            <w14:solidFill>
              <w14:schemeClr w14:val="tx1"/>
            </w14:solidFill>
          </w14:textFill>
        </w:rPr>
        <w:t>低，采用活性炭吸附/脱附+催化燃烧的组合工艺。装置选用颗粒活性炭作为吸附剂，并按设计要求足量添加；催化燃烧单元选用合格的贵金属催化剂并足额添加，</w:t>
      </w:r>
      <w:r>
        <w:rPr>
          <w:rFonts w:hint="eastAsia"/>
          <w:color w:val="000000" w:themeColor="text1"/>
          <w:lang w:val="en-US" w:eastAsia="zh-CN"/>
          <w14:textFill>
            <w14:solidFill>
              <w14:schemeClr w14:val="tx1"/>
            </w14:solidFill>
          </w14:textFill>
        </w:rPr>
        <w:t>电加热</w:t>
      </w:r>
      <w:r>
        <w:rPr>
          <w:rFonts w:hint="default"/>
          <w:color w:val="000000" w:themeColor="text1"/>
          <w:lang w:val="en-US" w:eastAsia="zh-CN"/>
          <w14:textFill>
            <w14:solidFill>
              <w14:schemeClr w14:val="tx1"/>
            </w14:solidFill>
          </w14:textFill>
        </w:rPr>
        <w:t>温度控制在300℃以上</w:t>
      </w:r>
      <w:r>
        <w:rPr>
          <w:rFonts w:hint="eastAsia"/>
          <w:color w:val="000000" w:themeColor="text1"/>
          <w:lang w:val="en-US" w:eastAsia="zh-CN"/>
          <w14:textFill>
            <w14:solidFill>
              <w14:schemeClr w14:val="tx1"/>
            </w14:solidFill>
          </w14:textFill>
        </w:rPr>
        <w:t>，不产生其他二次污染物</w:t>
      </w:r>
      <w:r>
        <w:rPr>
          <w:rFonts w:hint="default"/>
          <w:color w:val="000000" w:themeColor="text1"/>
          <w:lang w:val="en-US" w:eastAsia="zh-CN"/>
          <w14:textFill>
            <w14:solidFill>
              <w14:schemeClr w14:val="tx1"/>
            </w14:solidFill>
          </w14:textFill>
        </w:rPr>
        <w:fldChar w:fldCharType="begin"/>
      </w:r>
      <w:r>
        <w:rPr>
          <w:rFonts w:hint="default"/>
          <w:color w:val="000000" w:themeColor="text1"/>
          <w:lang w:val="en-US" w:eastAsia="zh-CN"/>
          <w14:textFill>
            <w14:solidFill>
              <w14:schemeClr w14:val="tx1"/>
            </w14:solidFill>
          </w14:textFill>
        </w:rPr>
        <w:instrText xml:space="preserve"> HYPERLINK "https://public.zhengzhou.gov.cn/attachment/%E9%83%91%E5%B7%9E%E5%B9%BF%E6%B6%A6%E9%9D%9E%E7%BB%87%E9%80%A0%E5%B8%83%E6%9C%89%E9%99%90%E5%85%AC%E5%8F%B8%E5%B9%B4%E4%BA%A7600%E4%B8%87%E5%B9%B3%E6%96%B9%E7%B1%B3%E8%81%9A%E4%B9%99%E7%83%AF%E4%B8%99%E7%BA%B6%E5%B8%83%E5%92%8C10%E4%B8%87%E5%90%A8%E8%BD%BB%E8%B4%A8%E6%8A%B9%E7%81%B0%E7%9F%B3%E8%86%8F%E7%B1%BB%E4%BA%A7%E5%93%81%E5%BB%BA%E8%AE%BE%E9%A1%B9%E7%9B%AE+%E6%9C%80%E7%BB%88%E7%89%88.pdf?59KERFT9l3f5A-VJwOMq8WV3u_LtJ8t_g_FNDV6GGYuaSqlwqlyaY2m-DEVen2EeR8WZh4AWdQseIPlF_1yJGyWzx0O72Q==" \l "16#3" \t "https://chat.deepseek.com/a/chat/s/_blank" </w:instrText>
      </w:r>
      <w:r>
        <w:rPr>
          <w:rFonts w:hint="default"/>
          <w:color w:val="000000" w:themeColor="text1"/>
          <w:lang w:val="en-US" w:eastAsia="zh-CN"/>
          <w14:textFill>
            <w14:solidFill>
              <w14:schemeClr w14:val="tx1"/>
            </w14:solidFill>
          </w14:textFill>
        </w:rPr>
        <w:fldChar w:fldCharType="separate"/>
      </w:r>
      <w:r>
        <w:rPr>
          <w:rFonts w:hint="default"/>
          <w:color w:val="000000" w:themeColor="text1"/>
          <w:lang w:val="en-US" w:eastAsia="zh-CN"/>
          <w14:textFill>
            <w14:solidFill>
              <w14:schemeClr w14:val="tx1"/>
            </w14:solidFill>
          </w14:textFill>
        </w:rPr>
        <w:fldChar w:fldCharType="end"/>
      </w:r>
      <w:r>
        <w:rPr>
          <w:rFonts w:hint="default"/>
          <w:color w:val="000000" w:themeColor="text1"/>
          <w:lang w:val="en-US" w:eastAsia="zh-CN"/>
          <w14:textFill>
            <w14:solidFill>
              <w14:schemeClr w14:val="tx1"/>
            </w14:solidFill>
          </w14:textFill>
        </w:rPr>
        <w:t>；活性炭吸附床与催化燃烧室由PLC自动控制，实现吸附饱和后自动切换、自动脱附再生。该组合工艺将物理吸附与催化氧化技术有机结合，通过吸附浓缩解决了低浓度废气直接燃烧能耗高的问题，再通过催化燃烧实现高效、彻底的净化。该治理工艺技术成熟、净化效率高（</w:t>
      </w:r>
      <w:r>
        <w:rPr>
          <w:rFonts w:hint="eastAsia"/>
          <w:color w:val="000000" w:themeColor="text1"/>
          <w:lang w:val="en-US" w:eastAsia="zh-CN"/>
          <w14:textFill>
            <w14:solidFill>
              <w14:schemeClr w14:val="tx1"/>
            </w14:solidFill>
          </w14:textFill>
        </w:rPr>
        <w:t>综合去除效率85%</w:t>
      </w:r>
      <w:r>
        <w:rPr>
          <w:rFonts w:hint="default"/>
          <w:color w:val="000000" w:themeColor="text1"/>
          <w:lang w:val="en-US" w:eastAsia="zh-CN"/>
          <w14:textFill>
            <w14:solidFill>
              <w14:schemeClr w14:val="tx1"/>
            </w14:solidFill>
          </w14:textFill>
        </w:rPr>
        <w:fldChar w:fldCharType="begin"/>
      </w:r>
      <w:r>
        <w:rPr>
          <w:rFonts w:hint="default"/>
          <w:color w:val="000000" w:themeColor="text1"/>
          <w:lang w:val="en-US" w:eastAsia="zh-CN"/>
          <w14:textFill>
            <w14:solidFill>
              <w14:schemeClr w14:val="tx1"/>
            </w14:solidFill>
          </w14:textFill>
        </w:rPr>
        <w:instrText xml:space="preserve"> HYPERLINK "https://hbshebei.bjx.com.cn/product/399473.html" \t "https://chat.deepseek.com/a/chat/s/_blank" </w:instrText>
      </w:r>
      <w:r>
        <w:rPr>
          <w:rFonts w:hint="default"/>
          <w:color w:val="000000" w:themeColor="text1"/>
          <w:lang w:val="en-US" w:eastAsia="zh-CN"/>
          <w14:textFill>
            <w14:solidFill>
              <w14:schemeClr w14:val="tx1"/>
            </w14:solidFill>
          </w14:textFill>
        </w:rPr>
        <w:fldChar w:fldCharType="separate"/>
      </w:r>
      <w:r>
        <w:rPr>
          <w:rFonts w:hint="default"/>
          <w:color w:val="000000" w:themeColor="text1"/>
          <w:lang w:val="en-US" w:eastAsia="zh-CN"/>
          <w14:textFill>
            <w14:solidFill>
              <w14:schemeClr w14:val="tx1"/>
            </w14:solidFill>
          </w14:textFill>
        </w:rPr>
        <w:fldChar w:fldCharType="end"/>
      </w:r>
      <w:r>
        <w:rPr>
          <w:rFonts w:hint="default"/>
          <w:color w:val="000000" w:themeColor="text1"/>
          <w:lang w:val="en-US" w:eastAsia="zh-CN"/>
          <w14:textFill>
            <w14:solidFill>
              <w14:schemeClr w14:val="tx1"/>
            </w14:solidFill>
          </w14:textFill>
        </w:rPr>
        <w:t>）、运行成本低，符合国家相关环保政策要求。</w:t>
      </w:r>
    </w:p>
    <w:p w14:paraId="31C7716F">
      <w:pPr>
        <w:pStyle w:val="79"/>
        <w:numPr>
          <w:ilvl w:val="0"/>
          <w:numId w:val="6"/>
        </w:numPr>
        <w:bidi w:val="0"/>
        <w:ind w:firstLine="482" w:firstLineChars="200"/>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可行技术分析</w:t>
      </w:r>
    </w:p>
    <w:p w14:paraId="3B841431">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本项目废气污染治理措施与《排污许可证申请与核发技术规范 橡胶和塑料制品工业》（HJ1122-2010）中</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表A.2 塑料制品工业排污单位废气污染防治可行技术参考表</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对照如下：</w:t>
      </w:r>
    </w:p>
    <w:p w14:paraId="1A7D5181">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sz w:val="21"/>
          <w:szCs w:val="21"/>
          <w:lang w:val="en-US" w:eastAsia="zh-CN"/>
          <w14:textFill>
            <w14:solidFill>
              <w14:schemeClr w14:val="tx1"/>
            </w14:solidFill>
          </w14:textFill>
        </w:rPr>
      </w:pPr>
      <w:r>
        <w:rPr>
          <w:rFonts w:hint="default"/>
          <w:b/>
          <w:bCs/>
          <w:color w:val="000000" w:themeColor="text1"/>
          <w:sz w:val="21"/>
          <w:szCs w:val="21"/>
          <w:lang w:val="en-US" w:eastAsia="zh-CN"/>
          <w14:textFill>
            <w14:solidFill>
              <w14:schemeClr w14:val="tx1"/>
            </w14:solidFill>
          </w14:textFill>
        </w:rPr>
        <w:t>表5.</w:t>
      </w:r>
      <w:r>
        <w:rPr>
          <w:rFonts w:hint="eastAsia"/>
          <w:b/>
          <w:bCs/>
          <w:color w:val="000000" w:themeColor="text1"/>
          <w:sz w:val="21"/>
          <w:szCs w:val="21"/>
          <w:lang w:val="en-US" w:eastAsia="zh-CN"/>
          <w14:textFill>
            <w14:solidFill>
              <w14:schemeClr w14:val="tx1"/>
            </w14:solidFill>
          </w14:textFill>
        </w:rPr>
        <w:t>3</w:t>
      </w:r>
      <w:r>
        <w:rPr>
          <w:rFonts w:hint="default"/>
          <w:b/>
          <w:bCs/>
          <w:color w:val="000000" w:themeColor="text1"/>
          <w:sz w:val="21"/>
          <w:szCs w:val="21"/>
          <w:lang w:val="en-US" w:eastAsia="zh-CN"/>
          <w14:textFill>
            <w14:solidFill>
              <w14:schemeClr w14:val="tx1"/>
            </w14:solidFill>
          </w14:textFill>
        </w:rPr>
        <w:t>-1  废气污染防治可行技术对比表</w:t>
      </w:r>
    </w:p>
    <w:tbl>
      <w:tblPr>
        <w:tblStyle w:val="3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1071"/>
        <w:gridCol w:w="2251"/>
        <w:gridCol w:w="1638"/>
        <w:gridCol w:w="1464"/>
        <w:gridCol w:w="1776"/>
      </w:tblGrid>
      <w:tr w14:paraId="7AB6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noWrap w:val="0"/>
            <w:vAlign w:val="center"/>
          </w:tcPr>
          <w:p w14:paraId="68780A73">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sz w:val="21"/>
                <w:szCs w:val="21"/>
                <w:lang w:val="en-US" w:eastAsia="zh-CN"/>
                <w14:textFill>
                  <w14:solidFill>
                    <w14:schemeClr w14:val="tx1"/>
                  </w14:solidFill>
                </w14:textFill>
              </w:rPr>
            </w:pPr>
            <w:r>
              <w:rPr>
                <w:rFonts w:hint="default"/>
                <w:b/>
                <w:bCs/>
                <w:color w:val="000000" w:themeColor="text1"/>
                <w:sz w:val="21"/>
                <w:szCs w:val="21"/>
                <w:lang w:val="en-US" w:eastAsia="zh-CN"/>
                <w14:textFill>
                  <w14:solidFill>
                    <w14:schemeClr w14:val="tx1"/>
                  </w14:solidFill>
                </w14:textFill>
              </w:rPr>
              <w:t>排放节点</w:t>
            </w:r>
          </w:p>
        </w:tc>
        <w:tc>
          <w:tcPr>
            <w:tcW w:w="591" w:type="pct"/>
            <w:noWrap w:val="0"/>
            <w:vAlign w:val="center"/>
          </w:tcPr>
          <w:p w14:paraId="25949132">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sz w:val="21"/>
                <w:szCs w:val="21"/>
                <w:lang w:val="en-US" w:eastAsia="zh-CN"/>
                <w14:textFill>
                  <w14:solidFill>
                    <w14:schemeClr w14:val="tx1"/>
                  </w14:solidFill>
                </w14:textFill>
              </w:rPr>
            </w:pPr>
            <w:r>
              <w:rPr>
                <w:rFonts w:hint="default"/>
                <w:b/>
                <w:bCs/>
                <w:color w:val="000000" w:themeColor="text1"/>
                <w:sz w:val="21"/>
                <w:szCs w:val="21"/>
                <w:lang w:val="en-US" w:eastAsia="zh-CN"/>
                <w14:textFill>
                  <w14:solidFill>
                    <w14:schemeClr w14:val="tx1"/>
                  </w14:solidFill>
                </w14:textFill>
              </w:rPr>
              <w:t>主要污染物</w:t>
            </w:r>
          </w:p>
        </w:tc>
        <w:tc>
          <w:tcPr>
            <w:tcW w:w="1242" w:type="pct"/>
            <w:noWrap w:val="0"/>
            <w:vAlign w:val="center"/>
          </w:tcPr>
          <w:p w14:paraId="10A3E689">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sz w:val="21"/>
                <w:szCs w:val="21"/>
                <w:lang w:val="en-US" w:eastAsia="zh-CN"/>
                <w14:textFill>
                  <w14:solidFill>
                    <w14:schemeClr w14:val="tx1"/>
                  </w14:solidFill>
                </w14:textFill>
              </w:rPr>
            </w:pPr>
            <w:r>
              <w:rPr>
                <w:rFonts w:hint="default"/>
                <w:b/>
                <w:bCs/>
                <w:color w:val="000000" w:themeColor="text1"/>
                <w:sz w:val="21"/>
                <w:szCs w:val="21"/>
                <w:lang w:val="en-US" w:eastAsia="zh-CN"/>
                <w14:textFill>
                  <w14:solidFill>
                    <w14:schemeClr w14:val="tx1"/>
                  </w14:solidFill>
                </w14:textFill>
              </w:rPr>
              <w:t>可行技术</w:t>
            </w:r>
          </w:p>
        </w:tc>
        <w:tc>
          <w:tcPr>
            <w:tcW w:w="904" w:type="pct"/>
            <w:noWrap w:val="0"/>
            <w:vAlign w:val="center"/>
          </w:tcPr>
          <w:p w14:paraId="7B2661F8">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sz w:val="21"/>
                <w:szCs w:val="21"/>
                <w:lang w:val="en-US" w:eastAsia="zh-CN"/>
                <w14:textFill>
                  <w14:solidFill>
                    <w14:schemeClr w14:val="tx1"/>
                  </w14:solidFill>
                </w14:textFill>
              </w:rPr>
            </w:pPr>
            <w:r>
              <w:rPr>
                <w:rFonts w:hint="default"/>
                <w:b/>
                <w:bCs/>
                <w:color w:val="000000" w:themeColor="text1"/>
                <w:sz w:val="21"/>
                <w:szCs w:val="21"/>
                <w:lang w:val="en-US" w:eastAsia="zh-CN"/>
                <w14:textFill>
                  <w14:solidFill>
                    <w14:schemeClr w14:val="tx1"/>
                  </w14:solidFill>
                </w14:textFill>
              </w:rPr>
              <w:t>本项目采取措施</w:t>
            </w:r>
          </w:p>
        </w:tc>
        <w:tc>
          <w:tcPr>
            <w:tcW w:w="808" w:type="pct"/>
            <w:noWrap w:val="0"/>
            <w:vAlign w:val="center"/>
          </w:tcPr>
          <w:p w14:paraId="0C75CC47">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是否可行</w:t>
            </w:r>
          </w:p>
        </w:tc>
        <w:tc>
          <w:tcPr>
            <w:tcW w:w="980" w:type="pct"/>
            <w:shd w:val="clear" w:color="auto" w:fill="auto"/>
            <w:noWrap w:val="0"/>
            <w:vAlign w:val="center"/>
          </w:tcPr>
          <w:p w14:paraId="3196433E">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b/>
                <w:bCs/>
                <w:color w:val="000000" w:themeColor="text1"/>
                <w:sz w:val="21"/>
                <w:szCs w:val="21"/>
                <w:lang w:val="en-US" w:eastAsia="zh-CN"/>
                <w14:textFill>
                  <w14:solidFill>
                    <w14:schemeClr w14:val="tx1"/>
                  </w14:solidFill>
                </w14:textFill>
              </w:rPr>
              <w:t>对比说明</w:t>
            </w:r>
          </w:p>
        </w:tc>
      </w:tr>
      <w:tr w14:paraId="19928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472" w:type="pct"/>
            <w:vMerge w:val="restart"/>
            <w:noWrap w:val="0"/>
            <w:vAlign w:val="center"/>
          </w:tcPr>
          <w:p w14:paraId="52755AA6">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电预热、模压成型、罩光废气</w:t>
            </w:r>
          </w:p>
        </w:tc>
        <w:tc>
          <w:tcPr>
            <w:tcW w:w="591" w:type="pct"/>
            <w:noWrap w:val="0"/>
            <w:vAlign w:val="center"/>
          </w:tcPr>
          <w:p w14:paraId="7966DEBC">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非甲烷总烃</w:t>
            </w:r>
          </w:p>
        </w:tc>
        <w:tc>
          <w:tcPr>
            <w:tcW w:w="1242" w:type="pct"/>
            <w:noWrap w:val="0"/>
            <w:vAlign w:val="center"/>
          </w:tcPr>
          <w:p w14:paraId="2C35686C">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喷淋；吸附；吸附浓缩+热力燃烧/催化燃烧</w:t>
            </w:r>
          </w:p>
        </w:tc>
        <w:tc>
          <w:tcPr>
            <w:tcW w:w="904" w:type="pct"/>
            <w:noWrap w:val="0"/>
            <w:vAlign w:val="center"/>
          </w:tcPr>
          <w:p w14:paraId="69881524">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活性炭吸附/脱附+催化燃烧</w:t>
            </w:r>
          </w:p>
        </w:tc>
        <w:tc>
          <w:tcPr>
            <w:tcW w:w="808" w:type="pct"/>
            <w:noWrap w:val="0"/>
            <w:vAlign w:val="center"/>
          </w:tcPr>
          <w:p w14:paraId="1C051052">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是</w:t>
            </w:r>
          </w:p>
        </w:tc>
        <w:tc>
          <w:tcPr>
            <w:tcW w:w="980" w:type="pct"/>
            <w:vMerge w:val="restart"/>
            <w:shd w:val="clear" w:color="auto" w:fill="auto"/>
            <w:noWrap w:val="0"/>
            <w:vAlign w:val="center"/>
          </w:tcPr>
          <w:p w14:paraId="71CA63C5">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符合</w:t>
            </w:r>
            <w:r>
              <w:rPr>
                <w:rFonts w:hint="default"/>
                <w:color w:val="000000" w:themeColor="text1"/>
                <w:sz w:val="21"/>
                <w:szCs w:val="21"/>
                <w:lang w:val="en-US" w:eastAsia="zh-CN"/>
                <w14:textFill>
                  <w14:solidFill>
                    <w14:schemeClr w14:val="tx1"/>
                  </w14:solidFill>
                </w14:textFill>
              </w:rPr>
              <w:t>《排污许可证申请与核发技术规范 橡胶和塑料制品工业》（HJ1122-2010）中所规定的可行性工艺</w:t>
            </w:r>
          </w:p>
        </w:tc>
      </w:tr>
      <w:tr w14:paraId="42724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2" w:type="pct"/>
            <w:vMerge w:val="continue"/>
            <w:noWrap w:val="0"/>
            <w:vAlign w:val="center"/>
          </w:tcPr>
          <w:p w14:paraId="4A950129">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sz w:val="21"/>
                <w:szCs w:val="21"/>
                <w:lang w:val="en-US" w:eastAsia="zh-CN"/>
                <w14:textFill>
                  <w14:solidFill>
                    <w14:schemeClr w14:val="tx1"/>
                  </w14:solidFill>
                </w14:textFill>
              </w:rPr>
            </w:pPr>
          </w:p>
        </w:tc>
        <w:tc>
          <w:tcPr>
            <w:tcW w:w="591" w:type="pct"/>
            <w:noWrap w:val="0"/>
            <w:vAlign w:val="center"/>
          </w:tcPr>
          <w:p w14:paraId="43FC5091">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甲醛</w:t>
            </w:r>
          </w:p>
        </w:tc>
        <w:tc>
          <w:tcPr>
            <w:tcW w:w="1242" w:type="pct"/>
            <w:noWrap w:val="0"/>
            <w:vAlign w:val="center"/>
          </w:tcPr>
          <w:p w14:paraId="00A01CEE">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w:t>
            </w:r>
          </w:p>
        </w:tc>
        <w:tc>
          <w:tcPr>
            <w:tcW w:w="904" w:type="pct"/>
            <w:noWrap w:val="0"/>
            <w:vAlign w:val="center"/>
          </w:tcPr>
          <w:p w14:paraId="25A1CD4B">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w:t>
            </w:r>
          </w:p>
        </w:tc>
        <w:tc>
          <w:tcPr>
            <w:tcW w:w="808" w:type="pct"/>
            <w:noWrap w:val="0"/>
            <w:vAlign w:val="center"/>
          </w:tcPr>
          <w:p w14:paraId="5FD22153">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是</w:t>
            </w:r>
          </w:p>
        </w:tc>
        <w:tc>
          <w:tcPr>
            <w:tcW w:w="980" w:type="pct"/>
            <w:vMerge w:val="continue"/>
            <w:noWrap w:val="0"/>
            <w:vAlign w:val="center"/>
          </w:tcPr>
          <w:p w14:paraId="3868DF58">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sz w:val="21"/>
                <w:szCs w:val="21"/>
                <w:lang w:val="en-US" w:eastAsia="zh-CN"/>
                <w14:textFill>
                  <w14:solidFill>
                    <w14:schemeClr w14:val="tx1"/>
                  </w14:solidFill>
                </w14:textFill>
              </w:rPr>
            </w:pPr>
          </w:p>
        </w:tc>
      </w:tr>
      <w:tr w14:paraId="2572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2" w:type="pct"/>
            <w:noWrap w:val="0"/>
            <w:vAlign w:val="center"/>
          </w:tcPr>
          <w:p w14:paraId="188A62BD">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称量打磨废气</w:t>
            </w:r>
          </w:p>
        </w:tc>
        <w:tc>
          <w:tcPr>
            <w:tcW w:w="591" w:type="pct"/>
            <w:noWrap w:val="0"/>
            <w:vAlign w:val="center"/>
          </w:tcPr>
          <w:p w14:paraId="04E62B84">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颗粒物</w:t>
            </w:r>
          </w:p>
        </w:tc>
        <w:tc>
          <w:tcPr>
            <w:tcW w:w="1242" w:type="pct"/>
            <w:noWrap w:val="0"/>
            <w:vAlign w:val="center"/>
          </w:tcPr>
          <w:p w14:paraId="159F8AC6">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袋式除尘；滤筒/滤芯除尘</w:t>
            </w:r>
          </w:p>
        </w:tc>
        <w:tc>
          <w:tcPr>
            <w:tcW w:w="904" w:type="pct"/>
            <w:noWrap w:val="0"/>
            <w:vAlign w:val="center"/>
          </w:tcPr>
          <w:p w14:paraId="61D6F5ED">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布袋除尘器</w:t>
            </w:r>
          </w:p>
        </w:tc>
        <w:tc>
          <w:tcPr>
            <w:tcW w:w="808" w:type="pct"/>
            <w:noWrap w:val="0"/>
            <w:vAlign w:val="center"/>
          </w:tcPr>
          <w:p w14:paraId="232FA73F">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是</w:t>
            </w:r>
          </w:p>
        </w:tc>
        <w:tc>
          <w:tcPr>
            <w:tcW w:w="980" w:type="pct"/>
            <w:vMerge w:val="continue"/>
            <w:noWrap w:val="0"/>
            <w:vAlign w:val="center"/>
          </w:tcPr>
          <w:p w14:paraId="10F80508">
            <w:pPr>
              <w:pStyle w:val="7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sz w:val="21"/>
                <w:szCs w:val="21"/>
                <w:lang w:val="en-US" w:eastAsia="zh-CN"/>
                <w14:textFill>
                  <w14:solidFill>
                    <w14:schemeClr w14:val="tx1"/>
                  </w14:solidFill>
                </w14:textFill>
              </w:rPr>
            </w:pPr>
          </w:p>
        </w:tc>
      </w:tr>
    </w:tbl>
    <w:p w14:paraId="34862613">
      <w:pPr>
        <w:pStyle w:val="79"/>
        <w:bidi w:val="0"/>
        <w:rPr>
          <w:rFonts w:hint="eastAsia"/>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本项目采取的有组织废气防治措施</w:t>
      </w:r>
      <w:r>
        <w:rPr>
          <w:rFonts w:hint="eastAsia"/>
          <w:color w:val="000000" w:themeColor="text1"/>
          <w:lang w:val="en-US" w:eastAsia="zh-CN"/>
          <w14:textFill>
            <w14:solidFill>
              <w14:schemeClr w14:val="tx1"/>
            </w14:solidFill>
          </w14:textFill>
        </w:rPr>
        <w:t>均与《排污许可证申请与核发技术规范 橡胶和塑料制品工业》（HJ1122-2010）中推荐可行性工艺技术相符合，同时根据预测分析，项目有组织排放的废气均满足《合成树脂工业污染物排放标准》（GB31572-2015，含2024年修改单）表4 大气污染物排放限值要求，废气处理工艺可靠可行。</w:t>
      </w:r>
    </w:p>
    <w:p w14:paraId="4CA105AC">
      <w:pPr>
        <w:pStyle w:val="5"/>
        <w:bidi w:val="0"/>
        <w:rPr>
          <w:rFonts w:hint="eastAsia"/>
          <w:color w:val="000000" w:themeColor="text1"/>
          <w:lang w:val="en-US" w:eastAsia="zh-CN"/>
          <w14:textFill>
            <w14:solidFill>
              <w14:schemeClr w14:val="tx1"/>
            </w14:solidFill>
          </w14:textFill>
        </w:rPr>
      </w:pPr>
      <w:bookmarkStart w:id="519" w:name="_Toc589"/>
      <w:bookmarkStart w:id="520" w:name="_Toc30616"/>
      <w:r>
        <w:rPr>
          <w:rFonts w:hint="eastAsia"/>
          <w:color w:val="000000" w:themeColor="text1"/>
          <w:lang w:val="en-US" w:eastAsia="zh-CN"/>
          <w14:textFill>
            <w14:solidFill>
              <w14:schemeClr w14:val="tx1"/>
            </w14:solidFill>
          </w14:textFill>
        </w:rPr>
        <w:t>5.3.2 无组织废气防治措施可行性分析</w:t>
      </w:r>
      <w:bookmarkEnd w:id="519"/>
      <w:bookmarkEnd w:id="520"/>
    </w:p>
    <w:p w14:paraId="6DECEFA6">
      <w:pPr>
        <w:pStyle w:val="79"/>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项目通过车间沉降等措施减少无组织废气排放。根据预测，厂界无组织排放污染物浓度满足《合成树脂工业污染物排放标准》（GB 31572-2015）表9企业边界大气污染物浓度限值与《大气污染物综合排放标准》（GB16297-1996）表2无组织排放限值要求。根据《排污许可证申请与核发技术规范 橡胶和塑料制品工业》（HJ 1122-2020）中“废气污染治理推荐可行技术参考表”，塑料制品工业排污单位无组织排放控制措施中包括“加强密闭、车间阻挡、厂区绿化”等，车间沉降属于车间阻挡措施的范畴，属可行技术</w:t>
      </w:r>
      <w:r>
        <w:rPr>
          <w:rFonts w:hint="default"/>
          <w:color w:val="000000" w:themeColor="text1"/>
          <w:lang w:val="en-US" w:eastAsia="zh-CN"/>
          <w14:textFill>
            <w14:solidFill>
              <w14:schemeClr w14:val="tx1"/>
            </w14:solidFill>
          </w14:textFill>
        </w:rPr>
        <w:t>。</w:t>
      </w:r>
    </w:p>
    <w:p w14:paraId="2110B324">
      <w:pPr>
        <w:pStyle w:val="5"/>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5.3.3 大气污染物非正常排放管理措施可行性分析</w:t>
      </w:r>
    </w:p>
    <w:p w14:paraId="3AE524A2">
      <w:pPr>
        <w:pStyle w:val="79"/>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项目通过以下措施减少非正常排放次数与非正常排放下的影响：</w:t>
      </w:r>
    </w:p>
    <w:p w14:paraId="3FAE8A1E">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（1）项目正常开停机大气污染物排放及处置措施</w:t>
      </w:r>
    </w:p>
    <w:p w14:paraId="7D973914">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根据业主提供资料，项目每天生产16h，则项目每次开停机，要求项目在开启生产机械设备之前，先开启活性炭吸附/脱附+催化燃烧装置与除尘器；</w:t>
      </w:r>
    </w:p>
    <w:p w14:paraId="1D13E712">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（2）设备检修</w:t>
      </w:r>
    </w:p>
    <w:p w14:paraId="20EF5D34">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项目设备在停机后进行检修，不排放大气污染物；</w:t>
      </w:r>
    </w:p>
    <w:p w14:paraId="7D3B7635">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（3）环保设备故障</w:t>
      </w:r>
    </w:p>
    <w:p w14:paraId="12E23F4F">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项目大气污染物环保处理设施故障时会导致非甲烷总烃与颗粒物超标排放。</w:t>
      </w:r>
    </w:p>
    <w:p w14:paraId="1D4477B4">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处理措施为：立刻停止生产作业，防止废气继续产生；并立刻对废气治理设施进行维修，直至废气处理系统能有效运行时，才可恢复作业。</w:t>
      </w:r>
    </w:p>
    <w:p w14:paraId="4A98CE1F">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项目要求每次开机时先开启活性炭吸附/脱附+催化燃烧装置与除尘器，待废气治理设施正常运行后再启动生产设备；停机时先停止生产，待废气处理系统将残余废气全部净化处理后再关闭治理设施。该措施符合《排污许可证申请与核发技术规范 橡胶和塑料制品工业》（HJ1122-2020）中废气治理设施应</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先于产生废气的生产工艺设备开启、晚于生产工艺设备停机</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的运行管理要求</w:t>
      </w:r>
      <w:r>
        <w:rPr>
          <w:rFonts w:hint="eastAsia"/>
          <w:color w:val="000000" w:themeColor="text1"/>
          <w:lang w:val="en-US" w:eastAsia="zh-CN"/>
          <w14:textFill>
            <w14:solidFill>
              <w14:schemeClr w14:val="tx1"/>
            </w14:solidFill>
          </w14:textFill>
        </w:rPr>
        <w:t>，措施可行；项目明确当废气治理设施发生故障时将立即停止生产作业，防止废气继续产生，并对治理设施进行维修，待系统有效运行后方可恢复生产</w:t>
      </w:r>
      <w:r>
        <w:rPr>
          <w:rFonts w:hint="eastAsia"/>
          <w:color w:val="000000" w:themeColor="text1"/>
          <w:lang w:val="en-US" w:eastAsia="zh-CN"/>
          <w14:textFill>
            <w14:solidFill>
              <w14:schemeClr w14:val="tx1"/>
            </w14:solidFill>
          </w14:textFill>
        </w:rPr>
        <w:fldChar w:fldCharType="begin"/>
      </w:r>
      <w:r>
        <w:rPr>
          <w:rFonts w:hint="eastAsia"/>
          <w:color w:val="000000" w:themeColor="text1"/>
          <w:lang w:val="en-US" w:eastAsia="zh-CN"/>
          <w14:textFill>
            <w14:solidFill>
              <w14:schemeClr w14:val="tx1"/>
            </w14:solidFill>
          </w14:textFill>
        </w:rPr>
        <w:instrText xml:space="preserve"> HYPERLINK "http://xxgk.hengshui.gov.cn/hssjzq/bm38/hssjzqxzspj/fdzdgknr1249/xzxk_xzcf9872/3078775/2024102810325946075.pdf" \l "11#8" \t "https://chat.deepseek.com/a/chat/s/_blank" </w:instrText>
      </w:r>
      <w:r>
        <w:rPr>
          <w:rFonts w:hint="eastAsia"/>
          <w:color w:val="000000" w:themeColor="text1"/>
          <w:lang w:val="en-US" w:eastAsia="zh-CN"/>
          <w14:textFill>
            <w14:solidFill>
              <w14:schemeClr w14:val="tx1"/>
            </w14:solidFill>
          </w14:textFill>
        </w:rPr>
        <w:fldChar w:fldCharType="separate"/>
      </w:r>
      <w:r>
        <w:rPr>
          <w:rFonts w:hint="eastAsia"/>
          <w:color w:val="000000" w:themeColor="text1"/>
          <w:lang w:val="en-US" w:eastAsia="zh-CN"/>
          <w14:textFill>
            <w14:solidFill>
              <w14:schemeClr w14:val="tx1"/>
            </w14:solidFill>
          </w14:textFill>
        </w:rPr>
        <w:fldChar w:fldCharType="end"/>
      </w:r>
      <w:r>
        <w:rPr>
          <w:rFonts w:hint="eastAsia"/>
          <w:color w:val="000000" w:themeColor="text1"/>
          <w:lang w:val="en-US" w:eastAsia="zh-CN"/>
          <w14:textFill>
            <w14:solidFill>
              <w14:schemeClr w14:val="tx1"/>
            </w14:solidFill>
          </w14:textFill>
        </w:rPr>
        <w:t>。该措施符合《环境影响评价技术导则 大气环境》（HJ2.2-2018）中关于非正常工况的应对要求</w:t>
      </w:r>
      <w:r>
        <w:rPr>
          <w:rFonts w:hint="eastAsia"/>
          <w:color w:val="000000" w:themeColor="text1"/>
          <w:lang w:val="en-US" w:eastAsia="zh-CN"/>
          <w14:textFill>
            <w14:solidFill>
              <w14:schemeClr w14:val="tx1"/>
            </w14:solidFill>
          </w14:textFill>
        </w:rPr>
        <w:fldChar w:fldCharType="begin"/>
      </w:r>
      <w:r>
        <w:rPr>
          <w:rFonts w:hint="eastAsia"/>
          <w:color w:val="000000" w:themeColor="text1"/>
          <w:lang w:val="en-US" w:eastAsia="zh-CN"/>
          <w14:textFill>
            <w14:solidFill>
              <w14:schemeClr w14:val="tx1"/>
            </w14:solidFill>
          </w14:textFill>
        </w:rPr>
        <w:instrText xml:space="preserve"> HYPERLINK "http://www.jiangmen.gov.cn/attachment/0/264/264631/2844756.pdf" \l "9#7" \t "https://chat.deepseek.com/a/chat/s/_blank" </w:instrText>
      </w:r>
      <w:r>
        <w:rPr>
          <w:rFonts w:hint="eastAsia"/>
          <w:color w:val="000000" w:themeColor="text1"/>
          <w:lang w:val="en-US" w:eastAsia="zh-CN"/>
          <w14:textFill>
            <w14:solidFill>
              <w14:schemeClr w14:val="tx1"/>
            </w14:solidFill>
          </w14:textFill>
        </w:rPr>
        <w:fldChar w:fldCharType="separate"/>
      </w:r>
      <w:r>
        <w:rPr>
          <w:rFonts w:hint="eastAsia"/>
          <w:color w:val="000000" w:themeColor="text1"/>
          <w:lang w:val="en-US" w:eastAsia="zh-CN"/>
          <w14:textFill>
            <w14:solidFill>
              <w14:schemeClr w14:val="tx1"/>
            </w14:solidFill>
          </w14:textFill>
        </w:rPr>
        <w:fldChar w:fldCharType="end"/>
      </w:r>
      <w:r>
        <w:rPr>
          <w:rFonts w:hint="eastAsia"/>
          <w:color w:val="000000" w:themeColor="text1"/>
          <w:lang w:val="en-US" w:eastAsia="zh-CN"/>
          <w14:textFill>
            <w14:solidFill>
              <w14:schemeClr w14:val="tx1"/>
            </w14:solidFill>
          </w14:textFill>
        </w:rPr>
        <w:t>，措施可行。</w:t>
      </w:r>
    </w:p>
    <w:p w14:paraId="2B22050F">
      <w:pPr>
        <w:pStyle w:val="2"/>
        <w:numPr>
          <w:ilvl w:val="0"/>
          <w:numId w:val="7"/>
        </w:numPr>
        <w:bidi w:val="0"/>
        <w:rPr>
          <w:rFonts w:hint="eastAsia"/>
          <w:color w:val="000000" w:themeColor="text1"/>
          <w:lang w:val="en-US" w:eastAsia="zh-CN"/>
          <w14:textFill>
            <w14:solidFill>
              <w14:schemeClr w14:val="tx1"/>
            </w14:solidFill>
          </w14:textFill>
        </w:rPr>
      </w:pPr>
      <w:bookmarkStart w:id="521" w:name="_Toc23616"/>
      <w:bookmarkStart w:id="522" w:name="_Toc18418"/>
      <w:bookmarkStart w:id="523" w:name="_Toc25058"/>
      <w:r>
        <w:rPr>
          <w:rFonts w:hint="eastAsia"/>
          <w:color w:val="000000" w:themeColor="text1"/>
          <w:lang w:val="en-US" w:eastAsia="zh-CN"/>
          <w14:textFill>
            <w14:solidFill>
              <w14:schemeClr w14:val="tx1"/>
            </w14:solidFill>
          </w14:textFill>
        </w:rPr>
        <w:t>监测计划</w:t>
      </w:r>
      <w:bookmarkEnd w:id="521"/>
      <w:bookmarkEnd w:id="522"/>
      <w:bookmarkEnd w:id="523"/>
    </w:p>
    <w:p w14:paraId="69C72670">
      <w:pPr>
        <w:pStyle w:val="3"/>
        <w:bidi w:val="0"/>
        <w:rPr>
          <w:rFonts w:hint="eastAsia"/>
          <w:color w:val="000000" w:themeColor="text1"/>
          <w:lang w:val="en-US" w:eastAsia="zh-CN"/>
          <w14:textFill>
            <w14:solidFill>
              <w14:schemeClr w14:val="tx1"/>
            </w14:solidFill>
          </w14:textFill>
        </w:rPr>
      </w:pPr>
      <w:bookmarkStart w:id="524" w:name="_Toc3371"/>
      <w:bookmarkStart w:id="525" w:name="_Toc7379"/>
      <w:bookmarkStart w:id="526" w:name="_Toc2901"/>
      <w:r>
        <w:rPr>
          <w:rFonts w:hint="eastAsia"/>
          <w:color w:val="000000" w:themeColor="text1"/>
          <w:lang w:val="en-US" w:eastAsia="zh-CN"/>
          <w14:textFill>
            <w14:solidFill>
              <w14:schemeClr w14:val="tx1"/>
            </w14:solidFill>
          </w14:textFill>
        </w:rPr>
        <w:t>6.1 监测目的</w:t>
      </w:r>
      <w:bookmarkEnd w:id="524"/>
      <w:bookmarkEnd w:id="525"/>
      <w:bookmarkEnd w:id="526"/>
    </w:p>
    <w:p w14:paraId="45B0E85B">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环境监测是环境保护中最重要的环节和技术支持，开展环境监测的目的在于：</w:t>
      </w:r>
    </w:p>
    <w:p w14:paraId="0FD47CFF">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（1）检查、跟踪项目投产后运行过程中各项环保措施的实施情况和效果，掌握环境质量的变化动态；</w:t>
      </w:r>
    </w:p>
    <w:p w14:paraId="366A7147">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（2）了解项目环境工程设施的运行状况，确保设施的正常运行；</w:t>
      </w:r>
    </w:p>
    <w:p w14:paraId="773550D0">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（3）了解项目有关的环境质量监控实施情况；</w:t>
      </w:r>
    </w:p>
    <w:p w14:paraId="2F620786">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（4）为改善项目周围区域环境质量提供技术支持。</w:t>
      </w:r>
    </w:p>
    <w:p w14:paraId="013227B9">
      <w:pPr>
        <w:pStyle w:val="3"/>
        <w:bidi w:val="0"/>
        <w:rPr>
          <w:rFonts w:hint="eastAsia"/>
          <w:color w:val="000000" w:themeColor="text1"/>
          <w:lang w:val="en-US" w:eastAsia="zh-CN"/>
          <w14:textFill>
            <w14:solidFill>
              <w14:schemeClr w14:val="tx1"/>
            </w14:solidFill>
          </w14:textFill>
        </w:rPr>
      </w:pPr>
      <w:bookmarkStart w:id="527" w:name="_Toc31268"/>
      <w:bookmarkStart w:id="528" w:name="_Toc2855"/>
      <w:bookmarkStart w:id="529" w:name="_Toc27555"/>
      <w:r>
        <w:rPr>
          <w:rFonts w:hint="eastAsia"/>
          <w:color w:val="000000" w:themeColor="text1"/>
          <w:lang w:val="en-US" w:eastAsia="zh-CN"/>
          <w14:textFill>
            <w14:solidFill>
              <w14:schemeClr w14:val="tx1"/>
            </w14:solidFill>
          </w14:textFill>
        </w:rPr>
        <w:t>6.2 环境监测计划</w:t>
      </w:r>
      <w:bookmarkEnd w:id="527"/>
      <w:bookmarkEnd w:id="528"/>
      <w:bookmarkEnd w:id="529"/>
    </w:p>
    <w:p w14:paraId="7E4D603E">
      <w:pPr>
        <w:pStyle w:val="79"/>
        <w:bidi w:val="0"/>
        <w:rPr>
          <w:rFonts w:hint="default"/>
          <w:b/>
          <w:bCs/>
          <w:color w:val="000000" w:themeColor="text1"/>
          <w:lang w:val="en-US" w:eastAsia="zh-CN"/>
          <w14:textFill>
            <w14:solidFill>
              <w14:schemeClr w14:val="tx1"/>
            </w14:solidFill>
          </w14:textFill>
        </w:rPr>
      </w:pPr>
      <w:r>
        <w:rPr>
          <w:rFonts w:hint="default"/>
          <w:b/>
          <w:bCs/>
          <w:color w:val="000000" w:themeColor="text1"/>
          <w:lang w:val="en-US" w:eastAsia="zh-CN"/>
          <w14:textFill>
            <w14:solidFill>
              <w14:schemeClr w14:val="tx1"/>
            </w14:solidFill>
          </w14:textFill>
        </w:rPr>
        <w:t>1、施工期</w:t>
      </w:r>
      <w:r>
        <w:rPr>
          <w:rFonts w:hint="eastAsia"/>
          <w:b/>
          <w:bCs/>
          <w:color w:val="000000" w:themeColor="text1"/>
          <w:lang w:val="en-US" w:eastAsia="zh-CN"/>
          <w14:textFill>
            <w14:solidFill>
              <w14:schemeClr w14:val="tx1"/>
            </w14:solidFill>
          </w14:textFill>
        </w:rPr>
        <w:t>大气环境</w:t>
      </w:r>
      <w:r>
        <w:rPr>
          <w:rFonts w:hint="default"/>
          <w:b/>
          <w:bCs/>
          <w:color w:val="000000" w:themeColor="text1"/>
          <w:lang w:val="en-US" w:eastAsia="zh-CN"/>
          <w14:textFill>
            <w14:solidFill>
              <w14:schemeClr w14:val="tx1"/>
            </w14:solidFill>
          </w14:textFill>
        </w:rPr>
        <w:t>监测计划</w:t>
      </w:r>
    </w:p>
    <w:p w14:paraId="033F5050">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本项目施工期影响是</w:t>
      </w:r>
      <w:r>
        <w:rPr>
          <w:rFonts w:hint="eastAsia"/>
          <w:color w:val="000000" w:themeColor="text1"/>
          <w:lang w:val="en-US" w:eastAsia="zh-CN"/>
          <w14:textFill>
            <w14:solidFill>
              <w14:schemeClr w14:val="tx1"/>
            </w14:solidFill>
          </w14:textFill>
        </w:rPr>
        <w:t>短时</w:t>
      </w:r>
      <w:r>
        <w:rPr>
          <w:rFonts w:hint="default"/>
          <w:color w:val="000000" w:themeColor="text1"/>
          <w:lang w:val="en-US" w:eastAsia="zh-CN"/>
          <w14:textFill>
            <w14:solidFill>
              <w14:schemeClr w14:val="tx1"/>
            </w14:solidFill>
          </w14:textFill>
        </w:rPr>
        <w:t>的且影响较小，施工结束影响即结束，同时项目位置</w:t>
      </w:r>
      <w:r>
        <w:rPr>
          <w:rFonts w:hint="eastAsia"/>
          <w:color w:val="000000" w:themeColor="text1"/>
          <w:lang w:val="en-US" w:eastAsia="zh-CN"/>
          <w14:textFill>
            <w14:solidFill>
              <w14:schemeClr w14:val="tx1"/>
            </w14:solidFill>
          </w14:textFill>
        </w:rPr>
        <w:t>处于</w:t>
      </w:r>
      <w:r>
        <w:rPr>
          <w:rFonts w:hint="default"/>
          <w:color w:val="000000" w:themeColor="text1"/>
          <w:lang w:val="en-US" w:eastAsia="zh-CN"/>
          <w14:textFill>
            <w14:solidFill>
              <w14:schemeClr w14:val="tx1"/>
            </w14:solidFill>
          </w14:textFill>
        </w:rPr>
        <w:t>工业园区内，远离环境敏感点，故不再设置监测点。</w:t>
      </w:r>
    </w:p>
    <w:p w14:paraId="43840F45">
      <w:pPr>
        <w:pStyle w:val="79"/>
        <w:bidi w:val="0"/>
        <w:rPr>
          <w:rFonts w:hint="default"/>
          <w:b/>
          <w:bCs/>
          <w:color w:val="000000" w:themeColor="text1"/>
          <w:lang w:val="en-US" w:eastAsia="zh-CN"/>
          <w14:textFill>
            <w14:solidFill>
              <w14:schemeClr w14:val="tx1"/>
            </w14:solidFill>
          </w14:textFill>
        </w:rPr>
      </w:pPr>
      <w:r>
        <w:rPr>
          <w:rFonts w:hint="default"/>
          <w:b/>
          <w:bCs/>
          <w:color w:val="000000" w:themeColor="text1"/>
          <w:lang w:val="en-US" w:eastAsia="zh-CN"/>
          <w14:textFill>
            <w14:solidFill>
              <w14:schemeClr w14:val="tx1"/>
            </w14:solidFill>
          </w14:textFill>
        </w:rPr>
        <w:t>2、营运期</w:t>
      </w:r>
      <w:r>
        <w:rPr>
          <w:rFonts w:hint="eastAsia"/>
          <w:b/>
          <w:bCs/>
          <w:color w:val="000000" w:themeColor="text1"/>
          <w:lang w:val="en-US" w:eastAsia="zh-CN"/>
          <w14:textFill>
            <w14:solidFill>
              <w14:schemeClr w14:val="tx1"/>
            </w14:solidFill>
          </w14:textFill>
        </w:rPr>
        <w:t>废气</w:t>
      </w:r>
      <w:r>
        <w:rPr>
          <w:rFonts w:hint="default"/>
          <w:b/>
          <w:bCs/>
          <w:color w:val="000000" w:themeColor="text1"/>
          <w:lang w:val="en-US" w:eastAsia="zh-CN"/>
          <w14:textFill>
            <w14:solidFill>
              <w14:schemeClr w14:val="tx1"/>
            </w14:solidFill>
          </w14:textFill>
        </w:rPr>
        <w:t>竣工验收监测计划</w:t>
      </w:r>
    </w:p>
    <w:p w14:paraId="1F23F4A5">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运营期竣工验收监测计划汇总见表</w:t>
      </w:r>
      <w:r>
        <w:rPr>
          <w:rFonts w:hint="eastAsia"/>
          <w:color w:val="000000" w:themeColor="text1"/>
          <w:lang w:val="en-US" w:eastAsia="zh-CN"/>
          <w14:textFill>
            <w14:solidFill>
              <w14:schemeClr w14:val="tx1"/>
            </w14:solidFill>
          </w14:textFill>
        </w:rPr>
        <w:t>6</w:t>
      </w:r>
      <w:r>
        <w:rPr>
          <w:rFonts w:hint="default"/>
          <w:color w:val="000000" w:themeColor="text1"/>
          <w:lang w:val="en-US" w:eastAsia="zh-CN"/>
          <w14:textFill>
            <w14:solidFill>
              <w14:schemeClr w14:val="tx1"/>
            </w14:solidFill>
          </w14:textFill>
        </w:rPr>
        <w:t>.2-1。</w:t>
      </w:r>
    </w:p>
    <w:p w14:paraId="166B333E">
      <w:pPr>
        <w:widowControl/>
        <w:adjustRightInd w:val="0"/>
        <w:snapToGrid w:val="0"/>
        <w:jc w:val="center"/>
        <w:rPr>
          <w:rFonts w:ascii="Times New Roman" w:hAnsi="Times New Roman" w:eastAsia="宋体" w:cs="Times New Roman"/>
          <w:b/>
          <w:bCs/>
          <w:color w:val="000000" w:themeColor="text1"/>
          <w:kern w:val="0"/>
          <w:sz w:val="21"/>
          <w:szCs w:val="16"/>
          <w14:textFill>
            <w14:solidFill>
              <w14:schemeClr w14:val="tx1"/>
            </w14:solidFill>
          </w14:textFill>
        </w:rPr>
      </w:pPr>
      <w:r>
        <w:rPr>
          <w:rFonts w:ascii="Times New Roman" w:hAnsi="Times New Roman" w:eastAsia="宋体" w:cs="Times New Roman"/>
          <w:b/>
          <w:bCs/>
          <w:color w:val="000000" w:themeColor="text1"/>
          <w:kern w:val="0"/>
          <w:sz w:val="21"/>
          <w:szCs w:val="16"/>
          <w14:textFill>
            <w14:solidFill>
              <w14:schemeClr w14:val="tx1"/>
            </w14:solidFill>
          </w14:textFill>
        </w:rPr>
        <w:t>表</w:t>
      </w:r>
      <w:r>
        <w:rPr>
          <w:rFonts w:hint="eastAsia" w:ascii="Times New Roman" w:hAnsi="Times New Roman" w:eastAsia="宋体" w:cs="Times New Roman"/>
          <w:b/>
          <w:bCs/>
          <w:color w:val="000000" w:themeColor="text1"/>
          <w:kern w:val="0"/>
          <w:sz w:val="21"/>
          <w:szCs w:val="16"/>
          <w:lang w:val="en-US" w:eastAsia="zh-CN"/>
          <w14:textFill>
            <w14:solidFill>
              <w14:schemeClr w14:val="tx1"/>
            </w14:solidFill>
          </w14:textFill>
        </w:rPr>
        <w:t>6</w:t>
      </w:r>
      <w:r>
        <w:rPr>
          <w:rFonts w:ascii="Times New Roman" w:hAnsi="Times New Roman" w:eastAsia="宋体" w:cs="Times New Roman"/>
          <w:b/>
          <w:bCs/>
          <w:color w:val="000000" w:themeColor="text1"/>
          <w:kern w:val="0"/>
          <w:sz w:val="21"/>
          <w:szCs w:val="16"/>
          <w14:textFill>
            <w14:solidFill>
              <w14:schemeClr w14:val="tx1"/>
            </w14:solidFill>
          </w14:textFill>
        </w:rPr>
        <w:t>.2-1   运营期竣工验收监测计划一览表</w:t>
      </w:r>
    </w:p>
    <w:tbl>
      <w:tblPr>
        <w:tblStyle w:val="31"/>
        <w:tblW w:w="95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705"/>
        <w:gridCol w:w="851"/>
        <w:gridCol w:w="1175"/>
        <w:gridCol w:w="1950"/>
        <w:gridCol w:w="2380"/>
        <w:gridCol w:w="1370"/>
        <w:gridCol w:w="1109"/>
      </w:tblGrid>
      <w:tr w14:paraId="51AFF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6" w:hRule="atLeast"/>
          <w:jc w:val="center"/>
        </w:trPr>
        <w:tc>
          <w:tcPr>
            <w:tcW w:w="705" w:type="dxa"/>
            <w:noWrap w:val="0"/>
            <w:vAlign w:val="center"/>
          </w:tcPr>
          <w:p w14:paraId="2D993082">
            <w:pPr>
              <w:spacing w:before="10"/>
              <w:jc w:val="center"/>
              <w:rPr>
                <w:rFonts w:ascii="Times New Roman" w:hAnsi="Times New Roman" w:eastAsia="宋体" w:cs="Times New Roman"/>
                <w:color w:val="000000" w:themeColor="text1"/>
                <w:kern w:val="0"/>
                <w:sz w:val="21"/>
                <w:szCs w:val="21"/>
                <w:lang w:val="en-US" w:eastAsia="en-US" w:bidi="ar-SA"/>
                <w14:textFill>
                  <w14:solidFill>
                    <w14:schemeClr w14:val="tx1"/>
                  </w14:solidFill>
                </w14:textFill>
              </w:rPr>
            </w:pPr>
            <w:r>
              <w:rPr>
                <w:rFonts w:ascii="Times New Roman" w:hAnsi="Times New Roman" w:eastAsia="宋体" w:cs="Times New Roman"/>
                <w:b/>
                <w:bCs/>
                <w:color w:val="000000" w:themeColor="text1"/>
                <w:kern w:val="0"/>
                <w:sz w:val="21"/>
                <w:szCs w:val="21"/>
                <w:lang w:val="en-US" w:eastAsia="en-US" w:bidi="ar-SA"/>
                <w14:textFill>
                  <w14:solidFill>
                    <w14:schemeClr w14:val="tx1"/>
                  </w14:solidFill>
                </w14:textFill>
              </w:rPr>
              <w:t>监测</w:t>
            </w:r>
          </w:p>
          <w:p w14:paraId="73A6A365">
            <w:pPr>
              <w:spacing w:before="10"/>
              <w:jc w:val="center"/>
              <w:rPr>
                <w:rFonts w:ascii="Times New Roman" w:hAnsi="Times New Roman" w:eastAsia="宋体" w:cs="Times New Roman"/>
                <w:color w:val="000000" w:themeColor="text1"/>
                <w:kern w:val="0"/>
                <w:sz w:val="21"/>
                <w:szCs w:val="21"/>
                <w:lang w:val="en-US" w:eastAsia="en-US" w:bidi="ar-SA"/>
                <w14:textFill>
                  <w14:solidFill>
                    <w14:schemeClr w14:val="tx1"/>
                  </w14:solidFill>
                </w14:textFill>
              </w:rPr>
            </w:pPr>
            <w:r>
              <w:rPr>
                <w:rFonts w:ascii="Times New Roman" w:hAnsi="Times New Roman" w:eastAsia="宋体" w:cs="Times New Roman"/>
                <w:b/>
                <w:bCs/>
                <w:color w:val="000000" w:themeColor="text1"/>
                <w:kern w:val="0"/>
                <w:sz w:val="21"/>
                <w:szCs w:val="21"/>
                <w:lang w:val="en-US" w:eastAsia="en-US" w:bidi="ar-SA"/>
                <w14:textFill>
                  <w14:solidFill>
                    <w14:schemeClr w14:val="tx1"/>
                  </w14:solidFill>
                </w14:textFill>
              </w:rPr>
              <w:t>项目</w:t>
            </w:r>
          </w:p>
        </w:tc>
        <w:tc>
          <w:tcPr>
            <w:tcW w:w="2026" w:type="dxa"/>
            <w:gridSpan w:val="2"/>
            <w:noWrap w:val="0"/>
            <w:vAlign w:val="center"/>
          </w:tcPr>
          <w:p w14:paraId="445C6BC1">
            <w:pPr>
              <w:spacing w:before="10"/>
              <w:jc w:val="center"/>
              <w:rPr>
                <w:rFonts w:ascii="Times New Roman" w:hAnsi="Times New Roman" w:eastAsia="宋体" w:cs="Times New Roman"/>
                <w:color w:val="000000" w:themeColor="text1"/>
                <w:kern w:val="0"/>
                <w:sz w:val="21"/>
                <w:szCs w:val="21"/>
                <w:lang w:val="en-US" w:eastAsia="en-US" w:bidi="ar-SA"/>
                <w14:textFill>
                  <w14:solidFill>
                    <w14:schemeClr w14:val="tx1"/>
                  </w14:solidFill>
                </w14:textFill>
              </w:rPr>
            </w:pPr>
            <w:r>
              <w:rPr>
                <w:rFonts w:ascii="Times New Roman" w:hAnsi="Times New Roman" w:eastAsia="宋体" w:cs="Times New Roman"/>
                <w:b/>
                <w:bCs/>
                <w:color w:val="000000" w:themeColor="text1"/>
                <w:kern w:val="0"/>
                <w:sz w:val="21"/>
                <w:szCs w:val="21"/>
                <w:lang w:val="en-US" w:eastAsia="en-US" w:bidi="ar-SA"/>
                <w14:textFill>
                  <w14:solidFill>
                    <w14:schemeClr w14:val="tx1"/>
                  </w14:solidFill>
                </w14:textFill>
              </w:rPr>
              <w:t>监测点位</w:t>
            </w:r>
          </w:p>
        </w:tc>
        <w:tc>
          <w:tcPr>
            <w:tcW w:w="1950" w:type="dxa"/>
            <w:noWrap w:val="0"/>
            <w:vAlign w:val="center"/>
          </w:tcPr>
          <w:p w14:paraId="73B196D1">
            <w:pPr>
              <w:spacing w:before="10"/>
              <w:jc w:val="center"/>
              <w:rPr>
                <w:rFonts w:ascii="Times New Roman" w:hAnsi="Times New Roman" w:eastAsia="宋体" w:cs="Times New Roman"/>
                <w:color w:val="000000" w:themeColor="text1"/>
                <w:kern w:val="0"/>
                <w:sz w:val="21"/>
                <w:szCs w:val="21"/>
                <w:lang w:val="en-US" w:eastAsia="en-US" w:bidi="ar-SA"/>
                <w14:textFill>
                  <w14:solidFill>
                    <w14:schemeClr w14:val="tx1"/>
                  </w14:solidFill>
                </w14:textFill>
              </w:rPr>
            </w:pPr>
            <w:r>
              <w:rPr>
                <w:rFonts w:ascii="Times New Roman" w:hAnsi="Times New Roman" w:eastAsia="宋体" w:cs="Times New Roman"/>
                <w:b/>
                <w:bCs/>
                <w:color w:val="000000" w:themeColor="text1"/>
                <w:kern w:val="0"/>
                <w:sz w:val="21"/>
                <w:szCs w:val="21"/>
                <w:lang w:val="en-US" w:eastAsia="en-US" w:bidi="ar-SA"/>
                <w14:textFill>
                  <w14:solidFill>
                    <w14:schemeClr w14:val="tx1"/>
                  </w14:solidFill>
                </w14:textFill>
              </w:rPr>
              <w:t>监测因子</w:t>
            </w:r>
          </w:p>
        </w:tc>
        <w:tc>
          <w:tcPr>
            <w:tcW w:w="2380" w:type="dxa"/>
            <w:noWrap w:val="0"/>
            <w:vAlign w:val="center"/>
          </w:tcPr>
          <w:p w14:paraId="1B107A66">
            <w:pPr>
              <w:spacing w:before="10"/>
              <w:jc w:val="center"/>
              <w:rPr>
                <w:rFonts w:ascii="Times New Roman" w:hAnsi="Times New Roman" w:eastAsia="宋体" w:cs="Times New Roman"/>
                <w:b/>
                <w:bCs/>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b/>
                <w:bCs/>
                <w:color w:val="000000" w:themeColor="text1"/>
                <w:kern w:val="0"/>
                <w:sz w:val="21"/>
                <w:szCs w:val="21"/>
                <w:lang w:val="en-US" w:eastAsia="zh-CN" w:bidi="ar-SA"/>
                <w14:textFill>
                  <w14:solidFill>
                    <w14:schemeClr w14:val="tx1"/>
                  </w14:solidFill>
                </w14:textFill>
              </w:rPr>
              <w:t>执行标准</w:t>
            </w:r>
          </w:p>
        </w:tc>
        <w:tc>
          <w:tcPr>
            <w:tcW w:w="1370" w:type="dxa"/>
            <w:noWrap w:val="0"/>
            <w:vAlign w:val="center"/>
          </w:tcPr>
          <w:p w14:paraId="5C661BA2">
            <w:pPr>
              <w:spacing w:before="10"/>
              <w:jc w:val="center"/>
              <w:rPr>
                <w:rFonts w:ascii="Times New Roman" w:hAnsi="Times New Roman" w:eastAsia="宋体" w:cs="Times New Roman"/>
                <w:color w:val="000000" w:themeColor="text1"/>
                <w:kern w:val="0"/>
                <w:sz w:val="21"/>
                <w:szCs w:val="21"/>
                <w:lang w:val="en-US" w:eastAsia="en-US" w:bidi="ar-SA"/>
                <w14:textFill>
                  <w14:solidFill>
                    <w14:schemeClr w14:val="tx1"/>
                  </w14:solidFill>
                </w14:textFill>
              </w:rPr>
            </w:pPr>
            <w:r>
              <w:rPr>
                <w:rFonts w:ascii="Times New Roman" w:hAnsi="Times New Roman" w:eastAsia="宋体" w:cs="Times New Roman"/>
                <w:b/>
                <w:bCs/>
                <w:color w:val="000000" w:themeColor="text1"/>
                <w:kern w:val="0"/>
                <w:sz w:val="21"/>
                <w:szCs w:val="21"/>
                <w:lang w:val="en-US" w:eastAsia="en-US" w:bidi="ar-SA"/>
                <w14:textFill>
                  <w14:solidFill>
                    <w14:schemeClr w14:val="tx1"/>
                  </w14:solidFill>
                </w14:textFill>
              </w:rPr>
              <w:t>监测频次</w:t>
            </w:r>
          </w:p>
        </w:tc>
        <w:tc>
          <w:tcPr>
            <w:tcW w:w="1109" w:type="dxa"/>
            <w:noWrap w:val="0"/>
            <w:vAlign w:val="center"/>
          </w:tcPr>
          <w:p w14:paraId="1A0172B1">
            <w:pPr>
              <w:spacing w:before="10"/>
              <w:jc w:val="center"/>
              <w:rPr>
                <w:rFonts w:ascii="Times New Roman" w:hAnsi="Times New Roman" w:eastAsia="宋体" w:cs="Times New Roman"/>
                <w:color w:val="000000" w:themeColor="text1"/>
                <w:kern w:val="0"/>
                <w:sz w:val="21"/>
                <w:szCs w:val="21"/>
                <w:lang w:val="en-US" w:eastAsia="en-US" w:bidi="ar-SA"/>
                <w14:textFill>
                  <w14:solidFill>
                    <w14:schemeClr w14:val="tx1"/>
                  </w14:solidFill>
                </w14:textFill>
              </w:rPr>
            </w:pPr>
            <w:r>
              <w:rPr>
                <w:rFonts w:ascii="Times New Roman" w:hAnsi="Times New Roman" w:eastAsia="宋体" w:cs="Times New Roman"/>
                <w:b/>
                <w:bCs/>
                <w:color w:val="000000" w:themeColor="text1"/>
                <w:kern w:val="0"/>
                <w:sz w:val="21"/>
                <w:szCs w:val="21"/>
                <w:lang w:val="en-US" w:eastAsia="en-US" w:bidi="ar-SA"/>
                <w14:textFill>
                  <w14:solidFill>
                    <w14:schemeClr w14:val="tx1"/>
                  </w14:solidFill>
                </w14:textFill>
              </w:rPr>
              <w:t>监测方式</w:t>
            </w:r>
          </w:p>
        </w:tc>
      </w:tr>
      <w:tr w14:paraId="64F39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0" w:hRule="atLeast"/>
          <w:jc w:val="center"/>
        </w:trPr>
        <w:tc>
          <w:tcPr>
            <w:tcW w:w="705" w:type="dxa"/>
            <w:vMerge w:val="restart"/>
            <w:noWrap w:val="0"/>
            <w:vAlign w:val="center"/>
          </w:tcPr>
          <w:p w14:paraId="777FED5F">
            <w:pPr>
              <w:spacing w:before="10"/>
              <w:jc w:val="center"/>
              <w:rPr>
                <w:rFonts w:ascii="Times New Roman" w:hAnsi="Times New Roman" w:eastAsia="宋体" w:cs="Times New Roman"/>
                <w:color w:val="000000" w:themeColor="text1"/>
                <w:kern w:val="0"/>
                <w:sz w:val="21"/>
                <w:szCs w:val="21"/>
                <w:lang w:val="en-US" w:eastAsia="en-US" w:bidi="ar-SA"/>
                <w14:textFill>
                  <w14:solidFill>
                    <w14:schemeClr w14:val="tx1"/>
                  </w14:solidFill>
                </w14:textFill>
              </w:rPr>
            </w:pPr>
            <w:r>
              <w:rPr>
                <w:rFonts w:ascii="Times New Roman" w:hAnsi="Times New Roman" w:eastAsia="宋体" w:cs="Times New Roman"/>
                <w:color w:val="000000" w:themeColor="text1"/>
                <w:kern w:val="0"/>
                <w:sz w:val="21"/>
                <w:szCs w:val="21"/>
                <w:lang w:val="en-US" w:eastAsia="en-US" w:bidi="ar-SA"/>
                <w14:textFill>
                  <w14:solidFill>
                    <w14:schemeClr w14:val="tx1"/>
                  </w14:solidFill>
                </w14:textFill>
              </w:rPr>
              <w:t>废气</w:t>
            </w:r>
          </w:p>
        </w:tc>
        <w:tc>
          <w:tcPr>
            <w:tcW w:w="851" w:type="dxa"/>
            <w:vMerge w:val="restart"/>
            <w:tcBorders>
              <w:right w:val="single" w:color="000000" w:sz="4" w:space="0"/>
            </w:tcBorders>
            <w:noWrap w:val="0"/>
            <w:vAlign w:val="center"/>
          </w:tcPr>
          <w:p w14:paraId="552EDC0B">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t>有组织</w:t>
            </w:r>
          </w:p>
        </w:tc>
        <w:tc>
          <w:tcPr>
            <w:tcW w:w="1175" w:type="dxa"/>
            <w:vMerge w:val="restart"/>
            <w:tcBorders>
              <w:left w:val="single" w:color="000000" w:sz="4" w:space="0"/>
            </w:tcBorders>
            <w:noWrap w:val="0"/>
            <w:vAlign w:val="center"/>
          </w:tcPr>
          <w:p w14:paraId="4DB9EBE4">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t>DA001</w:t>
            </w:r>
          </w:p>
        </w:tc>
        <w:tc>
          <w:tcPr>
            <w:tcW w:w="1950" w:type="dxa"/>
            <w:noWrap w:val="0"/>
            <w:vAlign w:val="center"/>
          </w:tcPr>
          <w:p w14:paraId="31E3543E">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t>非甲烷总烃</w:t>
            </w:r>
          </w:p>
        </w:tc>
        <w:tc>
          <w:tcPr>
            <w:tcW w:w="2380" w:type="dxa"/>
            <w:vMerge w:val="restart"/>
            <w:noWrap w:val="0"/>
            <w:vAlign w:val="center"/>
          </w:tcPr>
          <w:p w14:paraId="0A94E649">
            <w:pPr>
              <w:spacing w:before="10"/>
              <w:jc w:val="both"/>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《合成树脂工业污染物排放标准》（</w:t>
            </w:r>
            <w:r>
              <w:rPr>
                <w:rFonts w:hint="eastAsia" w:cs="Times New Roman"/>
                <w:color w:val="000000" w:themeColor="text1"/>
                <w:kern w:val="0"/>
                <w:sz w:val="21"/>
                <w:szCs w:val="21"/>
                <w:lang w:val="en-US" w:eastAsia="zh-CN" w:bidi="ar-SA"/>
                <w14:textFill>
                  <w14:solidFill>
                    <w14:schemeClr w14:val="tx1"/>
                  </w14:solidFill>
                </w14:textFill>
              </w:rPr>
              <w:t>GB31572-2015，含2024年修改单</w:t>
            </w: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w:t>
            </w:r>
          </w:p>
        </w:tc>
        <w:tc>
          <w:tcPr>
            <w:tcW w:w="1370" w:type="dxa"/>
            <w:noWrap w:val="0"/>
            <w:vAlign w:val="center"/>
          </w:tcPr>
          <w:p w14:paraId="5D94D890">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t>连续监测2天，每天监测3次。</w:t>
            </w:r>
          </w:p>
        </w:tc>
        <w:tc>
          <w:tcPr>
            <w:tcW w:w="1109" w:type="dxa"/>
            <w:vMerge w:val="restart"/>
            <w:noWrap w:val="0"/>
            <w:vAlign w:val="center"/>
          </w:tcPr>
          <w:p w14:paraId="7A45FA21">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t>委托其他检（监）测机构代其开展监测</w:t>
            </w:r>
          </w:p>
        </w:tc>
      </w:tr>
      <w:tr w14:paraId="4F80E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0" w:hRule="atLeast"/>
          <w:jc w:val="center"/>
        </w:trPr>
        <w:tc>
          <w:tcPr>
            <w:tcW w:w="705" w:type="dxa"/>
            <w:vMerge w:val="continue"/>
            <w:noWrap w:val="0"/>
            <w:vAlign w:val="center"/>
          </w:tcPr>
          <w:p w14:paraId="6B749FC3">
            <w:pPr>
              <w:spacing w:before="10"/>
              <w:jc w:val="center"/>
              <w:rPr>
                <w:rFonts w:ascii="Times New Roman" w:hAnsi="Times New Roman" w:eastAsia="宋体" w:cs="Times New Roman"/>
                <w:color w:val="000000" w:themeColor="text1"/>
                <w:kern w:val="0"/>
                <w:sz w:val="21"/>
                <w:szCs w:val="21"/>
                <w:lang w:val="en-US" w:eastAsia="en-US" w:bidi="ar-SA"/>
                <w14:textFill>
                  <w14:solidFill>
                    <w14:schemeClr w14:val="tx1"/>
                  </w14:solidFill>
                </w14:textFill>
              </w:rPr>
            </w:pPr>
          </w:p>
        </w:tc>
        <w:tc>
          <w:tcPr>
            <w:tcW w:w="851" w:type="dxa"/>
            <w:vMerge w:val="continue"/>
            <w:tcBorders>
              <w:right w:val="single" w:color="000000" w:sz="4" w:space="0"/>
            </w:tcBorders>
            <w:noWrap w:val="0"/>
            <w:vAlign w:val="center"/>
          </w:tcPr>
          <w:p w14:paraId="5D992449">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p>
        </w:tc>
        <w:tc>
          <w:tcPr>
            <w:tcW w:w="1175" w:type="dxa"/>
            <w:vMerge w:val="continue"/>
            <w:tcBorders>
              <w:left w:val="single" w:color="000000" w:sz="4" w:space="0"/>
            </w:tcBorders>
            <w:noWrap w:val="0"/>
            <w:vAlign w:val="center"/>
          </w:tcPr>
          <w:p w14:paraId="0411560F">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p>
        </w:tc>
        <w:tc>
          <w:tcPr>
            <w:tcW w:w="1950" w:type="dxa"/>
            <w:noWrap w:val="0"/>
            <w:vAlign w:val="center"/>
          </w:tcPr>
          <w:p w14:paraId="5AE6A9BF">
            <w:pPr>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甲醛</w:t>
            </w:r>
          </w:p>
        </w:tc>
        <w:tc>
          <w:tcPr>
            <w:tcW w:w="2380" w:type="dxa"/>
            <w:vMerge w:val="continue"/>
            <w:noWrap w:val="0"/>
            <w:vAlign w:val="center"/>
          </w:tcPr>
          <w:p w14:paraId="0BE6162C">
            <w:pPr>
              <w:spacing w:before="10"/>
              <w:jc w:val="both"/>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p>
        </w:tc>
        <w:tc>
          <w:tcPr>
            <w:tcW w:w="1370" w:type="dxa"/>
            <w:noWrap w:val="0"/>
            <w:vAlign w:val="center"/>
          </w:tcPr>
          <w:p w14:paraId="6456EAD0">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t>连续监测2天，每天监测3次。</w:t>
            </w:r>
          </w:p>
        </w:tc>
        <w:tc>
          <w:tcPr>
            <w:tcW w:w="1109" w:type="dxa"/>
            <w:vMerge w:val="continue"/>
            <w:noWrap w:val="0"/>
            <w:vAlign w:val="center"/>
          </w:tcPr>
          <w:p w14:paraId="0D35D460">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p>
        </w:tc>
      </w:tr>
      <w:tr w14:paraId="76BE8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20" w:hRule="atLeast"/>
          <w:jc w:val="center"/>
        </w:trPr>
        <w:tc>
          <w:tcPr>
            <w:tcW w:w="705" w:type="dxa"/>
            <w:vMerge w:val="continue"/>
            <w:noWrap w:val="0"/>
            <w:vAlign w:val="center"/>
          </w:tcPr>
          <w:p w14:paraId="74522799">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p>
        </w:tc>
        <w:tc>
          <w:tcPr>
            <w:tcW w:w="851" w:type="dxa"/>
            <w:vMerge w:val="continue"/>
            <w:tcBorders>
              <w:right w:val="single" w:color="000000" w:sz="4" w:space="0"/>
            </w:tcBorders>
            <w:noWrap w:val="0"/>
            <w:vAlign w:val="center"/>
          </w:tcPr>
          <w:p w14:paraId="24970DF8">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p>
        </w:tc>
        <w:tc>
          <w:tcPr>
            <w:tcW w:w="1175" w:type="dxa"/>
            <w:tcBorders>
              <w:left w:val="single" w:color="000000" w:sz="4" w:space="0"/>
            </w:tcBorders>
            <w:noWrap w:val="0"/>
            <w:vAlign w:val="center"/>
          </w:tcPr>
          <w:p w14:paraId="08E7B686">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t>DA002</w:t>
            </w:r>
          </w:p>
        </w:tc>
        <w:tc>
          <w:tcPr>
            <w:tcW w:w="1950" w:type="dxa"/>
            <w:noWrap w:val="0"/>
            <w:vAlign w:val="center"/>
          </w:tcPr>
          <w:p w14:paraId="19236A82">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颗粒物</w:t>
            </w:r>
          </w:p>
        </w:tc>
        <w:tc>
          <w:tcPr>
            <w:tcW w:w="2380" w:type="dxa"/>
            <w:vMerge w:val="continue"/>
            <w:noWrap w:val="0"/>
            <w:vAlign w:val="center"/>
          </w:tcPr>
          <w:p w14:paraId="1767DA21">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p>
        </w:tc>
        <w:tc>
          <w:tcPr>
            <w:tcW w:w="1370" w:type="dxa"/>
            <w:noWrap w:val="0"/>
            <w:vAlign w:val="center"/>
          </w:tcPr>
          <w:p w14:paraId="6109A3D0">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t>连续监测2天，每天监测3次。</w:t>
            </w:r>
          </w:p>
        </w:tc>
        <w:tc>
          <w:tcPr>
            <w:tcW w:w="1109" w:type="dxa"/>
            <w:vMerge w:val="continue"/>
            <w:noWrap w:val="0"/>
            <w:vAlign w:val="center"/>
          </w:tcPr>
          <w:p w14:paraId="7DC58959">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p>
        </w:tc>
      </w:tr>
      <w:tr w14:paraId="3BB41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57" w:hRule="atLeast"/>
          <w:jc w:val="center"/>
        </w:trPr>
        <w:tc>
          <w:tcPr>
            <w:tcW w:w="705" w:type="dxa"/>
            <w:vMerge w:val="continue"/>
            <w:noWrap w:val="0"/>
            <w:vAlign w:val="center"/>
          </w:tcPr>
          <w:p w14:paraId="496B5FAE">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c>
          <w:tcPr>
            <w:tcW w:w="851" w:type="dxa"/>
            <w:vMerge w:val="restart"/>
            <w:tcBorders>
              <w:right w:val="single" w:color="000000" w:sz="4" w:space="0"/>
            </w:tcBorders>
            <w:noWrap w:val="0"/>
            <w:vAlign w:val="center"/>
          </w:tcPr>
          <w:p w14:paraId="5AB97686">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t>无组织</w:t>
            </w:r>
          </w:p>
        </w:tc>
        <w:tc>
          <w:tcPr>
            <w:tcW w:w="1175" w:type="dxa"/>
            <w:tcBorders>
              <w:left w:val="single" w:color="000000" w:sz="4" w:space="0"/>
            </w:tcBorders>
            <w:noWrap w:val="0"/>
            <w:vAlign w:val="center"/>
          </w:tcPr>
          <w:p w14:paraId="1524E92A">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t>厂界上、下风向</w:t>
            </w:r>
          </w:p>
        </w:tc>
        <w:tc>
          <w:tcPr>
            <w:tcW w:w="1950" w:type="dxa"/>
            <w:vMerge w:val="restart"/>
            <w:noWrap w:val="0"/>
            <w:vAlign w:val="center"/>
          </w:tcPr>
          <w:p w14:paraId="157314A2">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t>非甲烷总烃</w:t>
            </w:r>
          </w:p>
        </w:tc>
        <w:tc>
          <w:tcPr>
            <w:tcW w:w="2380" w:type="dxa"/>
            <w:tcBorders>
              <w:bottom w:val="single" w:color="auto" w:sz="4" w:space="0"/>
            </w:tcBorders>
            <w:noWrap w:val="0"/>
            <w:vAlign w:val="center"/>
          </w:tcPr>
          <w:p w14:paraId="111A82FE">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《合成树脂工业污染物排放标准》（</w:t>
            </w:r>
            <w:r>
              <w:rPr>
                <w:rFonts w:hint="eastAsia" w:cs="Times New Roman"/>
                <w:color w:val="000000" w:themeColor="text1"/>
                <w:kern w:val="0"/>
                <w:sz w:val="21"/>
                <w:szCs w:val="21"/>
                <w:lang w:val="en-US" w:eastAsia="zh-CN"/>
                <w14:textFill>
                  <w14:solidFill>
                    <w14:schemeClr w14:val="tx1"/>
                  </w14:solidFill>
                </w14:textFill>
              </w:rPr>
              <w:t>GB31572-2015，含2024年修改单</w:t>
            </w: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w:t>
            </w:r>
          </w:p>
        </w:tc>
        <w:tc>
          <w:tcPr>
            <w:tcW w:w="1370" w:type="dxa"/>
            <w:tcBorders>
              <w:bottom w:val="single" w:color="auto" w:sz="4" w:space="0"/>
            </w:tcBorders>
            <w:noWrap w:val="0"/>
            <w:vAlign w:val="center"/>
          </w:tcPr>
          <w:p w14:paraId="109F95B1">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连续监测2天，每天监测3次</w:t>
            </w:r>
          </w:p>
        </w:tc>
        <w:tc>
          <w:tcPr>
            <w:tcW w:w="1109" w:type="dxa"/>
            <w:vMerge w:val="continue"/>
            <w:noWrap w:val="0"/>
            <w:vAlign w:val="center"/>
          </w:tcPr>
          <w:p w14:paraId="693EB6E1">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r>
      <w:tr w14:paraId="0249F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34" w:hRule="atLeast"/>
          <w:jc w:val="center"/>
        </w:trPr>
        <w:tc>
          <w:tcPr>
            <w:tcW w:w="705" w:type="dxa"/>
            <w:vMerge w:val="continue"/>
            <w:noWrap w:val="0"/>
            <w:vAlign w:val="center"/>
          </w:tcPr>
          <w:p w14:paraId="4FA2E3DE">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c>
          <w:tcPr>
            <w:tcW w:w="851" w:type="dxa"/>
            <w:vMerge w:val="continue"/>
            <w:tcBorders>
              <w:right w:val="single" w:color="000000" w:sz="4" w:space="0"/>
            </w:tcBorders>
            <w:noWrap w:val="0"/>
            <w:vAlign w:val="center"/>
          </w:tcPr>
          <w:p w14:paraId="48E7BF7C">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p>
        </w:tc>
        <w:tc>
          <w:tcPr>
            <w:tcW w:w="1175" w:type="dxa"/>
            <w:tcBorders>
              <w:left w:val="single" w:color="000000" w:sz="4" w:space="0"/>
            </w:tcBorders>
            <w:noWrap w:val="0"/>
            <w:vAlign w:val="center"/>
          </w:tcPr>
          <w:p w14:paraId="2C201BD7">
            <w:pPr>
              <w:spacing w:before="1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厂房外</w:t>
            </w:r>
          </w:p>
        </w:tc>
        <w:tc>
          <w:tcPr>
            <w:tcW w:w="1950" w:type="dxa"/>
            <w:vMerge w:val="continue"/>
            <w:noWrap w:val="0"/>
            <w:vAlign w:val="center"/>
          </w:tcPr>
          <w:p w14:paraId="2660A702">
            <w:pPr>
              <w:spacing w:before="1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p>
        </w:tc>
        <w:tc>
          <w:tcPr>
            <w:tcW w:w="2380" w:type="dxa"/>
            <w:tcBorders>
              <w:bottom w:val="single" w:color="auto" w:sz="4" w:space="0"/>
            </w:tcBorders>
            <w:noWrap w:val="0"/>
            <w:vAlign w:val="center"/>
          </w:tcPr>
          <w:p w14:paraId="57CD03D9">
            <w:pPr>
              <w:widowControl/>
              <w:jc w:val="both"/>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《挥发性有机物无组织排放控制标准》（GB37822-2019）</w:t>
            </w:r>
          </w:p>
        </w:tc>
        <w:tc>
          <w:tcPr>
            <w:tcW w:w="1370" w:type="dxa"/>
            <w:tcBorders>
              <w:bottom w:val="single" w:color="auto" w:sz="4" w:space="0"/>
            </w:tcBorders>
            <w:noWrap w:val="0"/>
            <w:vAlign w:val="center"/>
          </w:tcPr>
          <w:p w14:paraId="514693AF">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连续监测2天，每天监测3次</w:t>
            </w:r>
          </w:p>
        </w:tc>
        <w:tc>
          <w:tcPr>
            <w:tcW w:w="1109" w:type="dxa"/>
            <w:vMerge w:val="continue"/>
            <w:noWrap w:val="0"/>
            <w:vAlign w:val="center"/>
          </w:tcPr>
          <w:p w14:paraId="7047DC17">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r>
      <w:tr w14:paraId="7D812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36" w:hRule="atLeast"/>
          <w:jc w:val="center"/>
        </w:trPr>
        <w:tc>
          <w:tcPr>
            <w:tcW w:w="705" w:type="dxa"/>
            <w:vMerge w:val="continue"/>
            <w:noWrap w:val="0"/>
            <w:vAlign w:val="center"/>
          </w:tcPr>
          <w:p w14:paraId="6431CA5D">
            <w:pPr>
              <w:widowControl/>
              <w:jc w:val="center"/>
              <w:rPr>
                <w:rFonts w:ascii="Times New Roman" w:hAnsi="Times New Roman" w:eastAsia="宋体" w:cs="Times New Roman"/>
                <w:color w:val="000000" w:themeColor="text1"/>
                <w:kern w:val="0"/>
                <w:sz w:val="24"/>
                <w:szCs w:val="20"/>
                <w14:textFill>
                  <w14:solidFill>
                    <w14:schemeClr w14:val="tx1"/>
                  </w14:solidFill>
                </w14:textFill>
              </w:rPr>
            </w:pPr>
          </w:p>
        </w:tc>
        <w:tc>
          <w:tcPr>
            <w:tcW w:w="851" w:type="dxa"/>
            <w:vMerge w:val="continue"/>
            <w:tcBorders>
              <w:right w:val="single" w:color="000000" w:sz="4" w:space="0"/>
            </w:tcBorders>
            <w:noWrap w:val="0"/>
            <w:vAlign w:val="center"/>
          </w:tcPr>
          <w:p w14:paraId="35C85ED2">
            <w:pPr>
              <w:widowControl/>
              <w:jc w:val="center"/>
              <w:rPr>
                <w:rFonts w:ascii="Times New Roman" w:hAnsi="Times New Roman" w:eastAsia="宋体" w:cs="Times New Roman"/>
                <w:color w:val="000000" w:themeColor="text1"/>
                <w:kern w:val="0"/>
                <w:sz w:val="24"/>
                <w:szCs w:val="20"/>
                <w14:textFill>
                  <w14:solidFill>
                    <w14:schemeClr w14:val="tx1"/>
                  </w14:solidFill>
                </w14:textFill>
              </w:rPr>
            </w:pPr>
          </w:p>
        </w:tc>
        <w:tc>
          <w:tcPr>
            <w:tcW w:w="1175" w:type="dxa"/>
            <w:tcBorders>
              <w:left w:val="single" w:color="000000" w:sz="4" w:space="0"/>
            </w:tcBorders>
            <w:noWrap w:val="0"/>
            <w:vAlign w:val="center"/>
          </w:tcPr>
          <w:p w14:paraId="48376B4D">
            <w:pPr>
              <w:widowControl/>
              <w:jc w:val="center"/>
              <w:rPr>
                <w:rFonts w:ascii="Times New Roman" w:hAnsi="Times New Roman" w:eastAsia="宋体" w:cs="Times New Roman"/>
                <w:color w:val="000000" w:themeColor="text1"/>
                <w:kern w:val="0"/>
                <w:sz w:val="24"/>
                <w:szCs w:val="20"/>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厂界上、下风向</w:t>
            </w:r>
          </w:p>
        </w:tc>
        <w:tc>
          <w:tcPr>
            <w:tcW w:w="1950" w:type="dxa"/>
            <w:noWrap w:val="0"/>
            <w:vAlign w:val="center"/>
          </w:tcPr>
          <w:p w14:paraId="50142FCA">
            <w:pPr>
              <w:widowControl/>
              <w:jc w:val="center"/>
              <w:rPr>
                <w:rFonts w:ascii="Times New Roman" w:hAnsi="Times New Roman" w:eastAsia="宋体" w:cs="Times New Roman"/>
                <w:color w:val="000000" w:themeColor="text1"/>
                <w:kern w:val="0"/>
                <w:sz w:val="24"/>
                <w:szCs w:val="20"/>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颗粒物</w:t>
            </w:r>
          </w:p>
        </w:tc>
        <w:tc>
          <w:tcPr>
            <w:tcW w:w="2380" w:type="dxa"/>
            <w:tcBorders>
              <w:bottom w:val="single" w:color="auto" w:sz="4" w:space="0"/>
            </w:tcBorders>
            <w:noWrap w:val="0"/>
            <w:vAlign w:val="center"/>
          </w:tcPr>
          <w:p w14:paraId="1EDC9F09">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《合成树脂工业污染物排放标准》（</w:t>
            </w:r>
            <w:r>
              <w:rPr>
                <w:rFonts w:hint="eastAsia" w:cs="Times New Roman"/>
                <w:color w:val="000000" w:themeColor="text1"/>
                <w:kern w:val="0"/>
                <w:sz w:val="21"/>
                <w:szCs w:val="21"/>
                <w:lang w:val="en-US" w:eastAsia="zh-CN"/>
                <w14:textFill>
                  <w14:solidFill>
                    <w14:schemeClr w14:val="tx1"/>
                  </w14:solidFill>
                </w14:textFill>
              </w:rPr>
              <w:t>GB31572-2015，含2024年修改单</w:t>
            </w: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w:t>
            </w:r>
          </w:p>
        </w:tc>
        <w:tc>
          <w:tcPr>
            <w:tcW w:w="1370" w:type="dxa"/>
            <w:tcBorders>
              <w:bottom w:val="single" w:color="auto" w:sz="4" w:space="0"/>
            </w:tcBorders>
            <w:noWrap w:val="0"/>
            <w:vAlign w:val="center"/>
          </w:tcPr>
          <w:p w14:paraId="3A8B159E">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连续监测2天，每天监测3次</w:t>
            </w:r>
          </w:p>
        </w:tc>
        <w:tc>
          <w:tcPr>
            <w:tcW w:w="1109" w:type="dxa"/>
            <w:vMerge w:val="continue"/>
            <w:noWrap w:val="0"/>
            <w:vAlign w:val="center"/>
          </w:tcPr>
          <w:p w14:paraId="71D8D05D">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r>
      <w:tr w14:paraId="55642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57" w:hRule="atLeast"/>
          <w:jc w:val="center"/>
        </w:trPr>
        <w:tc>
          <w:tcPr>
            <w:tcW w:w="705" w:type="dxa"/>
            <w:vMerge w:val="continue"/>
            <w:noWrap w:val="0"/>
            <w:vAlign w:val="center"/>
          </w:tcPr>
          <w:p w14:paraId="5A0813FA">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c>
          <w:tcPr>
            <w:tcW w:w="851" w:type="dxa"/>
            <w:vMerge w:val="continue"/>
            <w:tcBorders>
              <w:right w:val="single" w:color="000000" w:sz="4" w:space="0"/>
            </w:tcBorders>
            <w:noWrap w:val="0"/>
            <w:vAlign w:val="center"/>
          </w:tcPr>
          <w:p w14:paraId="1AD202D9">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c>
          <w:tcPr>
            <w:tcW w:w="1175" w:type="dxa"/>
            <w:tcBorders>
              <w:left w:val="single" w:color="000000" w:sz="4" w:space="0"/>
            </w:tcBorders>
            <w:noWrap w:val="0"/>
            <w:vAlign w:val="center"/>
          </w:tcPr>
          <w:p w14:paraId="2E5B8B95">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厂界上、下风向</w:t>
            </w:r>
          </w:p>
        </w:tc>
        <w:tc>
          <w:tcPr>
            <w:tcW w:w="1950" w:type="dxa"/>
            <w:noWrap w:val="0"/>
            <w:vAlign w:val="center"/>
          </w:tcPr>
          <w:p w14:paraId="1DB237FA">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甲醛</w:t>
            </w:r>
          </w:p>
        </w:tc>
        <w:tc>
          <w:tcPr>
            <w:tcW w:w="2380" w:type="dxa"/>
            <w:noWrap w:val="0"/>
            <w:vAlign w:val="center"/>
          </w:tcPr>
          <w:p w14:paraId="542EA0C7">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《大气污染物综合排放标准》（GB16297-1996）</w:t>
            </w:r>
          </w:p>
        </w:tc>
        <w:tc>
          <w:tcPr>
            <w:tcW w:w="1370" w:type="dxa"/>
            <w:noWrap w:val="0"/>
            <w:vAlign w:val="center"/>
          </w:tcPr>
          <w:p w14:paraId="6C9B10AB">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连续监测2天，每天监测4次</w:t>
            </w:r>
          </w:p>
        </w:tc>
        <w:tc>
          <w:tcPr>
            <w:tcW w:w="1109" w:type="dxa"/>
            <w:vMerge w:val="continue"/>
            <w:noWrap w:val="0"/>
            <w:vAlign w:val="center"/>
          </w:tcPr>
          <w:p w14:paraId="45730EFA">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r>
      <w:tr w14:paraId="4BD0B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57" w:hRule="atLeast"/>
          <w:jc w:val="center"/>
        </w:trPr>
        <w:tc>
          <w:tcPr>
            <w:tcW w:w="705" w:type="dxa"/>
            <w:vMerge w:val="continue"/>
            <w:noWrap w:val="0"/>
            <w:vAlign w:val="center"/>
          </w:tcPr>
          <w:p w14:paraId="3D1586DF">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c>
          <w:tcPr>
            <w:tcW w:w="851" w:type="dxa"/>
            <w:vMerge w:val="continue"/>
            <w:tcBorders>
              <w:right w:val="single" w:color="000000" w:sz="4" w:space="0"/>
            </w:tcBorders>
            <w:noWrap w:val="0"/>
            <w:vAlign w:val="center"/>
          </w:tcPr>
          <w:p w14:paraId="1165B0C9">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c>
          <w:tcPr>
            <w:tcW w:w="1175" w:type="dxa"/>
            <w:tcBorders>
              <w:left w:val="single" w:color="000000" w:sz="4" w:space="0"/>
            </w:tcBorders>
            <w:noWrap w:val="0"/>
            <w:vAlign w:val="center"/>
          </w:tcPr>
          <w:p w14:paraId="2BA21EDF">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下风向</w:t>
            </w:r>
          </w:p>
        </w:tc>
        <w:tc>
          <w:tcPr>
            <w:tcW w:w="1950" w:type="dxa"/>
            <w:noWrap w:val="0"/>
            <w:vAlign w:val="center"/>
          </w:tcPr>
          <w:p w14:paraId="183C8111">
            <w:pPr>
              <w:widowControl/>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臭气浓度</w:t>
            </w:r>
          </w:p>
        </w:tc>
        <w:tc>
          <w:tcPr>
            <w:tcW w:w="2380" w:type="dxa"/>
            <w:tcBorders>
              <w:bottom w:val="single" w:color="auto" w:sz="4" w:space="0"/>
            </w:tcBorders>
            <w:noWrap w:val="0"/>
            <w:vAlign w:val="center"/>
          </w:tcPr>
          <w:p w14:paraId="184871E8">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《恶臭污染物排放标准》（GB14554-93）表1中恶臭污染物厂界浓度限值</w:t>
            </w:r>
          </w:p>
        </w:tc>
        <w:tc>
          <w:tcPr>
            <w:tcW w:w="1370" w:type="dxa"/>
            <w:tcBorders>
              <w:bottom w:val="single" w:color="auto" w:sz="4" w:space="0"/>
            </w:tcBorders>
            <w:noWrap w:val="0"/>
            <w:vAlign w:val="center"/>
          </w:tcPr>
          <w:p w14:paraId="02AF40C1">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连续监测2天，每天监测4次</w:t>
            </w:r>
          </w:p>
        </w:tc>
        <w:tc>
          <w:tcPr>
            <w:tcW w:w="1109" w:type="dxa"/>
            <w:vMerge w:val="continue"/>
            <w:tcBorders>
              <w:bottom w:val="single" w:color="auto" w:sz="4" w:space="0"/>
            </w:tcBorders>
            <w:noWrap w:val="0"/>
            <w:vAlign w:val="center"/>
          </w:tcPr>
          <w:p w14:paraId="225531B8">
            <w:pPr>
              <w:widowControl/>
              <w:jc w:val="center"/>
              <w:rPr>
                <w:rFonts w:ascii="Times New Roman" w:hAnsi="Times New Roman" w:eastAsia="宋体" w:cs="Times New Roman"/>
                <w:color w:val="000000" w:themeColor="text1"/>
                <w:kern w:val="0"/>
                <w:sz w:val="21"/>
                <w:szCs w:val="21"/>
                <w14:textFill>
                  <w14:solidFill>
                    <w14:schemeClr w14:val="tx1"/>
                  </w14:solidFill>
                </w14:textFill>
              </w:rPr>
            </w:pPr>
          </w:p>
        </w:tc>
      </w:tr>
    </w:tbl>
    <w:p w14:paraId="7559D997">
      <w:pPr>
        <w:pStyle w:val="79"/>
        <w:bidi w:val="0"/>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3、运营期自行监测计划</w:t>
      </w:r>
    </w:p>
    <w:p w14:paraId="2F3D1882">
      <w:pPr>
        <w:pStyle w:val="79"/>
        <w:bidi w:val="0"/>
        <w:rPr>
          <w:rFonts w:hint="default"/>
          <w:b w:val="0"/>
          <w:bCs w:val="0"/>
          <w:color w:val="000000" w:themeColor="text1"/>
          <w:lang w:val="en-US" w:eastAsia="zh-CN"/>
          <w14:textFill>
            <w14:solidFill>
              <w14:schemeClr w14:val="tx1"/>
            </w14:solidFill>
          </w14:textFill>
        </w:rPr>
      </w:pPr>
      <w:r>
        <w:rPr>
          <w:rFonts w:hint="default"/>
          <w:b w:val="0"/>
          <w:bCs w:val="0"/>
          <w:color w:val="000000" w:themeColor="text1"/>
          <w:lang w:val="en-US" w:eastAsia="zh-CN"/>
          <w14:textFill>
            <w14:solidFill>
              <w14:schemeClr w14:val="tx1"/>
            </w14:solidFill>
          </w14:textFill>
        </w:rPr>
        <w:t>本项目属于日用塑料制品制造行业，</w:t>
      </w:r>
      <w:r>
        <w:rPr>
          <w:rFonts w:hint="eastAsia"/>
          <w:b w:val="0"/>
          <w:bCs w:val="0"/>
          <w:color w:val="000000" w:themeColor="text1"/>
          <w:lang w:val="en-US" w:eastAsia="zh-CN"/>
          <w14:textFill>
            <w14:solidFill>
              <w14:schemeClr w14:val="tx1"/>
            </w14:solidFill>
          </w14:textFill>
        </w:rPr>
        <w:t>产量为1000t/a。</w:t>
      </w:r>
      <w:r>
        <w:rPr>
          <w:rFonts w:hint="default"/>
          <w:b w:val="0"/>
          <w:bCs w:val="0"/>
          <w:color w:val="000000" w:themeColor="text1"/>
          <w:lang w:val="en-US" w:eastAsia="zh-CN"/>
          <w14:textFill>
            <w14:solidFill>
              <w14:schemeClr w14:val="tx1"/>
            </w14:solidFill>
          </w14:textFill>
        </w:rPr>
        <w:t>本项目根据《固定污染源排污许可分类管理名录（2019年版）》</w:t>
      </w:r>
      <w:r>
        <w:rPr>
          <w:rFonts w:hint="eastAsia"/>
          <w:b w:val="0"/>
          <w:bCs w:val="0"/>
          <w:color w:val="000000" w:themeColor="text1"/>
          <w:lang w:val="en-US" w:eastAsia="zh-CN"/>
          <w14:textFill>
            <w14:solidFill>
              <w14:schemeClr w14:val="tx1"/>
            </w14:solidFill>
          </w14:textFill>
        </w:rPr>
        <w:t>，“二十四、橡胶与塑料制品业 62塑料制品业292 年产1万吨及以上的日用塑料制品制造为简化管理，其他为登记管理”，故本项目属“登记管理”。根据《中华人民共和国生态环境法典》（2026年3月12日由十四届全国人大四次会议表决通过，2026年8月15日起施行）与《排污许可管理条例》（中华人民共和国国务院令第736号），登记管理单位无自行监测的强制要求，因此本次环评不另行提出自行监测计划。</w:t>
      </w:r>
    </w:p>
    <w:p w14:paraId="458B9E75">
      <w:pPr>
        <w:pStyle w:val="2"/>
        <w:numPr>
          <w:ilvl w:val="0"/>
          <w:numId w:val="7"/>
        </w:numPr>
        <w:bidi w:val="0"/>
        <w:ind w:left="0" w:leftChars="0" w:firstLine="0" w:firstLineChars="0"/>
        <w:rPr>
          <w:rFonts w:hint="eastAsia"/>
          <w:color w:val="000000" w:themeColor="text1"/>
          <w:lang w:val="en-US" w:eastAsia="zh-CN"/>
          <w14:textFill>
            <w14:solidFill>
              <w14:schemeClr w14:val="tx1"/>
            </w14:solidFill>
          </w14:textFill>
        </w:rPr>
      </w:pPr>
      <w:bookmarkStart w:id="530" w:name="_Toc21766"/>
      <w:bookmarkStart w:id="531" w:name="_Toc9381"/>
      <w:bookmarkStart w:id="532" w:name="_Toc31983"/>
      <w:r>
        <w:rPr>
          <w:rFonts w:hint="eastAsia"/>
          <w:color w:val="000000" w:themeColor="text1"/>
          <w:lang w:val="en-US" w:eastAsia="zh-CN"/>
          <w14:textFill>
            <w14:solidFill>
              <w14:schemeClr w14:val="tx1"/>
            </w14:solidFill>
          </w14:textFill>
        </w:rPr>
        <w:t>大气环境影响专项评价结论</w:t>
      </w:r>
      <w:bookmarkEnd w:id="530"/>
      <w:bookmarkEnd w:id="531"/>
      <w:bookmarkEnd w:id="532"/>
    </w:p>
    <w:p w14:paraId="69DCEF30">
      <w:pPr>
        <w:pStyle w:val="79"/>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项目所在地202</w:t>
      </w: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年为环境空气质量达标区，根据《环境影响评价技术导则 大气环境》（HJ2.2-2018），本项目的大气评价等级为二级，二级评级项目不进行进一步预测与评价，只对污染物排放量进行核算。大气环境影响预测结果可</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根据估算模式进行影响评价，故本项目大气的预测采用估算模式进行计算</w:t>
      </w:r>
      <w:r>
        <w:rPr>
          <w:rFonts w:hint="eastAsia"/>
          <w:color w:val="000000" w:themeColor="text1"/>
          <w:lang w:val="en-US" w:eastAsia="zh-CN"/>
          <w14:textFill>
            <w14:solidFill>
              <w14:schemeClr w14:val="tx1"/>
            </w14:solidFill>
          </w14:textFill>
        </w:rPr>
        <w:t>，主要结果如下：</w:t>
      </w:r>
    </w:p>
    <w:p w14:paraId="0F8106FD">
      <w:pPr>
        <w:pStyle w:val="79"/>
        <w:numPr>
          <w:ilvl w:val="0"/>
          <w:numId w:val="8"/>
        </w:numPr>
        <w:bidi w:val="0"/>
        <w:rPr>
          <w:rFonts w:ascii="Times New Roman"/>
          <w:color w:val="000000" w:themeColor="text1"/>
          <w:kern w:val="0"/>
          <w:sz w:val="24"/>
          <w:szCs w:val="20"/>
          <w14:textFill>
            <w14:solidFill>
              <w14:schemeClr w14:val="tx1"/>
            </w14:solidFill>
          </w14:textFill>
        </w:rPr>
      </w:pPr>
      <w:r>
        <w:rPr>
          <w:rFonts w:hint="eastAsia" w:ascii="Times New Roman"/>
          <w:color w:val="000000" w:themeColor="text1"/>
          <w:kern w:val="0"/>
          <w:sz w:val="24"/>
          <w:szCs w:val="20"/>
          <w:lang w:val="en-US" w:eastAsia="zh-CN"/>
          <w14:textFill>
            <w14:solidFill>
              <w14:schemeClr w14:val="tx1"/>
            </w14:solidFill>
          </w14:textFill>
        </w:rPr>
        <w:t>根据计算，项目</w:t>
      </w:r>
      <w:r>
        <w:rPr>
          <w:rFonts w:hint="default" w:ascii="Times New Roman"/>
          <w:color w:val="000000" w:themeColor="text1"/>
          <w:kern w:val="0"/>
          <w:sz w:val="24"/>
          <w:szCs w:val="20"/>
          <w:lang w:val="en-US" w:eastAsia="zh-CN"/>
          <w14:textFill>
            <w14:solidFill>
              <w14:schemeClr w14:val="tx1"/>
            </w14:solidFill>
          </w14:textFill>
        </w:rPr>
        <w:t>电预热、模压成型、罩光废气</w:t>
      </w:r>
      <w:r>
        <w:rPr>
          <w:rFonts w:hint="eastAsia" w:ascii="Times New Roman"/>
          <w:color w:val="000000" w:themeColor="text1"/>
          <w:kern w:val="0"/>
          <w:sz w:val="24"/>
          <w:szCs w:val="20"/>
          <w:lang w:val="en-US" w:eastAsia="zh-CN"/>
          <w14:textFill>
            <w14:solidFill>
              <w14:schemeClr w14:val="tx1"/>
            </w14:solidFill>
          </w14:textFill>
        </w:rPr>
        <w:t>通过</w:t>
      </w:r>
      <w:r>
        <w:rPr>
          <w:rFonts w:hint="eastAsia" w:ascii="Times New Roman" w:hAnsi="Times New Roman" w:eastAsia="宋体" w:cs="Times New Roman"/>
          <w:color w:val="000000" w:themeColor="text1"/>
          <w:sz w:val="24"/>
          <w:lang w:val="en-US" w:eastAsia="zh-CN"/>
          <w14:textFill>
            <w14:solidFill>
              <w14:schemeClr w14:val="tx1"/>
            </w14:solidFill>
          </w14:textFill>
        </w:rPr>
        <w:t>引风机（风机风量</w:t>
      </w:r>
      <w:r>
        <w:rPr>
          <w:rFonts w:hint="eastAsia" w:cs="Times New Roman"/>
          <w:color w:val="000000" w:themeColor="text1"/>
          <w:sz w:val="24"/>
          <w:lang w:val="en-US" w:eastAsia="zh-CN"/>
          <w14:textFill>
            <w14:solidFill>
              <w14:schemeClr w14:val="tx1"/>
            </w14:solidFill>
          </w14:textFill>
        </w:rPr>
        <w:t>20</w:t>
      </w:r>
      <w:r>
        <w:rPr>
          <w:rFonts w:hint="eastAsia" w:ascii="Times New Roman" w:hAnsi="Times New Roman" w:eastAsia="宋体" w:cs="Times New Roman"/>
          <w:color w:val="000000" w:themeColor="text1"/>
          <w:sz w:val="24"/>
          <w:lang w:val="en-US" w:eastAsia="zh-CN"/>
          <w14:textFill>
            <w14:solidFill>
              <w14:schemeClr w14:val="tx1"/>
            </w14:solidFill>
          </w14:textFill>
        </w:rPr>
        <w:t>000m</w:t>
      </w:r>
      <w:r>
        <w:rPr>
          <w:rFonts w:hint="eastAsia" w:ascii="Times New Roman" w:hAnsi="Times New Roman" w:eastAsia="宋体" w:cs="Times New Roman"/>
          <w:color w:val="000000" w:themeColor="text1"/>
          <w:sz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lang w:val="en-US" w:eastAsia="zh-CN"/>
          <w14:textFill>
            <w14:solidFill>
              <w14:schemeClr w14:val="tx1"/>
            </w14:solidFill>
          </w14:textFill>
        </w:rPr>
        <w:t>/h）+集气罩（收集效率90%）+</w:t>
      </w:r>
      <w:r>
        <w:rPr>
          <w:rFonts w:hint="eastAsia" w:cs="Times New Roman"/>
          <w:color w:val="000000" w:themeColor="text1"/>
          <w:sz w:val="24"/>
          <w:lang w:val="en-US" w:eastAsia="zh-CN"/>
          <w14:textFill>
            <w14:solidFill>
              <w14:schemeClr w14:val="tx1"/>
            </w14:solidFill>
          </w14:textFill>
        </w:rPr>
        <w:t>活性炭吸附/脱附+催化燃烧（综合处理效率85%）</w:t>
      </w:r>
      <w:r>
        <w:rPr>
          <w:rFonts w:hint="eastAsia" w:ascii="Times New Roman" w:hAnsi="Times New Roman" w:eastAsia="宋体" w:cs="Times New Roman"/>
          <w:color w:val="000000" w:themeColor="text1"/>
          <w:sz w:val="24"/>
          <w:lang w:val="en-US" w:eastAsia="zh-CN"/>
          <w14:textFill>
            <w14:solidFill>
              <w14:schemeClr w14:val="tx1"/>
            </w14:solidFill>
          </w14:textFill>
        </w:rPr>
        <w:t>处理后通过15m高排气筒（DA001）外排，非甲烷总烃排放浓度为</w:t>
      </w:r>
      <w:r>
        <w:rPr>
          <w:rFonts w:hint="eastAsia" w:cs="Times New Roman"/>
          <w:color w:val="000000" w:themeColor="text1"/>
          <w:sz w:val="24"/>
          <w:lang w:val="en-US" w:eastAsia="zh-CN"/>
          <w14:textFill>
            <w14:solidFill>
              <w14:schemeClr w14:val="tx1"/>
            </w14:solidFill>
          </w14:textFill>
        </w:rPr>
        <w:t>4.38</w:t>
      </w:r>
      <w:r>
        <w:rPr>
          <w:rFonts w:hint="eastAsia" w:ascii="Times New Roman" w:hAnsi="Times New Roman" w:eastAsia="宋体" w:cs="Times New Roman"/>
          <w:color w:val="000000" w:themeColor="text1"/>
          <w:sz w:val="24"/>
          <w:lang w:val="en-US" w:eastAsia="zh-CN"/>
          <w14:textFill>
            <w14:solidFill>
              <w14:schemeClr w14:val="tx1"/>
            </w14:solidFill>
          </w14:textFill>
        </w:rPr>
        <w:t>mg/m</w:t>
      </w:r>
      <w:r>
        <w:rPr>
          <w:rFonts w:hint="eastAsia" w:ascii="Times New Roman" w:hAnsi="Times New Roman" w:eastAsia="宋体" w:cs="Times New Roman"/>
          <w:color w:val="000000" w:themeColor="text1"/>
          <w:sz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lang w:val="en-US" w:eastAsia="zh-CN"/>
          <w14:textFill>
            <w14:solidFill>
              <w14:schemeClr w14:val="tx1"/>
            </w14:solidFill>
          </w14:textFill>
        </w:rPr>
        <w:t>、甲醛排放浓度为</w:t>
      </w:r>
      <w:r>
        <w:rPr>
          <w:rFonts w:hint="eastAsia" w:cs="Times New Roman"/>
          <w:color w:val="000000" w:themeColor="text1"/>
          <w:sz w:val="24"/>
          <w:lang w:val="en-US" w:eastAsia="zh-CN"/>
          <w14:textFill>
            <w14:solidFill>
              <w14:schemeClr w14:val="tx1"/>
            </w14:solidFill>
          </w14:textFill>
        </w:rPr>
        <w:t>0.02</w:t>
      </w:r>
      <w:r>
        <w:rPr>
          <w:rFonts w:hint="eastAsia" w:ascii="Times New Roman" w:hAnsi="Times New Roman" w:eastAsia="宋体" w:cs="Times New Roman"/>
          <w:color w:val="000000" w:themeColor="text1"/>
          <w:sz w:val="24"/>
          <w:lang w:val="en-US" w:eastAsia="zh-CN"/>
          <w14:textFill>
            <w14:solidFill>
              <w14:schemeClr w14:val="tx1"/>
            </w14:solidFill>
          </w14:textFill>
        </w:rPr>
        <w:t>mg/m</w:t>
      </w:r>
      <w:r>
        <w:rPr>
          <w:rFonts w:hint="eastAsia" w:ascii="Times New Roman" w:hAnsi="Times New Roman" w:eastAsia="宋体" w:cs="Times New Roman"/>
          <w:color w:val="000000" w:themeColor="text1"/>
          <w:sz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lang w:val="en-US" w:eastAsia="zh-CN"/>
          <w14:textFill>
            <w14:solidFill>
              <w14:schemeClr w14:val="tx1"/>
            </w14:solidFill>
          </w14:textFill>
        </w:rPr>
        <w:t>，满足《合成树脂工业污染物排放标准》（</w:t>
      </w:r>
      <w:r>
        <w:rPr>
          <w:rFonts w:hint="eastAsia" w:cs="Times New Roman"/>
          <w:color w:val="000000" w:themeColor="text1"/>
          <w:sz w:val="24"/>
          <w:lang w:val="en-US" w:eastAsia="zh-CN"/>
          <w14:textFill>
            <w14:solidFill>
              <w14:schemeClr w14:val="tx1"/>
            </w14:solidFill>
          </w14:textFill>
        </w:rPr>
        <w:t>GB31572-2015，含2024年修改单</w:t>
      </w:r>
      <w:r>
        <w:rPr>
          <w:rFonts w:hint="eastAsia" w:ascii="Times New Roman" w:hAnsi="Times New Roman" w:eastAsia="宋体" w:cs="Times New Roman"/>
          <w:color w:val="000000" w:themeColor="text1"/>
          <w:sz w:val="24"/>
          <w:lang w:val="en-US" w:eastAsia="zh-CN"/>
          <w14:textFill>
            <w14:solidFill>
              <w14:schemeClr w14:val="tx1"/>
            </w14:solidFill>
          </w14:textFill>
        </w:rPr>
        <w:t>）表4 大气污染物排放限值要求；项目称量打磨废气通过引风机（风机风量</w:t>
      </w:r>
      <w:r>
        <w:rPr>
          <w:rFonts w:hint="eastAsia" w:cs="Times New Roman"/>
          <w:color w:val="000000" w:themeColor="text1"/>
          <w:sz w:val="24"/>
          <w:lang w:val="en-US" w:eastAsia="zh-CN"/>
          <w14:textFill>
            <w14:solidFill>
              <w14:schemeClr w14:val="tx1"/>
            </w14:solidFill>
          </w14:textFill>
        </w:rPr>
        <w:t>7</w:t>
      </w:r>
      <w:r>
        <w:rPr>
          <w:rFonts w:hint="eastAsia" w:ascii="Times New Roman" w:hAnsi="Times New Roman" w:eastAsia="宋体" w:cs="Times New Roman"/>
          <w:color w:val="000000" w:themeColor="text1"/>
          <w:sz w:val="24"/>
          <w:lang w:val="en-US" w:eastAsia="zh-CN"/>
          <w14:textFill>
            <w14:solidFill>
              <w14:schemeClr w14:val="tx1"/>
            </w14:solidFill>
          </w14:textFill>
        </w:rPr>
        <w:t>000m</w:t>
      </w:r>
      <w:r>
        <w:rPr>
          <w:rFonts w:hint="eastAsia" w:ascii="Times New Roman" w:hAnsi="Times New Roman" w:eastAsia="宋体" w:cs="Times New Roman"/>
          <w:color w:val="000000" w:themeColor="text1"/>
          <w:sz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lang w:val="en-US" w:eastAsia="zh-CN"/>
          <w14:textFill>
            <w14:solidFill>
              <w14:schemeClr w14:val="tx1"/>
            </w14:solidFill>
          </w14:textFill>
        </w:rPr>
        <w:t>/h）+集气罩（收集效率85%）+布袋除尘器处理后通过15m高排气筒（DA002）外排，颗粒物排放浓度为</w:t>
      </w:r>
      <w:r>
        <w:rPr>
          <w:rFonts w:hint="eastAsia" w:cs="Times New Roman"/>
          <w:color w:val="000000" w:themeColor="text1"/>
          <w:sz w:val="24"/>
          <w:lang w:val="en-US" w:eastAsia="zh-CN"/>
          <w14:textFill>
            <w14:solidFill>
              <w14:schemeClr w14:val="tx1"/>
            </w14:solidFill>
          </w14:textFill>
        </w:rPr>
        <w:t>1.75</w:t>
      </w:r>
      <w:r>
        <w:rPr>
          <w:rFonts w:hint="eastAsia" w:ascii="Times New Roman" w:hAnsi="Times New Roman" w:eastAsia="宋体" w:cs="Times New Roman"/>
          <w:color w:val="000000" w:themeColor="text1"/>
          <w:sz w:val="24"/>
          <w:lang w:val="en-US" w:eastAsia="zh-CN"/>
          <w14:textFill>
            <w14:solidFill>
              <w14:schemeClr w14:val="tx1"/>
            </w14:solidFill>
          </w14:textFill>
        </w:rPr>
        <w:t>mg/m</w:t>
      </w:r>
      <w:r>
        <w:rPr>
          <w:rFonts w:hint="eastAsia" w:ascii="Times New Roman" w:hAnsi="Times New Roman" w:eastAsia="宋体" w:cs="Times New Roman"/>
          <w:color w:val="000000" w:themeColor="text1"/>
          <w:sz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lang w:val="en-US" w:eastAsia="zh-CN"/>
          <w14:textFill>
            <w14:solidFill>
              <w14:schemeClr w14:val="tx1"/>
            </w14:solidFill>
          </w14:textFill>
        </w:rPr>
        <w:t>，满足《合成树脂工业污染物排放标准》（</w:t>
      </w:r>
      <w:r>
        <w:rPr>
          <w:rFonts w:hint="eastAsia" w:cs="Times New Roman"/>
          <w:color w:val="000000" w:themeColor="text1"/>
          <w:sz w:val="24"/>
          <w:lang w:val="en-US" w:eastAsia="zh-CN"/>
          <w14:textFill>
            <w14:solidFill>
              <w14:schemeClr w14:val="tx1"/>
            </w14:solidFill>
          </w14:textFill>
        </w:rPr>
        <w:t>GB31572-2015，含2024年修改单</w:t>
      </w:r>
      <w:r>
        <w:rPr>
          <w:rFonts w:hint="eastAsia" w:ascii="Times New Roman" w:hAnsi="Times New Roman" w:eastAsia="宋体" w:cs="Times New Roman"/>
          <w:color w:val="000000" w:themeColor="text1"/>
          <w:sz w:val="24"/>
          <w:lang w:val="en-US" w:eastAsia="zh-CN"/>
          <w14:textFill>
            <w14:solidFill>
              <w14:schemeClr w14:val="tx1"/>
            </w14:solidFill>
          </w14:textFill>
        </w:rPr>
        <w:t>）表4 大气污染物排放限值要求。</w:t>
      </w:r>
    </w:p>
    <w:p w14:paraId="06BF787B">
      <w:pPr>
        <w:pStyle w:val="79"/>
        <w:numPr>
          <w:ilvl w:val="0"/>
          <w:numId w:val="8"/>
        </w:numPr>
        <w:bidi w:val="0"/>
        <w:rPr>
          <w:rFonts w:ascii="Times New Roman"/>
          <w:color w:val="000000" w:themeColor="text1"/>
          <w:kern w:val="0"/>
          <w:sz w:val="24"/>
          <w:szCs w:val="20"/>
          <w14:textFill>
            <w14:solidFill>
              <w14:schemeClr w14:val="tx1"/>
            </w14:solidFill>
          </w14:textFill>
        </w:rPr>
      </w:pPr>
      <w:r>
        <w:rPr>
          <w:rFonts w:hint="eastAsia" w:ascii="Times New Roman"/>
          <w:color w:val="000000" w:themeColor="text1"/>
          <w:kern w:val="0"/>
          <w:sz w:val="24"/>
          <w:szCs w:val="20"/>
          <w:lang w:val="en-US" w:eastAsia="zh-CN"/>
          <w14:textFill>
            <w14:solidFill>
              <w14:schemeClr w14:val="tx1"/>
            </w14:solidFill>
          </w14:textFill>
        </w:rPr>
        <w:t>根据《合成树脂工业污染物排放标准》（</w:t>
      </w:r>
      <w:r>
        <w:rPr>
          <w:rFonts w:hint="eastAsia"/>
          <w:color w:val="000000" w:themeColor="text1"/>
          <w:kern w:val="0"/>
          <w:sz w:val="24"/>
          <w:szCs w:val="20"/>
          <w:lang w:val="en-US" w:eastAsia="zh-CN"/>
          <w14:textFill>
            <w14:solidFill>
              <w14:schemeClr w14:val="tx1"/>
            </w14:solidFill>
          </w14:textFill>
        </w:rPr>
        <w:t>GB31572-2015，含2024年修改单</w:t>
      </w:r>
      <w:r>
        <w:rPr>
          <w:rFonts w:hint="eastAsia" w:ascii="Times New Roman"/>
          <w:color w:val="000000" w:themeColor="text1"/>
          <w:kern w:val="0"/>
          <w:sz w:val="24"/>
          <w:szCs w:val="20"/>
          <w:lang w:val="en-US" w:eastAsia="zh-CN"/>
          <w14:textFill>
            <w14:solidFill>
              <w14:schemeClr w14:val="tx1"/>
            </w14:solidFill>
          </w14:textFill>
        </w:rPr>
        <w:t>）表4单位产品非甲烷总烃排放量为0.5kg/t-产品。项目电预热、模压成型、罩光废气非甲烷总烃排放量为0.36t/a，年产1000t密胺餐具，则本项目单位产品非甲烷总烃排放量为0.36kg/t-产品，满足《合成树脂工业污染物排放标准》（</w:t>
      </w:r>
      <w:r>
        <w:rPr>
          <w:rFonts w:hint="eastAsia"/>
          <w:color w:val="000000" w:themeColor="text1"/>
          <w:kern w:val="0"/>
          <w:sz w:val="24"/>
          <w:szCs w:val="20"/>
          <w:lang w:val="en-US" w:eastAsia="zh-CN"/>
          <w14:textFill>
            <w14:solidFill>
              <w14:schemeClr w14:val="tx1"/>
            </w14:solidFill>
          </w14:textFill>
        </w:rPr>
        <w:t>GB31572-2015，含2024年修改单</w:t>
      </w:r>
      <w:r>
        <w:rPr>
          <w:rFonts w:hint="eastAsia" w:ascii="Times New Roman"/>
          <w:color w:val="000000" w:themeColor="text1"/>
          <w:kern w:val="0"/>
          <w:sz w:val="24"/>
          <w:szCs w:val="20"/>
          <w:lang w:val="en-US" w:eastAsia="zh-CN"/>
          <w14:textFill>
            <w14:solidFill>
              <w14:schemeClr w14:val="tx1"/>
            </w14:solidFill>
          </w14:textFill>
        </w:rPr>
        <w:t>）表4单位产品非甲烷总烃排放量为0.5kg/t-产品要求。</w:t>
      </w:r>
    </w:p>
    <w:p w14:paraId="6DCAFDD1">
      <w:pPr>
        <w:pStyle w:val="79"/>
        <w:numPr>
          <w:ilvl w:val="0"/>
          <w:numId w:val="8"/>
        </w:numPr>
        <w:bidi w:val="0"/>
        <w:rPr>
          <w:rFonts w:ascii="Times New Roman"/>
          <w:color w:val="000000" w:themeColor="text1"/>
          <w:kern w:val="0"/>
          <w:sz w:val="24"/>
          <w:szCs w:val="20"/>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根据估算结果，DA001排气筒</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TVOC</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最大落地浓度为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83.958</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ug/m</w:t>
      </w:r>
      <w:r>
        <w:rPr>
          <w:rFonts w:hint="default" w:ascii="Times New Roman" w:hAnsi="Times New Roman" w:eastAsia="宋体" w:cs="Times New Roman"/>
          <w:color w:val="000000" w:themeColor="text1"/>
          <w:kern w:val="2"/>
          <w:sz w:val="24"/>
          <w:szCs w:val="24"/>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，占标率为7.0</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。甲醛最大</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落地浓度为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0.372</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ug/m</w:t>
      </w:r>
      <w:r>
        <w:rPr>
          <w:rFonts w:hint="default" w:ascii="Times New Roman" w:hAnsi="Times New Roman" w:eastAsia="宋体" w:cs="Times New Roman"/>
          <w:color w:val="000000" w:themeColor="text1"/>
          <w:kern w:val="2"/>
          <w:sz w:val="24"/>
          <w:szCs w:val="24"/>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，占标率为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0.75</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%；DA002排气筒</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PM</w:t>
      </w:r>
      <w:r>
        <w:rPr>
          <w:rFonts w:hint="eastAsia" w:ascii="Times New Roman" w:hAnsi="Times New Roman" w:eastAsia="宋体" w:cs="Times New Roman"/>
          <w:color w:val="000000" w:themeColor="text1"/>
          <w:kern w:val="2"/>
          <w:sz w:val="24"/>
          <w:szCs w:val="24"/>
          <w:vertAlign w:val="subscript"/>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最大落地浓度为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9.337</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ug/m</w:t>
      </w:r>
      <w:r>
        <w:rPr>
          <w:rFonts w:hint="default" w:ascii="Times New Roman" w:hAnsi="Times New Roman" w:eastAsia="宋体" w:cs="Times New Roman"/>
          <w:color w:val="000000" w:themeColor="text1"/>
          <w:kern w:val="2"/>
          <w:sz w:val="24"/>
          <w:szCs w:val="24"/>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，占标率为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2.07</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%，对应的距离为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98</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m。</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项目区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TVOC</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最大落地浓度为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34.564</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ug/m</w:t>
      </w:r>
      <w:r>
        <w:rPr>
          <w:rFonts w:ascii="Times New Roman" w:hAnsi="Times New Roman" w:eastAsia="宋体" w:cs="Times New Roman"/>
          <w:color w:val="000000" w:themeColor="text1"/>
          <w:kern w:val="0"/>
          <w:sz w:val="24"/>
          <w:szCs w:val="20"/>
          <w:vertAlign w:val="superscript"/>
          <w:lang w:val="en-US" w:eastAsia="zh-CN" w:bidi="ar-SA"/>
          <w14:textFill>
            <w14:solidFill>
              <w14:schemeClr w14:val="tx1"/>
            </w14:solidFill>
          </w14:textFill>
        </w:rPr>
        <w:t>3</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，占标率为</w:t>
      </w:r>
      <w:r>
        <w:rPr>
          <w:rFonts w:hint="eastAsia" w:cs="Times New Roman"/>
          <w:color w:val="000000" w:themeColor="text1"/>
          <w:kern w:val="0"/>
          <w:sz w:val="24"/>
          <w:szCs w:val="20"/>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.88</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%，对应的距离为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40</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m</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项目区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TSP</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最大落地浓度为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22.365</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ug/m</w:t>
      </w:r>
      <w:r>
        <w:rPr>
          <w:rFonts w:ascii="Times New Roman" w:hAnsi="Times New Roman" w:eastAsia="宋体" w:cs="Times New Roman"/>
          <w:color w:val="000000" w:themeColor="text1"/>
          <w:kern w:val="0"/>
          <w:sz w:val="24"/>
          <w:szCs w:val="20"/>
          <w:vertAlign w:val="superscript"/>
          <w:lang w:val="en-US" w:eastAsia="zh-CN" w:bidi="ar-SA"/>
          <w14:textFill>
            <w14:solidFill>
              <w14:schemeClr w14:val="tx1"/>
            </w14:solidFill>
          </w14:textFill>
        </w:rPr>
        <w:t>3</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，占标率为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2.49</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%，对应的距离为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40</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m</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项目区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甲醛</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最大落地浓度为0.</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113</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ug/m</w:t>
      </w:r>
      <w:r>
        <w:rPr>
          <w:rFonts w:ascii="Times New Roman" w:hAnsi="Times New Roman" w:eastAsia="宋体" w:cs="Times New Roman"/>
          <w:color w:val="000000" w:themeColor="text1"/>
          <w:kern w:val="0"/>
          <w:sz w:val="24"/>
          <w:szCs w:val="20"/>
          <w:vertAlign w:val="superscript"/>
          <w:lang w:val="en-US" w:eastAsia="zh-CN" w:bidi="ar-SA"/>
          <w14:textFill>
            <w14:solidFill>
              <w14:schemeClr w14:val="tx1"/>
            </w14:solidFill>
          </w14:textFill>
        </w:rPr>
        <w:t>3</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，占标率为0.</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23</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%，对应的距离为</w:t>
      </w:r>
      <w:r>
        <w:rPr>
          <w:rFonts w:hint="eastAsia" w:ascii="Times New Roman" w:hAnsi="Times New Roman" w:eastAsia="宋体" w:cs="Times New Roman"/>
          <w:color w:val="000000" w:themeColor="text1"/>
          <w:kern w:val="0"/>
          <w:sz w:val="24"/>
          <w:szCs w:val="20"/>
          <w:lang w:val="en-US" w:eastAsia="zh-CN" w:bidi="ar-SA"/>
          <w14:textFill>
            <w14:solidFill>
              <w14:schemeClr w14:val="tx1"/>
            </w14:solidFill>
          </w14:textFill>
        </w:rPr>
        <w:t>40</w:t>
      </w:r>
      <w:r>
        <w:rPr>
          <w:rFonts w:ascii="Times New Roman" w:hAnsi="Times New Roman" w:eastAsia="宋体" w:cs="Times New Roman"/>
          <w:color w:val="000000" w:themeColor="text1"/>
          <w:kern w:val="0"/>
          <w:sz w:val="24"/>
          <w:szCs w:val="20"/>
          <w:lang w:val="en-US" w:eastAsia="zh-CN" w:bidi="ar-SA"/>
          <w14:textFill>
            <w14:solidFill>
              <w14:schemeClr w14:val="tx1"/>
            </w14:solidFill>
          </w14:textFill>
        </w:rPr>
        <w:t>m</w:t>
      </w:r>
      <w:r>
        <w:rPr>
          <w:rFonts w:ascii="Times New Roman"/>
          <w:color w:val="000000" w:themeColor="text1"/>
          <w:kern w:val="0"/>
          <w:sz w:val="24"/>
          <w:szCs w:val="20"/>
          <w14:textFill>
            <w14:solidFill>
              <w14:schemeClr w14:val="tx1"/>
            </w14:solidFill>
          </w14:textFill>
        </w:rPr>
        <w:t>。</w:t>
      </w:r>
    </w:p>
    <w:p w14:paraId="4B616A03">
      <w:pPr>
        <w:pStyle w:val="79"/>
        <w:numPr>
          <w:ilvl w:val="0"/>
          <w:numId w:val="8"/>
        </w:numPr>
        <w:bidi w:val="0"/>
        <w:rPr>
          <w:rFonts w:hint="default" w:ascii="Times New Roman"/>
          <w:color w:val="000000" w:themeColor="text1"/>
          <w:kern w:val="0"/>
          <w:sz w:val="24"/>
          <w:szCs w:val="20"/>
          <w:lang w:val="en-US" w:eastAsia="zh-CN"/>
          <w14:textFill>
            <w14:solidFill>
              <w14:schemeClr w14:val="tx1"/>
            </w14:solidFill>
          </w14:textFill>
        </w:rPr>
      </w:pPr>
      <w:r>
        <w:rPr>
          <w:rFonts w:hint="default" w:ascii="Times New Roman"/>
          <w:color w:val="000000" w:themeColor="text1"/>
          <w:kern w:val="0"/>
          <w:sz w:val="24"/>
          <w:szCs w:val="20"/>
          <w:lang w:val="en-US" w:eastAsia="zh-CN"/>
          <w14:textFill>
            <w14:solidFill>
              <w14:schemeClr w14:val="tx1"/>
            </w14:solidFill>
          </w14:textFill>
        </w:rPr>
        <w:t>项目建成后，全厂排放的TSP、非甲烷总烃、甲醛厂界预测点浓度均满足《合成树脂工业污染物排放标准》（</w:t>
      </w:r>
      <w:r>
        <w:rPr>
          <w:rFonts w:hint="eastAsia"/>
          <w:color w:val="000000" w:themeColor="text1"/>
          <w:kern w:val="0"/>
          <w:sz w:val="24"/>
          <w:szCs w:val="20"/>
          <w:lang w:val="en-US" w:eastAsia="zh-CN"/>
          <w14:textFill>
            <w14:solidFill>
              <w14:schemeClr w14:val="tx1"/>
            </w14:solidFill>
          </w14:textFill>
        </w:rPr>
        <w:t>GB31572-2015，含2024年修改单</w:t>
      </w:r>
      <w:r>
        <w:rPr>
          <w:rFonts w:hint="default" w:ascii="Times New Roman"/>
          <w:color w:val="000000" w:themeColor="text1"/>
          <w:kern w:val="0"/>
          <w:sz w:val="24"/>
          <w:szCs w:val="20"/>
          <w:lang w:val="en-US" w:eastAsia="zh-CN"/>
          <w14:textFill>
            <w14:solidFill>
              <w14:schemeClr w14:val="tx1"/>
            </w14:solidFill>
          </w14:textFill>
        </w:rPr>
        <w:t>）表9 企业边界大气污染物浓度限值</w:t>
      </w:r>
      <w:r>
        <w:rPr>
          <w:rFonts w:hint="eastAsia" w:ascii="Times New Roman"/>
          <w:color w:val="000000" w:themeColor="text1"/>
          <w:kern w:val="0"/>
          <w:sz w:val="24"/>
          <w:szCs w:val="20"/>
          <w:lang w:val="en-US" w:eastAsia="zh-CN"/>
          <w14:textFill>
            <w14:solidFill>
              <w14:schemeClr w14:val="tx1"/>
            </w14:solidFill>
          </w14:textFill>
        </w:rPr>
        <w:t>与</w:t>
      </w:r>
      <w:r>
        <w:rPr>
          <w:rFonts w:hint="default" w:ascii="Times New Roman"/>
          <w:color w:val="000000" w:themeColor="text1"/>
          <w:kern w:val="0"/>
          <w:sz w:val="24"/>
          <w:szCs w:val="20"/>
          <w:lang w:val="en-US" w:eastAsia="zh-CN"/>
          <w14:textFill>
            <w14:solidFill>
              <w14:schemeClr w14:val="tx1"/>
            </w14:solidFill>
          </w14:textFill>
        </w:rPr>
        <w:t>《大气污染物综合排放标准》（GB16297-1996）表2无组织排放浓度限值要求。</w:t>
      </w:r>
    </w:p>
    <w:p w14:paraId="659F5A49">
      <w:pPr>
        <w:pStyle w:val="79"/>
        <w:numPr>
          <w:ilvl w:val="0"/>
          <w:numId w:val="8"/>
        </w:numPr>
        <w:bidi w:val="0"/>
        <w:rPr>
          <w:rFonts w:hint="default" w:ascii="Times New Roman"/>
          <w:color w:val="000000" w:themeColor="text1"/>
          <w:kern w:val="0"/>
          <w:sz w:val="24"/>
          <w:szCs w:val="20"/>
          <w:lang w:val="en-US" w:eastAsia="zh-CN"/>
          <w14:textFill>
            <w14:solidFill>
              <w14:schemeClr w14:val="tx1"/>
            </w14:solidFill>
          </w14:textFill>
        </w:rPr>
      </w:pPr>
      <w:r>
        <w:rPr>
          <w:rFonts w:hint="default" w:ascii="Times New Roman"/>
          <w:color w:val="000000" w:themeColor="text1"/>
          <w:kern w:val="0"/>
          <w:sz w:val="24"/>
          <w:szCs w:val="20"/>
          <w:lang w:val="en-US" w:eastAsia="zh-CN"/>
          <w14:textFill>
            <w14:solidFill>
              <w14:schemeClr w14:val="tx1"/>
            </w14:solidFill>
          </w14:textFill>
        </w:rPr>
        <w:t>本次评价要求项目在生产运行中必须确保各废气治理设施正常运转，确保按设计的除尘效率和收集效率运行，保证达标排放，杜绝非正常排放，则对周围环境及保护目标的影响可以接受。</w:t>
      </w:r>
    </w:p>
    <w:sectPr>
      <w:pgSz w:w="11906" w:h="16838"/>
      <w:pgMar w:top="1701" w:right="1531" w:bottom="1701" w:left="1531" w:header="851" w:footer="850" w:gutter="0"/>
      <w:pgBorders>
        <w:top w:val="none" w:sz="0" w:space="0"/>
        <w:left w:val="none" w:sz="0" w:space="0"/>
        <w:bottom w:val="none" w:sz="0" w:space="0"/>
        <w:right w:val="none" w:sz="0" w:space="0"/>
      </w:pgBorders>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A4DCFB4-F12E-48C6-9750-AD16DA4B8B71}"/>
  </w:font>
  <w:font w:name="Courier New">
    <w:panose1 w:val="02070309020205020404"/>
    <w:charset w:val="01"/>
    <w:family w:val="modern"/>
    <w:pitch w:val="default"/>
    <w:sig w:usb0="E0002EFF" w:usb1="C0007843" w:usb2="00000009" w:usb3="00000000" w:csb0="400001FF" w:csb1="FFFF0000"/>
    <w:embedRegular r:id="rId2" w:fontKey="{F658F4E5-1973-4F16-BB31-BA61B90B06B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61B2A9F-F746-4D49-AE3F-379D6BDADDA4}"/>
  </w:font>
  <w:font w:name="仿宋">
    <w:panose1 w:val="02010609060101010101"/>
    <w:charset w:val="86"/>
    <w:family w:val="modern"/>
    <w:pitch w:val="default"/>
    <w:sig w:usb0="800002BF" w:usb1="38CF7CFA" w:usb2="00000016" w:usb3="00000000" w:csb0="00040001" w:csb1="00000000"/>
    <w:embedRegular r:id="rId4" w:fontKey="{AF44BC6D-DDDD-443F-A9BC-BA754C8CF801}"/>
  </w:font>
  <w:font w:name="仿宋_GB2312">
    <w:altName w:val="仿宋"/>
    <w:panose1 w:val="02010609030101010101"/>
    <w:charset w:val="86"/>
    <w:family w:val="modern"/>
    <w:pitch w:val="default"/>
    <w:sig w:usb0="00000000" w:usb1="00000000" w:usb2="00000000" w:usb3="00000000" w:csb0="00040000" w:csb1="00000000"/>
  </w:font>
  <w:font w:name="PMingLiU">
    <w:altName w:val="PMingLiU-ExtB"/>
    <w:panose1 w:val="02020500000000000000"/>
    <w:charset w:val="88"/>
    <w:family w:val="auto"/>
    <w:pitch w:val="default"/>
    <w:sig w:usb0="00000000" w:usb1="00000000" w:usb2="00000016" w:usb3="00000000" w:csb0="00100001" w:csb1="00000000"/>
  </w:font>
  <w:font w:name="TimesNewRoman">
    <w:altName w:val="Times New Roman"/>
    <w:panose1 w:val="00000000000000000000"/>
    <w:charset w:val="00"/>
    <w:family w:val="roman"/>
    <w:pitch w:val="default"/>
    <w:sig w:usb0="00000000" w:usb1="00000000" w:usb2="00000000" w:usb3="00000000" w:csb0="00000001" w:csb1="00000000"/>
  </w:font>
  <w:font w:name="方正小标宋_GBK">
    <w:panose1 w:val="03000509000000000000"/>
    <w:charset w:val="86"/>
    <w:family w:val="auto"/>
    <w:pitch w:val="default"/>
    <w:sig w:usb0="00000001" w:usb1="080E0000" w:usb2="00000000" w:usb3="00000000" w:csb0="00040000" w:csb1="00000000"/>
    <w:embedRegular r:id="rId5" w:fontKey="{57B00B03-CC21-4824-91E9-C1AC6F8916D8}"/>
  </w:font>
  <w:font w:name="楷体_GB2312">
    <w:panose1 w:val="02010609030101010101"/>
    <w:charset w:val="86"/>
    <w:family w:val="modern"/>
    <w:pitch w:val="default"/>
    <w:sig w:usb0="00000001" w:usb1="080E0000" w:usb2="00000000" w:usb3="00000000" w:csb0="00040000" w:csb1="00000000"/>
    <w:embedRegular r:id="rId6" w:fontKey="{50B5B129-3862-4BC8-BD0E-9B13AE8D6F27}"/>
  </w:font>
  <w:font w:name="TimesNewRomanPSMT">
    <w:altName w:val="MS Gothic"/>
    <w:panose1 w:val="00000000000000000000"/>
    <w:charset w:val="80"/>
    <w:family w:val="auto"/>
    <w:pitch w:val="default"/>
    <w:sig w:usb0="00000000" w:usb1="00000000" w:usb2="00000000" w:usb3="00000000" w:csb0="00020000" w:csb1="00000000"/>
    <w:embedRegular r:id="rId7" w:fontKey="{C037EE1B-C20C-472B-8CE4-34A6C0BFF851}"/>
  </w:font>
  <w:font w:name="Cambria Math">
    <w:panose1 w:val="02040503050406030204"/>
    <w:charset w:val="00"/>
    <w:family w:val="auto"/>
    <w:pitch w:val="default"/>
    <w:sig w:usb0="E00006FF" w:usb1="420024FF" w:usb2="02000000" w:usb3="00000000" w:csb0="2000019F" w:csb1="00000000"/>
    <w:embedRegular r:id="rId8" w:fontKey="{F627DEAC-6DB5-4C35-8673-8F830561A203}"/>
  </w:font>
  <w:font w:name="PMingLiU-ExtB">
    <w:panose1 w:val="02020500000000000000"/>
    <w:charset w:val="88"/>
    <w:family w:val="auto"/>
    <w:pitch w:val="default"/>
    <w:sig w:usb0="8000002F" w:usb1="02000008" w:usb2="00000000" w:usb3="00000000" w:csb0="00100001" w:csb1="00000000"/>
  </w:font>
  <w:font w:name="MS Gothic">
    <w:panose1 w:val="020B0609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2CA1C">
    <w:pPr>
      <w:pStyle w:val="20"/>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5EAE5">
    <w:pPr>
      <w:pStyle w:val="20"/>
      <w:framePr w:wrap="around" w:vAnchor="text" w:hAnchor="margin" w:xAlign="center" w:y="1"/>
      <w:rPr>
        <w:rStyle w:val="35"/>
      </w:rPr>
    </w:pPr>
    <w:r>
      <w:fldChar w:fldCharType="begin"/>
    </w:r>
    <w:r>
      <w:rPr>
        <w:rStyle w:val="35"/>
      </w:rPr>
      <w:instrText xml:space="preserve">PAGE  </w:instrText>
    </w:r>
    <w:r>
      <w:fldChar w:fldCharType="end"/>
    </w:r>
  </w:p>
  <w:p w14:paraId="369C2D55">
    <w:pPr>
      <w:pStyle w:val="2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DF3A9">
    <w:pPr>
      <w:pStyle w:val="20"/>
      <w:framePr w:wrap="around" w:vAnchor="text" w:hAnchor="margin" w:xAlign="outside" w:y="1"/>
      <w:rPr>
        <w:rStyle w:val="35"/>
        <w:rFonts w:ascii="宋体" w:hAnsi="宋体"/>
        <w:sz w:val="28"/>
        <w:szCs w:val="28"/>
      </w:rPr>
    </w:pPr>
    <w:r>
      <w:rPr>
        <w:rStyle w:val="35"/>
        <w:rFonts w:hint="eastAsia" w:ascii="宋体" w:hAnsi="宋体"/>
        <w:sz w:val="28"/>
        <w:szCs w:val="28"/>
      </w:rPr>
      <w:t>—</w:t>
    </w:r>
    <w:r>
      <w:rPr>
        <w:rStyle w:val="35"/>
        <w:rFonts w:hint="eastAsia" w:ascii="宋体" w:hAnsi="宋体"/>
        <w:sz w:val="20"/>
      </w:rPr>
      <w:t xml:space="preserve">  </w:t>
    </w:r>
    <w:r>
      <w:rPr>
        <w:rStyle w:val="35"/>
        <w:rFonts w:ascii="宋体" w:hAnsi="宋体"/>
        <w:sz w:val="26"/>
        <w:szCs w:val="26"/>
      </w:rPr>
      <w:fldChar w:fldCharType="begin"/>
    </w:r>
    <w:r>
      <w:rPr>
        <w:rStyle w:val="35"/>
        <w:rFonts w:ascii="宋体" w:hAnsi="宋体"/>
        <w:sz w:val="26"/>
        <w:szCs w:val="26"/>
      </w:rPr>
      <w:instrText xml:space="preserve">PAGE  </w:instrText>
    </w:r>
    <w:r>
      <w:rPr>
        <w:rStyle w:val="35"/>
        <w:rFonts w:ascii="宋体" w:hAnsi="宋体"/>
        <w:sz w:val="26"/>
        <w:szCs w:val="26"/>
      </w:rPr>
      <w:fldChar w:fldCharType="separate"/>
    </w:r>
    <w:r>
      <w:rPr>
        <w:rStyle w:val="35"/>
        <w:rFonts w:ascii="宋体" w:hAnsi="宋体"/>
        <w:sz w:val="26"/>
        <w:szCs w:val="26"/>
      </w:rPr>
      <w:t>33</w:t>
    </w:r>
    <w:r>
      <w:rPr>
        <w:rStyle w:val="35"/>
        <w:rFonts w:ascii="宋体" w:hAnsi="宋体"/>
        <w:sz w:val="26"/>
        <w:szCs w:val="26"/>
      </w:rPr>
      <w:fldChar w:fldCharType="end"/>
    </w:r>
    <w:r>
      <w:rPr>
        <w:rStyle w:val="35"/>
        <w:rFonts w:hint="eastAsia" w:ascii="宋体" w:hAnsi="宋体"/>
        <w:sz w:val="20"/>
      </w:rPr>
      <w:t xml:space="preserve">  </w:t>
    </w:r>
    <w:r>
      <w:rPr>
        <w:rStyle w:val="35"/>
        <w:rFonts w:hint="eastAsia" w:ascii="宋体" w:hAnsi="宋体"/>
        <w:sz w:val="28"/>
        <w:szCs w:val="28"/>
      </w:rPr>
      <w:t>—</w:t>
    </w:r>
  </w:p>
  <w:p w14:paraId="1199AF88">
    <w:pPr>
      <w:pStyle w:val="20"/>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7E890">
    <w:pPr>
      <w:pStyle w:val="20"/>
      <w:framePr w:wrap="around" w:vAnchor="text" w:hAnchor="margin" w:xAlign="outside" w:y="1"/>
      <w:rPr>
        <w:rStyle w:val="35"/>
        <w:rFonts w:ascii="宋体" w:hAnsi="宋体"/>
        <w:sz w:val="28"/>
        <w:szCs w:val="28"/>
      </w:rPr>
    </w:pPr>
    <w:r>
      <w:rPr>
        <w:rStyle w:val="35"/>
        <w:rFonts w:hint="eastAsia" w:ascii="宋体" w:hAnsi="宋体"/>
        <w:sz w:val="28"/>
        <w:szCs w:val="28"/>
      </w:rPr>
      <w:t>—</w:t>
    </w:r>
    <w:r>
      <w:rPr>
        <w:rStyle w:val="35"/>
        <w:rFonts w:hint="eastAsia" w:ascii="宋体" w:hAnsi="宋体"/>
        <w:sz w:val="20"/>
      </w:rPr>
      <w:t xml:space="preserve">  </w:t>
    </w:r>
    <w:r>
      <w:rPr>
        <w:rStyle w:val="35"/>
        <w:rFonts w:ascii="宋体" w:hAnsi="宋体"/>
        <w:sz w:val="26"/>
        <w:szCs w:val="26"/>
      </w:rPr>
      <w:fldChar w:fldCharType="begin"/>
    </w:r>
    <w:r>
      <w:rPr>
        <w:rStyle w:val="35"/>
        <w:rFonts w:ascii="宋体" w:hAnsi="宋体"/>
        <w:sz w:val="26"/>
        <w:szCs w:val="26"/>
      </w:rPr>
      <w:instrText xml:space="preserve">PAGE  </w:instrText>
    </w:r>
    <w:r>
      <w:rPr>
        <w:rStyle w:val="35"/>
        <w:rFonts w:ascii="宋体" w:hAnsi="宋体"/>
        <w:sz w:val="26"/>
        <w:szCs w:val="26"/>
      </w:rPr>
      <w:fldChar w:fldCharType="separate"/>
    </w:r>
    <w:r>
      <w:rPr>
        <w:rStyle w:val="35"/>
        <w:rFonts w:ascii="宋体" w:hAnsi="宋体"/>
        <w:sz w:val="26"/>
        <w:szCs w:val="26"/>
      </w:rPr>
      <w:t>48</w:t>
    </w:r>
    <w:r>
      <w:rPr>
        <w:rStyle w:val="35"/>
        <w:rFonts w:ascii="宋体" w:hAnsi="宋体"/>
        <w:sz w:val="26"/>
        <w:szCs w:val="26"/>
      </w:rPr>
      <w:fldChar w:fldCharType="end"/>
    </w:r>
    <w:r>
      <w:rPr>
        <w:rStyle w:val="35"/>
        <w:rFonts w:hint="eastAsia" w:ascii="宋体" w:hAnsi="宋体"/>
        <w:sz w:val="20"/>
      </w:rPr>
      <w:t xml:space="preserve">  </w:t>
    </w:r>
    <w:r>
      <w:rPr>
        <w:rStyle w:val="35"/>
        <w:rFonts w:hint="eastAsia" w:ascii="宋体" w:hAnsi="宋体"/>
        <w:sz w:val="28"/>
        <w:szCs w:val="28"/>
      </w:rPr>
      <w:t>—</w:t>
    </w:r>
  </w:p>
  <w:p w14:paraId="6824FCD7">
    <w:pPr>
      <w:pStyle w:val="20"/>
      <w:ind w:right="360"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FABB1">
    <w:pPr>
      <w:spacing w:line="14" w:lineRule="auto"/>
      <w:rPr>
        <w:rFonts w:ascii="Calibri" w:hAnsi="Calibri" w:eastAsia="宋体" w:cs="Times New Roman"/>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7F990">
    <w:pPr>
      <w:spacing w:line="14" w:lineRule="auto"/>
      <w:rPr>
        <w:rFonts w:ascii="Calibri" w:hAnsi="Calibri" w:eastAsia="宋体" w:cs="Times New Roman"/>
        <w:sz w:val="20"/>
        <w:szCs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4F3DB">
    <w:pPr>
      <w:spacing w:line="14" w:lineRule="auto"/>
      <w:rPr>
        <w:sz w:val="20"/>
        <w:szCs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6" name="文本框 1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D73DD83">
                          <w:pPr>
                            <w:pStyle w:val="20"/>
                            <w:ind w:firstLine="360"/>
                          </w:pPr>
                          <w:r>
                            <w:fldChar w:fldCharType="begin"/>
                          </w:r>
                          <w:r>
                            <w:instrText xml:space="preserve"> PAGE  \* MERGEFORMAT </w:instrText>
                          </w:r>
                          <w:r>
                            <w:fldChar w:fldCharType="separate"/>
                          </w:r>
                          <w:r>
                            <w:t>247</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zSVju0AAAAAUBAAAPAAAAAAAAAAEAIAAAACIA&#10;AABkcnMvZG93bnJldi54bWxQSwECFAAUAAAACACHTuJAg4djtNgBAAC0AwAADgAAAAAAAAABACAA&#10;AAAfAQAAZHJzL2Uyb0RvYy54bWxQSwUGAAAAAAYABgBZAQAAaQUAAAAA&#10;">
              <v:fill on="f" focussize="0,0"/>
              <v:stroke on="f" weight="0.5pt"/>
              <v:imagedata o:title=""/>
              <o:lock v:ext="edit" aspectratio="f"/>
              <v:textbox inset="0mm,0mm,0mm,0mm" style="mso-fit-shape-to-text:t;">
                <w:txbxContent>
                  <w:p w14:paraId="0D73DD83">
                    <w:pPr>
                      <w:pStyle w:val="20"/>
                      <w:ind w:firstLine="360"/>
                    </w:pPr>
                    <w:r>
                      <w:fldChar w:fldCharType="begin"/>
                    </w:r>
                    <w:r>
                      <w:instrText xml:space="preserve"> PAGE  \* MERGEFORMAT </w:instrText>
                    </w:r>
                    <w:r>
                      <w:fldChar w:fldCharType="separate"/>
                    </w:r>
                    <w:r>
                      <w:t>247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380136"/>
    <w:multiLevelType w:val="singleLevel"/>
    <w:tmpl w:val="A9380136"/>
    <w:lvl w:ilvl="0" w:tentative="0">
      <w:start w:val="1"/>
      <w:numFmt w:val="decimal"/>
      <w:suff w:val="nothing"/>
      <w:lvlText w:val="（%1）"/>
      <w:lvlJc w:val="left"/>
    </w:lvl>
  </w:abstractNum>
  <w:abstractNum w:abstractNumId="1">
    <w:nsid w:val="BF64CE50"/>
    <w:multiLevelType w:val="singleLevel"/>
    <w:tmpl w:val="BF64CE50"/>
    <w:lvl w:ilvl="0" w:tentative="0">
      <w:start w:val="6"/>
      <w:numFmt w:val="decimal"/>
      <w:suff w:val="nothing"/>
      <w:lvlText w:val="%1、"/>
      <w:lvlJc w:val="left"/>
    </w:lvl>
  </w:abstractNum>
  <w:abstractNum w:abstractNumId="2">
    <w:nsid w:val="C9D28B30"/>
    <w:multiLevelType w:val="singleLevel"/>
    <w:tmpl w:val="C9D28B30"/>
    <w:lvl w:ilvl="0" w:tentative="0">
      <w:start w:val="1"/>
      <w:numFmt w:val="decimal"/>
      <w:suff w:val="nothing"/>
      <w:lvlText w:val="（%1）"/>
      <w:lvlJc w:val="left"/>
    </w:lvl>
  </w:abstractNum>
  <w:abstractNum w:abstractNumId="3">
    <w:nsid w:val="E5F62A89"/>
    <w:multiLevelType w:val="singleLevel"/>
    <w:tmpl w:val="E5F62A89"/>
    <w:lvl w:ilvl="0" w:tentative="0">
      <w:start w:val="2"/>
      <w:numFmt w:val="decimal"/>
      <w:suff w:val="nothing"/>
      <w:lvlText w:val="%1）"/>
      <w:lvlJc w:val="left"/>
    </w:lvl>
  </w:abstractNum>
  <w:abstractNum w:abstractNumId="4">
    <w:nsid w:val="F8F7E212"/>
    <w:multiLevelType w:val="singleLevel"/>
    <w:tmpl w:val="F8F7E212"/>
    <w:lvl w:ilvl="0" w:tentative="0">
      <w:start w:val="2"/>
      <w:numFmt w:val="decimal"/>
      <w:suff w:val="nothing"/>
      <w:lvlText w:val="%1、"/>
      <w:lvlJc w:val="left"/>
    </w:lvl>
  </w:abstractNum>
  <w:abstractNum w:abstractNumId="5">
    <w:nsid w:val="F93140C3"/>
    <w:multiLevelType w:val="singleLevel"/>
    <w:tmpl w:val="F93140C3"/>
    <w:lvl w:ilvl="0" w:tentative="0">
      <w:start w:val="1"/>
      <w:numFmt w:val="decimal"/>
      <w:suff w:val="nothing"/>
      <w:lvlText w:val="（%1）"/>
      <w:lvlJc w:val="left"/>
    </w:lvl>
  </w:abstractNum>
  <w:abstractNum w:abstractNumId="6">
    <w:nsid w:val="2639280A"/>
    <w:multiLevelType w:val="singleLevel"/>
    <w:tmpl w:val="2639280A"/>
    <w:lvl w:ilvl="0" w:tentative="0">
      <w:start w:val="5"/>
      <w:numFmt w:val="chineseCounting"/>
      <w:suff w:val="nothing"/>
      <w:lvlText w:val="%1、"/>
      <w:lvlJc w:val="left"/>
      <w:rPr>
        <w:rFonts w:hint="eastAsia"/>
      </w:rPr>
    </w:lvl>
  </w:abstractNum>
  <w:abstractNum w:abstractNumId="7">
    <w:nsid w:val="7516C49F"/>
    <w:multiLevelType w:val="singleLevel"/>
    <w:tmpl w:val="7516C49F"/>
    <w:lvl w:ilvl="0" w:tentative="0">
      <w:start w:val="1"/>
      <w:numFmt w:val="chineseCounting"/>
      <w:suff w:val="nothing"/>
      <w:lvlText w:val="%1、"/>
      <w:lvlJc w:val="left"/>
      <w:rPr>
        <w:rFonts w:hint="eastAsia"/>
      </w:rPr>
    </w:lvl>
  </w:abstractNum>
  <w:num w:numId="1">
    <w:abstractNumId w:val="7"/>
  </w:num>
  <w:num w:numId="2">
    <w:abstractNumId w:val="3"/>
  </w:num>
  <w:num w:numId="3">
    <w:abstractNumId w:val="2"/>
  </w:num>
  <w:num w:numId="4">
    <w:abstractNumId w:val="6"/>
  </w:num>
  <w:num w:numId="5">
    <w:abstractNumId w:val="0"/>
  </w:num>
  <w:num w:numId="6">
    <w:abstractNumId w:val="4"/>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IxNmMwN2YyMWI0OWQ4MmE0NThjNWQ4ZDViYTdjNDgifQ=="/>
  </w:docVars>
  <w:rsids>
    <w:rsidRoot w:val="00172A27"/>
    <w:rsid w:val="000031AC"/>
    <w:rsid w:val="00013CC9"/>
    <w:rsid w:val="00026C29"/>
    <w:rsid w:val="000312B3"/>
    <w:rsid w:val="00031E3B"/>
    <w:rsid w:val="0003643D"/>
    <w:rsid w:val="0007745B"/>
    <w:rsid w:val="00082BB8"/>
    <w:rsid w:val="000B0288"/>
    <w:rsid w:val="000B45A4"/>
    <w:rsid w:val="000B78D9"/>
    <w:rsid w:val="000F5F08"/>
    <w:rsid w:val="000F7C8F"/>
    <w:rsid w:val="001238E3"/>
    <w:rsid w:val="00163F39"/>
    <w:rsid w:val="00172A27"/>
    <w:rsid w:val="0017593B"/>
    <w:rsid w:val="0018590B"/>
    <w:rsid w:val="00193A22"/>
    <w:rsid w:val="001B1B08"/>
    <w:rsid w:val="001B42F0"/>
    <w:rsid w:val="001C50A9"/>
    <w:rsid w:val="001D4B19"/>
    <w:rsid w:val="0020432B"/>
    <w:rsid w:val="0021685E"/>
    <w:rsid w:val="002405CD"/>
    <w:rsid w:val="00240EA1"/>
    <w:rsid w:val="00255EDA"/>
    <w:rsid w:val="00265E73"/>
    <w:rsid w:val="00297283"/>
    <w:rsid w:val="002B15A5"/>
    <w:rsid w:val="002B53D9"/>
    <w:rsid w:val="002D148E"/>
    <w:rsid w:val="002D6ADD"/>
    <w:rsid w:val="002E3438"/>
    <w:rsid w:val="00337DD9"/>
    <w:rsid w:val="0034006A"/>
    <w:rsid w:val="00340286"/>
    <w:rsid w:val="003560ED"/>
    <w:rsid w:val="00357422"/>
    <w:rsid w:val="003B3D82"/>
    <w:rsid w:val="003D73D5"/>
    <w:rsid w:val="003D7479"/>
    <w:rsid w:val="003E05EA"/>
    <w:rsid w:val="003E3840"/>
    <w:rsid w:val="003E7951"/>
    <w:rsid w:val="00422A24"/>
    <w:rsid w:val="004503F4"/>
    <w:rsid w:val="00462DC8"/>
    <w:rsid w:val="00462E02"/>
    <w:rsid w:val="0046489F"/>
    <w:rsid w:val="004A3FA6"/>
    <w:rsid w:val="004D2C29"/>
    <w:rsid w:val="004F3611"/>
    <w:rsid w:val="005059AB"/>
    <w:rsid w:val="0051113D"/>
    <w:rsid w:val="005149B5"/>
    <w:rsid w:val="005436D9"/>
    <w:rsid w:val="00554715"/>
    <w:rsid w:val="00594AF1"/>
    <w:rsid w:val="005E1E92"/>
    <w:rsid w:val="0067214B"/>
    <w:rsid w:val="006A1F99"/>
    <w:rsid w:val="006B7815"/>
    <w:rsid w:val="006D13C2"/>
    <w:rsid w:val="006E5C3D"/>
    <w:rsid w:val="00704FD3"/>
    <w:rsid w:val="00705896"/>
    <w:rsid w:val="00707F67"/>
    <w:rsid w:val="0071055C"/>
    <w:rsid w:val="00710FFA"/>
    <w:rsid w:val="007457DF"/>
    <w:rsid w:val="007465C5"/>
    <w:rsid w:val="00772D95"/>
    <w:rsid w:val="007823C6"/>
    <w:rsid w:val="00796993"/>
    <w:rsid w:val="007D0657"/>
    <w:rsid w:val="007D3458"/>
    <w:rsid w:val="007F4142"/>
    <w:rsid w:val="00871969"/>
    <w:rsid w:val="00872B5E"/>
    <w:rsid w:val="00897212"/>
    <w:rsid w:val="008C0AF0"/>
    <w:rsid w:val="008D4197"/>
    <w:rsid w:val="008D6947"/>
    <w:rsid w:val="008F4A34"/>
    <w:rsid w:val="00906682"/>
    <w:rsid w:val="0090719E"/>
    <w:rsid w:val="00950EDB"/>
    <w:rsid w:val="009B37BB"/>
    <w:rsid w:val="009B67DD"/>
    <w:rsid w:val="009D06D2"/>
    <w:rsid w:val="009D3491"/>
    <w:rsid w:val="009F72CD"/>
    <w:rsid w:val="00A03377"/>
    <w:rsid w:val="00A13496"/>
    <w:rsid w:val="00A53BEA"/>
    <w:rsid w:val="00A6345C"/>
    <w:rsid w:val="00A66035"/>
    <w:rsid w:val="00A721B0"/>
    <w:rsid w:val="00A851CA"/>
    <w:rsid w:val="00A97EC6"/>
    <w:rsid w:val="00AA76A7"/>
    <w:rsid w:val="00AB5427"/>
    <w:rsid w:val="00AE5ADE"/>
    <w:rsid w:val="00AE602D"/>
    <w:rsid w:val="00AE774D"/>
    <w:rsid w:val="00AF672A"/>
    <w:rsid w:val="00B2675C"/>
    <w:rsid w:val="00B34658"/>
    <w:rsid w:val="00B5711E"/>
    <w:rsid w:val="00B61610"/>
    <w:rsid w:val="00B61937"/>
    <w:rsid w:val="00B63D14"/>
    <w:rsid w:val="00B92C15"/>
    <w:rsid w:val="00BA2041"/>
    <w:rsid w:val="00BB11A0"/>
    <w:rsid w:val="00C141AE"/>
    <w:rsid w:val="00C16DF4"/>
    <w:rsid w:val="00C25AE1"/>
    <w:rsid w:val="00C42C6E"/>
    <w:rsid w:val="00C84364"/>
    <w:rsid w:val="00C935F4"/>
    <w:rsid w:val="00CC0B19"/>
    <w:rsid w:val="00CC255A"/>
    <w:rsid w:val="00CC4EC8"/>
    <w:rsid w:val="00CD49B3"/>
    <w:rsid w:val="00CE027E"/>
    <w:rsid w:val="00D036B7"/>
    <w:rsid w:val="00D06D74"/>
    <w:rsid w:val="00D12D47"/>
    <w:rsid w:val="00D15B0D"/>
    <w:rsid w:val="00D16AD9"/>
    <w:rsid w:val="00D43826"/>
    <w:rsid w:val="00D76C48"/>
    <w:rsid w:val="00D96384"/>
    <w:rsid w:val="00DA1D24"/>
    <w:rsid w:val="00DA5E04"/>
    <w:rsid w:val="00DA7003"/>
    <w:rsid w:val="00DC6AC8"/>
    <w:rsid w:val="00E206CA"/>
    <w:rsid w:val="00E36C07"/>
    <w:rsid w:val="00E44FF4"/>
    <w:rsid w:val="00E5213D"/>
    <w:rsid w:val="00E64AAC"/>
    <w:rsid w:val="00E92FC3"/>
    <w:rsid w:val="00EB4C4B"/>
    <w:rsid w:val="00ED1046"/>
    <w:rsid w:val="00F01B2C"/>
    <w:rsid w:val="00F02167"/>
    <w:rsid w:val="00F037DD"/>
    <w:rsid w:val="00F6643E"/>
    <w:rsid w:val="00F754A1"/>
    <w:rsid w:val="00F8051B"/>
    <w:rsid w:val="00F94E2D"/>
    <w:rsid w:val="00FA1CA3"/>
    <w:rsid w:val="00FA3170"/>
    <w:rsid w:val="00FC369F"/>
    <w:rsid w:val="00FE1136"/>
    <w:rsid w:val="00FE3232"/>
    <w:rsid w:val="01486AFE"/>
    <w:rsid w:val="014B4F66"/>
    <w:rsid w:val="015345A4"/>
    <w:rsid w:val="016C07AD"/>
    <w:rsid w:val="017260C1"/>
    <w:rsid w:val="018A0438"/>
    <w:rsid w:val="01B36CA1"/>
    <w:rsid w:val="027D2D3A"/>
    <w:rsid w:val="027F0B61"/>
    <w:rsid w:val="02916597"/>
    <w:rsid w:val="0319766A"/>
    <w:rsid w:val="03332575"/>
    <w:rsid w:val="038606DA"/>
    <w:rsid w:val="03B942C2"/>
    <w:rsid w:val="041C309E"/>
    <w:rsid w:val="04572B96"/>
    <w:rsid w:val="04672789"/>
    <w:rsid w:val="046F1D18"/>
    <w:rsid w:val="04784468"/>
    <w:rsid w:val="04B9699C"/>
    <w:rsid w:val="05614B95"/>
    <w:rsid w:val="056F7D22"/>
    <w:rsid w:val="057743B8"/>
    <w:rsid w:val="05D76795"/>
    <w:rsid w:val="064508CE"/>
    <w:rsid w:val="06C93896"/>
    <w:rsid w:val="06EC5399"/>
    <w:rsid w:val="06FD49CC"/>
    <w:rsid w:val="076075A8"/>
    <w:rsid w:val="07B33E74"/>
    <w:rsid w:val="07BD3FBA"/>
    <w:rsid w:val="081C1EBB"/>
    <w:rsid w:val="08334D8D"/>
    <w:rsid w:val="08406CE4"/>
    <w:rsid w:val="0874698D"/>
    <w:rsid w:val="08766BA9"/>
    <w:rsid w:val="08824FA1"/>
    <w:rsid w:val="08907C6B"/>
    <w:rsid w:val="09316A0C"/>
    <w:rsid w:val="099F6C0A"/>
    <w:rsid w:val="09E622C1"/>
    <w:rsid w:val="09F9539C"/>
    <w:rsid w:val="0A2A10A2"/>
    <w:rsid w:val="0A58034E"/>
    <w:rsid w:val="0A7B6346"/>
    <w:rsid w:val="0A8B080F"/>
    <w:rsid w:val="0AE54F5E"/>
    <w:rsid w:val="0AF02C43"/>
    <w:rsid w:val="0AF52ACE"/>
    <w:rsid w:val="0B0C3237"/>
    <w:rsid w:val="0B5A33D0"/>
    <w:rsid w:val="0B5D6278"/>
    <w:rsid w:val="0B6D2081"/>
    <w:rsid w:val="0B6E283A"/>
    <w:rsid w:val="0BB5378D"/>
    <w:rsid w:val="0BD526EC"/>
    <w:rsid w:val="0C087C49"/>
    <w:rsid w:val="0C660A72"/>
    <w:rsid w:val="0CB01C4E"/>
    <w:rsid w:val="0CE55633"/>
    <w:rsid w:val="0CE81549"/>
    <w:rsid w:val="0CFA3905"/>
    <w:rsid w:val="0D5A0279"/>
    <w:rsid w:val="0D5A0FE5"/>
    <w:rsid w:val="0D9666D1"/>
    <w:rsid w:val="0DB072A2"/>
    <w:rsid w:val="0DCE2BD0"/>
    <w:rsid w:val="0DE35880"/>
    <w:rsid w:val="0E000510"/>
    <w:rsid w:val="0E7A7C0E"/>
    <w:rsid w:val="0E7C4F53"/>
    <w:rsid w:val="0FD03043"/>
    <w:rsid w:val="0FE73EE9"/>
    <w:rsid w:val="0FED3A52"/>
    <w:rsid w:val="0FFB3A18"/>
    <w:rsid w:val="0FFE1D29"/>
    <w:rsid w:val="103435D2"/>
    <w:rsid w:val="10710382"/>
    <w:rsid w:val="1071715B"/>
    <w:rsid w:val="1081273B"/>
    <w:rsid w:val="10BC5EA5"/>
    <w:rsid w:val="10FB37AB"/>
    <w:rsid w:val="111E1B8C"/>
    <w:rsid w:val="11285A31"/>
    <w:rsid w:val="117F7366"/>
    <w:rsid w:val="11BB63FF"/>
    <w:rsid w:val="11E44B84"/>
    <w:rsid w:val="11FC1C5F"/>
    <w:rsid w:val="123454F8"/>
    <w:rsid w:val="125D650D"/>
    <w:rsid w:val="12662D0E"/>
    <w:rsid w:val="12C50F15"/>
    <w:rsid w:val="13043FE4"/>
    <w:rsid w:val="132D3072"/>
    <w:rsid w:val="135A1F83"/>
    <w:rsid w:val="13663EF5"/>
    <w:rsid w:val="13912C47"/>
    <w:rsid w:val="13A10F7E"/>
    <w:rsid w:val="13D667AA"/>
    <w:rsid w:val="13EF306E"/>
    <w:rsid w:val="140320ED"/>
    <w:rsid w:val="143A1404"/>
    <w:rsid w:val="148606A9"/>
    <w:rsid w:val="148E038F"/>
    <w:rsid w:val="14D614D9"/>
    <w:rsid w:val="14E9157E"/>
    <w:rsid w:val="15195FCC"/>
    <w:rsid w:val="153C7C8B"/>
    <w:rsid w:val="15717572"/>
    <w:rsid w:val="15B66EB8"/>
    <w:rsid w:val="160B61C7"/>
    <w:rsid w:val="167069E6"/>
    <w:rsid w:val="16DC051F"/>
    <w:rsid w:val="171944DC"/>
    <w:rsid w:val="17205BBC"/>
    <w:rsid w:val="173E5134"/>
    <w:rsid w:val="17B80E53"/>
    <w:rsid w:val="17BB1EE3"/>
    <w:rsid w:val="17CE5E8F"/>
    <w:rsid w:val="17D327EB"/>
    <w:rsid w:val="17DA0A2C"/>
    <w:rsid w:val="18570100"/>
    <w:rsid w:val="189C1A30"/>
    <w:rsid w:val="194E7C2C"/>
    <w:rsid w:val="197D7D98"/>
    <w:rsid w:val="1A077661"/>
    <w:rsid w:val="1A670681"/>
    <w:rsid w:val="1AE56F6C"/>
    <w:rsid w:val="1BFF1997"/>
    <w:rsid w:val="1C63013A"/>
    <w:rsid w:val="1CA613B3"/>
    <w:rsid w:val="1CC21C23"/>
    <w:rsid w:val="1CE4735A"/>
    <w:rsid w:val="1D5B33A6"/>
    <w:rsid w:val="1D650874"/>
    <w:rsid w:val="1D8C0217"/>
    <w:rsid w:val="1DD87762"/>
    <w:rsid w:val="1DF10BF6"/>
    <w:rsid w:val="1DF673DC"/>
    <w:rsid w:val="1E1954F9"/>
    <w:rsid w:val="1E1D3DC5"/>
    <w:rsid w:val="1E477D87"/>
    <w:rsid w:val="1E687999"/>
    <w:rsid w:val="1EE84B83"/>
    <w:rsid w:val="1F040E3D"/>
    <w:rsid w:val="1F1348AE"/>
    <w:rsid w:val="1F842613"/>
    <w:rsid w:val="1F91391E"/>
    <w:rsid w:val="20280983"/>
    <w:rsid w:val="204B7A46"/>
    <w:rsid w:val="206501BD"/>
    <w:rsid w:val="20884968"/>
    <w:rsid w:val="2092091C"/>
    <w:rsid w:val="20A025BE"/>
    <w:rsid w:val="20B00A53"/>
    <w:rsid w:val="20D06C94"/>
    <w:rsid w:val="20F22B37"/>
    <w:rsid w:val="21082E2B"/>
    <w:rsid w:val="216A46A2"/>
    <w:rsid w:val="218C1938"/>
    <w:rsid w:val="21934DB0"/>
    <w:rsid w:val="21992BAF"/>
    <w:rsid w:val="21E23033"/>
    <w:rsid w:val="22361F77"/>
    <w:rsid w:val="223C09D3"/>
    <w:rsid w:val="22822944"/>
    <w:rsid w:val="22F25217"/>
    <w:rsid w:val="239833B1"/>
    <w:rsid w:val="23D040F0"/>
    <w:rsid w:val="23E570C6"/>
    <w:rsid w:val="24440A55"/>
    <w:rsid w:val="24855D52"/>
    <w:rsid w:val="24A01CB7"/>
    <w:rsid w:val="24C35FFD"/>
    <w:rsid w:val="24E0767C"/>
    <w:rsid w:val="2509739E"/>
    <w:rsid w:val="25740E92"/>
    <w:rsid w:val="25B13B91"/>
    <w:rsid w:val="25F97091"/>
    <w:rsid w:val="25FD6DD3"/>
    <w:rsid w:val="26051731"/>
    <w:rsid w:val="26263329"/>
    <w:rsid w:val="265E5207"/>
    <w:rsid w:val="2680161F"/>
    <w:rsid w:val="26884564"/>
    <w:rsid w:val="26924756"/>
    <w:rsid w:val="26B8166C"/>
    <w:rsid w:val="270757C3"/>
    <w:rsid w:val="274719F2"/>
    <w:rsid w:val="27560085"/>
    <w:rsid w:val="2784793E"/>
    <w:rsid w:val="27B64D09"/>
    <w:rsid w:val="27F23855"/>
    <w:rsid w:val="28123DA1"/>
    <w:rsid w:val="291260FB"/>
    <w:rsid w:val="29332221"/>
    <w:rsid w:val="293E3EEB"/>
    <w:rsid w:val="29500A15"/>
    <w:rsid w:val="29E87DAD"/>
    <w:rsid w:val="2A426596"/>
    <w:rsid w:val="2AA50B6D"/>
    <w:rsid w:val="2AF14141"/>
    <w:rsid w:val="2B734F53"/>
    <w:rsid w:val="2B8E1AA5"/>
    <w:rsid w:val="2B8E7BE2"/>
    <w:rsid w:val="2B8F4CE8"/>
    <w:rsid w:val="2B9B5A5E"/>
    <w:rsid w:val="2BD219C4"/>
    <w:rsid w:val="2BE15203"/>
    <w:rsid w:val="2C0A7AB3"/>
    <w:rsid w:val="2C7B4875"/>
    <w:rsid w:val="2C877F82"/>
    <w:rsid w:val="2D292DD6"/>
    <w:rsid w:val="2D627F53"/>
    <w:rsid w:val="2DE304C5"/>
    <w:rsid w:val="2DEE0C84"/>
    <w:rsid w:val="2DF459F5"/>
    <w:rsid w:val="2E0E17BF"/>
    <w:rsid w:val="2E220AB6"/>
    <w:rsid w:val="2E731091"/>
    <w:rsid w:val="2ECB6D8D"/>
    <w:rsid w:val="2EFC30B5"/>
    <w:rsid w:val="2F596663"/>
    <w:rsid w:val="2FE451DF"/>
    <w:rsid w:val="2FFB1191"/>
    <w:rsid w:val="2FFF4AB4"/>
    <w:rsid w:val="300A5FCE"/>
    <w:rsid w:val="304069BA"/>
    <w:rsid w:val="30A47325"/>
    <w:rsid w:val="30B13860"/>
    <w:rsid w:val="30F43467"/>
    <w:rsid w:val="312F08DE"/>
    <w:rsid w:val="313B59D4"/>
    <w:rsid w:val="31B74650"/>
    <w:rsid w:val="31FD06C0"/>
    <w:rsid w:val="32103CFA"/>
    <w:rsid w:val="3254001F"/>
    <w:rsid w:val="3261485F"/>
    <w:rsid w:val="328652A7"/>
    <w:rsid w:val="32E16312"/>
    <w:rsid w:val="331C45CD"/>
    <w:rsid w:val="33320E21"/>
    <w:rsid w:val="334970A2"/>
    <w:rsid w:val="33624E15"/>
    <w:rsid w:val="339078CC"/>
    <w:rsid w:val="33A97870"/>
    <w:rsid w:val="33D94DE1"/>
    <w:rsid w:val="33DF21AE"/>
    <w:rsid w:val="343A24E9"/>
    <w:rsid w:val="34581F83"/>
    <w:rsid w:val="34B866F6"/>
    <w:rsid w:val="34D5436C"/>
    <w:rsid w:val="35423461"/>
    <w:rsid w:val="358B3311"/>
    <w:rsid w:val="35985775"/>
    <w:rsid w:val="366E3093"/>
    <w:rsid w:val="368C4D1E"/>
    <w:rsid w:val="36AE1139"/>
    <w:rsid w:val="36F465A0"/>
    <w:rsid w:val="37A97323"/>
    <w:rsid w:val="37B4581D"/>
    <w:rsid w:val="37B611D1"/>
    <w:rsid w:val="37B918FC"/>
    <w:rsid w:val="37C75487"/>
    <w:rsid w:val="381015F5"/>
    <w:rsid w:val="38ED3A6E"/>
    <w:rsid w:val="391905F6"/>
    <w:rsid w:val="39302473"/>
    <w:rsid w:val="39594B00"/>
    <w:rsid w:val="3A1B2E2F"/>
    <w:rsid w:val="3A1F40FB"/>
    <w:rsid w:val="3A6D3536"/>
    <w:rsid w:val="3B4E787D"/>
    <w:rsid w:val="3B796528"/>
    <w:rsid w:val="3BDB03D3"/>
    <w:rsid w:val="3C8D359E"/>
    <w:rsid w:val="3CC62ABC"/>
    <w:rsid w:val="3D2739F3"/>
    <w:rsid w:val="3DB85F4B"/>
    <w:rsid w:val="3E2418F0"/>
    <w:rsid w:val="3E3E19B6"/>
    <w:rsid w:val="3E504657"/>
    <w:rsid w:val="3EC6222A"/>
    <w:rsid w:val="3F6A42AE"/>
    <w:rsid w:val="3FC33FFB"/>
    <w:rsid w:val="3FFA5372"/>
    <w:rsid w:val="3FFC1590"/>
    <w:rsid w:val="4001677D"/>
    <w:rsid w:val="4044486C"/>
    <w:rsid w:val="40741659"/>
    <w:rsid w:val="407E7DCE"/>
    <w:rsid w:val="409B2419"/>
    <w:rsid w:val="40B3002D"/>
    <w:rsid w:val="40C33B99"/>
    <w:rsid w:val="412C6A7A"/>
    <w:rsid w:val="413C2A1E"/>
    <w:rsid w:val="415263DD"/>
    <w:rsid w:val="41702169"/>
    <w:rsid w:val="41D877EC"/>
    <w:rsid w:val="41EC62A2"/>
    <w:rsid w:val="42143D72"/>
    <w:rsid w:val="422F6EA6"/>
    <w:rsid w:val="42697163"/>
    <w:rsid w:val="42750DFB"/>
    <w:rsid w:val="42A430B9"/>
    <w:rsid w:val="42A94BBF"/>
    <w:rsid w:val="43643B10"/>
    <w:rsid w:val="437C0DB8"/>
    <w:rsid w:val="439E0787"/>
    <w:rsid w:val="43C95E9E"/>
    <w:rsid w:val="43FC569C"/>
    <w:rsid w:val="443775DF"/>
    <w:rsid w:val="44423338"/>
    <w:rsid w:val="44E257EA"/>
    <w:rsid w:val="45514A0F"/>
    <w:rsid w:val="45704A2A"/>
    <w:rsid w:val="458539AC"/>
    <w:rsid w:val="45931867"/>
    <w:rsid w:val="465D6645"/>
    <w:rsid w:val="46684189"/>
    <w:rsid w:val="4669643F"/>
    <w:rsid w:val="46705460"/>
    <w:rsid w:val="47671325"/>
    <w:rsid w:val="4805375F"/>
    <w:rsid w:val="481B7A48"/>
    <w:rsid w:val="48314D06"/>
    <w:rsid w:val="484B69D0"/>
    <w:rsid w:val="489C7F30"/>
    <w:rsid w:val="48AB3609"/>
    <w:rsid w:val="48D719C1"/>
    <w:rsid w:val="48F055E1"/>
    <w:rsid w:val="48F8223D"/>
    <w:rsid w:val="49101946"/>
    <w:rsid w:val="495A38F2"/>
    <w:rsid w:val="49BF58EC"/>
    <w:rsid w:val="4A200E8B"/>
    <w:rsid w:val="4A5237C8"/>
    <w:rsid w:val="4AFD6EC7"/>
    <w:rsid w:val="4B0C4D60"/>
    <w:rsid w:val="4B1A69BF"/>
    <w:rsid w:val="4B873399"/>
    <w:rsid w:val="4BE37C68"/>
    <w:rsid w:val="4BF34695"/>
    <w:rsid w:val="4C235352"/>
    <w:rsid w:val="4CED1389"/>
    <w:rsid w:val="4D7A3023"/>
    <w:rsid w:val="4DAC45A6"/>
    <w:rsid w:val="4DDD4D52"/>
    <w:rsid w:val="4DE21CF8"/>
    <w:rsid w:val="4E082B48"/>
    <w:rsid w:val="4EA27D8A"/>
    <w:rsid w:val="4EEA4880"/>
    <w:rsid w:val="4F0E003A"/>
    <w:rsid w:val="4F30577C"/>
    <w:rsid w:val="4F4A42E1"/>
    <w:rsid w:val="4F564290"/>
    <w:rsid w:val="4F6B4357"/>
    <w:rsid w:val="4FB3247F"/>
    <w:rsid w:val="4FEE4D12"/>
    <w:rsid w:val="5038682B"/>
    <w:rsid w:val="50C73C9F"/>
    <w:rsid w:val="50FA2CEF"/>
    <w:rsid w:val="51243F79"/>
    <w:rsid w:val="512A5E8D"/>
    <w:rsid w:val="51E90578"/>
    <w:rsid w:val="523549ED"/>
    <w:rsid w:val="523D116B"/>
    <w:rsid w:val="524F7014"/>
    <w:rsid w:val="52812207"/>
    <w:rsid w:val="52B41908"/>
    <w:rsid w:val="52D45864"/>
    <w:rsid w:val="53150088"/>
    <w:rsid w:val="53452129"/>
    <w:rsid w:val="537C5A06"/>
    <w:rsid w:val="540A2DD5"/>
    <w:rsid w:val="542919A7"/>
    <w:rsid w:val="549877B2"/>
    <w:rsid w:val="551042D4"/>
    <w:rsid w:val="55334857"/>
    <w:rsid w:val="553F4403"/>
    <w:rsid w:val="55722E38"/>
    <w:rsid w:val="55D45C52"/>
    <w:rsid w:val="55F66587"/>
    <w:rsid w:val="5621417A"/>
    <w:rsid w:val="564F5372"/>
    <w:rsid w:val="5661622F"/>
    <w:rsid w:val="5681235F"/>
    <w:rsid w:val="56DA15F4"/>
    <w:rsid w:val="56DC77F4"/>
    <w:rsid w:val="56EC0285"/>
    <w:rsid w:val="57086545"/>
    <w:rsid w:val="572D5C52"/>
    <w:rsid w:val="573A7AE2"/>
    <w:rsid w:val="57477E1C"/>
    <w:rsid w:val="57873E0C"/>
    <w:rsid w:val="5842461F"/>
    <w:rsid w:val="5894404A"/>
    <w:rsid w:val="58B46089"/>
    <w:rsid w:val="593E73D8"/>
    <w:rsid w:val="596A0752"/>
    <w:rsid w:val="599A6F3F"/>
    <w:rsid w:val="59AC5554"/>
    <w:rsid w:val="5A1B2694"/>
    <w:rsid w:val="5A2F2A8B"/>
    <w:rsid w:val="5A8E2EAB"/>
    <w:rsid w:val="5AA37F2B"/>
    <w:rsid w:val="5B417443"/>
    <w:rsid w:val="5B983ED7"/>
    <w:rsid w:val="5BB03389"/>
    <w:rsid w:val="5BCC3C8B"/>
    <w:rsid w:val="5C25514A"/>
    <w:rsid w:val="5C382985"/>
    <w:rsid w:val="5C7666F0"/>
    <w:rsid w:val="5CC86E00"/>
    <w:rsid w:val="5CCC3817"/>
    <w:rsid w:val="5CCF65E4"/>
    <w:rsid w:val="5CE84526"/>
    <w:rsid w:val="5CEB434C"/>
    <w:rsid w:val="5CF55464"/>
    <w:rsid w:val="5D091866"/>
    <w:rsid w:val="5D0C6D8C"/>
    <w:rsid w:val="5E1B6C33"/>
    <w:rsid w:val="5E262C23"/>
    <w:rsid w:val="5E8107F7"/>
    <w:rsid w:val="5EAA5DDA"/>
    <w:rsid w:val="5EC81C3E"/>
    <w:rsid w:val="5ECA1B15"/>
    <w:rsid w:val="5ECF5FEB"/>
    <w:rsid w:val="5EDD4AE1"/>
    <w:rsid w:val="5F066F37"/>
    <w:rsid w:val="5F0F10CD"/>
    <w:rsid w:val="5F415AEE"/>
    <w:rsid w:val="5F7268F8"/>
    <w:rsid w:val="5FA9248C"/>
    <w:rsid w:val="5FEE6BDE"/>
    <w:rsid w:val="600C1AF9"/>
    <w:rsid w:val="60336A3A"/>
    <w:rsid w:val="60585957"/>
    <w:rsid w:val="60587643"/>
    <w:rsid w:val="60612653"/>
    <w:rsid w:val="606A57AE"/>
    <w:rsid w:val="61122EE7"/>
    <w:rsid w:val="61261C71"/>
    <w:rsid w:val="617C01DA"/>
    <w:rsid w:val="61A526C5"/>
    <w:rsid w:val="6232599A"/>
    <w:rsid w:val="623D462E"/>
    <w:rsid w:val="62C832D3"/>
    <w:rsid w:val="62E03BBE"/>
    <w:rsid w:val="63361358"/>
    <w:rsid w:val="63E853DA"/>
    <w:rsid w:val="63F1633A"/>
    <w:rsid w:val="64110E46"/>
    <w:rsid w:val="642B6229"/>
    <w:rsid w:val="643F1624"/>
    <w:rsid w:val="645C36D2"/>
    <w:rsid w:val="647510BE"/>
    <w:rsid w:val="64837092"/>
    <w:rsid w:val="657376E5"/>
    <w:rsid w:val="65835A71"/>
    <w:rsid w:val="65892620"/>
    <w:rsid w:val="65E97043"/>
    <w:rsid w:val="66354BAC"/>
    <w:rsid w:val="666431AB"/>
    <w:rsid w:val="668E22DA"/>
    <w:rsid w:val="66904B9E"/>
    <w:rsid w:val="669F1EDA"/>
    <w:rsid w:val="66A63828"/>
    <w:rsid w:val="66D36705"/>
    <w:rsid w:val="66E9343C"/>
    <w:rsid w:val="6739150C"/>
    <w:rsid w:val="6782063F"/>
    <w:rsid w:val="6786184E"/>
    <w:rsid w:val="680C4100"/>
    <w:rsid w:val="683B21FE"/>
    <w:rsid w:val="68430E0B"/>
    <w:rsid w:val="68A85DB1"/>
    <w:rsid w:val="68CF773E"/>
    <w:rsid w:val="69994194"/>
    <w:rsid w:val="69BA7883"/>
    <w:rsid w:val="69D65E8C"/>
    <w:rsid w:val="6A2C13B6"/>
    <w:rsid w:val="6A5D25AF"/>
    <w:rsid w:val="6AFC0F3B"/>
    <w:rsid w:val="6AFD2034"/>
    <w:rsid w:val="6B2A452A"/>
    <w:rsid w:val="6BB50FB2"/>
    <w:rsid w:val="6C29644F"/>
    <w:rsid w:val="6CA96D4E"/>
    <w:rsid w:val="6CE95675"/>
    <w:rsid w:val="6D1159A2"/>
    <w:rsid w:val="6D625A24"/>
    <w:rsid w:val="6D6508B2"/>
    <w:rsid w:val="6DCE3893"/>
    <w:rsid w:val="6E094609"/>
    <w:rsid w:val="6E130890"/>
    <w:rsid w:val="6E217E67"/>
    <w:rsid w:val="6E3F4C4F"/>
    <w:rsid w:val="6E4145A0"/>
    <w:rsid w:val="6ED21C6C"/>
    <w:rsid w:val="6EE06AEC"/>
    <w:rsid w:val="6F0137F4"/>
    <w:rsid w:val="6F7328D4"/>
    <w:rsid w:val="6FAC7B90"/>
    <w:rsid w:val="6FD8654C"/>
    <w:rsid w:val="6FE13FE3"/>
    <w:rsid w:val="6FE54EC4"/>
    <w:rsid w:val="700B6720"/>
    <w:rsid w:val="70C90342"/>
    <w:rsid w:val="70E87AF2"/>
    <w:rsid w:val="71045E5B"/>
    <w:rsid w:val="715825C3"/>
    <w:rsid w:val="71883CE3"/>
    <w:rsid w:val="71994103"/>
    <w:rsid w:val="71C96DC2"/>
    <w:rsid w:val="71CA5494"/>
    <w:rsid w:val="71F07CE3"/>
    <w:rsid w:val="71FE025D"/>
    <w:rsid w:val="725A4CF3"/>
    <w:rsid w:val="72AA4B1F"/>
    <w:rsid w:val="72CE7084"/>
    <w:rsid w:val="73345B88"/>
    <w:rsid w:val="735859AD"/>
    <w:rsid w:val="736B18FC"/>
    <w:rsid w:val="737A623F"/>
    <w:rsid w:val="7395275D"/>
    <w:rsid w:val="739A52EE"/>
    <w:rsid w:val="73DB1277"/>
    <w:rsid w:val="73F01B64"/>
    <w:rsid w:val="73F76698"/>
    <w:rsid w:val="73FB10D0"/>
    <w:rsid w:val="73FE17AA"/>
    <w:rsid w:val="746B777F"/>
    <w:rsid w:val="748A67F8"/>
    <w:rsid w:val="749015F5"/>
    <w:rsid w:val="74A1221F"/>
    <w:rsid w:val="74B078A9"/>
    <w:rsid w:val="74C07CAE"/>
    <w:rsid w:val="74DF1CCD"/>
    <w:rsid w:val="74F57957"/>
    <w:rsid w:val="750E3B88"/>
    <w:rsid w:val="75771F0D"/>
    <w:rsid w:val="75EA70BA"/>
    <w:rsid w:val="763C5AF0"/>
    <w:rsid w:val="76982881"/>
    <w:rsid w:val="76A333CF"/>
    <w:rsid w:val="76E2455B"/>
    <w:rsid w:val="76E43F35"/>
    <w:rsid w:val="76F55353"/>
    <w:rsid w:val="771F5C3C"/>
    <w:rsid w:val="772C5390"/>
    <w:rsid w:val="77A676A4"/>
    <w:rsid w:val="77C842C2"/>
    <w:rsid w:val="781C644D"/>
    <w:rsid w:val="78B211FE"/>
    <w:rsid w:val="78C22246"/>
    <w:rsid w:val="78E3470B"/>
    <w:rsid w:val="79084FC0"/>
    <w:rsid w:val="796F6A1F"/>
    <w:rsid w:val="7988770C"/>
    <w:rsid w:val="799618EA"/>
    <w:rsid w:val="79B07A45"/>
    <w:rsid w:val="7A311EE8"/>
    <w:rsid w:val="7A581991"/>
    <w:rsid w:val="7A625099"/>
    <w:rsid w:val="7A740735"/>
    <w:rsid w:val="7A85352B"/>
    <w:rsid w:val="7A98364E"/>
    <w:rsid w:val="7AAF2E41"/>
    <w:rsid w:val="7AEC0299"/>
    <w:rsid w:val="7BA73E10"/>
    <w:rsid w:val="7C6879B5"/>
    <w:rsid w:val="7CAF2AE1"/>
    <w:rsid w:val="7D0041C4"/>
    <w:rsid w:val="7D906480"/>
    <w:rsid w:val="7DCC321F"/>
    <w:rsid w:val="7DE74C1B"/>
    <w:rsid w:val="7E7802A1"/>
    <w:rsid w:val="7EC32D05"/>
    <w:rsid w:val="7EEE03F1"/>
    <w:rsid w:val="7F1E5B6D"/>
    <w:rsid w:val="7F2A28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nhideWhenUsed="0" w:uiPriority="0" w:semiHidden="0" w:name="toc 2"/>
    <w:lsdException w:qFormat="1"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0" w:semiHidden="0"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60" w:after="360" w:line="480" w:lineRule="exact"/>
      <w:outlineLvl w:val="0"/>
    </w:pPr>
    <w:rPr>
      <w:rFonts w:ascii="Times New Roman" w:hAnsi="Times New Roman" w:eastAsia="宋体"/>
      <w:b/>
      <w:bCs/>
      <w:kern w:val="44"/>
      <w:sz w:val="32"/>
      <w:szCs w:val="30"/>
    </w:rPr>
  </w:style>
  <w:style w:type="paragraph" w:styleId="3">
    <w:name w:val="heading 2"/>
    <w:basedOn w:val="4"/>
    <w:next w:val="1"/>
    <w:link w:val="51"/>
    <w:autoRedefine/>
    <w:unhideWhenUsed/>
    <w:qFormat/>
    <w:uiPriority w:val="9"/>
    <w:pPr>
      <w:keepNext/>
      <w:keepLines/>
      <w:spacing w:line="360" w:lineRule="auto"/>
      <w:ind w:left="0" w:leftChars="0"/>
      <w:outlineLvl w:val="1"/>
    </w:pPr>
    <w:rPr>
      <w:rFonts w:ascii="Times New Roman" w:hAnsi="Times New Roman" w:eastAsiaTheme="majorEastAsia" w:cstheme="majorBidi"/>
      <w:b/>
      <w:bCs/>
      <w:sz w:val="30"/>
      <w:szCs w:val="28"/>
    </w:rPr>
  </w:style>
  <w:style w:type="paragraph" w:styleId="5">
    <w:name w:val="heading 3"/>
    <w:basedOn w:val="1"/>
    <w:next w:val="1"/>
    <w:autoRedefine/>
    <w:qFormat/>
    <w:uiPriority w:val="0"/>
    <w:pPr>
      <w:keepNext/>
      <w:keepLines/>
      <w:spacing w:line="360" w:lineRule="auto"/>
      <w:outlineLvl w:val="2"/>
    </w:pPr>
    <w:rPr>
      <w:rFonts w:ascii="Times New Roman" w:hAnsi="Times New Roman" w:eastAsia="宋体"/>
      <w:b/>
      <w:color w:val="000000"/>
      <w:kern w:val="0"/>
      <w:sz w:val="28"/>
    </w:rPr>
  </w:style>
  <w:style w:type="paragraph" w:styleId="6">
    <w:name w:val="heading 4"/>
    <w:basedOn w:val="1"/>
    <w:next w:val="1"/>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33">
    <w:name w:val="Default Paragraph Font"/>
    <w:autoRedefine/>
    <w:semiHidden/>
    <w:unhideWhenUsed/>
    <w:qFormat/>
    <w:uiPriority w:val="1"/>
  </w:style>
  <w:style w:type="table" w:default="1" w:styleId="31">
    <w:name w:val="Normal Table"/>
    <w:autoRedefine/>
    <w:semiHidden/>
    <w:unhideWhenUsed/>
    <w:qFormat/>
    <w:uiPriority w:val="99"/>
    <w:tblPr>
      <w:tblCellMar>
        <w:top w:w="0" w:type="dxa"/>
        <w:left w:w="108" w:type="dxa"/>
        <w:bottom w:w="0" w:type="dxa"/>
        <w:right w:w="108" w:type="dxa"/>
      </w:tblCellMar>
    </w:tblPr>
  </w:style>
  <w:style w:type="paragraph" w:styleId="4">
    <w:name w:val="toc 2"/>
    <w:basedOn w:val="1"/>
    <w:next w:val="1"/>
    <w:autoRedefine/>
    <w:qFormat/>
    <w:uiPriority w:val="0"/>
    <w:pPr>
      <w:ind w:left="420" w:leftChars="200"/>
    </w:pPr>
  </w:style>
  <w:style w:type="paragraph" w:styleId="7">
    <w:name w:val="Normal Indent"/>
    <w:basedOn w:val="1"/>
    <w:next w:val="1"/>
    <w:autoRedefine/>
    <w:qFormat/>
    <w:uiPriority w:val="0"/>
    <w:pPr>
      <w:ind w:firstLine="420"/>
    </w:pPr>
    <w:rPr>
      <w:sz w:val="24"/>
      <w:szCs w:val="20"/>
    </w:rPr>
  </w:style>
  <w:style w:type="paragraph" w:styleId="8">
    <w:name w:val="caption"/>
    <w:basedOn w:val="1"/>
    <w:next w:val="1"/>
    <w:autoRedefine/>
    <w:qFormat/>
    <w:uiPriority w:val="0"/>
    <w:rPr>
      <w:rFonts w:ascii="Arial" w:hAnsi="Arial" w:eastAsia="黑体" w:cs="Arial"/>
      <w:color w:val="FF0000"/>
      <w:sz w:val="20"/>
      <w:szCs w:val="20"/>
    </w:rPr>
  </w:style>
  <w:style w:type="paragraph" w:styleId="9">
    <w:name w:val="annotation text"/>
    <w:basedOn w:val="1"/>
    <w:link w:val="53"/>
    <w:autoRedefine/>
    <w:semiHidden/>
    <w:unhideWhenUsed/>
    <w:qFormat/>
    <w:uiPriority w:val="99"/>
    <w:pPr>
      <w:jc w:val="left"/>
    </w:pPr>
  </w:style>
  <w:style w:type="paragraph" w:styleId="10">
    <w:name w:val="Salutation"/>
    <w:basedOn w:val="1"/>
    <w:next w:val="1"/>
    <w:autoRedefine/>
    <w:unhideWhenUsed/>
    <w:qFormat/>
    <w:uiPriority w:val="0"/>
  </w:style>
  <w:style w:type="paragraph" w:styleId="11">
    <w:name w:val="Body Text"/>
    <w:basedOn w:val="1"/>
    <w:next w:val="1"/>
    <w:autoRedefine/>
    <w:qFormat/>
    <w:uiPriority w:val="0"/>
    <w:pPr>
      <w:spacing w:before="20" w:after="20"/>
      <w:jc w:val="center"/>
    </w:pPr>
    <w:rPr>
      <w:sz w:val="24"/>
    </w:rPr>
  </w:style>
  <w:style w:type="paragraph" w:styleId="12">
    <w:name w:val="Body Text Indent"/>
    <w:basedOn w:val="1"/>
    <w:next w:val="1"/>
    <w:autoRedefine/>
    <w:qFormat/>
    <w:uiPriority w:val="0"/>
    <w:pPr>
      <w:ind w:firstLine="540"/>
    </w:pPr>
    <w:rPr>
      <w:kern w:val="0"/>
      <w:sz w:val="28"/>
      <w:szCs w:val="20"/>
    </w:rPr>
  </w:style>
  <w:style w:type="paragraph" w:styleId="13">
    <w:name w:val="toc 5"/>
    <w:basedOn w:val="1"/>
    <w:next w:val="1"/>
    <w:qFormat/>
    <w:uiPriority w:val="0"/>
    <w:pPr>
      <w:ind w:left="1680" w:leftChars="800"/>
    </w:pPr>
  </w:style>
  <w:style w:type="paragraph" w:styleId="14">
    <w:name w:val="toc 3"/>
    <w:basedOn w:val="1"/>
    <w:next w:val="1"/>
    <w:semiHidden/>
    <w:unhideWhenUsed/>
    <w:qFormat/>
    <w:uiPriority w:val="39"/>
    <w:pPr>
      <w:ind w:left="840" w:leftChars="400"/>
    </w:pPr>
  </w:style>
  <w:style w:type="paragraph" w:styleId="15">
    <w:name w:val="Plain Text"/>
    <w:basedOn w:val="1"/>
    <w:next w:val="16"/>
    <w:autoRedefine/>
    <w:qFormat/>
    <w:uiPriority w:val="0"/>
    <w:pPr>
      <w:spacing w:line="240" w:lineRule="atLeast"/>
    </w:pPr>
    <w:rPr>
      <w:rFonts w:ascii="宋体" w:hAnsi="Courier New"/>
      <w:sz w:val="28"/>
      <w:szCs w:val="21"/>
    </w:rPr>
  </w:style>
  <w:style w:type="paragraph" w:customStyle="1" w:styleId="16">
    <w:name w:val="Default"/>
    <w:basedOn w:val="17"/>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
    <w:name w:val="纯文本1"/>
    <w:basedOn w:val="1"/>
    <w:next w:val="1"/>
    <w:qFormat/>
    <w:uiPriority w:val="0"/>
    <w:pPr>
      <w:adjustRightInd w:val="0"/>
    </w:pPr>
    <w:rPr>
      <w:rFonts w:ascii="宋体" w:hAnsi="Courier New"/>
      <w:szCs w:val="20"/>
    </w:rPr>
  </w:style>
  <w:style w:type="paragraph" w:styleId="18">
    <w:name w:val="Body Text Indent 2"/>
    <w:basedOn w:val="1"/>
    <w:autoRedefine/>
    <w:qFormat/>
    <w:uiPriority w:val="0"/>
    <w:pPr>
      <w:spacing w:line="500" w:lineRule="exact"/>
      <w:ind w:firstLine="480"/>
    </w:pPr>
    <w:rPr>
      <w:rFonts w:ascii="宋体"/>
      <w:sz w:val="24"/>
    </w:rPr>
  </w:style>
  <w:style w:type="paragraph" w:styleId="19">
    <w:name w:val="Balloon Text"/>
    <w:basedOn w:val="1"/>
    <w:link w:val="55"/>
    <w:autoRedefine/>
    <w:semiHidden/>
    <w:unhideWhenUsed/>
    <w:qFormat/>
    <w:uiPriority w:val="99"/>
    <w:rPr>
      <w:sz w:val="18"/>
      <w:szCs w:val="18"/>
    </w:rPr>
  </w:style>
  <w:style w:type="paragraph" w:styleId="20">
    <w:name w:val="footer"/>
    <w:basedOn w:val="1"/>
    <w:link w:val="42"/>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21">
    <w:name w:val="header"/>
    <w:basedOn w:val="1"/>
    <w:link w:val="4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22">
    <w:name w:val="toc 1"/>
    <w:basedOn w:val="1"/>
    <w:next w:val="1"/>
    <w:semiHidden/>
    <w:unhideWhenUsed/>
    <w:qFormat/>
    <w:uiPriority w:val="39"/>
  </w:style>
  <w:style w:type="paragraph" w:styleId="23">
    <w:name w:val="index heading"/>
    <w:basedOn w:val="1"/>
    <w:next w:val="24"/>
    <w:autoRedefine/>
    <w:qFormat/>
    <w:uiPriority w:val="0"/>
    <w:rPr>
      <w:rFonts w:ascii="Arial" w:hAnsi="Arial" w:cs="Arial"/>
      <w:b/>
      <w:bCs/>
    </w:rPr>
  </w:style>
  <w:style w:type="paragraph" w:styleId="24">
    <w:name w:val="index 1"/>
    <w:basedOn w:val="1"/>
    <w:next w:val="1"/>
    <w:autoRedefine/>
    <w:semiHidden/>
    <w:qFormat/>
    <w:uiPriority w:val="0"/>
    <w:pPr>
      <w:ind w:left="210" w:hanging="210"/>
      <w:jc w:val="center"/>
    </w:pPr>
    <w:rPr>
      <w:szCs w:val="21"/>
    </w:rPr>
  </w:style>
  <w:style w:type="paragraph" w:styleId="25">
    <w:name w:val="HTML Preformatted"/>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style>
  <w:style w:type="paragraph" w:styleId="26">
    <w:name w:val="Normal (Web)"/>
    <w:basedOn w:val="1"/>
    <w:link w:val="43"/>
    <w:autoRedefine/>
    <w:qFormat/>
    <w:uiPriority w:val="0"/>
    <w:pPr>
      <w:widowControl/>
      <w:spacing w:before="100" w:beforeAutospacing="1" w:after="100" w:afterAutospacing="1"/>
      <w:jc w:val="left"/>
    </w:pPr>
    <w:rPr>
      <w:rFonts w:ascii="宋体" w:hAnsi="宋体" w:cstheme="minorBidi"/>
      <w:sz w:val="24"/>
      <w:szCs w:val="22"/>
    </w:rPr>
  </w:style>
  <w:style w:type="paragraph" w:styleId="27">
    <w:name w:val="Title"/>
    <w:basedOn w:val="1"/>
    <w:next w:val="1"/>
    <w:autoRedefine/>
    <w:qFormat/>
    <w:uiPriority w:val="0"/>
    <w:pPr>
      <w:adjustRightInd w:val="0"/>
      <w:spacing w:line="480" w:lineRule="atLeast"/>
      <w:ind w:firstLine="538" w:firstLineChars="192"/>
      <w:jc w:val="left"/>
      <w:textAlignment w:val="baseline"/>
    </w:pPr>
    <w:rPr>
      <w:rFonts w:hAnsi="Arial"/>
      <w:kern w:val="28"/>
      <w:szCs w:val="20"/>
    </w:rPr>
  </w:style>
  <w:style w:type="paragraph" w:styleId="28">
    <w:name w:val="annotation subject"/>
    <w:basedOn w:val="9"/>
    <w:next w:val="9"/>
    <w:link w:val="54"/>
    <w:autoRedefine/>
    <w:semiHidden/>
    <w:unhideWhenUsed/>
    <w:qFormat/>
    <w:uiPriority w:val="99"/>
    <w:rPr>
      <w:b/>
      <w:bCs/>
    </w:rPr>
  </w:style>
  <w:style w:type="paragraph" w:styleId="29">
    <w:name w:val="Body Text First Indent"/>
    <w:basedOn w:val="11"/>
    <w:next w:val="1"/>
    <w:autoRedefine/>
    <w:qFormat/>
    <w:uiPriority w:val="0"/>
    <w:pPr>
      <w:ind w:firstLine="420"/>
    </w:pPr>
    <w:rPr>
      <w:sz w:val="28"/>
      <w:szCs w:val="20"/>
    </w:rPr>
  </w:style>
  <w:style w:type="paragraph" w:styleId="30">
    <w:name w:val="Body Text First Indent 2"/>
    <w:basedOn w:val="12"/>
    <w:next w:val="1"/>
    <w:autoRedefine/>
    <w:qFormat/>
    <w:uiPriority w:val="0"/>
    <w:pPr>
      <w:spacing w:after="120"/>
      <w:ind w:left="420" w:leftChars="200" w:firstLine="420"/>
    </w:pPr>
  </w:style>
  <w:style w:type="table" w:styleId="32">
    <w:name w:val="Table Grid"/>
    <w:basedOn w:val="3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4">
    <w:name w:val="Strong"/>
    <w:basedOn w:val="33"/>
    <w:autoRedefine/>
    <w:qFormat/>
    <w:uiPriority w:val="22"/>
    <w:rPr>
      <w:b/>
    </w:rPr>
  </w:style>
  <w:style w:type="character" w:styleId="35">
    <w:name w:val="page number"/>
    <w:basedOn w:val="33"/>
    <w:autoRedefine/>
    <w:qFormat/>
    <w:uiPriority w:val="0"/>
  </w:style>
  <w:style w:type="character" w:styleId="36">
    <w:name w:val="Hyperlink"/>
    <w:autoRedefine/>
    <w:semiHidden/>
    <w:unhideWhenUsed/>
    <w:qFormat/>
    <w:uiPriority w:val="99"/>
    <w:rPr>
      <w:color w:val="0000FF"/>
      <w:u w:val="single"/>
    </w:rPr>
  </w:style>
  <w:style w:type="character" w:styleId="37">
    <w:name w:val="annotation reference"/>
    <w:basedOn w:val="33"/>
    <w:autoRedefine/>
    <w:semiHidden/>
    <w:unhideWhenUsed/>
    <w:qFormat/>
    <w:uiPriority w:val="99"/>
    <w:rPr>
      <w:sz w:val="21"/>
      <w:szCs w:val="21"/>
    </w:rPr>
  </w:style>
  <w:style w:type="paragraph" w:customStyle="1" w:styleId="38">
    <w:name w:val="Normal Indent1"/>
    <w:basedOn w:val="1"/>
    <w:qFormat/>
    <w:uiPriority w:val="0"/>
    <w:pPr>
      <w:ind w:firstLine="420" w:firstLineChars="200"/>
    </w:pPr>
  </w:style>
  <w:style w:type="paragraph" w:customStyle="1" w:styleId="39">
    <w:name w:val="批注文字1"/>
    <w:autoRedefine/>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40">
    <w:name w:val="明显引用1"/>
    <w:next w:val="1"/>
    <w:autoRedefine/>
    <w:qFormat/>
    <w:uiPriority w:val="0"/>
    <w:pPr>
      <w:wordWrap w:val="0"/>
      <w:spacing w:before="360" w:after="360"/>
      <w:ind w:left="950" w:right="950"/>
      <w:jc w:val="center"/>
    </w:pPr>
    <w:rPr>
      <w:rFonts w:ascii="Calibri" w:hAnsi="Calibri" w:eastAsia="宋体" w:cs="Times New Roman"/>
      <w:i/>
      <w:sz w:val="21"/>
      <w:lang w:val="en-US" w:eastAsia="zh-CN" w:bidi="ar-SA"/>
    </w:rPr>
  </w:style>
  <w:style w:type="character" w:customStyle="1" w:styleId="41">
    <w:name w:val="页眉 Char"/>
    <w:basedOn w:val="33"/>
    <w:link w:val="21"/>
    <w:autoRedefine/>
    <w:qFormat/>
    <w:uiPriority w:val="99"/>
    <w:rPr>
      <w:sz w:val="18"/>
      <w:szCs w:val="18"/>
    </w:rPr>
  </w:style>
  <w:style w:type="character" w:customStyle="1" w:styleId="42">
    <w:name w:val="页脚 Char"/>
    <w:basedOn w:val="33"/>
    <w:link w:val="20"/>
    <w:autoRedefine/>
    <w:qFormat/>
    <w:uiPriority w:val="99"/>
    <w:rPr>
      <w:sz w:val="18"/>
      <w:szCs w:val="18"/>
    </w:rPr>
  </w:style>
  <w:style w:type="character" w:customStyle="1" w:styleId="43">
    <w:name w:val="普通(网站) Char"/>
    <w:link w:val="26"/>
    <w:autoRedefine/>
    <w:qFormat/>
    <w:locked/>
    <w:uiPriority w:val="0"/>
    <w:rPr>
      <w:rFonts w:ascii="宋体" w:hAnsi="宋体" w:eastAsia="宋体"/>
      <w:sz w:val="24"/>
    </w:rPr>
  </w:style>
  <w:style w:type="character" w:customStyle="1" w:styleId="44">
    <w:name w:val="表格 Char"/>
    <w:link w:val="45"/>
    <w:autoRedefine/>
    <w:qFormat/>
    <w:locked/>
    <w:uiPriority w:val="0"/>
    <w:rPr>
      <w:rFonts w:ascii="宋体"/>
    </w:rPr>
  </w:style>
  <w:style w:type="paragraph" w:customStyle="1" w:styleId="45">
    <w:name w:val="表格"/>
    <w:basedOn w:val="7"/>
    <w:next w:val="1"/>
    <w:link w:val="44"/>
    <w:autoRedefine/>
    <w:qFormat/>
    <w:uiPriority w:val="0"/>
    <w:pPr>
      <w:adjustRightInd w:val="0"/>
      <w:snapToGrid w:val="0"/>
      <w:spacing w:beforeLines="10" w:afterLines="10" w:line="259" w:lineRule="auto"/>
      <w:jc w:val="center"/>
    </w:pPr>
    <w:rPr>
      <w:rFonts w:ascii="宋体" w:hAnsiTheme="minorHAnsi" w:eastAsiaTheme="minorEastAsia" w:cstheme="minorBidi"/>
      <w:szCs w:val="22"/>
    </w:rPr>
  </w:style>
  <w:style w:type="paragraph" w:customStyle="1" w:styleId="46">
    <w:name w:val="样式8"/>
    <w:basedOn w:val="1"/>
    <w:autoRedefine/>
    <w:qFormat/>
    <w:uiPriority w:val="0"/>
    <w:pPr>
      <w:adjustRightInd w:val="0"/>
      <w:snapToGrid w:val="0"/>
      <w:jc w:val="center"/>
    </w:pPr>
    <w:rPr>
      <w:rFonts w:ascii="仿宋" w:hAnsi="仿宋" w:eastAsia="仿宋"/>
      <w:szCs w:val="21"/>
    </w:rPr>
  </w:style>
  <w:style w:type="paragraph" w:customStyle="1" w:styleId="47">
    <w:name w:val="p0"/>
    <w:basedOn w:val="1"/>
    <w:autoRedefine/>
    <w:qFormat/>
    <w:uiPriority w:val="0"/>
    <w:pPr>
      <w:widowControl/>
    </w:pPr>
    <w:rPr>
      <w:kern w:val="0"/>
    </w:rPr>
  </w:style>
  <w:style w:type="paragraph" w:customStyle="1" w:styleId="48">
    <w:name w:val="样式7"/>
    <w:basedOn w:val="1"/>
    <w:autoRedefine/>
    <w:qFormat/>
    <w:uiPriority w:val="0"/>
    <w:pPr>
      <w:autoSpaceDE w:val="0"/>
      <w:autoSpaceDN w:val="0"/>
      <w:adjustRightInd w:val="0"/>
      <w:spacing w:line="360" w:lineRule="auto"/>
      <w:ind w:firstLine="480" w:firstLineChars="200"/>
      <w:jc w:val="left"/>
      <w:textAlignment w:val="baseline"/>
    </w:pPr>
    <w:rPr>
      <w:rFonts w:hAnsi="宋体"/>
      <w:kern w:val="0"/>
      <w:sz w:val="24"/>
      <w:szCs w:val="20"/>
    </w:rPr>
  </w:style>
  <w:style w:type="paragraph" w:customStyle="1" w:styleId="49">
    <w:name w:val="正常段落"/>
    <w:basedOn w:val="7"/>
    <w:autoRedefine/>
    <w:qFormat/>
    <w:uiPriority w:val="0"/>
    <w:pPr>
      <w:spacing w:line="440" w:lineRule="exact"/>
    </w:pPr>
    <w:rPr>
      <w:rFonts w:ascii="宋体"/>
    </w:rPr>
  </w:style>
  <w:style w:type="paragraph" w:customStyle="1" w:styleId="50">
    <w:name w:val="样式320"/>
    <w:basedOn w:val="1"/>
    <w:autoRedefine/>
    <w:qFormat/>
    <w:uiPriority w:val="0"/>
    <w:pPr>
      <w:spacing w:line="360" w:lineRule="auto"/>
      <w:ind w:firstLine="1446" w:firstLineChars="200"/>
    </w:pPr>
    <w:rPr>
      <w:rFonts w:cs="宋体"/>
      <w:sz w:val="24"/>
      <w:szCs w:val="21"/>
    </w:rPr>
  </w:style>
  <w:style w:type="character" w:customStyle="1" w:styleId="51">
    <w:name w:val="标题 2 Char"/>
    <w:link w:val="3"/>
    <w:autoRedefine/>
    <w:semiHidden/>
    <w:qFormat/>
    <w:uiPriority w:val="9"/>
    <w:rPr>
      <w:rFonts w:ascii="Times New Roman" w:hAnsi="Times New Roman" w:eastAsiaTheme="majorEastAsia" w:cstheme="majorBidi"/>
      <w:b/>
      <w:bCs/>
      <w:kern w:val="2"/>
      <w:sz w:val="30"/>
      <w:szCs w:val="28"/>
      <w:lang w:val="en-US" w:eastAsia="zh-CN" w:bidi="ar-SA"/>
    </w:rPr>
  </w:style>
  <w:style w:type="paragraph" w:customStyle="1" w:styleId="52">
    <w:name w:val="表头"/>
    <w:basedOn w:val="1"/>
    <w:next w:val="1"/>
    <w:autoRedefine/>
    <w:qFormat/>
    <w:uiPriority w:val="0"/>
    <w:pPr>
      <w:adjustRightInd w:val="0"/>
      <w:snapToGrid w:val="0"/>
      <w:spacing w:before="120" w:line="520" w:lineRule="atLeast"/>
      <w:ind w:firstLine="200" w:firstLineChars="200"/>
      <w:jc w:val="center"/>
    </w:pPr>
    <w:rPr>
      <w:rFonts w:ascii="宋体" w:eastAsia="仿宋_GB2312"/>
      <w:b/>
      <w:kern w:val="0"/>
      <w:sz w:val="28"/>
      <w:szCs w:val="20"/>
    </w:rPr>
  </w:style>
  <w:style w:type="character" w:customStyle="1" w:styleId="53">
    <w:name w:val="批注文字 Char"/>
    <w:basedOn w:val="33"/>
    <w:link w:val="9"/>
    <w:autoRedefine/>
    <w:semiHidden/>
    <w:qFormat/>
    <w:uiPriority w:val="99"/>
    <w:rPr>
      <w:kern w:val="2"/>
      <w:sz w:val="21"/>
      <w:szCs w:val="24"/>
    </w:rPr>
  </w:style>
  <w:style w:type="character" w:customStyle="1" w:styleId="54">
    <w:name w:val="批注主题 Char"/>
    <w:basedOn w:val="53"/>
    <w:link w:val="28"/>
    <w:autoRedefine/>
    <w:semiHidden/>
    <w:qFormat/>
    <w:uiPriority w:val="99"/>
    <w:rPr>
      <w:b/>
      <w:bCs/>
      <w:kern w:val="2"/>
      <w:sz w:val="21"/>
      <w:szCs w:val="24"/>
    </w:rPr>
  </w:style>
  <w:style w:type="character" w:customStyle="1" w:styleId="55">
    <w:name w:val="批注框文本 Char"/>
    <w:basedOn w:val="33"/>
    <w:link w:val="19"/>
    <w:autoRedefine/>
    <w:semiHidden/>
    <w:qFormat/>
    <w:uiPriority w:val="99"/>
    <w:rPr>
      <w:kern w:val="2"/>
      <w:sz w:val="18"/>
      <w:szCs w:val="18"/>
    </w:rPr>
  </w:style>
  <w:style w:type="character" w:customStyle="1" w:styleId="56">
    <w:name w:val="环评正文 Char Char"/>
    <w:link w:val="57"/>
    <w:autoRedefine/>
    <w:qFormat/>
    <w:uiPriority w:val="0"/>
    <w:rPr>
      <w:rFonts w:hAnsi="宋体"/>
      <w:sz w:val="24"/>
      <w:szCs w:val="24"/>
    </w:rPr>
  </w:style>
  <w:style w:type="paragraph" w:customStyle="1" w:styleId="57">
    <w:name w:val="环评正文"/>
    <w:basedOn w:val="1"/>
    <w:link w:val="56"/>
    <w:autoRedefine/>
    <w:qFormat/>
    <w:uiPriority w:val="0"/>
    <w:pPr>
      <w:spacing w:line="360" w:lineRule="auto"/>
      <w:ind w:firstLine="480" w:firstLineChars="200"/>
    </w:pPr>
    <w:rPr>
      <w:rFonts w:hAnsi="宋体"/>
      <w:kern w:val="0"/>
      <w:sz w:val="24"/>
    </w:rPr>
  </w:style>
  <w:style w:type="paragraph" w:customStyle="1" w:styleId="58">
    <w:name w:val="样式 样式 正文缩进正文（首行缩进两字） Char Char Char Char Char Char Char表格标题标题4文...."/>
    <w:basedOn w:val="1"/>
    <w:autoRedefine/>
    <w:qFormat/>
    <w:uiPriority w:val="0"/>
    <w:pPr>
      <w:overflowPunct w:val="0"/>
      <w:adjustRightInd w:val="0"/>
      <w:snapToGrid w:val="0"/>
      <w:spacing w:line="500" w:lineRule="exact"/>
      <w:ind w:firstLine="200" w:firstLineChars="200"/>
      <w:textAlignment w:val="baseline"/>
    </w:pPr>
    <w:rPr>
      <w:rFonts w:ascii="Calibri" w:hAnsi="Calibri" w:eastAsia="仿宋_GB2312" w:cs="宋体"/>
      <w:kern w:val="0"/>
      <w:sz w:val="28"/>
      <w:szCs w:val="20"/>
    </w:rPr>
  </w:style>
  <w:style w:type="paragraph" w:customStyle="1" w:styleId="59">
    <w:name w:val="无间隔12"/>
    <w:autoRedefine/>
    <w:qFormat/>
    <w:uiPriority w:val="99"/>
    <w:pPr>
      <w:widowControl w:val="0"/>
      <w:jc w:val="center"/>
    </w:pPr>
    <w:rPr>
      <w:rFonts w:hint="eastAsia" w:ascii="黑体" w:hAnsi="黑体" w:eastAsia="黑体" w:cs="黑体"/>
      <w:kern w:val="2"/>
      <w:sz w:val="21"/>
      <w:szCs w:val="22"/>
      <w:lang w:val="en-US" w:eastAsia="zh-CN" w:bidi="ar-SA"/>
    </w:rPr>
  </w:style>
  <w:style w:type="paragraph" w:customStyle="1" w:styleId="60">
    <w:name w:val="Table Paragraph"/>
    <w:basedOn w:val="1"/>
    <w:autoRedefine/>
    <w:qFormat/>
    <w:uiPriority w:val="0"/>
    <w:pPr>
      <w:widowControl/>
      <w:spacing w:before="10"/>
      <w:jc w:val="center"/>
    </w:pPr>
    <w:rPr>
      <w:rFonts w:ascii="宋体" w:hAnsi="宋体" w:cs="宋体"/>
      <w:kern w:val="0"/>
      <w:sz w:val="22"/>
      <w:szCs w:val="22"/>
      <w:lang w:eastAsia="en-US"/>
    </w:rPr>
  </w:style>
  <w:style w:type="character" w:customStyle="1" w:styleId="61">
    <w:name w:val="标题 3 Char"/>
    <w:autoRedefine/>
    <w:qFormat/>
    <w:uiPriority w:val="9"/>
    <w:rPr>
      <w:rFonts w:eastAsia="黑体"/>
      <w:b/>
      <w:kern w:val="2"/>
      <w:sz w:val="24"/>
      <w:szCs w:val="32"/>
    </w:rPr>
  </w:style>
  <w:style w:type="paragraph" w:customStyle="1" w:styleId="62">
    <w:name w:val="样式1"/>
    <w:basedOn w:val="23"/>
    <w:next w:val="1"/>
    <w:autoRedefine/>
    <w:qFormat/>
    <w:uiPriority w:val="0"/>
    <w:pPr>
      <w:spacing w:line="360" w:lineRule="auto"/>
      <w:ind w:firstLine="425"/>
    </w:pPr>
    <w:rPr>
      <w:kern w:val="44"/>
    </w:rPr>
  </w:style>
  <w:style w:type="character" w:customStyle="1" w:styleId="63">
    <w:name w:val="111 Char"/>
    <w:link w:val="64"/>
    <w:autoRedefine/>
    <w:qFormat/>
    <w:uiPriority w:val="0"/>
    <w:rPr>
      <w:rFonts w:ascii="Calibri" w:hAnsi="Calibri" w:eastAsia="宋体" w:cs="Times New Roman"/>
      <w:kern w:val="0"/>
      <w:sz w:val="24"/>
      <w:szCs w:val="20"/>
    </w:rPr>
  </w:style>
  <w:style w:type="paragraph" w:customStyle="1" w:styleId="64">
    <w:name w:val="报告表正文"/>
    <w:basedOn w:val="1"/>
    <w:link w:val="63"/>
    <w:autoRedefine/>
    <w:qFormat/>
    <w:uiPriority w:val="0"/>
    <w:pPr>
      <w:adjustRightInd w:val="0"/>
      <w:spacing w:line="312" w:lineRule="auto"/>
      <w:ind w:left="113" w:right="113" w:firstLine="482"/>
      <w:jc w:val="left"/>
      <w:textAlignment w:val="baseline"/>
    </w:pPr>
    <w:rPr>
      <w:rFonts w:ascii="Calibri" w:hAnsi="Calibri" w:eastAsia="宋体" w:cs="Times New Roman"/>
      <w:kern w:val="0"/>
      <w:sz w:val="24"/>
      <w:szCs w:val="20"/>
    </w:rPr>
  </w:style>
  <w:style w:type="character" w:customStyle="1" w:styleId="65">
    <w:name w:val="NormalCharacter"/>
    <w:autoRedefine/>
    <w:qFormat/>
    <w:uiPriority w:val="0"/>
  </w:style>
  <w:style w:type="paragraph" w:customStyle="1" w:styleId="66">
    <w:name w:val="南华正文"/>
    <w:basedOn w:val="1"/>
    <w:autoRedefine/>
    <w:qFormat/>
    <w:uiPriority w:val="0"/>
    <w:pPr>
      <w:widowControl w:val="0"/>
      <w:tabs>
        <w:tab w:val="left" w:pos="3795"/>
      </w:tabs>
      <w:spacing w:line="360" w:lineRule="auto"/>
      <w:ind w:left="50" w:leftChars="50" w:right="50" w:rightChars="50" w:firstLine="482" w:firstLineChars="200"/>
    </w:pPr>
    <w:rPr>
      <w:color w:val="000000"/>
      <w:sz w:val="24"/>
    </w:rPr>
  </w:style>
  <w:style w:type="paragraph" w:customStyle="1" w:styleId="67">
    <w:name w:val="无间隔1"/>
    <w:autoRedefine/>
    <w:qFormat/>
    <w:uiPriority w:val="0"/>
    <w:pPr>
      <w:widowControl w:val="0"/>
      <w:jc w:val="center"/>
    </w:pPr>
    <w:rPr>
      <w:rFonts w:ascii="Times New Roman" w:hAnsi="Times New Roman" w:eastAsia="宋体" w:cs="黑体"/>
      <w:color w:val="000000"/>
      <w:kern w:val="1"/>
      <w:sz w:val="21"/>
      <w:szCs w:val="22"/>
      <w:lang w:val="en-US" w:eastAsia="zh-CN" w:bidi="ar-SA"/>
    </w:rPr>
  </w:style>
  <w:style w:type="paragraph" w:customStyle="1" w:styleId="68">
    <w:name w:val="报告表格"/>
    <w:basedOn w:val="1"/>
    <w:autoRedefine/>
    <w:qFormat/>
    <w:uiPriority w:val="0"/>
    <w:pPr>
      <w:autoSpaceDE w:val="0"/>
      <w:autoSpaceDN w:val="0"/>
      <w:adjustRightInd w:val="0"/>
      <w:spacing w:before="40" w:after="40"/>
      <w:jc w:val="center"/>
      <w:textAlignment w:val="bottom"/>
    </w:pPr>
    <w:rPr>
      <w:kern w:val="0"/>
      <w:szCs w:val="20"/>
    </w:rPr>
  </w:style>
  <w:style w:type="paragraph" w:customStyle="1" w:styleId="69">
    <w:name w:val="正文样式"/>
    <w:basedOn w:val="1"/>
    <w:autoRedefine/>
    <w:qFormat/>
    <w:uiPriority w:val="0"/>
    <w:pPr>
      <w:ind w:right="170" w:firstLine="480" w:firstLineChars="200"/>
    </w:pPr>
    <w:rPr>
      <w:rFonts w:hAnsi="宋体"/>
    </w:rPr>
  </w:style>
  <w:style w:type="paragraph" w:customStyle="1" w:styleId="70">
    <w:name w:val="表头lcc1"/>
    <w:basedOn w:val="1"/>
    <w:autoRedefine/>
    <w:qFormat/>
    <w:uiPriority w:val="0"/>
    <w:pPr>
      <w:jc w:val="center"/>
    </w:pPr>
    <w:rPr>
      <w:rFonts w:ascii="Calibri" w:hAnsi="Calibri"/>
      <w:b/>
      <w:kern w:val="0"/>
      <w:sz w:val="20"/>
      <w:szCs w:val="20"/>
    </w:rPr>
  </w:style>
  <w:style w:type="character" w:customStyle="1" w:styleId="71">
    <w:name w:val="font11"/>
    <w:basedOn w:val="33"/>
    <w:autoRedefine/>
    <w:qFormat/>
    <w:uiPriority w:val="0"/>
    <w:rPr>
      <w:rFonts w:hint="eastAsia" w:ascii="PMingLiU" w:hAnsi="PMingLiU" w:eastAsia="PMingLiU" w:cs="PMingLiU"/>
      <w:color w:val="000000"/>
      <w:sz w:val="22"/>
      <w:szCs w:val="22"/>
      <w:u w:val="none"/>
    </w:rPr>
  </w:style>
  <w:style w:type="character" w:customStyle="1" w:styleId="72">
    <w:name w:val="font01"/>
    <w:basedOn w:val="33"/>
    <w:autoRedefine/>
    <w:qFormat/>
    <w:uiPriority w:val="0"/>
    <w:rPr>
      <w:rFonts w:hint="eastAsia" w:ascii="宋体" w:hAnsi="宋体" w:eastAsia="宋体" w:cs="宋体"/>
      <w:color w:val="000000"/>
      <w:sz w:val="22"/>
      <w:szCs w:val="22"/>
      <w:u w:val="none"/>
    </w:rPr>
  </w:style>
  <w:style w:type="paragraph" w:customStyle="1" w:styleId="73">
    <w:name w:val="报告"/>
    <w:basedOn w:val="1"/>
    <w:autoRedefine/>
    <w:qFormat/>
    <w:uiPriority w:val="0"/>
    <w:pPr>
      <w:adjustRightInd w:val="0"/>
      <w:spacing w:line="360" w:lineRule="auto"/>
      <w:ind w:firstLine="505"/>
      <w:textAlignment w:val="center"/>
    </w:pPr>
    <w:rPr>
      <w:rFonts w:ascii="TimesNewRoman" w:hAnsi="TimesNewRoman" w:eastAsia="宋体" w:cs="Times New Roman"/>
      <w:sz w:val="24"/>
    </w:rPr>
  </w:style>
  <w:style w:type="paragraph" w:customStyle="1" w:styleId="74">
    <w:name w:val="表格内容"/>
    <w:qFormat/>
    <w:uiPriority w:val="0"/>
    <w:pPr>
      <w:spacing w:line="240" w:lineRule="auto"/>
      <w:ind w:firstLine="0" w:firstLineChars="0"/>
      <w:jc w:val="center"/>
    </w:pPr>
    <w:rPr>
      <w:rFonts w:ascii="宋体" w:hAnsi="Calibri" w:eastAsia="宋体" w:cs="Times New Roman"/>
      <w:b/>
      <w:sz w:val="21"/>
      <w:szCs w:val="21"/>
      <w:lang w:val="en-US" w:eastAsia="zh-CN" w:bidi="ar-SA"/>
    </w:rPr>
  </w:style>
  <w:style w:type="paragraph" w:customStyle="1" w:styleId="75">
    <w:name w:val="表格标题"/>
    <w:next w:val="1"/>
    <w:qFormat/>
    <w:uiPriority w:val="0"/>
    <w:pPr>
      <w:spacing w:line="360" w:lineRule="auto"/>
      <w:jc w:val="center"/>
    </w:pPr>
    <w:rPr>
      <w:rFonts w:ascii="宋体" w:hAnsi="Calibri" w:eastAsia="宋体" w:cs="Times New Roman"/>
      <w:b/>
      <w:sz w:val="24"/>
      <w:szCs w:val="24"/>
      <w:lang w:val="en-US" w:eastAsia="zh-CN" w:bidi="ar-SA"/>
    </w:rPr>
  </w:style>
  <w:style w:type="paragraph" w:customStyle="1" w:styleId="76">
    <w:name w:val="表"/>
    <w:basedOn w:val="1"/>
    <w:qFormat/>
    <w:uiPriority w:val="0"/>
    <w:pPr>
      <w:spacing w:line="240" w:lineRule="auto"/>
      <w:ind w:firstLine="0" w:firstLineChars="0"/>
      <w:jc w:val="center"/>
    </w:pPr>
    <w:rPr>
      <w:rFonts w:hint="eastAsia"/>
      <w:kern w:val="0"/>
      <w:sz w:val="21"/>
      <w:szCs w:val="20"/>
    </w:rPr>
  </w:style>
  <w:style w:type="paragraph" w:customStyle="1" w:styleId="77">
    <w:name w:val="表格题注"/>
    <w:basedOn w:val="1"/>
    <w:qFormat/>
    <w:uiPriority w:val="0"/>
    <w:pPr>
      <w:adjustRightInd w:val="0"/>
      <w:snapToGrid w:val="0"/>
      <w:ind w:firstLine="0" w:firstLineChars="0"/>
      <w:jc w:val="center"/>
    </w:pPr>
    <w:rPr>
      <w:rFonts w:ascii="宋体" w:cs="Times New Roman"/>
      <w:b/>
      <w:sz w:val="21"/>
      <w:szCs w:val="24"/>
    </w:rPr>
  </w:style>
  <w:style w:type="table" w:customStyle="1" w:styleId="78">
    <w:name w:val="我的表格"/>
    <w:qFormat/>
    <w:uiPriority w:val="99"/>
    <w:pPr>
      <w:adjustRightInd w:val="0"/>
      <w:snapToGrid w:val="0"/>
    </w:pPr>
    <w:tblPr>
      <w:tblBorders>
        <w:top w:val="double" w:color="auto" w:sz="4" w:space="0"/>
        <w:bottom w:val="double" w:color="auto" w:sz="4" w:space="0"/>
        <w:insideH w:val="single" w:color="auto" w:sz="4" w:space="0"/>
        <w:insideV w:val="single" w:color="auto" w:sz="4" w:space="0"/>
      </w:tblBorders>
    </w:tblPr>
    <w:tcPr>
      <w:shd w:val="clear" w:color="auto" w:fill="auto"/>
    </w:tcPr>
    <w:tblStylePr w:type="firstRow">
      <w:rPr>
        <w:rFonts w:eastAsia="宋体"/>
        <w:sz w:val="21"/>
      </w:rPr>
      <w:tcPr>
        <w:shd w:val="clear" w:color="auto" w:fill="D8D8D8"/>
      </w:tcPr>
    </w:tblStylePr>
  </w:style>
  <w:style w:type="paragraph" w:customStyle="1" w:styleId="79">
    <w:name w:val="沈鑫正文"/>
    <w:basedOn w:val="1"/>
    <w:qFormat/>
    <w:uiPriority w:val="0"/>
    <w:pPr>
      <w:spacing w:line="360" w:lineRule="auto"/>
      <w:ind w:firstLine="420" w:firstLineChars="200"/>
    </w:pPr>
    <w:rPr>
      <w:rFonts w:ascii="Times New Roman" w:hAnsi="Times New Roman"/>
      <w:sz w:val="24"/>
    </w:rPr>
  </w:style>
  <w:style w:type="paragraph" w:customStyle="1" w:styleId="80">
    <w:name w:val="赵"/>
    <w:basedOn w:val="1"/>
    <w:qFormat/>
    <w:uiPriority w:val="0"/>
    <w:pPr>
      <w:ind w:firstLine="200" w:firstLineChars="200"/>
    </w:pPr>
    <w:rPr>
      <w:rFonts w:ascii="Calibri" w:hAnsi="Calibri" w:cs="Times New Roman"/>
      <w:color w:val="000000"/>
      <w:sz w:val="24"/>
    </w:rPr>
  </w:style>
  <w:style w:type="paragraph" w:customStyle="1" w:styleId="81">
    <w:name w:val="Table Text"/>
    <w:basedOn w:val="1"/>
    <w:semiHidden/>
    <w:qFormat/>
    <w:uiPriority w:val="0"/>
    <w:rPr>
      <w:rFonts w:ascii="Arial" w:hAnsi="Arial" w:eastAsia="Arial" w:cs="Arial"/>
      <w:sz w:val="21"/>
      <w:szCs w:val="21"/>
      <w:lang w:val="en-US" w:eastAsia="en-US" w:bidi="ar-SA"/>
    </w:rPr>
  </w:style>
  <w:style w:type="table" w:customStyle="1" w:styleId="82">
    <w:name w:val="Table Normal"/>
    <w:unhideWhenUsed/>
    <w:qFormat/>
    <w:uiPriority w:val="0"/>
    <w:tblPr>
      <w:tblCellMar>
        <w:top w:w="0" w:type="dxa"/>
        <w:left w:w="0" w:type="dxa"/>
        <w:bottom w:w="0" w:type="dxa"/>
        <w:right w:w="0" w:type="dxa"/>
      </w:tblCellMar>
    </w:tblPr>
  </w:style>
  <w:style w:type="paragraph" w:customStyle="1" w:styleId="83">
    <w:name w:val="表格文字1"/>
    <w:basedOn w:val="1"/>
    <w:qFormat/>
    <w:uiPriority w:val="0"/>
    <w:pPr>
      <w:snapToGrid w:val="0"/>
      <w:spacing w:line="360" w:lineRule="atLeast"/>
      <w:jc w:val="center"/>
    </w:pPr>
    <w:rPr>
      <w:sz w:val="18"/>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6" Type="http://schemas.openxmlformats.org/officeDocument/2006/relationships/fontTable" Target="fontTable.xml"/><Relationship Id="rId35" Type="http://schemas.openxmlformats.org/officeDocument/2006/relationships/customXml" Target="../customXml/item2.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footer" Target="foot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jpeg"/><Relationship Id="rId16" Type="http://schemas.openxmlformats.org/officeDocument/2006/relationships/image" Target="media/image4.png"/><Relationship Id="rId15" Type="http://schemas.openxmlformats.org/officeDocument/2006/relationships/image" Target="media/image3.emf"/><Relationship Id="rId14" Type="http://schemas.openxmlformats.org/officeDocument/2006/relationships/oleObject" Target="embeddings/oleObject2.bin"/><Relationship Id="rId13" Type="http://schemas.openxmlformats.org/officeDocument/2006/relationships/image" Target="media/image2.emf"/><Relationship Id="rId12" Type="http://schemas.openxmlformats.org/officeDocument/2006/relationships/oleObject" Target="embeddings/oleObject1.bin"/><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b731e249-dd9d-45e8-bb32-defbc8b48c5f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4A8E0AEF</paraID>
      <start>1</start>
      <end>2</end>
      <status>unmodified</status>
      <modifiedWord/>
      <trackRevisions>false</trackRevisions>
    </reviewItem>
    <reviewItem>
      <errorID>44f0ada4-f734-47d3-b54c-e14a161c150c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5AB2CAF6</paraID>
      <start>1</start>
      <end>2</end>
      <status>unmodified</status>
      <modifiedWord/>
      <trackRevisions>false</trackRevisions>
    </reviewItem>
    <reviewItem>
      <errorID>419f7320-6c25-434e-82b3-ba9bf9db7289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25392EA7</paraID>
      <start>8</start>
      <end>9</end>
      <status>unmodified</status>
      <modifiedWord/>
      <trackRevisions>false</trackRevisions>
    </reviewItem>
    <reviewItem>
      <errorID>bf11d6df-9ece-4d09-af57-f1b238601de4</errorID>
      <errorWord>处理达《城市污水</errorWord>
      <group>L1_Word</group>
      <groupName>字词问题</groupName>
      <ability>L2_Typo</ability>
      <abilityName>字词错误</abilityName>
      <candidateList>
        <item>处理达到《城市污水</item>
      </candidateList>
      <explain/>
      <paraID>33BA74DD</paraID>
      <start>36</start>
      <end>44</end>
      <status>unmodified</status>
      <modifiedWord/>
      <trackRevisions>false</trackRevisions>
    </reviewItem>
    <reviewItem>
      <errorID>b61ec896-e99f-4d01-b430-f9cabee55328</errorID>
      <errorWord>的批复”</errorWord>
      <group>L1_Punc</group>
      <groupName>标点问题</groupName>
      <ability>L2_Punc_CN</ability>
      <abilityName>标点符号问题</abilityName>
      <candidateList>
        <item>的批复》</item>
      </candidateList>
      <explain/>
      <paraID> 631A15E</paraID>
      <start>46</start>
      <end>50</end>
      <status>unmodified</status>
      <modifiedWord/>
      <trackRevisions>false</trackRevisions>
    </reviewItem>
    <reviewItem>
      <errorID>18fb8cdc-8bfa-4a2a-90bc-acfea2c9afa0</errorID>
      <errorWord>，</errorWord>
      <group>L1_Word</group>
      <groupName>字词问题</groupName>
      <ability>L2_Typo</ability>
      <abilityName>字词错误</abilityName>
      <candidateList>
        <item>，在</item>
      </candidateList>
      <explain/>
      <paraID>1EE24212</paraID>
      <start>77</start>
      <end>78</end>
      <status>unmodified</status>
      <modifiedWord/>
      <trackRevisions>false</trackRevisions>
    </reviewItem>
    <reviewItem>
      <errorID>35bd6c37-a81f-4b08-8f24-86b46b247876</errorID>
      <errorWord>施行</errorWord>
      <group>L1_Word</group>
      <groupName>字词问题</groupName>
      <ability>L2_Typo</ability>
      <abilityName>字词错误</abilityName>
      <candidateList>
        <item>实行</item>
      </candidateList>
      <explain/>
      <paraID>3C18F0DD</paraID>
      <start>2</start>
      <end>4</end>
      <status>unmodified</status>
      <modifiedWord/>
      <trackRevisions>false</trackRevisions>
    </reviewItem>
    <reviewItem>
      <errorID>9e05aed7-2a07-47fa-9b02-b9f90f732b39</errorID>
      <errorWord>施行</errorWord>
      <group>L1_Word</group>
      <groupName>字词问题</groupName>
      <ability>L2_Typo</ability>
      <abilityName>字词错误</abilityName>
      <candidateList>
        <item>实行</item>
      </candidateList>
      <explain/>
      <paraID>70524564</paraID>
      <start>61</start>
      <end>63</end>
      <status>unmodified</status>
      <modifiedWord/>
      <trackRevisions>false</trackRevisions>
    </reviewItem>
    <reviewItem>
      <errorID>b1f7b8e0-36bb-492d-9f56-299fea3ae113</errorID>
      <errorWord>，</errorWord>
      <group>L1_Word</group>
      <groupName>字词问题</groupName>
      <ability>L2_Typo</ability>
      <abilityName>字词错误</abilityName>
      <candidateList>
        <item>，在</item>
      </candidateList>
      <explain/>
      <paraID>581FFD31</paraID>
      <start>97</start>
      <end>98</end>
      <status>unmodified</status>
      <modifiedWord/>
      <trackRevisions>false</trackRevisions>
    </reviewItem>
    <reviewItem>
      <errorID>d6a66e91-3214-4feb-babc-1d29720ac8fb</errorID>
      <errorWord>耕地占补平衡等制度</errorWord>
      <group>L1_Political</group>
      <groupName>政治性问题</groupName>
      <ability>L2_Keyword</ability>
      <abilityName>固定表述</abilityName>
      <candidateList>
        <item>耕地占补平衡制度</item>
      </candidateList>
      <explain>词汇“耕地占补平衡制度”在特定场景下为固定表述形式，请确认此处的“耕地占补平衡等制度”是否存在不当。</explain>
      <paraID>5F9CBFF1</paraID>
      <start>35</start>
      <end>44</end>
      <status>unmodified</status>
      <modifiedWord/>
      <trackRevisions>false</trackRevisions>
    </reviewItem>
    <reviewItem>
      <errorID>6d595239-055c-4fe2-9aee-6aae43fcb6bd</errorID>
      <errorWord>达</errorWord>
      <group>L1_Word</group>
      <groupName>字词问题</groupName>
      <ability>L2_Typo</ability>
      <abilityName>字词错误</abilityName>
      <candidateList>
        <item>达到</item>
      </candidateList>
      <explain/>
      <paraID>344C121B</paraID>
      <start>40</start>
      <end>41</end>
      <status>unmodified</status>
      <modifiedWord/>
      <trackRevisions>false</trackRevisions>
    </reviewItem>
    <reviewItem>
      <errorID>d31edb4b-2ff7-4f3c-82ec-630894f97882</errorID>
      <errorWord>门</errorWord>
      <group>L1_Word</group>
      <groupName>字词问题</groupName>
      <ability>L2_Typo</ability>
      <abilityName>字词错误</abilityName>
      <candidateList>
        <item>门县</item>
      </candidateList>
      <explain/>
      <paraID>3B3E5B74</paraID>
      <start>11</start>
      <end>12</end>
      <status>unmodified</status>
      <modifiedWord/>
      <trackRevisions>false</trackRevisions>
    </reviewItem>
    <reviewItem>
      <errorID>cf63d467-11ca-42b8-8fbd-f30d7fd9270a</errorID>
      <errorWord>国家投资主管部门</errorWord>
      <group>L1_Political</group>
      <groupName>政治性问题</groupName>
      <ability>L2_Keyword</ability>
      <abilityName>固定表述</abilityName>
      <candidateList>
        <item>国务院投资主管部门</item>
      </candidateList>
      <explain>词汇“国务院投资主管部门”在特定场景下为固定表述形式，请确认此处的“国家投资主管部门”是否存在不当。</explain>
      <paraID>5280847E</paraID>
      <start>26</start>
      <end>34</end>
      <status>unmodified</status>
      <modifiedWord/>
      <trackRevisions>false</trackRevisions>
    </reviewItem>
    <reviewItem>
      <errorID>134a063d-3931-46b5-bd62-1629b3fa0a00</errorID>
      <errorWord>根据与</errorWord>
      <group>L1_Word</group>
      <groupName>字词问题</groupName>
      <ability>L2_Typo</ability>
      <abilityName>字词错误</abilityName>
      <candidateList>
        <item>根据</item>
      </candidateList>
      <explain/>
      <paraID>36FD3FB3</paraID>
      <start>0</start>
      <end>3</end>
      <status>unmodified</status>
      <modifiedWord/>
      <trackRevisions>false</trackRevisions>
    </reviewItem>
    <reviewItem>
      <errorID>caceb611-e1b7-4900-95aa-69fb4fcb34eb</errorID>
      <errorWord>大气污染物治理</errorWord>
      <group>L1_Political</group>
      <groupName>政治性问题</groupName>
      <ability>L2_Keyword</ability>
      <abilityName>固定表述</abilityName>
      <candidateList>
        <item>大气污染治理</item>
      </candidateList>
      <explain>词汇“大气污染治理”在特定场景下为固定表述形式，请确认此处的“大气污染物治理”是否存在不当。</explain>
      <paraID>5B8E9AC7</paraID>
      <start>56</start>
      <end>63</end>
      <status>unmodified</status>
      <modifiedWord/>
      <trackRevisions>false</trackRevisions>
    </reviewItem>
    <reviewItem>
      <errorID>74f04fda-835b-4ccc-bc2e-838ace20b834</errorID>
      <errorWord>属</errorWord>
      <group>L1_Word</group>
      <groupName>字词问题</groupName>
      <ability>L2_Typo</ability>
      <abilityName>字词错误</abilityName>
      <candidateList>
        <item>属于</item>
      </candidateList>
      <explain/>
      <paraID>6759CBFC</paraID>
      <start>10</start>
      <end>11</end>
      <status>unmodified</status>
      <modifiedWord/>
      <trackRevisions>false</trackRevisions>
    </reviewItem>
    <reviewItem>
      <errorID>98416050-eb0e-4df4-9913-c52c6ee40eb4</errorID>
      <errorWord>胶粘剂</errorWord>
      <group>L1_Word</group>
      <groupName>字词问题</groupName>
      <ability>L2_Typo</ability>
      <abilityName>字词错误</abilityName>
      <candidateList>
        <item>胶黏剂</item>
      </candidateList>
      <explain/>
      <paraID>567C025C</paraID>
      <start>42</start>
      <end>45</end>
      <status>unmodified</status>
      <modifiedWord/>
      <trackRevisions>false</trackRevisions>
    </reviewItem>
    <reviewItem>
      <errorID>d7b48746-5155-467c-8431-e577e338b156</errorID>
      <errorWord>胶粘剂</errorWord>
      <group>L1_Word</group>
      <groupName>字词问题</groupName>
      <ability>L2_Typo</ability>
      <abilityName>字词错误</abilityName>
      <candidateList>
        <item>胶黏剂</item>
      </candidateList>
      <explain/>
      <paraID>3B7F8343</paraID>
      <start>16</start>
      <end>19</end>
      <status>unmodified</status>
      <modifiedWord/>
      <trackRevisions>false</trackRevisions>
    </reviewItem>
    <reviewItem>
      <errorID>f0536914-3d02-4e8d-95ee-d4ea3fd5b499</errorID>
      <errorWord>胶粘剂</errorWord>
      <group>L1_Word</group>
      <groupName>字词问题</groupName>
      <ability>L2_Typo</ability>
      <abilityName>字词错误</abilityName>
      <candidateList>
        <item>胶黏剂</item>
      </candidateList>
      <explain/>
      <paraID>3E96C902</paraID>
      <start>98</start>
      <end>101</end>
      <status>unmodified</status>
      <modifiedWord/>
      <trackRevisions>false</trackRevisions>
    </reviewItem>
    <reviewItem>
      <errorID>0703f548-dae2-402c-b664-2e53435d2544</errorID>
      <errorWord>胶粘剂</errorWord>
      <group>L1_Word</group>
      <groupName>字词问题</groupName>
      <ability>L2_Typo</ability>
      <abilityName>字词错误</abilityName>
      <candidateList>
        <item>胶黏剂</item>
      </candidateList>
      <explain/>
      <paraID>3E96C902</paraID>
      <start>134</start>
      <end>137</end>
      <status>unmodified</status>
      <modifiedWord/>
      <trackRevisions>false</trackRevisions>
    </reviewItem>
    <reviewItem>
      <errorID>b6fde3f6-f6ff-411d-aa94-64feedf9ac09</errorID>
      <errorWord>胶粘剂</errorWord>
      <group>L1_Word</group>
      <groupName>字词问题</groupName>
      <ability>L2_Typo</ability>
      <abilityName>字词错误</abilityName>
      <candidateList>
        <item>胶黏剂</item>
      </candidateList>
      <explain/>
      <paraID> 147E08C</paraID>
      <start>8</start>
      <end>11</end>
      <status>unmodified</status>
      <modifiedWord/>
      <trackRevisions>false</trackRevisions>
    </reviewItem>
    <reviewItem>
      <errorID>f1e35d77-bc42-4a7e-9b5c-a552bb35f989</errorID>
      <errorWord>胶粘剂</errorWord>
      <group>L1_Word</group>
      <groupName>字词问题</groupName>
      <ability>L2_Typo</ability>
      <abilityName>字词错误</abilityName>
      <candidateList>
        <item>胶黏剂</item>
      </candidateList>
      <explain/>
      <paraID>3A27D2F7</paraID>
      <start>98</start>
      <end>101</end>
      <status>unmodified</status>
      <modifiedWord/>
      <trackRevisions>false</trackRevisions>
    </reviewItem>
    <reviewItem>
      <errorID>83d4c8c5-9910-44f3-a0c6-440a2c4c0762</errorID>
      <errorWord>胶粘剂</errorWord>
      <group>L1_Word</group>
      <groupName>字词问题</groupName>
      <ability>L2_Typo</ability>
      <abilityName>字词错误</abilityName>
      <candidateList>
        <item>胶黏剂</item>
      </candidateList>
      <explain/>
      <paraID>3A27D2F7</paraID>
      <start>134</start>
      <end>137</end>
      <status>unmodified</status>
      <modifiedWord/>
      <trackRevisions>false</trackRevisions>
    </reviewItem>
    <reviewItem>
      <errorID>2e4918a9-e7a3-4e15-96a4-f0b0117f11bb</errorID>
      <errorWord>胶粘剂</errorWord>
      <group>L1_Word</group>
      <groupName>字词问题</groupName>
      <ability>L2_Typo</ability>
      <abilityName>字词错误</abilityName>
      <candidateList>
        <item>胶黏剂</item>
      </candidateList>
      <explain/>
      <paraID>3A27D2F7</paraID>
      <start>305</start>
      <end>308</end>
      <status>unmodified</status>
      <modifiedWord/>
      <trackRevisions>false</trackRevisions>
    </reviewItem>
    <reviewItem>
      <errorID>143d538b-0e05-4a4e-9c0e-498def66d32d</errorID>
      <errorWord>胶粘剂</errorWord>
      <group>L1_Word</group>
      <groupName>字词问题</groupName>
      <ability>L2_Typo</ability>
      <abilityName>字词错误</abilityName>
      <candidateList>
        <item>胶黏剂</item>
      </candidateList>
      <explain/>
      <paraID>3A27D2F7</paraID>
      <start>326</start>
      <end>329</end>
      <status>unmodified</status>
      <modifiedWord/>
      <trackRevisions>false</trackRevisions>
    </reviewItem>
    <reviewItem>
      <errorID>a0f9e152-61ef-4acb-8b28-1549f54047b1</errorID>
      <errorWord>胶粘剂</errorWord>
      <group>L1_Word</group>
      <groupName>字词问题</groupName>
      <ability>L2_Typo</ability>
      <abilityName>字词错误</abilityName>
      <candidateList>
        <item>胶黏剂</item>
      </candidateList>
      <explain/>
      <paraID>409A14BD</paraID>
      <start>8</start>
      <end>11</end>
      <status>unmodified</status>
      <modifiedWord/>
      <trackRevisions>false</trackRevisions>
    </reviewItem>
    <reviewItem>
      <errorID>538a3a14-445a-4eb4-b592-c52c72f44ee0</errorID>
      <errorWord>程</errorWord>
      <group>L1_Word</group>
      <groupName>字词问题</groupName>
      <ability>L2_Typo</ability>
      <abilityName>字词错误</abilityName>
      <candidateList>
        <item>程中</item>
      </candidateList>
      <explain/>
      <paraID>6A9CDA71</paraID>
      <start>169</start>
      <end>170</end>
      <status>unmodified</status>
      <modifiedWord/>
      <trackRevisions>false</trackRevisions>
    </reviewItem>
    <reviewItem>
      <errorID>475f119e-2d90-4918-920f-7c4dbc5de181</errorID>
      <errorWord>针</errorWord>
      <group>L1_Word</group>
      <groupName>字词问题</groupName>
      <ability>L2_Typo</ability>
      <abilityName>字词错误</abilityName>
      <candidateList>
        <item>针对</item>
      </candidateList>
      <explain/>
      <paraID>3E5514F3</paraID>
      <start>70</start>
      <end>71</end>
      <status>unmodified</status>
      <modifiedWord/>
      <trackRevisions>false</trackRevisions>
    </reviewItem>
    <reviewItem>
      <errorID>4eaeae8c-3bc3-436d-a977-c156d2ff4fc1</errorID>
      <errorWord>胶粘剂</errorWord>
      <group>L1_Word</group>
      <groupName>字词问题</groupName>
      <ability>L2_Typo</ability>
      <abilityName>字词错误</abilityName>
      <candidateList>
        <item>胶黏剂</item>
      </candidateList>
      <explain/>
      <paraID> 72A3EAC</paraID>
      <start>178</start>
      <end>181</end>
      <status>unmodified</status>
      <modifiedWord/>
      <trackRevisions>false</trackRevisions>
    </reviewItem>
    <reviewItem>
      <errorID>fe3ba6dc-0ccd-4f01-bda4-fcb67cb19f2f</errorID>
      <errorWord>胶粘剂</errorWord>
      <group>L1_Word</group>
      <groupName>字词问题</groupName>
      <ability>L2_Typo</ability>
      <abilityName>字词错误</abilityName>
      <candidateList>
        <item>胶黏剂</item>
      </candidateList>
      <explain/>
      <paraID> 72A3EAC</paraID>
      <start>386</start>
      <end>389</end>
      <status>unmodified</status>
      <modifiedWord/>
      <trackRevisions>false</trackRevisions>
    </reviewItem>
    <reviewItem>
      <errorID>386059e2-7577-4b83-bb4e-64ea16a5f570</errorID>
      <errorWord>强</errorWord>
      <group>L1_Word</group>
      <groupName>字词问题</groupName>
      <ability>L2_Typo</ability>
      <abilityName>字词错误</abilityName>
      <candidateList>
        <item>强对</item>
      </candidateList>
      <explain/>
      <paraID>144F0351</paraID>
      <start>285</start>
      <end>286</end>
      <status>unmodified</status>
      <modifiedWord/>
      <trackRevisions>false</trackRevisions>
    </reviewItem>
    <reviewItem>
      <errorID>f235e66e-3fea-4d24-9250-a8d57f8b137e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144F0351</paraID>
      <start>352</start>
      <end>353</end>
      <status>unmodified</status>
      <modifiedWord/>
      <trackRevisions>false</trackRevisions>
    </reviewItem>
    <reviewItem>
      <errorID>288a72e4-f507-4e33-b97b-3d7c312254f4</errorID>
      <errorWord>确定</errorWord>
      <group>L1_Word</group>
      <groupName>字词问题</groupName>
      <ability>L2_Typo</ability>
      <abilityName>字词错误</abilityName>
      <candidateList>
        <item>确保</item>
      </candidateList>
      <explain/>
      <paraID> 15DBF2B</paraID>
      <start>39</start>
      <end>41</end>
      <status>unmodified</status>
      <modifiedWord/>
      <trackRevisions>false</trackRevisions>
    </reviewItem>
    <reviewItem>
      <errorID>40a7d2b5-18d1-4bb0-9918-93e8c0a7c11d</errorID>
      <errorWord>;</errorWord>
      <group>L1_Format</group>
      <groupName>格式问题</groupName>
      <ability>L2_HalfPunc_CN</ability>
      <abilityName>全半角问题</abilityName>
      <candidateList>
        <item>；</item>
      </candidateList>
      <explain>文本全半角错误。</explain>
      <paraID> 6C9EF98</paraID>
      <start>37</start>
      <end>38</end>
      <status>unmodified</status>
      <modifiedWord/>
      <trackRevisions>false</trackRevisions>
    </reviewItem>
    <reviewItem>
      <errorID>a38fbd91-8944-47e6-b33b-d7ebb2eb1b98</errorID>
      <errorWord>三区三线</errorWord>
      <group>L1_Political</group>
      <groupName>政治性问题</groupName>
      <ability>L2_Keyword</ability>
      <abilityName>固定表述</abilityName>
      <candidateList>
        <item>‘三区三线’</item>
      </candidateList>
      <explain>注意检查当前固定表述标点是否使用规范。</explain>
      <paraID>7079973E</paraID>
      <start>69</start>
      <end>73</end>
      <status>unmodified</status>
      <modifiedWord/>
      <trackRevisions>false</trackRevisions>
    </reviewItem>
    <reviewItem>
      <errorID>6b3fe97d-aee6-472e-9cc9-2b86112ca6df</errorID>
      <errorWord>属</errorWord>
      <group>L1_Word</group>
      <groupName>字词问题</groupName>
      <ability>L2_Typo</ability>
      <abilityName>字词错误</abilityName>
      <candidateList>
        <item>属于</item>
      </candidateList>
      <explain/>
      <paraID> 81A46E5</paraID>
      <start>118</start>
      <end>119</end>
      <status>unmodified</status>
      <modifiedWord/>
      <trackRevisions>false</trackRevisions>
    </reviewItem>
    <reviewItem>
      <errorID>9aa992d4-62b6-42f8-98cd-bb1230016898</errorID>
      <errorWord>2022年08月25日</errorWord>
      <group>L1_Knowledge</group>
      <groupName>知识性问题</groupName>
      <ability>L2_Time</ability>
      <abilityName>日期时间</abilityName>
      <candidateList>
        <item>2022年8月25日</item>
      </candidateList>
      <explain>根据日常书写习惯，月份一般会省略前导零。</explain>
      <paraID>1E3C3AA7</paraID>
      <start>265</start>
      <end>276</end>
      <status>unmodified</status>
      <modifiedWord/>
      <trackRevisions>false</trackRevisions>
    </reviewItem>
    <reviewItem>
      <errorID>7c77c3b0-c3f5-4a12-9818-6864298217ce</errorID>
      <errorWord>验</errorWord>
      <group>L1_Word</group>
      <groupName>字词问题</groupName>
      <ability>L2_Typo</ability>
      <abilityName>字词错误</abilityName>
      <candidateList>
        <item>验收</item>
      </candidateList>
      <explain/>
      <paraID>1E3C3AA7</paraID>
      <start>375</start>
      <end>376</end>
      <status>unmodified</status>
      <modifiedWord/>
      <trackRevisions>false</trackRevisions>
    </reviewItem>
    <reviewItem>
      <errorID>89b80559-86b8-4eab-af0e-e4802eaf9120</errorID>
      <errorWord>期间</errorWord>
      <group>L1_Word</group>
      <groupName>字词问题</groupName>
      <ability>L2_Typo</ability>
      <abilityName>字词错误</abilityName>
      <candidateList>
        <item>其间</item>
      </candidateList>
      <explain/>
      <paraID>1E3C3AA7</paraID>
      <start>379</start>
      <end>381</end>
      <status>unmodified</status>
      <modifiedWord/>
      <trackRevisions>false</trackRevisions>
    </reviewItem>
    <reviewItem>
      <errorID>d4f3c6ae-1f5b-4bc5-80b0-4bc5385b177f</errorID>
      <errorWord>处理达《城市污水</errorWord>
      <group>L1_Word</group>
      <groupName>字词问题</groupName>
      <ability>L2_Typo</ability>
      <abilityName>字词错误</abilityName>
      <candidateList>
        <item>处理达到《城市污水</item>
      </candidateList>
      <explain/>
      <paraID> 9CB955A</paraID>
      <start>29</start>
      <end>37</end>
      <status>unmodified</status>
      <modifiedWord/>
      <trackRevisions>false</trackRevisions>
    </reviewItem>
    <reviewItem>
      <errorID>8047a596-873d-4d7a-9a6f-8bbc3a5db17c</errorID>
      <errorWord>其它人工</errorWord>
      <group>L1_Word</group>
      <groupName>字词问题</groupName>
      <ability>L2_Alias</ability>
      <abilityName>也作/曾用词</abilityName>
      <candidateList>
        <item>其他人工</item>
      </candidateList>
      <explain>词汇[其它人工]为不规范表述或旧称，其规范书面表述为[其他人工]。</explain>
      <paraID>5B982AF3</paraID>
      <start>87</start>
      <end>91</end>
      <status>unmodified</status>
      <modifiedWord/>
      <trackRevisions>false</trackRevisions>
    </reviewItem>
    <reviewItem>
      <errorID>81cc4d32-5bcf-4178-9367-83c942446e03</errorID>
      <errorWord>，</errorWord>
      <group>L1_Word</group>
      <groupName>字词问题</groupName>
      <ability>L2_Typo</ability>
      <abilityName>字词错误</abilityName>
      <candidateList>
        <item>，是</item>
      </candidateList>
      <explain/>
      <paraID>1A77E07B</paraID>
      <start>25</start>
      <end>26</end>
      <status>unmodified</status>
      <modifiedWord/>
      <trackRevisions>false</trackRevisions>
    </reviewItem>
    <reviewItem>
      <errorID>b60e129b-ede1-48c5-b58c-f0f83ca2885c</errorID>
      <errorWord>变型</errorWord>
      <group>L1_Word</group>
      <groupName>字词问题</groupName>
      <ability>L2_Typo</ability>
      <abilityName>字词错误</abilityName>
      <candidateList>
        <item>变性</item>
      </candidateList>
      <explain/>
      <paraID>1A77E07B</paraID>
      <start>209</start>
      <end>211</end>
      <status>unmodified</status>
      <modifiedWord/>
      <trackRevisions>false</trackRevisions>
    </reviewItem>
    <reviewItem>
      <errorID>12389462-2305-4976-8089-0bb83ae07240</errorID>
      <errorWord>~</errorWord>
      <group>L1_Format</group>
      <groupName>格式问题</groupName>
      <ability>L2_HalfPunc_CN</ability>
      <abilityName>全半角问题</abilityName>
      <candidateList>
        <item>～</item>
      </candidateList>
      <explain>文本全半角错误。</explain>
      <paraID>1A77E07B</paraID>
      <start>1042</start>
      <end>1043</end>
      <status>unmodified</status>
      <modifiedWord/>
      <trackRevisions>false</trackRevisions>
    </reviewItem>
    <reviewItem>
      <errorID>7e8c2556-b41e-4114-8a3e-f322b8aacdd8</errorID>
      <errorWord>热变型温度</errorWord>
      <group>L1_Knowledge</group>
      <groupName>知识性问题</groupName>
      <ability>L2_Term</ability>
      <abilityName>专业术语</abilityName>
      <candidateList>
        <item>热变形温度</item>
      </candidateList>
      <explain/>
      <paraID>673AA7F9</paraID>
      <start>64</start>
      <end>69</end>
      <status>unmodified</status>
      <modifiedWord/>
      <trackRevisions>false</trackRevisions>
    </reviewItem>
    <reviewItem>
      <errorID>628a188e-3370-46c6-a082-f9480122614f</errorID>
      <errorWord>调式</errorWord>
      <group>L1_Word</group>
      <groupName>字词问题</groupName>
      <ability>L2_Typo</ability>
      <abilityName>字词错误</abilityName>
      <candidateList>
        <item>调试</item>
      </candidateList>
      <explain/>
      <paraID>73230046</paraID>
      <start>31</start>
      <end>33</end>
      <status>unmodified</status>
      <modifiedWord/>
      <trackRevisions>false</trackRevisions>
    </reviewItem>
    <reviewItem>
      <errorID>7ea471b5-c8ed-41b2-85b5-d8057bf33765</errorID>
      <errorWord>预热</errorWord>
      <group>L1_Word</group>
      <groupName>字词问题</groupName>
      <ability>L2_Typo</ability>
      <abilityName>字词错误</abilityName>
      <candidateList>
        <item>余热</item>
      </candidateList>
      <explain/>
      <paraID>71D88659</paraID>
      <start>75</start>
      <end>77</end>
      <status>unmodified</status>
      <modifiedWord/>
      <trackRevisions>false</trackRevisions>
    </reviewItem>
    <reviewItem>
      <errorID>24a08533-7f9a-44aa-9dd8-9cf77fc7ba09</errorID>
      <errorWord>要</errorWord>
      <group>L1_Word</group>
      <groupName>字词问题</groupName>
      <ability>L2_Typo</ability>
      <abilityName>字词错误</abilityName>
      <candidateList>
        <item>要有</item>
      </candidateList>
      <explain/>
      <paraID> EE80058</paraID>
      <start>129</start>
      <end>130</end>
      <status>unmodified</status>
      <modifiedWord/>
      <trackRevisions>false</trackRevisions>
    </reviewItem>
    <reviewItem>
      <errorID>4872f69e-7c95-4479-b850-32945fbb25dd</errorID>
      <errorWord>（</errorWord>
      <group>L1_Format</group>
      <groupName>格式问题</groupName>
      <ability>L2_HalfPunc_CN</ability>
      <abilityName>全半角问题</abilityName>
      <candidateList>
        <item>(</item>
      </candidateList>
      <explain>文本全半角错误。</explain>
      <paraID>686BB12E</paraID>
      <start>0</start>
      <end>1</end>
      <status>unmodified</status>
      <modifiedWord/>
      <trackRevisions>false</trackRevisions>
    </reviewItem>
    <reviewItem>
      <errorID>1cf02156-83dc-4ce8-886a-f19d195476c8</errorID>
      <errorWord>）</errorWord>
      <group>L1_Format</group>
      <groupName>格式问题</groupName>
      <ability>L2_HalfPunc_CN</ability>
      <abilityName>全半角问题</abilityName>
      <candidateList>
        <item>)</item>
      </candidateList>
      <explain>文本全半角错误。</explain>
      <paraID>686BB12E</paraID>
      <start>6</start>
      <end>7</end>
      <status>unmodified</status>
      <modifiedWord/>
      <trackRevisions>false</trackRevisions>
    </reviewItem>
    <reviewItem>
      <errorID>46ab5a8f-3c14-4989-b73a-df117ca276b3</errorID>
      <errorWord>（</errorWord>
      <group>L1_Format</group>
      <groupName>格式问题</groupName>
      <ability>L2_HalfPunc_CN</ability>
      <abilityName>全半角问题</abilityName>
      <candidateList>
        <item>(</item>
      </candidateList>
      <explain>文本全半角错误。</explain>
      <paraID> 8605F04</paraID>
      <start>0</start>
      <end>1</end>
      <status>unmodified</status>
      <modifiedWord/>
      <trackRevisions>false</trackRevisions>
    </reviewItem>
    <reviewItem>
      <errorID>4289ace7-dba4-46e3-a23b-ebcd5177118b</errorID>
      <errorWord>）</errorWord>
      <group>L1_Format</group>
      <groupName>格式问题</groupName>
      <ability>L2_HalfPunc_CN</ability>
      <abilityName>全半角问题</abilityName>
      <candidateList>
        <item>)</item>
      </candidateList>
      <explain>文本全半角错误。</explain>
      <paraID> 8605F04</paraID>
      <start>5</start>
      <end>6</end>
      <status>unmodified</status>
      <modifiedWord/>
      <trackRevisions>false</trackRevisions>
    </reviewItem>
    <reviewItem>
      <errorID>1f4fbbb5-c657-420a-a407-07203d97e8da</errorID>
      <errorWord>（</errorWord>
      <group>L1_Format</group>
      <groupName>格式问题</groupName>
      <ability>L2_HalfPunc_CN</ability>
      <abilityName>全半角问题</abilityName>
      <candidateList>
        <item>(</item>
      </candidateList>
      <explain>文本全半角错误。</explain>
      <paraID>2E5C5584</paraID>
      <start>0</start>
      <end>1</end>
      <status>unmodified</status>
      <modifiedWord/>
      <trackRevisions>false</trackRevisions>
    </reviewItem>
    <reviewItem>
      <errorID>8be1aa6a-0254-439d-90a8-7f70affe72dc</errorID>
      <errorWord>）</errorWord>
      <group>L1_Format</group>
      <groupName>格式问题</groupName>
      <ability>L2_HalfPunc_CN</ability>
      <abilityName>全半角问题</abilityName>
      <candidateList>
        <item>)</item>
      </candidateList>
      <explain>文本全半角错误。</explain>
      <paraID>2E5C5584</paraID>
      <start>6</start>
      <end>7</end>
      <status>unmodified</status>
      <modifiedWord/>
      <trackRevisions>false</trackRevisions>
    </reviewItem>
    <reviewItem>
      <errorID>9bbb5b9b-ca97-44b7-aa56-30f70d2f9df0</errorID>
      <errorWord>（</errorWord>
      <group>L1_Format</group>
      <groupName>格式问题</groupName>
      <ability>L2_HalfPunc_CN</ability>
      <abilityName>全半角问题</abilityName>
      <candidateList>
        <item>(</item>
      </candidateList>
      <explain>文本全半角错误。</explain>
      <paraID>37572D75</paraID>
      <start>0</start>
      <end>1</end>
      <status>unmodified</status>
      <modifiedWord/>
      <trackRevisions>false</trackRevisions>
    </reviewItem>
    <reviewItem>
      <errorID>2af68e93-8012-41c3-a1a6-5b60ed50f993</errorID>
      <errorWord>）</errorWord>
      <group>L1_Format</group>
      <groupName>格式问题</groupName>
      <ability>L2_HalfPunc_CN</ability>
      <abilityName>全半角问题</abilityName>
      <candidateList>
        <item>)</item>
      </candidateList>
      <explain>文本全半角错误。</explain>
      <paraID>37572D75</paraID>
      <start>5</start>
      <end>6</end>
      <status>unmodified</status>
      <modifiedWord/>
      <trackRevisions>false</trackRevisions>
    </reviewItem>
    <reviewItem>
      <errorID>09392ae7-3b88-48e0-97dd-f6bc7b78b297</errorID>
      <errorWord>（</errorWord>
      <group>L1_Format</group>
      <groupName>格式问题</groupName>
      <ability>L2_HalfPunc_CN</ability>
      <abilityName>全半角问题</abilityName>
      <candidateList>
        <item>(</item>
      </candidateList>
      <explain>文本全半角错误。</explain>
      <paraID>5E5A390D</paraID>
      <start>0</start>
      <end>1</end>
      <status>unmodified</status>
      <modifiedWord/>
      <trackRevisions>false</trackRevisions>
    </reviewItem>
    <reviewItem>
      <errorID>e20d527f-f867-42d0-a749-9483773c18db</errorID>
      <errorWord>）</errorWord>
      <group>L1_Format</group>
      <groupName>格式问题</groupName>
      <ability>L2_HalfPunc_CN</ability>
      <abilityName>全半角问题</abilityName>
      <candidateList>
        <item>)</item>
      </candidateList>
      <explain>文本全半角错误。</explain>
      <paraID>5E5A390D</paraID>
      <start>6</start>
      <end>7</end>
      <status>unmodified</status>
      <modifiedWord/>
      <trackRevisions>false</trackRevisions>
    </reviewItem>
    <reviewItem>
      <errorID>ffbb7459-2abd-470e-aded-685db7677f56</errorID>
      <errorWord>（</errorWord>
      <group>L1_Format</group>
      <groupName>格式问题</groupName>
      <ability>L2_HalfPunc_CN</ability>
      <abilityName>全半角问题</abilityName>
      <candidateList>
        <item>(</item>
      </candidateList>
      <explain>文本全半角错误。</explain>
      <paraID>2FED1951</paraID>
      <start>0</start>
      <end>1</end>
      <status>unmodified</status>
      <modifiedWord/>
      <trackRevisions>false</trackRevisions>
    </reviewItem>
    <reviewItem>
      <errorID>14c54080-5555-43b6-a792-353eb13c214e</errorID>
      <errorWord>）</errorWord>
      <group>L1_Format</group>
      <groupName>格式问题</groupName>
      <ability>L2_HalfPunc_CN</ability>
      <abilityName>全半角问题</abilityName>
      <candidateList>
        <item>)</item>
      </candidateList>
      <explain>文本全半角错误。</explain>
      <paraID>2FED1951</paraID>
      <start>5</start>
      <end>6</end>
      <status>unmodified</status>
      <modifiedWord/>
      <trackRevisions>false</trackRevisions>
    </reviewItem>
    <reviewItem>
      <errorID>0a6dea94-4bd7-4270-8406-f292e9ca7260</errorID>
      <errorWord>（</errorWord>
      <group>L1_Format</group>
      <groupName>格式问题</groupName>
      <ability>L2_HalfPunc_CN</ability>
      <abilityName>全半角问题</abilityName>
      <candidateList>
        <item>(</item>
      </candidateList>
      <explain>文本全半角错误。</explain>
      <paraID>58422704</paraID>
      <start>0</start>
      <end>1</end>
      <status>unmodified</status>
      <modifiedWord/>
      <trackRevisions>false</trackRevisions>
    </reviewItem>
    <reviewItem>
      <errorID>9f69d451-8aad-4082-a34c-3a4c534f46c7</errorID>
      <errorWord>）</errorWord>
      <group>L1_Format</group>
      <groupName>格式问题</groupName>
      <ability>L2_HalfPunc_CN</ability>
      <abilityName>全半角问题</abilityName>
      <candidateList>
        <item>)</item>
      </candidateList>
      <explain>文本全半角错误。</explain>
      <paraID>58422704</paraID>
      <start>6</start>
      <end>7</end>
      <status>unmodified</status>
      <modifiedWord/>
      <trackRevisions>false</trackRevisions>
    </reviewItem>
    <reviewItem>
      <errorID>647c6a2e-fcff-4ed9-9408-5f17665bee82</errorID>
      <errorWord>（</errorWord>
      <group>L1_Format</group>
      <groupName>格式问题</groupName>
      <ability>L2_HalfPunc_CN</ability>
      <abilityName>全半角问题</abilityName>
      <candidateList>
        <item>(</item>
      </candidateList>
      <explain>文本全半角错误。</explain>
      <paraID>140AB1F0</paraID>
      <start>0</start>
      <end>1</end>
      <status>unmodified</status>
      <modifiedWord/>
      <trackRevisions>false</trackRevisions>
    </reviewItem>
    <reviewItem>
      <errorID>450d0d54-1cb3-4005-a598-84ccc694958a</errorID>
      <errorWord>）</errorWord>
      <group>L1_Format</group>
      <groupName>格式问题</groupName>
      <ability>L2_HalfPunc_CN</ability>
      <abilityName>全半角问题</abilityName>
      <candidateList>
        <item>)</item>
      </candidateList>
      <explain>文本全半角错误。</explain>
      <paraID>140AB1F0</paraID>
      <start>5</start>
      <end>6</end>
      <status>unmodified</status>
      <modifiedWord/>
      <trackRevisions>false</trackRevisions>
    </reviewItem>
    <reviewItem>
      <errorID>96694100-33d6-4172-b856-4d660e47fb2c</errorID>
      <errorWord>（</errorWord>
      <group>L1_Format</group>
      <groupName>格式问题</groupName>
      <ability>L2_HalfPunc_CN</ability>
      <abilityName>全半角问题</abilityName>
      <candidateList>
        <item>(</item>
      </candidateList>
      <explain>文本全半角错误。</explain>
      <paraID> 99B0760</paraID>
      <start>0</start>
      <end>1</end>
      <status>unmodified</status>
      <modifiedWord/>
      <trackRevisions>false</trackRevisions>
    </reviewItem>
    <reviewItem>
      <errorID>8077e08f-ca89-4f73-b164-99bfee82d24b</errorID>
      <errorWord>）</errorWord>
      <group>L1_Format</group>
      <groupName>格式问题</groupName>
      <ability>L2_HalfPunc_CN</ability>
      <abilityName>全半角问题</abilityName>
      <candidateList>
        <item>)</item>
      </candidateList>
      <explain>文本全半角错误。</explain>
      <paraID> 99B0760</paraID>
      <start>6</start>
      <end>7</end>
      <status>unmodified</status>
      <modifiedWord/>
      <trackRevisions>false</trackRevisions>
    </reviewItem>
    <reviewItem>
      <errorID>cb01982e-89b2-41d2-9aae-de0c0e43a537</errorID>
      <errorWord>（</errorWord>
      <group>L1_Format</group>
      <groupName>格式问题</groupName>
      <ability>L2_HalfPunc_CN</ability>
      <abilityName>全半角问题</abilityName>
      <candidateList>
        <item>(</item>
      </candidateList>
      <explain>文本全半角错误。</explain>
      <paraID>60B4AB52</paraID>
      <start>0</start>
      <end>1</end>
      <status>unmodified</status>
      <modifiedWord/>
      <trackRevisions>false</trackRevisions>
    </reviewItem>
    <reviewItem>
      <errorID>2508b462-8f40-494c-afcb-3c1f6dd00183</errorID>
      <errorWord>）</errorWord>
      <group>L1_Format</group>
      <groupName>格式问题</groupName>
      <ability>L2_HalfPunc_CN</ability>
      <abilityName>全半角问题</abilityName>
      <candidateList>
        <item>)</item>
      </candidateList>
      <explain>文本全半角错误。</explain>
      <paraID>60B4AB52</paraID>
      <start>5</start>
      <end>6</end>
      <status>unmodified</status>
      <modifiedWord/>
      <trackRevisions>false</trackRevisions>
    </reviewItem>
    <reviewItem>
      <errorID>be2e6d9c-1266-4a90-8aa5-5b1205221d63</errorID>
      <errorWord>（</errorWord>
      <group>L1_Format</group>
      <groupName>格式问题</groupName>
      <ability>L2_HalfPunc_CN</ability>
      <abilityName>全半角问题</abilityName>
      <candidateList>
        <item>(</item>
      </candidateList>
      <explain>文本全半角错误。</explain>
      <paraID> D880E30</paraID>
      <start>0</start>
      <end>1</end>
      <status>unmodified</status>
      <modifiedWord/>
      <trackRevisions>false</trackRevisions>
    </reviewItem>
    <reviewItem>
      <errorID>28b4fc0c-c534-4e44-96b1-e6bf43ec5d97</errorID>
      <errorWord>）</errorWord>
      <group>L1_Format</group>
      <groupName>格式问题</groupName>
      <ability>L2_HalfPunc_CN</ability>
      <abilityName>全半角问题</abilityName>
      <candidateList>
        <item>)</item>
      </candidateList>
      <explain>文本全半角错误。</explain>
      <paraID> D880E30</paraID>
      <start>6</start>
      <end>7</end>
      <status>unmodified</status>
      <modifiedWord/>
      <trackRevisions>false</trackRevisions>
    </reviewItem>
    <reviewItem>
      <errorID>f9b59271-91d3-4747-b970-caf4ee853814</errorID>
      <errorWord>（</errorWord>
      <group>L1_Format</group>
      <groupName>格式问题</groupName>
      <ability>L2_HalfPunc_CN</ability>
      <abilityName>全半角问题</abilityName>
      <candidateList>
        <item>(</item>
      </candidateList>
      <explain>文本全半角错误。</explain>
      <paraID>6A8CF866</paraID>
      <start>0</start>
      <end>1</end>
      <status>unmodified</status>
      <modifiedWord/>
      <trackRevisions>false</trackRevisions>
    </reviewItem>
    <reviewItem>
      <errorID>56d74d25-3a29-42ac-84c8-628f62e1834f</errorID>
      <errorWord>）</errorWord>
      <group>L1_Format</group>
      <groupName>格式问题</groupName>
      <ability>L2_HalfPunc_CN</ability>
      <abilityName>全半角问题</abilityName>
      <candidateList>
        <item>)</item>
      </candidateList>
      <explain>文本全半角错误。</explain>
      <paraID>6A8CF866</paraID>
      <start>5</start>
      <end>6</end>
      <status>unmodified</status>
      <modifiedWord/>
      <trackRevisions>false</trackRevisions>
    </reviewItem>
    <reviewItem>
      <errorID>f01c23e9-08e6-4df7-81bc-15273d2f8c5d</errorID>
      <errorWord>来自于</errorWord>
      <group>L1_Grammar</group>
      <groupName>语法问题</groupName>
      <ability>L2_Grammar</ability>
      <abilityName>语法错误</abilityName>
      <candidateList>
        <item>来自</item>
      </candidateList>
      <explain>该表达中的“来自于”存在语义重复。【词汇解析】来自：表示“来源于”。包含了“于”的意思。</explain>
      <paraID>6FD407CB</paraID>
      <start>48</start>
      <end>51</end>
      <status>unmodified</status>
      <modifiedWord/>
      <trackRevisions>false</trackRevisions>
    </reviewItem>
    <reviewItem>
      <errorID>4057d168-3a54-4ba9-b97a-34d6665ced50</errorID>
      <errorWord>来自于</errorWord>
      <group>L1_Grammar</group>
      <groupName>语法问题</groupName>
      <ability>L2_Grammar</ability>
      <abilityName>语法错误</abilityName>
      <candidateList>
        <item>来自</item>
      </candidateList>
      <explain>该表达中的“来自于”存在语义重复。【词汇解析】来自：表示“来源于”。包含了“于”的意思。</explain>
      <paraID> 5F4EBDB</paraID>
      <start>36</start>
      <end>39</end>
      <status>unmodified</status>
      <modifiedWord/>
      <trackRevisions>false</trackRevisions>
    </reviewItem>
    <reviewItem>
      <errorID>b33aec17-e29e-4cf8-b592-e9ddee722702</errorID>
      <errorWord>无不</errorWord>
      <group>L1_Word</group>
      <groupName>字词问题</groupName>
      <ability>L2_Typo</ability>
      <abilityName>字词错误</abilityName>
      <candidateList>
        <item>无比</item>
      </candidateList>
      <explain>存在发音相近字词的误用。</explain>
      <paraID>34CD4817</paraID>
      <start>0</start>
      <end>2</end>
      <status>unmodified</status>
      <modifiedWord/>
      <trackRevisions>false</trackRevisions>
    </reviewItem>
    <reviewItem>
      <errorID>7729730b-3671-4304-92e0-8372d795d9ce</errorID>
      <errorWord>无不</errorWord>
      <group>L1_Word</group>
      <groupName>字词问题</groupName>
      <ability>L2_Typo</ability>
      <abilityName>字词错误</abilityName>
      <candidateList>
        <item>无比</item>
      </candidateList>
      <explain>存在发音相近字词的误用。</explain>
      <paraID>13878810</paraID>
      <start>0</start>
      <end>2</end>
      <status>unmodified</status>
      <modifiedWord/>
      <trackRevisions>false</trackRevisions>
    </reviewItem>
    <reviewItem>
      <errorID>549083e6-e7de-491c-b4aa-2df0025374ed</errorID>
      <errorWord>无不</errorWord>
      <group>L1_Word</group>
      <groupName>字词问题</groupName>
      <ability>L2_Typo</ability>
      <abilityName>字词错误</abilityName>
      <candidateList>
        <item>无比</item>
      </candidateList>
      <explain>存在发音相近字词的误用。</explain>
      <paraID>59400659</paraID>
      <start>0</start>
      <end>2</end>
      <status>unmodified</status>
      <modifiedWord/>
      <trackRevisions>false</trackRevisions>
    </reviewItem>
    <reviewItem>
      <errorID>3f298656-39da-4b9b-8fed-075d5f2a7350</errorID>
      <errorWord>无不</errorWord>
      <group>L1_Word</group>
      <groupName>字词问题</groupName>
      <ability>L2_Typo</ability>
      <abilityName>字词错误</abilityName>
      <candidateList>
        <item>无比</item>
      </candidateList>
      <explain>存在发音相近字词的误用。</explain>
      <paraID>67C856B4</paraID>
      <start>0</start>
      <end>2</end>
      <status>unmodified</status>
      <modifiedWord/>
      <trackRevisions>false</trackRevisions>
    </reviewItem>
    <reviewItem>
      <errorID>99029c4f-271c-4a88-b3c0-fec129385430</errorID>
      <errorWord>无不</errorWord>
      <group>L1_Word</group>
      <groupName>字词问题</groupName>
      <ability>L2_Typo</ability>
      <abilityName>字词错误</abilityName>
      <candidateList>
        <item>无比</item>
      </candidateList>
      <explain>存在发音相近字词的误用。</explain>
      <paraID>7D38039E</paraID>
      <start>0</start>
      <end>2</end>
      <status>unmodified</status>
      <modifiedWord/>
      <trackRevisions>false</trackRevisions>
    </reviewItem>
    <reviewItem>
      <errorID>bb55d94f-21ed-4bdf-90c5-d006b2cb66b3</errorID>
      <errorWord>无不</errorWord>
      <group>L1_Word</group>
      <groupName>字词问题</groupName>
      <ability>L2_Typo</ability>
      <abilityName>字词错误</abilityName>
      <candidateList>
        <item>无比</item>
      </candidateList>
      <explain>存在发音相近字词的误用。</explain>
      <paraID>66981C4E</paraID>
      <start>0</start>
      <end>2</end>
      <status>unmodified</status>
      <modifiedWord/>
      <trackRevisions>false</trackRevisions>
    </reviewItem>
    <reviewItem>
      <errorID>43fd0cdd-2fa3-4766-bdcf-f3742af18fc2</errorID>
      <errorWord>无不</errorWord>
      <group>L1_Word</group>
      <groupName>字词问题</groupName>
      <ability>L2_Typo</ability>
      <abilityName>字词错误</abilityName>
      <candidateList>
        <item>无比</item>
      </candidateList>
      <explain>存在发音相近字词的误用。</explain>
      <paraID>2477B6B8</paraID>
      <start>0</start>
      <end>2</end>
      <status>unmodified</status>
      <modifiedWord/>
      <trackRevisions>false</trackRevisions>
    </reviewItem>
    <reviewItem>
      <errorID>af62d9cb-65d8-4cb2-8053-fb9d33bdce8e</errorID>
      <errorWord>无不</errorWord>
      <group>L1_Word</group>
      <groupName>字词问题</groupName>
      <ability>L2_Typo</ability>
      <abilityName>字词错误</abilityName>
      <candidateList>
        <item>无比</item>
      </candidateList>
      <explain>存在发音相近字词的误用。</explain>
      <paraID>3D110D73</paraID>
      <start>0</start>
      <end>2</end>
      <status>unmodified</status>
      <modifiedWord/>
      <trackRevisions>false</trackRevisions>
    </reviewItem>
    <reviewItem>
      <errorID>1621b593-a2df-4db6-99c3-7bf2f1e0d6b7</errorID>
      <errorWord>无不</errorWord>
      <group>L1_Word</group>
      <groupName>字词问题</groupName>
      <ability>L2_Typo</ability>
      <abilityName>字词错误</abilityName>
      <candidateList>
        <item>无比</item>
      </candidateList>
      <explain>存在发音相近字词的误用。</explain>
      <paraID>46102B76</paraID>
      <start>0</start>
      <end>2</end>
      <status>unmodified</status>
      <modifiedWord/>
      <trackRevisions>false</trackRevisions>
    </reviewItem>
    <reviewItem>
      <errorID>690b7a44-f461-4c6e-93b6-314494cbb5da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42AB1839</paraID>
      <start>29</start>
      <end>30</end>
      <status>unmodified</status>
      <modifiedWord/>
      <trackRevisions>false</trackRevisions>
    </reviewItem>
    <reviewItem>
      <errorID>9e5e358c-de73-4037-9ede-9e5c272ef3bd</errorID>
      <errorWord>减震</errorWord>
      <group>L1_Word</group>
      <groupName>字词问题</groupName>
      <ability>L2_Typo</ability>
      <abilityName>字词错误</abilityName>
      <candidateList>
        <item>减振</item>
      </candidateList>
      <explain>存在发音相同字词的误用。</explain>
      <paraID>681634EA</paraID>
      <start>44</start>
      <end>46</end>
      <status>unmodified</status>
      <modifiedWord/>
      <trackRevisions>false</trackRevisions>
    </reviewItem>
    <reviewItem>
      <errorID>721a2fcd-9d4f-468e-b9b8-f64b35aea776</errorID>
      <errorWord>以及</errorWord>
      <group>L1_Word</group>
      <groupName>字词问题</groupName>
      <ability>L2_Typo</ability>
      <abilityName>字词错误</abilityName>
      <candidateList>
        <item>及</item>
      </candidateList>
      <explain/>
      <paraID>6A635B47</paraID>
      <start>123</start>
      <end>125</end>
      <status>unmodified</status>
      <modifiedWord/>
      <trackRevisions>false</trackRevisions>
    </reviewItem>
    <reviewItem>
      <errorID>7cad2aef-860f-45cf-b88f-c55da14400d2</errorID>
      <errorWord>（</errorWord>
      <group>L1_Format</group>
      <groupName>格式问题</groupName>
      <ability>L2_HalfPunc_CN</ability>
      <abilityName>全半角问题</abilityName>
      <candidateList>
        <item>(</item>
      </candidateList>
      <explain>文本全半角错误。</explain>
      <paraID> 2DBAE49</paraID>
      <start>2</start>
      <end>3</end>
      <status>unmodified</status>
      <modifiedWord/>
      <trackRevisions>false</trackRevisions>
    </reviewItem>
    <reviewItem>
      <errorID>9611d8cd-3efb-48b3-9506-ee5c18b108cd</errorID>
      <errorWord>）</errorWord>
      <group>L1_Format</group>
      <groupName>格式问题</groupName>
      <ability>L2_HalfPunc_CN</ability>
      <abilityName>全半角问题</abilityName>
      <candidateList>
        <item>)</item>
      </candidateList>
      <explain>文本全半角错误。</explain>
      <paraID> 2DBAE49</paraID>
      <start>8</start>
      <end>9</end>
      <status>unmodified</status>
      <modifiedWord/>
      <trackRevisions>false</trackRevisions>
    </reviewItem>
    <reviewItem>
      <errorID>70dd1685-efbe-4274-b8a5-07a22dd4bd57</errorID>
      <errorWord>（</errorWord>
      <group>L1_Format</group>
      <groupName>格式问题</groupName>
      <ability>L2_HalfPunc_CN</ability>
      <abilityName>全半角问题</abilityName>
      <candidateList>
        <item>(</item>
      </candidateList>
      <explain>文本全半角错误。</explain>
      <paraID> 81E28CD</paraID>
      <start>3</start>
      <end>4</end>
      <status>unmodified</status>
      <modifiedWord/>
      <trackRevisions>false</trackRevisions>
    </reviewItem>
    <reviewItem>
      <errorID>97bfdc90-7396-49be-81ab-91e873d5ca1d</errorID>
      <errorWord>）</errorWord>
      <group>L1_Format</group>
      <groupName>格式问题</groupName>
      <ability>L2_HalfPunc_CN</ability>
      <abilityName>全半角问题</abilityName>
      <candidateList>
        <item>)</item>
      </candidateList>
      <explain>文本全半角错误。</explain>
      <paraID> 81E28CD</paraID>
      <start>9</start>
      <end>10</end>
      <status>unmodified</status>
      <modifiedWord/>
      <trackRevisions>false</trackRevisions>
    </reviewItem>
    <reviewItem>
      <errorID>9b8d982c-be14-40a7-8cd9-c95cb7e27821</errorID>
      <errorWord>（</errorWord>
      <group>L1_Format</group>
      <groupName>格式问题</groupName>
      <ability>L2_HalfPunc_CN</ability>
      <abilityName>全半角问题</abilityName>
      <candidateList>
        <item>(</item>
      </candidateList>
      <explain>文本全半角错误。</explain>
      <paraID>74E16163</paraID>
      <start>2</start>
      <end>3</end>
      <status>unmodified</status>
      <modifiedWord/>
      <trackRevisions>false</trackRevisions>
    </reviewItem>
    <reviewItem>
      <errorID>4c43379a-1ad6-49c7-9bbc-21460c1804dd</errorID>
      <errorWord>）</errorWord>
      <group>L1_Format</group>
      <groupName>格式问题</groupName>
      <ability>L2_HalfPunc_CN</ability>
      <abilityName>全半角问题</abilityName>
      <candidateList>
        <item>)</item>
      </candidateList>
      <explain>文本全半角错误。</explain>
      <paraID>74E16163</paraID>
      <start>8</start>
      <end>9</end>
      <status>unmodified</status>
      <modifiedWord/>
      <trackRevisions>false</trackRevisions>
    </reviewItem>
    <reviewItem>
      <errorID>9149a2fe-21ab-4f04-b459-d1385a563de9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6ADCD621</paraID>
      <start>16</start>
      <end>17</end>
      <status>unmodified</status>
      <modifiedWord/>
      <trackRevisions>false</trackRevisions>
    </reviewItem>
    <reviewItem>
      <errorID>f0288c39-60ab-4505-b2e0-312333124583</errorID>
      <errorWord>处理达《城市污水</errorWord>
      <group>L1_Word</group>
      <groupName>字词问题</groupName>
      <ability>L2_Typo</ability>
      <abilityName>字词错误</abilityName>
      <candidateList>
        <item>处理达到《城市污水</item>
      </candidateList>
      <explain/>
      <paraID>650CF76B</paraID>
      <start>35</start>
      <end>43</end>
      <status>unmodified</status>
      <modifiedWord/>
      <trackRevisions>false</trackRevisions>
    </reviewItem>
    <reviewItem>
      <errorID>53a0db70-f472-4892-9210-1b74b19836ab</errorID>
      <errorWord>无不</errorWord>
      <group>L1_Word</group>
      <groupName>字词问题</groupName>
      <ability>L2_Typo</ability>
      <abilityName>字词错误</abilityName>
      <candidateList>
        <item>无比</item>
      </candidateList>
      <explain>存在发音相近字词的误用。</explain>
      <paraID> 91C1B69</paraID>
      <start>0</start>
      <end>2</end>
      <status>unmodified</status>
      <modifiedWord/>
      <trackRevisions>false</trackRevisions>
    </reviewItem>
    <reviewItem>
      <errorID>d7b9a7a5-53af-4f17-883a-6fb183a12ec0</errorID>
      <errorWord>（</errorWord>
      <group>L1_Format</group>
      <groupName>格式问题</groupName>
      <ability>L2_HalfPunc_CN</ability>
      <abilityName>全半角问题</abilityName>
      <candidateList>
        <item>(</item>
      </candidateList>
      <explain>文本全半角错误。</explain>
      <paraID>7D3F7FBD</paraID>
      <start>4</start>
      <end>5</end>
      <status>unmodified</status>
      <modifiedWord/>
      <trackRevisions>false</trackRevisions>
    </reviewItem>
    <reviewItem>
      <errorID>5e7f2f9e-21f9-4c96-8501-06d4a1d7d1ec</errorID>
      <errorWord>）</errorWord>
      <group>L1_Format</group>
      <groupName>格式问题</groupName>
      <ability>L2_HalfPunc_CN</ability>
      <abilityName>全半角问题</abilityName>
      <candidateList>
        <item>)</item>
      </candidateList>
      <explain>文本全半角错误。</explain>
      <paraID>7D3F7FBD</paraID>
      <start>9</start>
      <end>10</end>
      <status>unmodified</status>
      <modifiedWord/>
      <trackRevisions>false</trackRevisions>
    </reviewItem>
    <reviewItem>
      <errorID>d344d620-e7ab-4d66-9e3c-201a274c6a18</errorID>
      <errorWord>调式</errorWord>
      <group>L1_Word</group>
      <groupName>字词问题</groupName>
      <ability>L2_Typo</ability>
      <abilityName>字词错误</abilityName>
      <candidateList>
        <item>调试</item>
      </candidateList>
      <explain/>
      <paraID>5144B336</paraID>
      <start>31</start>
      <end>33</end>
      <status>unmodified</status>
      <modifiedWord/>
      <trackRevisions>false</trackRevisions>
    </reviewItem>
    <reviewItem>
      <errorID>7731cf16-d0e2-480b-9fa6-729e703ae6e4</errorID>
      <errorWord>处理达《城市污水</errorWord>
      <group>L1_Word</group>
      <groupName>字词问题</groupName>
      <ability>L2_Typo</ability>
      <abilityName>字词错误</abilityName>
      <candidateList>
        <item>处理达到《城市污水</item>
      </candidateList>
      <explain/>
      <paraID>69DA7548</paraID>
      <start>60</start>
      <end>68</end>
      <status>unmodified</status>
      <modifiedWord/>
      <trackRevisions>false</trackRevisions>
    </reviewItem>
    <reviewItem>
      <errorID>db15e8b8-a418-4fa8-a744-8f1b2b7cabc6</errorID>
      <errorWord>（</errorWord>
      <group>L1_Format</group>
      <groupName>格式问题</groupName>
      <ability>L2_HalfPunc_CN</ability>
      <abilityName>全半角问题</abilityName>
      <candidateList>
        <item>(</item>
      </candidateList>
      <explain>文本全半角错误。</explain>
      <paraID>73AEFFA1</paraID>
      <start>0</start>
      <end>1</end>
      <status>unmodified</status>
      <modifiedWord/>
      <trackRevisions>false</trackRevisions>
    </reviewItem>
    <reviewItem>
      <errorID>58a6151d-e49b-4514-a538-333854d2e08e</errorID>
      <errorWord>）</errorWord>
      <group>L1_Format</group>
      <groupName>格式问题</groupName>
      <ability>L2_HalfPunc_CN</ability>
      <abilityName>全半角问题</abilityName>
      <candidateList>
        <item>)</item>
      </candidateList>
      <explain>文本全半角错误。</explain>
      <paraID>73AEFFA1</paraID>
      <start>5</start>
      <end>6</end>
      <status>unmodified</status>
      <modifiedWord/>
      <trackRevisions>false</trackRevisions>
    </reviewItem>
    <reviewItem>
      <errorID>a35ef124-5399-4f55-81a0-b0e8360aa12f</errorID>
      <errorWord>（</errorWord>
      <group>L1_Format</group>
      <groupName>格式问题</groupName>
      <ability>L2_HalfPunc_CN</ability>
      <abilityName>全半角问题</abilityName>
      <candidateList>
        <item>(</item>
      </candidateList>
      <explain>文本全半角错误。</explain>
      <paraID>267778B6</paraID>
      <start>0</start>
      <end>1</end>
      <status>unmodified</status>
      <modifiedWord/>
      <trackRevisions>false</trackRevisions>
    </reviewItem>
    <reviewItem>
      <errorID>0e3b762e-79dc-4934-a49c-f75b993ab117</errorID>
      <errorWord>）</errorWord>
      <group>L1_Format</group>
      <groupName>格式问题</groupName>
      <ability>L2_HalfPunc_CN</ability>
      <abilityName>全半角问题</abilityName>
      <candidateList>
        <item>)</item>
      </candidateList>
      <explain>文本全半角错误。</explain>
      <paraID>267778B6</paraID>
      <start>4</start>
      <end>5</end>
      <status>unmodified</status>
      <modifiedWord/>
      <trackRevisions>false</trackRevisions>
    </reviewItem>
    <reviewItem>
      <errorID>9aac0c07-8711-408f-9891-d74b2d42dca6</errorID>
      <errorWord>处理达《城市污水</errorWord>
      <group>L1_Word</group>
      <groupName>字词问题</groupName>
      <ability>L2_Typo</ability>
      <abilityName>字词错误</abilityName>
      <candidateList>
        <item>处理达到《城市污水</item>
      </candidateList>
      <explain/>
      <paraID> A5F1A21</paraID>
      <start>33</start>
      <end>41</end>
      <status>unmodified</status>
      <modifiedWord/>
      <trackRevisions>false</trackRevisions>
    </reviewItem>
    <reviewItem>
      <errorID>5add8efe-d854-4800-8b43-1091e051b23c</errorID>
      <errorWord>（</errorWord>
      <group>L1_Punc</group>
      <groupName>标点问题</groupName>
      <ability>L2_Punc_CN</ability>
      <abilityName>标点符号问题</abilityName>
      <candidateList/>
      <explain>同一形式括号套用。</explain>
      <paraID>256A4233</paraID>
      <start>6</start>
      <end>7</end>
      <status>unmodified</status>
      <modifiedWord/>
      <trackRevisions>false</trackRevisions>
    </reviewItem>
    <reviewItem>
      <errorID>e2d53b7c-17b6-4463-9c41-ebd4fdfa0896</errorID>
      <errorWord>）</errorWord>
      <group>L1_Punc</group>
      <groupName>标点问题</groupName>
      <ability>L2_Punc_CN</ability>
      <abilityName>标点符号问题</abilityName>
      <candidateList/>
      <explain>同一形式括号套用。</explain>
      <paraID>256A4233</paraID>
      <start>8</start>
      <end>9</end>
      <status>unmodified</status>
      <modifiedWord/>
      <trackRevisions>false</trackRevisions>
    </reviewItem>
    <reviewItem>
      <errorID>ce28d39d-87da-4032-8a3a-8c893ec9b285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34E50DA2</paraID>
      <start>5</start>
      <end>6</end>
      <status>unmodified</status>
      <modifiedWord/>
      <trackRevisions>false</trackRevisions>
    </reviewItem>
    <reviewItem>
      <errorID>2a0930ba-5eb0-4e48-977e-461cd6973c45</errorID>
      <errorWord>（</errorWord>
      <group>L1_Format</group>
      <groupName>格式问题</groupName>
      <ability>L2_HalfPunc_CN</ability>
      <abilityName>全半角问题</abilityName>
      <candidateList>
        <item>(</item>
      </candidateList>
      <explain>文本全半角错误。</explain>
      <paraID>57375C56</paraID>
      <start>3</start>
      <end>4</end>
      <status>unmodified</status>
      <modifiedWord/>
      <trackRevisions>false</trackRevisions>
    </reviewItem>
    <reviewItem>
      <errorID>1e0d2053-7239-482c-a70f-56f159caade2</errorID>
      <errorWord>）</errorWord>
      <group>L1_Format</group>
      <groupName>格式问题</groupName>
      <ability>L2_HalfPunc_CN</ability>
      <abilityName>全半角问题</abilityName>
      <candidateList>
        <item>)</item>
      </candidateList>
      <explain>文本全半角错误。</explain>
      <paraID>57375C56</paraID>
      <start>5</start>
      <end>6</end>
      <status>unmodified</status>
      <modifiedWord/>
      <trackRevisions>false</trackRevisions>
    </reviewItem>
    <reviewItem>
      <errorID>565697a6-981a-4e03-a53d-f36f25dd86d4</errorID>
      <errorWord>程</errorWord>
      <group>L1_Word</group>
      <groupName>字词问题</groupName>
      <ability>L2_Typo</ability>
      <abilityName>字词错误</abilityName>
      <candidateList>
        <item>程中</item>
      </candidateList>
      <explain/>
      <paraID>5588CACF</paraID>
      <start>56</start>
      <end>57</end>
      <status>unmodified</status>
      <modifiedWord/>
      <trackRevisions>false</trackRevisions>
    </reviewItem>
    <reviewItem>
      <errorID>4e67b125-f660-4c14-ace2-392bf3ce962a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413116AE</paraID>
      <start>77</start>
      <end>78</end>
      <status>unmodified</status>
      <modifiedWord/>
      <trackRevisions>false</trackRevisions>
    </reviewItem>
    <reviewItem>
      <errorID>cf75b1f3-3361-4aff-bd9f-65829c8a00fb</errorID>
      <errorWord>，</errorWord>
      <group>L1_Format</group>
      <groupName>格式问题</groupName>
      <ability>L2_HalfPunc_CN</ability>
      <abilityName>全半角问题</abilityName>
      <candidateList>
        <item>, </item>
      </candidateList>
      <explain>文本全半角错误。</explain>
      <paraID> 82DDF9D</paraID>
      <start>1</start>
      <end>2</end>
      <status>unmodified</status>
      <modifiedWord/>
      <trackRevisions>false</trackRevisions>
    </reviewItem>
    <reviewItem>
      <errorID>99c7e8dc-2a03-4f94-b704-233e5d3d8ed8</errorID>
      <errorWord>，</errorWord>
      <group>L1_Format</group>
      <groupName>格式问题</groupName>
      <ability>L2_HalfPunc_CN</ability>
      <abilityName>全半角问题</abilityName>
      <candidateList>
        <item>, </item>
      </candidateList>
      <explain>文本全半角错误。</explain>
      <paraID>170E9C7C</paraID>
      <start>1</start>
      <end>2</end>
      <status>unmodified</status>
      <modifiedWord/>
      <trackRevisions>false</trackRevisions>
    </reviewItem>
    <reviewItem>
      <errorID>51ac537a-6ecc-476e-a7e8-96c04ee2be4b</errorID>
      <errorWord>，</errorWord>
      <group>L1_Format</group>
      <groupName>格式问题</groupName>
      <ability>L2_HalfPunc_CN</ability>
      <abilityName>全半角问题</abilityName>
      <candidateList>
        <item>, </item>
      </candidateList>
      <explain>文本全半角错误。</explain>
      <paraID>606220D7</paraID>
      <start>1</start>
      <end>2</end>
      <status>unmodified</status>
      <modifiedWord/>
      <trackRevisions>false</trackRevisions>
    </reviewItem>
    <reviewItem>
      <errorID>21e00413-da93-4262-b363-393e7e0f41d1</errorID>
      <errorWord>，</errorWord>
      <group>L1_Format</group>
      <groupName>格式问题</groupName>
      <ability>L2_HalfPunc_CN</ability>
      <abilityName>全半角问题</abilityName>
      <candidateList>
        <item>, </item>
      </candidateList>
      <explain>文本全半角错误。</explain>
      <paraID>40DEC836</paraID>
      <start>1</start>
      <end>2</end>
      <status>unmodified</status>
      <modifiedWord/>
      <trackRevisions>false</trackRevisions>
    </reviewItem>
    <reviewItem>
      <errorID>5e173163-af61-4775-b21b-0a06378243a5</errorID>
      <errorWord>，</errorWord>
      <group>L1_Format</group>
      <groupName>格式问题</groupName>
      <ability>L2_HalfPunc_CN</ability>
      <abilityName>全半角问题</abilityName>
      <candidateList>
        <item>, </item>
      </candidateList>
      <explain>文本全半角错误。</explain>
      <paraID>1EAEB42E</paraID>
      <start>1</start>
      <end>2</end>
      <status>unmodified</status>
      <modifiedWord/>
      <trackRevisions>false</trackRevisions>
    </reviewItem>
    <reviewItem>
      <errorID>3ac0e6b0-bbef-41c2-a009-487106258237</errorID>
      <errorWord>程</errorWord>
      <group>L1_Word</group>
      <groupName>字词问题</groupName>
      <ability>L2_Typo</ability>
      <abilityName>字词错误</abilityName>
      <candidateList>
        <item>程中</item>
      </candidateList>
      <explain/>
      <paraID>267B65ED</paraID>
      <start>291</start>
      <end>292</end>
      <status>unmodified</status>
      <modifiedWord/>
      <trackRevisions>false</trackRevisions>
    </reviewItem>
    <reviewItem>
      <errorID>01c5f301-35a2-418c-a9f5-d4b197247d85</errorID>
      <errorWord>地方法规</errorWord>
      <group>L1_Political</group>
      <groupName>政治性问题</groupName>
      <ability>L2_Unpolitical</ability>
      <abilityName>政治敏感错误</abilityName>
      <candidateList>
        <item>地方性法规</item>
      </candidateList>
      <explain/>
      <paraID> C1970D5</paraID>
      <start>31</start>
      <end>35</end>
      <status>unmodified</status>
      <modifiedWord/>
      <trackRevisions>false</trackRevisions>
    </reviewItem>
    <reviewItem>
      <errorID>1206ab1d-ca14-4845-aed9-5bc8e087ffb2</errorID>
      <errorWord>其它人工</errorWord>
      <group>L1_Word</group>
      <groupName>字词问题</groupName>
      <ability>L2_Alias</ability>
      <abilityName>也作/曾用词</abilityName>
      <candidateList>
        <item>其他人工</item>
      </candidateList>
      <explain>词汇[其它人工]为不规范表述或旧称，其规范书面表述为[其他人工]。</explain>
      <paraID>2550813F</paraID>
      <start>92</start>
      <end>96</end>
      <status>unmodified</status>
      <modifiedWord/>
      <trackRevisions>false</trackRevisions>
    </reviewItem>
    <reviewItem>
      <errorID>ca314917-e905-4720-807f-634a59325e4e</errorID>
      <errorWord>（</errorWord>
      <group>L1_Format</group>
      <groupName>格式问题</groupName>
      <ability>L2_HalfPunc_CN</ability>
      <abilityName>全半角问题</abilityName>
      <candidateList>
        <item>(</item>
      </candidateList>
      <explain>文本全半角错误。</explain>
      <paraID>736CF04B</paraID>
      <start>4</start>
      <end>5</end>
      <status>unmodified</status>
      <modifiedWord/>
      <trackRevisions>false</trackRevisions>
    </reviewItem>
    <reviewItem>
      <errorID>527fa9dc-e495-4c2b-872e-43baae8db400</errorID>
      <errorWord>）</errorWord>
      <group>L1_Format</group>
      <groupName>格式问题</groupName>
      <ability>L2_HalfPunc_CN</ability>
      <abilityName>全半角问题</abilityName>
      <candidateList>
        <item>)</item>
      </candidateList>
      <explain>文本全半角错误。</explain>
      <paraID>736CF04B</paraID>
      <start>10</start>
      <end>11</end>
      <status>unmodified</status>
      <modifiedWord/>
      <trackRevisions>false</trackRevisions>
    </reviewItem>
    <reviewItem>
      <errorID>f40a4af6-9e55-4b89-925e-a4242367e3db</errorID>
      <errorWord>......</errorWord>
      <group>L1_Punc</group>
      <groupName>标点问题</groupName>
      <ability>L2_Punc_CN</ability>
      <abilityName>标点符号问题</abilityName>
      <candidateList>
        <item>……</item>
      </candidateList>
      <explain/>
      <paraID>2BF354EC</paraID>
      <start>8</start>
      <end>14</end>
      <status>unmodified</status>
      <modifiedWord/>
      <trackRevisions>false</trackRevisions>
    </reviewItem>
    <reviewItem>
      <errorID>38da0d14-01e5-4f60-9441-d8692dbc9dcf</errorID>
      <errorWord>......</errorWord>
      <group>L1_Punc</group>
      <groupName>标点问题</groupName>
      <ability>L2_Punc_CN</ability>
      <abilityName>标点符号问题</abilityName>
      <candidateList>
        <item>……</item>
      </candidateList>
      <explain/>
      <paraID>12CD0A57</paraID>
      <start>5</start>
      <end>11</end>
      <status>unmodified</status>
      <modifiedWord/>
      <trackRevisions>false</trackRevisions>
    </reviewItem>
    <reviewItem>
      <errorID>216af7b0-ec8c-4433-b3f4-b282f84245e4</errorID>
      <errorWord>逸出</errorWord>
      <group>L1_Word</group>
      <groupName>字词问题</groupName>
      <ability>L2_Typo</ability>
      <abilityName>字词错误</abilityName>
      <candidateList>
        <item>溢出</item>
      </candidateList>
      <explain/>
      <paraID>7EFA2C3B</paraID>
      <start>22</start>
      <end>24</end>
      <status>unmodified</status>
      <modifiedWord/>
      <trackRevisions>false</trackRevisions>
    </reviewItem>
    <reviewItem>
      <errorID>3be44cc3-61a3-4d83-9dcf-45826ca1f0cb</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64BCF3EF</paraID>
      <start>164</start>
      <end>167</end>
      <status>unmodified</status>
      <modifiedWord/>
      <trackRevisions>false</trackRevisions>
    </reviewItem>
    <reviewItem>
      <errorID>10af604e-a7eb-4cf7-ac01-9eb2dbebff55</errorID>
      <errorWord>作</errorWord>
      <group>L1_Word</group>
      <groupName>字词问题</groupName>
      <ability>L2_Typo</ability>
      <abilityName>字词错误</abilityName>
      <candidateList>
        <item>做</item>
      </candidateList>
      <explain>存在发音相同字词的误用。</explain>
      <paraID>3D0BF26E</paraID>
      <start>13</start>
      <end>14</end>
      <status>unmodified</status>
      <modifiedWord/>
      <trackRevisions>false</trackRevisions>
    </reviewItem>
    <reviewItem>
      <errorID>7f99440f-f6fb-49e0-8c53-b87da418088b</errorID>
      <errorWord>其它高浓度区作业</errorWord>
      <group>L1_Word</group>
      <groupName>字词问题</groupName>
      <ability>L2_Alias</ability>
      <abilityName>也作/曾用词</abilityName>
      <candidateList>
        <item>其他高浓度区作业</item>
      </candidateList>
      <explain>词汇[其它高浓度区作业]为不规范表述或旧称，其规范书面表述为[其他高浓度区作业]。</explain>
      <paraID>3DE31C95</paraID>
      <start>62</start>
      <end>70</end>
      <status>unmodified</status>
      <modifiedWord/>
      <trackRevisions>false</trackRevisions>
    </reviewItem>
    <reviewItem>
      <errorID>b1463684-a1f0-4139-b7fe-dfbd2e22a1c4</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3975D528</paraID>
      <start>102</start>
      <end>105</end>
      <status>unmodified</status>
      <modifiedWord/>
      <trackRevisions>false</trackRevisions>
    </reviewItem>
    <reviewItem>
      <errorID>b20f5224-ef3e-4f5b-8d47-d9381836d8a9</errorID>
      <errorWord>:</errorWord>
      <group>L1_Format</group>
      <groupName>格式问题</groupName>
      <ability>L2_HalfPunc_CN</ability>
      <abilityName>全半角问题</abilityName>
      <candidateList>
        <item>：</item>
      </candidateList>
      <explain>文本全半角错误。</explain>
      <paraID>3FD8DDB5</paraID>
      <start>5</start>
      <end>6</end>
      <status>unmodified</status>
      <modifiedWord/>
      <trackRevisions>false</trackRevisions>
    </reviewItem>
    <reviewItem>
      <errorID>9e90a253-ad76-4e77-a8f5-c24b819a87f7</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 1A412BD</paraID>
      <start>71</start>
      <end>74</end>
      <status>unmodified</status>
      <modifiedWord/>
      <trackRevisions>false</trackRevisions>
    </reviewItem>
    <reviewItem>
      <errorID>8ba443a1-6cd3-40a2-b5a2-5c7c463a76f2</errorID>
      <errorWord>毒性</errorWord>
      <group>L1_Word</group>
      <groupName>字词问题</groupName>
      <ability>L2_Typo</ability>
      <abilityName>字词错误</abilityName>
      <candidateList>
        <item>毒</item>
      </candidateList>
      <explain/>
      <paraID>256C59C4</paraID>
      <start>35</start>
      <end>37</end>
      <status>unmodified</status>
      <modifiedWord/>
      <trackRevisions>false</trackRevisions>
    </reviewItem>
    <reviewItem>
      <errorID>30f570b0-34e5-4530-b273-ec43e31e0e64</errorID>
      <errorWord>清除</errorWord>
      <group>L1_Word</group>
      <groupName>字词问题</groupName>
      <ability>L2_Typo</ability>
      <abilityName>字词错误</abilityName>
      <candidateList>
        <item>消除</item>
      </candidateList>
      <explain/>
      <paraID>57D87971</paraID>
      <start>70</start>
      <end>72</end>
      <status>unmodified</status>
      <modifiedWord/>
      <trackRevisions>false</trackRevisions>
    </reviewItem>
    <reviewItem>
      <errorID>63a90c9a-5ae6-439f-a7a8-f56dca194405</errorID>
      <errorWord>出供</errorWord>
      <group>L1_Word</group>
      <groupName>字词问题</groupName>
      <ability>L2_Typo</ability>
      <abilityName>字词错误</abilityName>
      <candidateList>
        <item>出</item>
      </candidateList>
      <explain/>
      <paraID>57D87971</paraID>
      <start>123</start>
      <end>125</end>
      <status>unmodified</status>
      <modifiedWord/>
      <trackRevisions>false</trackRevisions>
    </reviewItem>
    <reviewItem>
      <errorID>7579db2d-2713-4ba6-a8a9-403885c208a2</errorID>
      <errorWord>提高</errorWord>
      <group>L1_Grammar</group>
      <groupName>语法问题</groupName>
      <ability>L2_Grammar</ability>
      <abilityName>语法错误</abilityName>
      <candidateList>
        <item>增强</item>
      </candidateList>
      <explain>“提高～意识”搭配不当，建议修改为“增强～意识”。</explain>
      <paraID>57D87971</paraID>
      <start>176</start>
      <end>178</end>
      <status>unmodified</status>
      <modifiedWord/>
      <trackRevisions>false</trackRevisions>
    </reviewItem>
    <reviewItem>
      <errorID>736a5d01-23ce-46ca-a61a-db6a15f8b5c3</errorID>
      <errorWord>，如</errorWord>
      <group>L1_Word</group>
      <groupName>字词问题</groupName>
      <ability>L2_Typo</ability>
      <abilityName>字词错误</abilityName>
      <candidateList>
        <item>，</item>
      </candidateList>
      <explain/>
      <paraID>28BBFF24</paraID>
      <start>9</start>
      <end>11</end>
      <status>unmodified</status>
      <modifiedWord/>
      <trackRevisions>false</trackRevisions>
    </reviewItem>
    <reviewItem>
      <errorID>95574c9d-a841-40f0-847d-978339954d10</errorID>
      <errorWord>清除</errorWord>
      <group>L1_Word</group>
      <groupName>字词问题</groupName>
      <ability>L2_Typo</ability>
      <abilityName>字词错误</abilityName>
      <candidateList>
        <item>消除</item>
      </candidateList>
      <explain/>
      <paraID>5DA9F10F</paraID>
      <start>70</start>
      <end>72</end>
      <status>unmodified</status>
      <modifiedWord/>
      <trackRevisions>false</trackRevisions>
    </reviewItem>
    <reviewItem>
      <errorID>9b79a65a-0f4d-4523-bc09-4e3fb7191566</errorID>
      <errorWord>出供</errorWord>
      <group>L1_Word</group>
      <groupName>字词问题</groupName>
      <ability>L2_Typo</ability>
      <abilityName>字词错误</abilityName>
      <candidateList>
        <item>出</item>
      </candidateList>
      <explain/>
      <paraID>5DA9F10F</paraID>
      <start>123</start>
      <end>125</end>
      <status>unmodified</status>
      <modifiedWord/>
      <trackRevisions>false</trackRevisions>
    </reviewItem>
    <reviewItem>
      <errorID>0dcf4429-22b7-4a38-a6c0-204db02669f5</errorID>
      <errorWord>提高</errorWord>
      <group>L1_Grammar</group>
      <groupName>语法问题</groupName>
      <ability>L2_Grammar</ability>
      <abilityName>语法错误</abilityName>
      <candidateList>
        <item>增强</item>
      </candidateList>
      <explain>“提高～意识”搭配不当，建议修改为“增强～意识”。</explain>
      <paraID>5DA9F10F</paraID>
      <start>176</start>
      <end>178</end>
      <status>unmodified</status>
      <modifiedWord/>
      <trackRevisions>false</trackRevisions>
    </reviewItem>
    <reviewItem>
      <errorID>9edbc8a6-94e4-412e-8a00-0e1a6f728fc1</errorID>
      <errorWord>，如</errorWord>
      <group>L1_Word</group>
      <groupName>字词问题</groupName>
      <ability>L2_Typo</ability>
      <abilityName>字词错误</abilityName>
      <candidateList>
        <item>，</item>
      </candidateList>
      <explain/>
      <paraID>13A46F70</paraID>
      <start>9</start>
      <end>11</end>
      <status>unmodified</status>
      <modifiedWord/>
      <trackRevisions>false</trackRevisions>
    </reviewItem>
    <reviewItem>
      <errorID>8ff1fcef-6bb9-4f32-b240-481def57b189</errorID>
      <errorWord>蓬布</errorWord>
      <group>L1_Word</group>
      <groupName>字词问题</groupName>
      <ability>L2_Typo</ability>
      <abilityName>字词错误</abilityName>
      <candidateList>
        <item>篷布</item>
      </candidateList>
      <explain>存在发音相同字词的误用。</explain>
      <paraID>24E94A52</paraID>
      <start>4</start>
      <end>6</end>
      <status>unmodified</status>
      <modifiedWord/>
      <trackRevisions>false</trackRevisions>
    </reviewItem>
    <reviewItem>
      <errorID>ffc5f140-7228-44d6-a9dc-5c4a265b80e4</errorID>
      <errorWord>处理达《城市污水</errorWord>
      <group>L1_Word</group>
      <groupName>字词问题</groupName>
      <ability>L2_Typo</ability>
      <abilityName>字词错误</abilityName>
      <candidateList>
        <item>处理达到《城市污水</item>
      </candidateList>
      <explain/>
      <paraID>68A79DF9</paraID>
      <start>23</start>
      <end>31</end>
      <status>unmodified</status>
      <modifiedWord/>
      <trackRevisions>false</trackRevisions>
    </reviewItem>
    <reviewItem>
      <errorID>9c09b936-31cf-4957-ba2c-98ae05bd0860</errorID>
      <errorWord>（</errorWord>
      <group>L1_Format</group>
      <groupName>格式问题</groupName>
      <ability>L2_HalfPunc_CN</ability>
      <abilityName>全半角问题</abilityName>
      <candidateList>
        <item>(</item>
      </candidateList>
      <explain>文本全半角错误。</explain>
      <paraID>6F7B8C4E</paraID>
      <start>3</start>
      <end>4</end>
      <status>unmodified</status>
      <modifiedWord/>
      <trackRevisions>false</trackRevisions>
    </reviewItem>
    <reviewItem>
      <errorID>a7f9bf9c-1499-436d-9338-5ed375a57471</errorID>
      <errorWord>）</errorWord>
      <group>L1_Format</group>
      <groupName>格式问题</groupName>
      <ability>L2_HalfPunc_CN</ability>
      <abilityName>全半角问题</abilityName>
      <candidateList>
        <item>)</item>
      </candidateList>
      <explain>文本全半角错误。</explain>
      <paraID>6F7B8C4E</paraID>
      <start>5</start>
      <end>6</end>
      <status>unmodified</status>
      <modifiedWord/>
      <trackRevisions>false</trackRevisions>
    </reviewItem>
    <reviewItem>
      <errorID>a29fc067-40f2-4ba3-8641-0b8396760857</errorID>
      <errorWord>其它人工</errorWord>
      <group>L1_Word</group>
      <groupName>字词问题</groupName>
      <ability>L2_Alias</ability>
      <abilityName>也作/曾用词</abilityName>
      <candidateList>
        <item>其他人工</item>
      </candidateList>
      <explain>词汇[其它人工]为不规范表述或旧称，其规范书面表述为[其他人工]。</explain>
      <paraID>35E85D0F</paraID>
      <start>92</start>
      <end>96</end>
      <status>unmodified</status>
      <modifiedWord/>
      <trackRevisions>false</trackRevisions>
    </reviewItem>
    <reviewItem>
      <errorID>60becc90-edfd-486e-ba12-ef677f83b565</errorID>
      <errorWord>2024年11月01日</errorWord>
      <group>L1_Knowledge</group>
      <groupName>知识性问题</groupName>
      <ability>L2_Time</ability>
      <abilityName>日期时间</abilityName>
      <candidateList>
        <item>2024年11月1日</item>
      </candidateList>
      <explain>根据日常书写习惯，日期一般会省略前导零。</explain>
      <paraID>39A89FCC</paraID>
      <start>43</start>
      <end>54</end>
      <status>unmodified</status>
      <modifiedWord/>
      <trackRevisions>false</trackRevisions>
    </reviewItem>
    <reviewItem>
      <errorID>506418e7-07ac-496f-826e-0d624b0f7a77</errorID>
      <errorWord>&gt;的通知》</errorWord>
      <group>L1_Punc</group>
      <groupName>标点问题</groupName>
      <ability>L2_Punc_CN</ability>
      <abilityName>标点符号问题</abilityName>
      <candidateList>
        <item>〉的通知》</item>
      </candidateList>
      <explain/>
      <paraID>79B7AF63</paraID>
      <start>41</start>
      <end>46</end>
      <status>unmodified</status>
      <modifiedWord/>
      <trackRevisions>false</trackRevisions>
    </reviewItem>
    <reviewItem>
      <errorID>c68ca8d2-dd4f-4721-85f7-08f8e06b9516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79B7AF63</paraID>
      <start>66</start>
      <end>67</end>
      <status>unmodified</status>
      <modifiedWord/>
      <trackRevisions>false</trackRevisions>
    </reviewItem>
    <reviewItem>
      <errorID>b26c477f-0870-4fb2-8497-44728dcd7bd7</errorID>
      <errorWord>&gt;的通知》</errorWord>
      <group>L1_Punc</group>
      <groupName>标点问题</groupName>
      <ability>L2_Punc_CN</ability>
      <abilityName>标点符号问题</abilityName>
      <candidateList>
        <item>〉的通知》</item>
      </candidateList>
      <explain/>
      <paraID>2D77FA11</paraID>
      <start>29</start>
      <end>34</end>
      <status>unmodified</status>
      <modifiedWord/>
      <trackRevisions>false</trackRevisions>
    </reviewItem>
    <reviewItem>
      <errorID>8fb616a3-887a-4b6d-be2e-ec5216c5fbfd</errorID>
      <errorWord>程</errorWord>
      <group>L1_Word</group>
      <groupName>字词问题</groupName>
      <ability>L2_Typo</ability>
      <abilityName>字词错误</abilityName>
      <candidateList>
        <item>程中</item>
      </candidateList>
      <explain/>
      <paraID>1FE6EADA</paraID>
      <start>16</start>
      <end>17</end>
      <status>unmodified</status>
      <modifiedWord/>
      <trackRevisions>false</trackRevisions>
    </reviewItem>
    <reviewItem>
      <errorID>974f858a-8bfa-47c5-ba8b-9dffdfc15823</errorID>
      <errorWord>（</errorWord>
      <group>L1_Format</group>
      <groupName>格式问题</groupName>
      <ability>L2_HalfPunc_CN</ability>
      <abilityName>全半角问题</abilityName>
      <candidateList>
        <item>(</item>
      </candidateList>
      <explain>文本全半角错误。</explain>
      <paraID>20C5626B</paraID>
      <start>0</start>
      <end>1</end>
      <status>unmodified</status>
      <modifiedWord/>
      <trackRevisions>false</trackRevisions>
    </reviewItem>
    <reviewItem>
      <errorID>545e71bf-5595-48d5-9bd5-f06e15b0f720</errorID>
      <errorWord>）</errorWord>
      <group>L1_Format</group>
      <groupName>格式问题</groupName>
      <ability>L2_HalfPunc_CN</ability>
      <abilityName>全半角问题</abilityName>
      <candidateList>
        <item>)</item>
      </candidateList>
      <explain>文本全半角错误。</explain>
      <paraID>20C5626B</paraID>
      <start>6</start>
      <end>7</end>
      <status>unmodified</status>
      <modifiedWord/>
      <trackRevisions>false</trackRevisions>
    </reviewItem>
    <reviewItem>
      <errorID>a26a6e31-0b4d-4479-8023-fafc7c14c4ca</errorID>
      <errorWord>（</errorWord>
      <group>L1_Punc</group>
      <groupName>标点问题</groupName>
      <ability>L2_Punc_CN</ability>
      <abilityName>标点符号问题</abilityName>
      <candidateList/>
      <explain>同一形式括号套用。</explain>
      <paraID>3E64F615</paraID>
      <start>25</start>
      <end>26</end>
      <status>unmodified</status>
      <modifiedWord/>
      <trackRevisions>false</trackRevisions>
    </reviewItem>
    <reviewItem>
      <errorID>5d308d3f-6571-4c75-862b-c4aa983da255</errorID>
      <errorWord>）</errorWord>
      <group>L1_Punc</group>
      <groupName>标点问题</groupName>
      <ability>L2_Punc_CN</ability>
      <abilityName>标点符号问题</abilityName>
      <candidateList/>
      <explain>同一形式括号套用。</explain>
      <paraID>3E64F615</paraID>
      <start>31</start>
      <end>32</end>
      <status>unmodified</status>
      <modifiedWord/>
      <trackRevisions>false</trackRevisions>
    </reviewItem>
    <reviewItem>
      <errorID>f0425f86-a1e7-4dbd-b70e-8711c4d5505c</errorID>
      <errorWord>以及</errorWord>
      <group>L1_Word</group>
      <groupName>字词问题</groupName>
      <ability>L2_Typo</ability>
      <abilityName>字词错误</abilityName>
      <candidateList>
        <item>及</item>
      </candidateList>
      <explain/>
      <paraID>69666066</paraID>
      <start>123</start>
      <end>125</end>
      <status>unmodified</status>
      <modifiedWord/>
      <trackRevisions>false</trackRevisions>
    </reviewItem>
    <reviewItem>
      <errorID>6169dfea-168f-4abd-9583-4bb61340704c</errorID>
      <errorWord>（</errorWord>
      <group>L1_Format</group>
      <groupName>格式问题</groupName>
      <ability>L2_HalfPunc_CN</ability>
      <abilityName>全半角问题</abilityName>
      <candidateList>
        <item>(</item>
      </candidateList>
      <explain>文本全半角错误。</explain>
      <paraID>5FBAC4A4</paraID>
      <start>2</start>
      <end>3</end>
      <status>unmodified</status>
      <modifiedWord/>
      <trackRevisions>false</trackRevisions>
    </reviewItem>
    <reviewItem>
      <errorID>ef40405a-c194-4ee0-87b8-309e0052978d</errorID>
      <errorWord>）</errorWord>
      <group>L1_Format</group>
      <groupName>格式问题</groupName>
      <ability>L2_HalfPunc_CN</ability>
      <abilityName>全半角问题</abilityName>
      <candidateList>
        <item>)</item>
      </candidateList>
      <explain>文本全半角错误。</explain>
      <paraID>5FBAC4A4</paraID>
      <start>8</start>
      <end>9</end>
      <status>unmodified</status>
      <modifiedWord/>
      <trackRevisions>false</trackRevisions>
    </reviewItem>
    <reviewItem>
      <errorID>8f2c6df3-c662-4ddd-8e4e-4191bdc36ea0</errorID>
      <errorWord>（</errorWord>
      <group>L1_Format</group>
      <groupName>格式问题</groupName>
      <ability>L2_HalfPunc_CN</ability>
      <abilityName>全半角问题</abilityName>
      <candidateList>
        <item>(</item>
      </candidateList>
      <explain>文本全半角错误。</explain>
      <paraID>25003915</paraID>
      <start>3</start>
      <end>4</end>
      <status>unmodified</status>
      <modifiedWord/>
      <trackRevisions>false</trackRevisions>
    </reviewItem>
    <reviewItem>
      <errorID>012b0317-ad3e-437c-b9d5-aabd7b0ee367</errorID>
      <errorWord>）</errorWord>
      <group>L1_Format</group>
      <groupName>格式问题</groupName>
      <ability>L2_HalfPunc_CN</ability>
      <abilityName>全半角问题</abilityName>
      <candidateList>
        <item>)</item>
      </candidateList>
      <explain>文本全半角错误。</explain>
      <paraID>25003915</paraID>
      <start>9</start>
      <end>10</end>
      <status>unmodified</status>
      <modifiedWord/>
      <trackRevisions>false</trackRevisions>
    </reviewItem>
    <reviewItem>
      <errorID>2e4b5b19-6afb-4e31-9a68-4c6832ef04e4</errorID>
      <errorWord>（</errorWord>
      <group>L1_Format</group>
      <groupName>格式问题</groupName>
      <ability>L2_HalfPunc_CN</ability>
      <abilityName>全半角问题</abilityName>
      <candidateList>
        <item>(</item>
      </candidateList>
      <explain>文本全半角错误。</explain>
      <paraID> EA1E159</paraID>
      <start>2</start>
      <end>3</end>
      <status>unmodified</status>
      <modifiedWord/>
      <trackRevisions>false</trackRevisions>
    </reviewItem>
    <reviewItem>
      <errorID>57668686-9a18-4dcd-bce7-dfdb48cac9a8</errorID>
      <errorWord>）</errorWord>
      <group>L1_Format</group>
      <groupName>格式问题</groupName>
      <ability>L2_HalfPunc_CN</ability>
      <abilityName>全半角问题</abilityName>
      <candidateList>
        <item>)</item>
      </candidateList>
      <explain>文本全半角错误。</explain>
      <paraID> EA1E159</paraID>
      <start>8</start>
      <end>9</end>
      <status>unmodified</status>
      <modifiedWord/>
      <trackRevisions>false</trackRevisions>
    </reviewItem>
    <reviewItem>
      <errorID>477ad93a-46d1-4d22-a3ba-35b84edda124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37A75728</paraID>
      <start>97</start>
      <end>98</end>
      <status>unmodified</status>
      <modifiedWord/>
      <trackRevisions>false</trackRevisions>
    </reviewItem>
    <reviewItem>
      <errorID>7bc39aea-3152-449a-843b-61add82368e8</errorID>
      <errorWord>k：</errorWord>
      <group>L1_Format</group>
      <groupName>格式问题</groupName>
      <ability>L2_Ordinal</ability>
      <abilityName>序号格式</abilityName>
      <candidateList>
        <item>k.</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AF62F22</paraID>
      <start>0</start>
      <end>2</end>
      <status>unmodified</status>
      <modifiedWord/>
      <trackRevisions>false</trackRevisions>
    </reviewItem>
    <reviewItem>
      <errorID>0a805baa-fc12-4556-8bd7-37ada2028d98</errorID>
      <errorWord>。，</errorWord>
      <group>L1_Punc</group>
      <groupName>标点问题</groupName>
      <ability>L2_Punc_CN</ability>
      <abilityName>标点符号问题</abilityName>
      <candidateList>
        <item>。</item>
      </candidateList>
      <explain/>
      <paraID>18259C74</paraID>
      <start>17</start>
      <end>19</end>
      <status>unmodified</status>
      <modifiedWord/>
      <trackRevisions>false</trackRevisions>
    </reviewItem>
    <reviewItem>
      <errorID>691a59a5-ff42-460d-86cf-9584527f5fcc</errorID>
      <errorWord>属</errorWord>
      <group>L1_Word</group>
      <groupName>字词问题</groupName>
      <ability>L2_Typo</ability>
      <abilityName>字词错误</abilityName>
      <candidateList>
        <item>属于</item>
      </candidateList>
      <explain/>
      <paraID>65A9D308</paraID>
      <start>3</start>
      <end>4</end>
      <status>unmodified</status>
      <modifiedWord/>
      <trackRevisions>false</trackRevisions>
    </reviewItem>
    <reviewItem>
      <errorID>217eef11-ee5b-4657-97fd-17ef2a8317fc</errorID>
      <errorWord>来自于</errorWord>
      <group>L1_Grammar</group>
      <groupName>语法问题</groupName>
      <ability>L2_Grammar</ability>
      <abilityName>语法错误</abilityName>
      <candidateList>
        <item>来自</item>
      </candidateList>
      <explain>该表达中的“来自于”存在语义重复。【词汇解析】来自：表示“来源于”。包含了“于”的意思。</explain>
      <paraID>41B831F3</paraID>
      <start>30</start>
      <end>33</end>
      <status>unmodified</status>
      <modifiedWord/>
      <trackRevisions>false</trackRevisions>
    </reviewItem>
    <reviewItem>
      <errorID>50ad6dcf-e536-46d6-8890-83b340adbf17</errorID>
      <errorWord>海拔高度</errorWord>
      <group>L1_Word</group>
      <groupName>字词问题</groupName>
      <ability>L2_Typo</ability>
      <abilityName>字词错误</abilityName>
      <candidateList>
        <item>海拔</item>
      </candidateList>
      <explain/>
      <paraID>27407E73</paraID>
      <start>55</start>
      <end>59</end>
      <status>unmodified</status>
      <modifiedWord/>
      <trackRevisions>false</trackRevisions>
    </reviewItem>
    <reviewItem>
      <errorID>b8134094-259f-4af7-852e-ccc79bced6ef</errorID>
      <errorWord>海拔高度</errorWord>
      <group>L1_Word</group>
      <groupName>字词问题</groupName>
      <ability>L2_Typo</ability>
      <abilityName>字词错误</abilityName>
      <candidateList>
        <item>海拔</item>
      </candidateList>
      <explain/>
      <paraID>  5469B9</paraID>
      <start>5</start>
      <end>9</end>
      <status>unmodified</status>
      <modifiedWord/>
      <trackRevisions>false</trackRevisions>
    </reviewItem>
    <reviewItem>
      <errorID>44f53988-b47f-4f85-8aea-ff55353af5d9</errorID>
      <errorWord>（</errorWord>
      <group>L1_Format</group>
      <groupName>格式问题</groupName>
      <ability>L2_HalfPunc_CN</ability>
      <abilityName>全半角问题</abilityName>
      <candidateList>
        <item>(</item>
      </candidateList>
      <explain>文本全半角错误。</explain>
      <paraID>76CED9D2</paraID>
      <start>0</start>
      <end>1</end>
      <status>unmodified</status>
      <modifiedWord/>
      <trackRevisions>false</trackRevisions>
    </reviewItem>
    <reviewItem>
      <errorID>b7492f73-da8a-446d-b200-9e744cab608c</errorID>
      <errorWord>）</errorWord>
      <group>L1_Format</group>
      <groupName>格式问题</groupName>
      <ability>L2_HalfPunc_CN</ability>
      <abilityName>全半角问题</abilityName>
      <candidateList>
        <item>)</item>
      </candidateList>
      <explain>文本全半角错误。</explain>
      <paraID>76CED9D2</paraID>
      <start>2</start>
      <end>3</end>
      <status>unmodified</status>
      <modifiedWord/>
      <trackRevisions>false</trackRevisions>
    </reviewItem>
    <reviewItem>
      <errorID>cb9ee5ef-bac1-448c-b73f-b0bdfe6d8c4f</errorID>
      <errorWord>（</errorWord>
      <group>L1_Format</group>
      <groupName>格式问题</groupName>
      <ability>L2_HalfPunc_CN</ability>
      <abilityName>全半角问题</abilityName>
      <candidateList>
        <item>(</item>
      </candidateList>
      <explain>文本全半角错误。</explain>
      <paraID>384F5B17</paraID>
      <start>0</start>
      <end>1</end>
      <status>unmodified</status>
      <modifiedWord/>
      <trackRevisions>false</trackRevisions>
    </reviewItem>
    <reviewItem>
      <errorID>af9dcab2-3184-401a-8be9-476bf702e0de</errorID>
      <errorWord>）</errorWord>
      <group>L1_Format</group>
      <groupName>格式问题</groupName>
      <ability>L2_HalfPunc_CN</ability>
      <abilityName>全半角问题</abilityName>
      <candidateList>
        <item>)</item>
      </candidateList>
      <explain>文本全半角错误。</explain>
      <paraID>384F5B17</paraID>
      <start>2</start>
      <end>3</end>
      <status>unmodified</status>
      <modifiedWord/>
      <trackRevisions>false</trackRevisions>
    </reviewItem>
    <reviewItem>
      <errorID>1a982fff-f4aa-4bf8-9d4d-d99941ebadca</errorID>
      <errorWord>（</errorWord>
      <group>L1_Format</group>
      <groupName>格式问题</groupName>
      <ability>L2_HalfPunc_CN</ability>
      <abilityName>全半角问题</abilityName>
      <candidateList>
        <item>(</item>
      </candidateList>
      <explain>文本全半角错误。</explain>
      <paraID>3E48E621</paraID>
      <start>0</start>
      <end>1</end>
      <status>unmodified</status>
      <modifiedWord/>
      <trackRevisions>false</trackRevisions>
    </reviewItem>
    <reviewItem>
      <errorID>542cd81d-9715-4ec6-ba12-52b4d0914e33</errorID>
      <errorWord>）</errorWord>
      <group>L1_Format</group>
      <groupName>格式问题</groupName>
      <ability>L2_HalfPunc_CN</ability>
      <abilityName>全半角问题</abilityName>
      <candidateList>
        <item>)</item>
      </candidateList>
      <explain>文本全半角错误。</explain>
      <paraID>3E48E621</paraID>
      <start>2</start>
      <end>3</end>
      <status>unmodified</status>
      <modifiedWord/>
      <trackRevisions>false</trackRevisions>
    </reviewItem>
    <reviewItem>
      <errorID>e71c362e-98ce-4941-8ada-de06c3162ecd</errorID>
      <errorWord>海拔高度</errorWord>
      <group>L1_Word</group>
      <groupName>字词问题</groupName>
      <ability>L2_Typo</ability>
      <abilityName>字词错误</abilityName>
      <candidateList>
        <item>海拔</item>
      </candidateList>
      <explain/>
      <paraID> B573005</paraID>
      <start>2</start>
      <end>6</end>
      <status>unmodified</status>
      <modifiedWord/>
      <trackRevisions>false</trackRevisions>
    </reviewItem>
    <reviewItem>
      <errorID>f70414a4-3acb-44ae-bfda-ac37df18cca9</errorID>
      <errorWord>（</errorWord>
      <group>L1_Format</group>
      <groupName>格式问题</groupName>
      <ability>L2_HalfPunc_CN</ability>
      <abilityName>全半角问题</abilityName>
      <candidateList>
        <item>(</item>
      </candidateList>
      <explain>文本全半角错误。</explain>
      <paraID>5DA810AD</paraID>
      <start>0</start>
      <end>1</end>
      <status>unmodified</status>
      <modifiedWord/>
      <trackRevisions>false</trackRevisions>
    </reviewItem>
    <reviewItem>
      <errorID>5038137e-a6c0-4896-9562-0a50d21e638d</errorID>
      <errorWord>）</errorWord>
      <group>L1_Format</group>
      <groupName>格式问题</groupName>
      <ability>L2_HalfPunc_CN</ability>
      <abilityName>全半角问题</abilityName>
      <candidateList>
        <item>)</item>
      </candidateList>
      <explain>文本全半角错误。</explain>
      <paraID>5DA810AD</paraID>
      <start>6</start>
      <end>7</end>
      <status>unmodified</status>
      <modifiedWord/>
      <trackRevisions>false</trackRevisions>
    </reviewItem>
    <reviewItem>
      <errorID>4b0566d6-9aa5-434b-af95-947fcee3fdd5</errorID>
      <errorWord>蓬布</errorWord>
      <group>L1_Word</group>
      <groupName>字词问题</groupName>
      <ability>L2_Typo</ability>
      <abilityName>字词错误</abilityName>
      <candidateList>
        <item>篷布</item>
      </candidateList>
      <explain/>
      <paraID>77F0CA44</paraID>
      <start>45</start>
      <end>47</end>
      <status>unmodified</status>
      <modifiedWord/>
      <trackRevisions>false</trackRevisions>
    </reviewItem>
    <reviewItem>
      <errorID>5c8462e6-bff9-4646-aaa4-a0cf14b999da</errorID>
      <errorWord>粘附</errorWord>
      <group>L1_Word</group>
      <groupName>字词问题</groupName>
      <ability>L2_Alias</ability>
      <abilityName>也作/曾用词</abilityName>
      <candidateList>
        <item>黏附</item>
      </candidateList>
      <explain>词汇[粘附]为不规范表述或旧称，其规范书面表述为[黏附]。</explain>
      <paraID>3D67111C</paraID>
      <start>69</start>
      <end>71</end>
      <status>unmodified</status>
      <modifiedWord/>
      <trackRevisions>false</trackRevisions>
    </reviewItem>
    <reviewItem>
      <errorID>aa9d078d-231f-4b25-8d13-98c5fb73be8b</errorID>
      <errorWord>听风</errorWord>
      <group>L1_Word</group>
      <groupName>字词问题</groupName>
      <ability>L2_Typo</ability>
      <abilityName>字词错误</abilityName>
      <candidateList>
        <item>通风</item>
      </candidateList>
      <explain>存在发音相近字词的误用。</explain>
      <paraID> C1F450B</paraID>
      <start>55</start>
      <end>57</end>
      <status>unmodified</status>
      <modifiedWord/>
      <trackRevisions>false</trackRevisions>
    </reviewItem>
    <reviewItem>
      <errorID>0aaaed4d-65b2-4a9c-8034-f5681ce5feda</errorID>
      <errorWord>属</errorWord>
      <group>L1_Word</group>
      <groupName>字词问题</groupName>
      <ability>L2_Typo</ability>
      <abilityName>字词错误</abilityName>
      <candidateList>
        <item>属于</item>
      </candidateList>
      <explain/>
      <paraID>6DECEFA6</paraID>
      <start>242</start>
      <end>243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027a13-4de3-4269-9a1b-fa6752ad3e7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154</Pages>
  <Words>449</Words>
  <Characters>500</Characters>
  <Lines>234</Lines>
  <Paragraphs>65</Paragraphs>
  <TotalTime>14</TotalTime>
  <ScaleCrop>false</ScaleCrop>
  <LinksUpToDate>false</LinksUpToDate>
  <CharactersWithSpaces>581</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2022-04-26T02:32:00Z</dcterms:created>
  <dc:creator>微软用户</dc:creator>
  <cp:lastModifiedBy>丫头</cp:lastModifiedBy>
  <cp:lastPrinted>2024-01-04T03:12:00Z</cp:lastPrinted>
  <dcterms:modified xsi:type="dcterms:W3CDTF">2026-10-20T06:53:14Z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0E866D60838B41A6819D896869C540B1_13</vt:lpwstr>
  </property>
  <property fmtid="{D5CDD505-2E9C-101B-9397-08002B2CF9AE}" pid="4" name="commondata">
    <vt:lpwstr>eyJoZGlkIjoiZGFlYmUxMTlhNzhjZWM5ODFjYjNlNTBhYWQyYzdmNjIifQ==</vt:lpwstr>
  </property>
  <property fmtid="{D5CDD505-2E9C-101B-9397-08002B2CF9AE}" pid="5" name="KSOTemplateDocerSaveRecord">
    <vt:lpwstr>eyJoZGlkIjoiMGIxNmMwN2YyMWI0OWQ4MmE0NThjNWQ4ZDViYTdjNDgiLCJ1c2VySWQiOiIzOTkwNDcxMjQifQ==</vt:lpwstr>
  </property>
</Properties>
</file>